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2694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72694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331" w:lineRule="exact"/>
        <w:rPr>
          <w:sz w:val="24"/>
          <w:szCs w:val="24"/>
          <w:color w:val="auto"/>
        </w:rPr>
      </w:pPr>
    </w:p>
    <w:p>
      <w:pPr>
        <w:jc w:val="center"/>
        <w:ind w:right="-109"/>
        <w:spacing w:after="0"/>
        <w:rPr>
          <w:sz w:val="20"/>
          <w:szCs w:val="20"/>
          <w:color w:val="auto"/>
        </w:rPr>
      </w:pPr>
      <w:r>
        <w:rPr>
          <w:rFonts w:ascii="Arial" w:cs="Arial" w:eastAsia="Arial" w:hAnsi="Arial"/>
          <w:sz w:val="27"/>
          <w:szCs w:val="27"/>
          <w:b w:val="1"/>
          <w:bCs w:val="1"/>
          <w:color w:val="auto"/>
        </w:rPr>
        <w:t>UNITED STATES</w:t>
      </w:r>
    </w:p>
    <w:p>
      <w:pPr>
        <w:spacing w:after="0" w:line="35" w:lineRule="exact"/>
        <w:rPr>
          <w:sz w:val="24"/>
          <w:szCs w:val="24"/>
          <w:color w:val="auto"/>
        </w:rPr>
      </w:pPr>
    </w:p>
    <w:p>
      <w:pPr>
        <w:jc w:val="center"/>
        <w:ind w:right="-10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0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93345</wp:posOffset>
            </wp:positionV>
            <wp:extent cx="1522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730" cy="6985"/>
                    </a:xfrm>
                    <a:prstGeom prst="rect">
                      <a:avLst/>
                    </a:prstGeom>
                    <a:noFill/>
                  </pic:spPr>
                </pic:pic>
              </a:graphicData>
            </a:graphic>
          </wp:anchor>
        </w:drawing>
      </w:r>
    </w:p>
    <w:p>
      <w:pPr>
        <w:spacing w:after="0" w:line="175" w:lineRule="exact"/>
        <w:rPr>
          <w:sz w:val="24"/>
          <w:szCs w:val="24"/>
          <w:color w:val="auto"/>
        </w:rPr>
      </w:pPr>
    </w:p>
    <w:p>
      <w:pPr>
        <w:jc w:val="center"/>
        <w:ind w:right="-109"/>
        <w:spacing w:after="0"/>
        <w:rPr>
          <w:sz w:val="20"/>
          <w:szCs w:val="20"/>
          <w:color w:val="auto"/>
        </w:rPr>
      </w:pPr>
      <w:r>
        <w:rPr>
          <w:rFonts w:ascii="Arial" w:cs="Arial" w:eastAsia="Arial" w:hAnsi="Arial"/>
          <w:sz w:val="27"/>
          <w:szCs w:val="27"/>
          <w:b w:val="1"/>
          <w:bCs w:val="1"/>
          <w:color w:val="auto"/>
        </w:rPr>
        <w:t>SCHEDULE 14A</w:t>
      </w:r>
    </w:p>
    <w:p>
      <w:pPr>
        <w:spacing w:after="0" w:line="26" w:lineRule="exact"/>
        <w:rPr>
          <w:sz w:val="24"/>
          <w:szCs w:val="24"/>
          <w:color w:val="auto"/>
        </w:rPr>
      </w:pPr>
    </w:p>
    <w:p>
      <w:pPr>
        <w:jc w:val="center"/>
        <w:ind w:right="-109"/>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09"/>
        <w:spacing w:after="0" w:line="234" w:lineRule="auto"/>
        <w:rPr>
          <w:sz w:val="20"/>
          <w:szCs w:val="20"/>
          <w:color w:val="auto"/>
        </w:rPr>
      </w:pPr>
      <w:r>
        <w:rPr>
          <w:rFonts w:ascii="Arial" w:cs="Arial" w:eastAsia="Arial" w:hAnsi="Arial"/>
          <w:sz w:val="18"/>
          <w:szCs w:val="18"/>
          <w:b w:val="1"/>
          <w:bCs w:val="1"/>
          <w:color w:val="auto"/>
        </w:rPr>
        <w:t>Securities and Exchange Act of 1934</w:t>
      </w:r>
    </w:p>
    <w:p>
      <w:pPr>
        <w:spacing w:after="0" w:line="1" w:lineRule="exact"/>
        <w:rPr>
          <w:sz w:val="24"/>
          <w:szCs w:val="24"/>
          <w:color w:val="auto"/>
        </w:rPr>
      </w:pPr>
    </w:p>
    <w:p>
      <w:pPr>
        <w:jc w:val="center"/>
        <w:ind w:right="-8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86360</wp:posOffset>
            </wp:positionV>
            <wp:extent cx="1522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730" cy="6985"/>
                    </a:xfrm>
                    <a:prstGeom prst="rect">
                      <a:avLst/>
                    </a:prstGeom>
                    <a:noFill/>
                  </pic:spPr>
                </pic:pic>
              </a:graphicData>
            </a:graphic>
          </wp:anchor>
        </w:drawing>
      </w:r>
    </w:p>
    <w:p>
      <w:pPr>
        <w:spacing w:after="0" w:line="160"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75"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13" w:lineRule="exact"/>
        <w:rPr>
          <w:sz w:val="24"/>
          <w:szCs w:val="24"/>
          <w:color w:val="auto"/>
        </w:rPr>
      </w:pPr>
    </w:p>
    <w:p>
      <w:pPr>
        <w:ind w:left="10"/>
        <w:spacing w:after="0"/>
        <w:rPr>
          <w:sz w:val="20"/>
          <w:szCs w:val="20"/>
          <w:color w:val="auto"/>
        </w:rPr>
      </w:pPr>
      <w:r>
        <w:rPr>
          <w:rFonts w:ascii="Arial" w:cs="Arial" w:eastAsia="Arial" w:hAnsi="Arial"/>
          <w:sz w:val="15"/>
          <w:szCs w:val="15"/>
          <w:color w:val="auto"/>
        </w:rPr>
        <w:t>Check the appropriate box:</w:t>
      </w:r>
    </w:p>
    <w:p>
      <w:pPr>
        <w:spacing w:after="0" w:line="75" w:lineRule="exact"/>
        <w:rPr>
          <w:sz w:val="24"/>
          <w:szCs w:val="24"/>
          <w:color w:val="auto"/>
        </w:rPr>
      </w:pPr>
    </w:p>
    <w:p>
      <w:pPr>
        <w:ind w:left="690" w:hanging="690"/>
        <w:spacing w:after="0"/>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7" w:lineRule="exact"/>
        <w:rPr>
          <w:rFonts w:ascii="MS PGothic" w:cs="MS PGothic" w:eastAsia="MS PGothic" w:hAnsi="MS PGothic"/>
          <w:sz w:val="15"/>
          <w:szCs w:val="15"/>
          <w:color w:val="auto"/>
        </w:rPr>
      </w:pPr>
    </w:p>
    <w:p>
      <w:pPr>
        <w:ind w:left="690" w:hanging="690"/>
        <w:spacing w:after="0" w:line="230" w:lineRule="auto"/>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Confidential, For Use of the Commission Only (as permitted by Rule 14a-6(e)(2))</w:t>
      </w:r>
    </w:p>
    <w:p>
      <w:pPr>
        <w:spacing w:after="0" w:line="8" w:lineRule="exact"/>
        <w:rPr>
          <w:sz w:val="24"/>
          <w:szCs w:val="24"/>
          <w:color w:val="auto"/>
        </w:rPr>
      </w:pPr>
    </w:p>
    <w:p>
      <w:pPr>
        <w:ind w:left="690" w:hanging="690"/>
        <w:spacing w:after="0"/>
        <w:tabs>
          <w:tab w:leader="none" w:pos="69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5" w:lineRule="exact"/>
        <w:rPr>
          <w:sz w:val="24"/>
          <w:szCs w:val="24"/>
          <w:color w:val="auto"/>
        </w:rPr>
      </w:pPr>
    </w:p>
    <w:p>
      <w:pPr>
        <w:ind w:left="690" w:hanging="690"/>
        <w:spacing w:after="0"/>
        <w:tabs>
          <w:tab w:leader="none" w:pos="69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7" w:lineRule="exact"/>
        <w:rPr>
          <w:rFonts w:ascii="MS PGothic" w:cs="MS PGothic" w:eastAsia="MS PGothic" w:hAnsi="MS PGothic"/>
          <w:sz w:val="15"/>
          <w:szCs w:val="15"/>
          <w:color w:val="auto"/>
        </w:rPr>
      </w:pPr>
    </w:p>
    <w:p>
      <w:pPr>
        <w:ind w:left="690" w:hanging="690"/>
        <w:spacing w:after="0"/>
        <w:tabs>
          <w:tab w:leader="none" w:pos="69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16" w:lineRule="exact"/>
        <w:rPr>
          <w:sz w:val="24"/>
          <w:szCs w:val="24"/>
          <w:color w:val="auto"/>
        </w:rPr>
      </w:pPr>
    </w:p>
    <w:p>
      <w:pPr>
        <w:jc w:val="center"/>
        <w:ind w:right="-109"/>
        <w:spacing w:after="0"/>
        <w:rPr>
          <w:sz w:val="20"/>
          <w:szCs w:val="20"/>
          <w:color w:val="auto"/>
        </w:rPr>
      </w:pPr>
      <w:r>
        <w:rPr>
          <w:rFonts w:ascii="Arial" w:cs="Arial" w:eastAsia="Arial" w:hAnsi="Arial"/>
          <w:sz w:val="36"/>
          <w:szCs w:val="36"/>
          <w:b w:val="1"/>
          <w:bCs w:val="1"/>
          <w:color w:val="auto"/>
        </w:rPr>
        <w:t>Avis Budget Group, Inc.</w:t>
      </w:r>
    </w:p>
    <w:p>
      <w:pPr>
        <w:spacing w:after="0" w:line="51" w:lineRule="exact"/>
        <w:rPr>
          <w:sz w:val="24"/>
          <w:szCs w:val="24"/>
          <w:color w:val="auto"/>
        </w:rPr>
      </w:pPr>
    </w:p>
    <w:p>
      <w:pPr>
        <w:jc w:val="center"/>
        <w:ind w:right="-10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47" w:lineRule="exact"/>
        <w:rPr>
          <w:sz w:val="24"/>
          <w:szCs w:val="24"/>
          <w:color w:val="auto"/>
        </w:rPr>
      </w:pPr>
    </w:p>
    <w:p>
      <w:pPr>
        <w:jc w:val="center"/>
        <w:ind w:right="-10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82" w:lineRule="exact"/>
        <w:rPr>
          <w:sz w:val="24"/>
          <w:szCs w:val="24"/>
          <w:color w:val="auto"/>
        </w:rPr>
      </w:pPr>
    </w:p>
    <w:p>
      <w:pPr>
        <w:ind w:left="10"/>
        <w:spacing w:after="0"/>
        <w:rPr>
          <w:sz w:val="20"/>
          <w:szCs w:val="20"/>
          <w:color w:val="auto"/>
        </w:rPr>
      </w:pPr>
      <w:r>
        <w:rPr>
          <w:rFonts w:ascii="Arial" w:cs="Arial" w:eastAsia="Arial" w:hAnsi="Arial"/>
          <w:sz w:val="15"/>
          <w:szCs w:val="15"/>
          <w:color w:val="auto"/>
        </w:rPr>
        <w:t>Payment of Filing Fee (Check the appropriate box):</w:t>
      </w:r>
    </w:p>
    <w:p>
      <w:pPr>
        <w:spacing w:after="0" w:line="244" w:lineRule="exact"/>
        <w:rPr>
          <w:sz w:val="24"/>
          <w:szCs w:val="24"/>
          <w:color w:val="auto"/>
        </w:rPr>
      </w:pPr>
    </w:p>
    <w:p>
      <w:pPr>
        <w:ind w:left="590" w:hanging="590"/>
        <w:spacing w:after="0"/>
        <w:tabs>
          <w:tab w:leader="none" w:pos="59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88" w:lineRule="exact"/>
        <w:rPr>
          <w:sz w:val="24"/>
          <w:szCs w:val="24"/>
          <w:color w:val="auto"/>
        </w:rPr>
      </w:pPr>
    </w:p>
    <w:p>
      <w:pPr>
        <w:ind w:left="590" w:hanging="590"/>
        <w:spacing w:after="0"/>
        <w:tabs>
          <w:tab w:leader="none" w:pos="59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87" w:lineRule="exact"/>
        <w:rPr>
          <w:rFonts w:ascii="MS PGothic" w:cs="MS PGothic" w:eastAsia="MS PGothic" w:hAnsi="MS PGothic"/>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86"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86"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82"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86"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76" w:lineRule="exact"/>
        <w:rPr>
          <w:rFonts w:ascii="Arial" w:cs="Arial" w:eastAsia="Arial" w:hAnsi="Arial"/>
          <w:sz w:val="15"/>
          <w:szCs w:val="15"/>
          <w:color w:val="auto"/>
        </w:rPr>
      </w:pPr>
    </w:p>
    <w:p>
      <w:pPr>
        <w:ind w:left="590" w:hanging="590"/>
        <w:spacing w:after="0"/>
        <w:tabs>
          <w:tab w:leader="none" w:pos="59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97" w:lineRule="exact"/>
        <w:rPr>
          <w:rFonts w:ascii="MS PGothic" w:cs="MS PGothic" w:eastAsia="MS PGothic" w:hAnsi="MS PGothic"/>
          <w:sz w:val="15"/>
          <w:szCs w:val="15"/>
          <w:color w:val="auto"/>
        </w:rPr>
      </w:pPr>
    </w:p>
    <w:p>
      <w:pPr>
        <w:ind w:left="590" w:hanging="590"/>
        <w:spacing w:after="0"/>
        <w:tabs>
          <w:tab w:leader="none" w:pos="59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rFonts w:ascii="MS PGothic" w:cs="MS PGothic" w:eastAsia="MS PGothic" w:hAnsi="MS PGothic"/>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86"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1" w:lineRule="exact"/>
        <w:rPr>
          <w:rFonts w:ascii="Arial" w:cs="Arial" w:eastAsia="Arial" w:hAnsi="Arial"/>
          <w:sz w:val="15"/>
          <w:szCs w:val="15"/>
          <w:color w:val="auto"/>
        </w:rPr>
      </w:pPr>
    </w:p>
    <w:p>
      <w:pPr>
        <w:ind w:left="1150" w:hanging="565"/>
        <w:spacing w:after="0"/>
        <w:tabs>
          <w:tab w:leader="none" w:pos="115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-1804670</wp:posOffset>
            </wp:positionV>
            <wp:extent cx="6540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-1640205</wp:posOffset>
            </wp:positionV>
            <wp:extent cx="6540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-1368425</wp:posOffset>
            </wp:positionV>
            <wp:extent cx="65405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-1203960</wp:posOffset>
            </wp:positionV>
            <wp:extent cx="65405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-1039495</wp:posOffset>
            </wp:positionV>
            <wp:extent cx="65405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-375285</wp:posOffset>
            </wp:positionV>
            <wp:extent cx="65405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-125095</wp:posOffset>
            </wp:positionV>
            <wp:extent cx="65405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38735</wp:posOffset>
            </wp:positionV>
            <wp:extent cx="65405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694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26948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350"/>
          </w:cols>
          <w:pgMar w:left="230" w:top="215" w:right="3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spacing w:after="0"/>
              <w:rPr>
                <w:sz w:val="20"/>
                <w:szCs w:val="20"/>
                <w:color w:val="auto"/>
              </w:rPr>
            </w:pPr>
            <w:r>
              <w:rPr>
                <w:rFonts w:ascii="Arial" w:cs="Arial" w:eastAsia="Arial" w:hAnsi="Arial"/>
                <w:sz w:val="15"/>
                <w:szCs w:val="15"/>
                <w:color w:val="auto"/>
              </w:rPr>
              <w:t>AVIS BUDGET GROUP, INC.</w:t>
            </w:r>
          </w:p>
        </w:tc>
        <w:tc>
          <w:tcPr>
            <w:tcW w:w="5220" w:type="dxa"/>
            <w:vAlign w:val="bottom"/>
          </w:tcPr>
          <w:p>
            <w:pPr>
              <w:spacing w:after="0"/>
              <w:rPr>
                <w:sz w:val="14"/>
                <w:szCs w:val="14"/>
                <w:color w:val="auto"/>
              </w:rPr>
            </w:pPr>
          </w:p>
        </w:tc>
      </w:tr>
      <w:tr>
        <w:trPr>
          <w:trHeight w:val="169"/>
        </w:trPr>
        <w:tc>
          <w:tcPr>
            <w:tcW w:w="6220" w:type="dxa"/>
            <w:vAlign w:val="bottom"/>
          </w:tcPr>
          <w:p>
            <w:pPr>
              <w:spacing w:after="0" w:line="169" w:lineRule="exact"/>
              <w:rPr>
                <w:sz w:val="20"/>
                <w:szCs w:val="20"/>
                <w:color w:val="auto"/>
              </w:rPr>
            </w:pPr>
            <w:r>
              <w:rPr>
                <w:rFonts w:ascii="Arial" w:cs="Arial" w:eastAsia="Arial" w:hAnsi="Arial"/>
                <w:sz w:val="15"/>
                <w:szCs w:val="15"/>
                <w:color w:val="auto"/>
              </w:rPr>
              <w:t>6 Sylvan Way</w:t>
            </w:r>
          </w:p>
        </w:tc>
        <w:tc>
          <w:tcPr>
            <w:tcW w:w="5220" w:type="dxa"/>
            <w:vAlign w:val="bottom"/>
          </w:tcPr>
          <w:p>
            <w:pPr>
              <w:spacing w:after="0"/>
              <w:rPr>
                <w:sz w:val="14"/>
                <w:szCs w:val="14"/>
                <w:color w:val="auto"/>
              </w:rPr>
            </w:pPr>
          </w:p>
        </w:tc>
      </w:tr>
      <w:tr>
        <w:trPr>
          <w:trHeight w:val="188"/>
        </w:trPr>
        <w:tc>
          <w:tcPr>
            <w:tcW w:w="6220" w:type="dxa"/>
            <w:vAlign w:val="bottom"/>
          </w:tcPr>
          <w:p>
            <w:pPr>
              <w:spacing w:after="0"/>
              <w:rPr>
                <w:sz w:val="20"/>
                <w:szCs w:val="20"/>
                <w:color w:val="auto"/>
              </w:rPr>
            </w:pPr>
            <w:r>
              <w:rPr>
                <w:rFonts w:ascii="Arial" w:cs="Arial" w:eastAsia="Arial" w:hAnsi="Arial"/>
                <w:sz w:val="15"/>
                <w:szCs w:val="15"/>
                <w:color w:val="auto"/>
              </w:rPr>
              <w:t>Parsippany, New Jersey 07054</w:t>
            </w:r>
          </w:p>
        </w:tc>
        <w:tc>
          <w:tcPr>
            <w:tcW w:w="5220" w:type="dxa"/>
            <w:vAlign w:val="bottom"/>
          </w:tcPr>
          <w:p>
            <w:pPr>
              <w:ind w:left="4200"/>
              <w:spacing w:after="0"/>
              <w:rPr>
                <w:sz w:val="20"/>
                <w:szCs w:val="20"/>
                <w:color w:val="auto"/>
              </w:rPr>
            </w:pPr>
            <w:r>
              <w:rPr>
                <w:rFonts w:ascii="Arial" w:cs="Arial" w:eastAsia="Arial" w:hAnsi="Arial"/>
                <w:sz w:val="15"/>
                <w:szCs w:val="15"/>
                <w:color w:val="auto"/>
                <w:w w:val="95"/>
              </w:rPr>
              <w:t>March 28, 2014</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64"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auto"/>
        </w:rPr>
        <w:t>You are cordially invited to attend the Annual Meeting of Stockholders of Avis Budget Group, Inc., which will be held at the DoubleTree by Hilton Downtown Wilmington—Legal District, 700 N. King Street, Wilmington, Delaware 19801 on Friday, May 23, 2014, at 11:00 a.m., Eastern Time. We look forward to greeting as many of our stockholders as possible.</w:t>
      </w:r>
    </w:p>
    <w:p>
      <w:pPr>
        <w:spacing w:after="0" w:line="61"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60"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auto"/>
        </w:rPr>
        <w:t>We are pleased to again utilize the Securities and Exchange Commission rules that allow issuers to furnish proxy materials to stockholders on the Internet. We are continuing the use of this method with a portion of our stockholders. We believe this process provides convenient and quick access to the needed information while reducing the environmental impact of our annual meeting and costs of printing and mailing full sets of proxy materials.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Your vote is important to us. Whether or not you attend the Annual Meeting, it is important that your shares be represented and voted at the meeting.</w:t>
      </w:r>
    </w:p>
    <w:p>
      <w:pPr>
        <w:spacing w:after="0" w:line="64" w:lineRule="exact"/>
        <w:rPr>
          <w:sz w:val="20"/>
          <w:szCs w:val="20"/>
          <w:color w:val="auto"/>
        </w:rPr>
      </w:pPr>
    </w:p>
    <w:p>
      <w:pPr>
        <w:ind w:right="560"/>
        <w:spacing w:after="0"/>
        <w:rPr>
          <w:sz w:val="20"/>
          <w:szCs w:val="20"/>
          <w:color w:val="auto"/>
        </w:rPr>
      </w:pPr>
      <w:r>
        <w:rPr>
          <w:rFonts w:ascii="Arial" w:cs="Arial" w:eastAsia="Arial" w:hAnsi="Arial"/>
          <w:sz w:val="15"/>
          <w:szCs w:val="15"/>
          <w:color w:val="auto"/>
        </w:rPr>
        <w:t>On behalf of the Board of Directors and the employees of Avis Budget Group, Inc., I would like to thank you for being a stockholder and express my appreciation for your ongoing support of our company.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1172210" cy="235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2210" cy="23558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Ronald L. Nelson</w:t>
      </w:r>
    </w:p>
    <w:p>
      <w:pPr>
        <w:spacing w:after="0" w:line="234" w:lineRule="auto"/>
        <w:rPr>
          <w:sz w:val="20"/>
          <w:szCs w:val="20"/>
          <w:color w:val="auto"/>
        </w:rPr>
      </w:pPr>
      <w:r>
        <w:rPr>
          <w:rFonts w:ascii="Arial" w:cs="Arial" w:eastAsia="Arial" w:hAnsi="Arial"/>
          <w:sz w:val="15"/>
          <w:szCs w:val="15"/>
          <w:color w:val="auto"/>
        </w:rPr>
        <w:t>Chairman of the Board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407" w:right="219" w:bottom="1440" w:gutter="0" w:footer="0" w:header="0"/>
        </w:sectPr>
      </w:pPr>
    </w:p>
    <w:bookmarkStart w:id="2" w:name="page3"/>
    <w:bookmarkEnd w:id="2"/>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2" w:lineRule="exact"/>
        <w:rPr>
          <w:sz w:val="20"/>
          <w:szCs w:val="20"/>
          <w:color w:val="auto"/>
        </w:rPr>
      </w:pPr>
    </w:p>
    <w:p>
      <w:pPr>
        <w:ind w:left="10"/>
        <w:spacing w:after="0"/>
        <w:rPr>
          <w:sz w:val="20"/>
          <w:szCs w:val="20"/>
          <w:color w:val="auto"/>
        </w:rPr>
      </w:pPr>
      <w:r>
        <w:rPr>
          <w:rFonts w:ascii="Arial" w:cs="Arial" w:eastAsia="Arial" w:hAnsi="Arial"/>
          <w:sz w:val="27"/>
          <w:szCs w:val="27"/>
          <w:b w:val="1"/>
          <w:bCs w:val="1"/>
          <w:color w:val="auto"/>
        </w:rPr>
        <w:t>NOTICE OF 2014 ANNUAL MEETING OF STOCKHOLDERS</w:t>
      </w:r>
    </w:p>
    <w:p>
      <w:pPr>
        <w:spacing w:after="0" w:line="241" w:lineRule="exact"/>
        <w:rPr>
          <w:sz w:val="20"/>
          <w:szCs w:val="20"/>
          <w:color w:val="auto"/>
        </w:rPr>
      </w:pPr>
    </w:p>
    <w:p>
      <w:pPr>
        <w:ind w:left="10" w:right="100"/>
        <w:spacing w:after="0" w:line="238" w:lineRule="auto"/>
        <w:rPr>
          <w:sz w:val="20"/>
          <w:szCs w:val="20"/>
          <w:color w:val="auto"/>
        </w:rPr>
      </w:pPr>
      <w:r>
        <w:rPr>
          <w:rFonts w:ascii="Arial" w:cs="Arial" w:eastAsia="Arial" w:hAnsi="Arial"/>
          <w:sz w:val="15"/>
          <w:szCs w:val="15"/>
          <w:color w:val="auto"/>
        </w:rPr>
        <w:t>NOTICE IS HEREBY GIVEN that the Annual Meeting of Stockholders of Avis Budget Group, Inc. (the “Company”) will be held on Friday, May 23, 2014, at 11:00 a.m. Eastern Time, at the DoubleTree by Hilton Downtown Wilmington—Legal District, 700 N. King Street, Wilmington, Delaware 19801 (the “Meeting”), to consider and vote upon the following matters:</w:t>
      </w:r>
    </w:p>
    <w:p>
      <w:pPr>
        <w:spacing w:after="0" w:line="61" w:lineRule="exact"/>
        <w:rPr>
          <w:sz w:val="20"/>
          <w:szCs w:val="20"/>
          <w:color w:val="auto"/>
        </w:rPr>
      </w:pPr>
    </w:p>
    <w:p>
      <w:pPr>
        <w:ind w:left="330" w:hanging="330"/>
        <w:spacing w:after="0"/>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as directors the ten nominees named in the accompanying proxy statement for a one-year term expiring in 2015 and until his or her successor is duly elected and qualified or until his or her earlier resignation or removal.</w:t>
      </w:r>
    </w:p>
    <w:p>
      <w:pPr>
        <w:spacing w:after="0" w:line="60" w:lineRule="exact"/>
        <w:rPr>
          <w:rFonts w:ascii="Arial" w:cs="Arial" w:eastAsia="Arial" w:hAnsi="Arial"/>
          <w:sz w:val="15"/>
          <w:szCs w:val="15"/>
          <w:color w:val="auto"/>
        </w:rPr>
      </w:pPr>
    </w:p>
    <w:p>
      <w:pPr>
        <w:ind w:left="330" w:hanging="330"/>
        <w:spacing w:after="0"/>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independent registered public accounting firm for fiscal year 2014.</w:t>
      </w:r>
    </w:p>
    <w:p>
      <w:pPr>
        <w:spacing w:after="0" w:line="63" w:lineRule="exact"/>
        <w:rPr>
          <w:rFonts w:ascii="Arial" w:cs="Arial" w:eastAsia="Arial" w:hAnsi="Arial"/>
          <w:sz w:val="15"/>
          <w:szCs w:val="15"/>
          <w:color w:val="auto"/>
        </w:rPr>
      </w:pPr>
    </w:p>
    <w:p>
      <w:pPr>
        <w:ind w:left="330" w:hanging="330"/>
        <w:spacing w:after="0"/>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provide advisory approval of the compensation of our named executive officers.</w:t>
      </w:r>
    </w:p>
    <w:p>
      <w:pPr>
        <w:spacing w:after="0" w:line="63" w:lineRule="exact"/>
        <w:rPr>
          <w:rFonts w:ascii="Arial" w:cs="Arial" w:eastAsia="Arial" w:hAnsi="Arial"/>
          <w:sz w:val="15"/>
          <w:szCs w:val="15"/>
          <w:color w:val="auto"/>
        </w:rPr>
      </w:pPr>
    </w:p>
    <w:p>
      <w:pPr>
        <w:ind w:left="330" w:hanging="330"/>
        <w:spacing w:after="0"/>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the Avis Budget Group, Inc. Amended and Restated Equity and Incentive Plan.</w:t>
      </w:r>
    </w:p>
    <w:p>
      <w:pPr>
        <w:spacing w:after="0" w:line="63" w:lineRule="exact"/>
        <w:rPr>
          <w:rFonts w:ascii="Arial" w:cs="Arial" w:eastAsia="Arial" w:hAnsi="Arial"/>
          <w:sz w:val="15"/>
          <w:szCs w:val="15"/>
          <w:color w:val="auto"/>
        </w:rPr>
      </w:pPr>
    </w:p>
    <w:p>
      <w:pPr>
        <w:ind w:left="330" w:hanging="330"/>
        <w:spacing w:after="0"/>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64" w:lineRule="exact"/>
        <w:rPr>
          <w:sz w:val="20"/>
          <w:szCs w:val="20"/>
          <w:color w:val="auto"/>
        </w:rPr>
      </w:pPr>
    </w:p>
    <w:p>
      <w:pPr>
        <w:ind w:left="10" w:right="120"/>
        <w:spacing w:after="0" w:line="237" w:lineRule="auto"/>
        <w:rPr>
          <w:sz w:val="20"/>
          <w:szCs w:val="20"/>
          <w:color w:val="auto"/>
        </w:rPr>
      </w:pPr>
      <w:r>
        <w:rPr>
          <w:rFonts w:ascii="Arial" w:cs="Arial" w:eastAsia="Arial" w:hAnsi="Arial"/>
          <w:sz w:val="15"/>
          <w:szCs w:val="15"/>
          <w:color w:val="auto"/>
        </w:rPr>
        <w:t>The Board of Directors has fixed the close of business on March 27, 2014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141605</wp:posOffset>
            </wp:positionV>
            <wp:extent cx="5794375" cy="748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4375" cy="748665"/>
                    </a:xfrm>
                    <a:prstGeom prst="rect">
                      <a:avLst/>
                    </a:prstGeom>
                    <a:noFill/>
                  </pic:spPr>
                </pic:pic>
              </a:graphicData>
            </a:graphic>
          </wp:anchor>
        </w:drawing>
      </w:r>
    </w:p>
    <w:p>
      <w:pPr>
        <w:spacing w:after="0" w:line="237" w:lineRule="exact"/>
        <w:rPr>
          <w:sz w:val="20"/>
          <w:szCs w:val="20"/>
          <w:color w:val="auto"/>
        </w:rPr>
      </w:pPr>
    </w:p>
    <w:p>
      <w:pPr>
        <w:jc w:val="center"/>
        <w:ind w:left="4840"/>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14" w:lineRule="exact"/>
        <w:rPr>
          <w:sz w:val="20"/>
          <w:szCs w:val="20"/>
          <w:color w:val="auto"/>
        </w:rPr>
      </w:pPr>
    </w:p>
    <w:p>
      <w:pPr>
        <w:jc w:val="center"/>
        <w:ind w:left="4840"/>
        <w:spacing w:after="0"/>
        <w:rPr>
          <w:sz w:val="20"/>
          <w:szCs w:val="20"/>
          <w:color w:val="auto"/>
        </w:rPr>
      </w:pPr>
      <w:r>
        <w:rPr>
          <w:rFonts w:ascii="Arial" w:cs="Arial" w:eastAsia="Arial" w:hAnsi="Arial"/>
          <w:sz w:val="15"/>
          <w:szCs w:val="15"/>
          <w:b w:val="1"/>
          <w:bCs w:val="1"/>
          <w:color w:val="auto"/>
        </w:rPr>
        <w:t>for the Stockholder Meeting to Be Held on May 23, 2014</w:t>
      </w:r>
    </w:p>
    <w:p>
      <w:pPr>
        <w:spacing w:after="0" w:line="46" w:lineRule="exact"/>
        <w:rPr>
          <w:sz w:val="20"/>
          <w:szCs w:val="20"/>
          <w:color w:val="auto"/>
        </w:rPr>
      </w:pPr>
    </w:p>
    <w:p>
      <w:pPr>
        <w:jc w:val="center"/>
        <w:ind w:left="4840"/>
        <w:spacing w:after="0"/>
        <w:rPr>
          <w:sz w:val="20"/>
          <w:szCs w:val="20"/>
          <w:color w:val="auto"/>
        </w:rPr>
      </w:pPr>
      <w:r>
        <w:rPr>
          <w:rFonts w:ascii="Arial" w:cs="Arial" w:eastAsia="Arial" w:hAnsi="Arial"/>
          <w:sz w:val="15"/>
          <w:szCs w:val="15"/>
          <w:b w:val="1"/>
          <w:bCs w:val="1"/>
          <w:color w:val="auto"/>
        </w:rPr>
        <w:t>The Company’s Proxy Statement on Schedule 14A,</w:t>
      </w:r>
    </w:p>
    <w:p>
      <w:pPr>
        <w:spacing w:after="0" w:line="11" w:lineRule="exact"/>
        <w:rPr>
          <w:sz w:val="20"/>
          <w:szCs w:val="20"/>
          <w:color w:val="auto"/>
        </w:rPr>
      </w:pPr>
    </w:p>
    <w:p>
      <w:pPr>
        <w:jc w:val="center"/>
        <w:ind w:left="4840"/>
        <w:spacing w:after="0"/>
        <w:rPr>
          <w:sz w:val="20"/>
          <w:szCs w:val="20"/>
          <w:color w:val="auto"/>
        </w:rPr>
      </w:pPr>
      <w:r>
        <w:rPr>
          <w:rFonts w:ascii="Arial" w:cs="Arial" w:eastAsia="Arial" w:hAnsi="Arial"/>
          <w:sz w:val="15"/>
          <w:szCs w:val="15"/>
          <w:b w:val="1"/>
          <w:bCs w:val="1"/>
          <w:color w:val="auto"/>
        </w:rPr>
        <w:t>form of proxy card and 2013 Annual Report on Form 10-K</w:t>
      </w:r>
    </w:p>
    <w:p>
      <w:pPr>
        <w:jc w:val="center"/>
        <w:ind w:left="4840"/>
        <w:spacing w:after="0" w:line="234" w:lineRule="auto"/>
        <w:rPr>
          <w:sz w:val="20"/>
          <w:szCs w:val="20"/>
          <w:color w:val="auto"/>
        </w:rPr>
      </w:pPr>
      <w:r>
        <w:rPr>
          <w:rFonts w:ascii="Arial" w:cs="Arial" w:eastAsia="Arial" w:hAnsi="Arial"/>
          <w:sz w:val="15"/>
          <w:szCs w:val="15"/>
          <w:b w:val="1"/>
          <w:bCs w:val="1"/>
          <w:color w:val="auto"/>
        </w:rPr>
        <w:t>are available at:</w:t>
      </w:r>
    </w:p>
    <w:p>
      <w:pPr>
        <w:spacing w:after="0" w:line="1" w:lineRule="exact"/>
        <w:rPr>
          <w:sz w:val="20"/>
          <w:szCs w:val="20"/>
          <w:color w:val="auto"/>
        </w:rPr>
      </w:pPr>
    </w:p>
    <w:p>
      <w:pPr>
        <w:ind w:left="7050"/>
        <w:spacing w:after="0"/>
        <w:rPr>
          <w:sz w:val="20"/>
          <w:szCs w:val="20"/>
          <w:color w:val="auto"/>
        </w:rPr>
      </w:pPr>
      <w:r>
        <w:rPr>
          <w:rFonts w:ascii="Arial" w:cs="Arial" w:eastAsia="Arial" w:hAnsi="Arial"/>
          <w:sz w:val="15"/>
          <w:szCs w:val="15"/>
          <w:b w:val="1"/>
          <w:bCs w:val="1"/>
          <w:u w:val="single" w:color="auto"/>
          <w:color w:val="auto"/>
        </w:rPr>
        <w:t>www.edocumentview.com/CAR</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200785" cy="379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785"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
        <w:spacing w:after="0"/>
        <w:rPr>
          <w:sz w:val="20"/>
          <w:szCs w:val="20"/>
          <w:color w:val="auto"/>
        </w:rPr>
      </w:pPr>
      <w:r>
        <w:rPr>
          <w:rFonts w:ascii="Arial" w:cs="Arial" w:eastAsia="Arial" w:hAnsi="Arial"/>
          <w:sz w:val="15"/>
          <w:szCs w:val="15"/>
          <w:color w:val="auto"/>
        </w:rPr>
        <w:t>Jean M. Sera</w:t>
      </w:r>
    </w:p>
    <w:p>
      <w:pPr>
        <w:ind w:left="10"/>
        <w:spacing w:after="0"/>
        <w:rPr>
          <w:sz w:val="20"/>
          <w:szCs w:val="20"/>
          <w:color w:val="auto"/>
        </w:rPr>
      </w:pPr>
      <w:r>
        <w:rPr>
          <w:rFonts w:ascii="Arial" w:cs="Arial" w:eastAsia="Arial" w:hAnsi="Arial"/>
          <w:sz w:val="15"/>
          <w:szCs w:val="15"/>
          <w:color w:val="auto"/>
        </w:rPr>
        <w:t>Corporate Secretary</w:t>
      </w:r>
    </w:p>
    <w:p>
      <w:pPr>
        <w:spacing w:after="0" w:line="131" w:lineRule="exact"/>
        <w:rPr>
          <w:sz w:val="20"/>
          <w:szCs w:val="20"/>
          <w:color w:val="auto"/>
        </w:rPr>
      </w:pPr>
    </w:p>
    <w:p>
      <w:pPr>
        <w:ind w:left="10"/>
        <w:spacing w:after="0"/>
        <w:rPr>
          <w:sz w:val="20"/>
          <w:szCs w:val="20"/>
          <w:color w:val="auto"/>
        </w:rPr>
      </w:pPr>
      <w:r>
        <w:rPr>
          <w:rFonts w:ascii="Arial" w:cs="Arial" w:eastAsia="Arial" w:hAnsi="Arial"/>
          <w:sz w:val="15"/>
          <w:szCs w:val="15"/>
          <w:color w:val="auto"/>
        </w:rPr>
        <w:t>Dated: March 28, 2014</w:t>
      </w:r>
    </w:p>
    <w:p>
      <w:pPr>
        <w:sectPr>
          <w:pgSz w:w="11900" w:h="16838" w:orient="portrait"/>
          <w:cols w:equalWidth="0" w:num="1">
            <w:col w:w="11310"/>
          </w:cols>
          <w:pgMar w:left="230" w:top="407" w:right="35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Page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100" w:type="dxa"/>
            <w:vAlign w:val="bottom"/>
            <w:gridSpan w:val="40"/>
          </w:tcPr>
          <w:p>
            <w:pPr>
              <w:spacing w:after="0"/>
              <w:rPr>
                <w:rFonts w:ascii="Arial" w:cs="Arial" w:eastAsia="Arial" w:hAnsi="Arial"/>
                <w:sz w:val="11"/>
                <w:szCs w:val="11"/>
                <w:color w:val="0000EE"/>
              </w:rPr>
            </w:pPr>
            <w:hyperlink w:anchor="page5">
              <w:r>
                <w:rPr>
                  <w:rFonts w:ascii="Arial" w:cs="Arial" w:eastAsia="Arial" w:hAnsi="Arial"/>
                  <w:sz w:val="11"/>
                  <w:szCs w:val="11"/>
                  <w:color w:val="0000EE"/>
                </w:rPr>
                <w:t>PROXY SUMMARY</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i</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100" w:type="dxa"/>
            <w:vAlign w:val="bottom"/>
            <w:gridSpan w:val="40"/>
          </w:tcPr>
          <w:p>
            <w:pPr>
              <w:spacing w:after="0"/>
              <w:rPr>
                <w:rFonts w:ascii="Arial" w:cs="Arial" w:eastAsia="Arial" w:hAnsi="Arial"/>
                <w:sz w:val="11"/>
                <w:szCs w:val="11"/>
                <w:color w:val="0000EE"/>
              </w:rPr>
            </w:pPr>
            <w:hyperlink w:anchor="page7">
              <w:r>
                <w:rPr>
                  <w:rFonts w:ascii="Arial" w:cs="Arial" w:eastAsia="Arial" w:hAnsi="Arial"/>
                  <w:sz w:val="11"/>
                  <w:szCs w:val="11"/>
                  <w:color w:val="0000EE"/>
                </w:rPr>
                <w:t>ABOUT THE ANNUAL MEETING</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3"/>
        </w:trPr>
        <w:tc>
          <w:tcPr>
            <w:tcW w:w="1660" w:type="dxa"/>
            <w:vAlign w:val="bottom"/>
            <w:tcBorders>
              <w:top w:val="single" w:sz="8" w:color="0000EE"/>
              <w:bottom w:val="single" w:sz="8" w:color="auto"/>
            </w:tcBorders>
            <w:gridSpan w:val="13"/>
          </w:tcPr>
          <w:p>
            <w:pPr>
              <w:spacing w:after="0"/>
              <w:rPr>
                <w:rFonts w:ascii="Arial" w:cs="Arial" w:eastAsia="Arial" w:hAnsi="Arial"/>
                <w:sz w:val="11"/>
                <w:szCs w:val="11"/>
                <w:color w:val="0000EE"/>
              </w:rPr>
            </w:pPr>
            <w:hyperlink w:anchor="page11">
              <w:r>
                <w:rPr>
                  <w:rFonts w:ascii="Arial" w:cs="Arial" w:eastAsia="Arial" w:hAnsi="Arial"/>
                  <w:sz w:val="11"/>
                  <w:szCs w:val="11"/>
                  <w:color w:val="0000EE"/>
                </w:rPr>
                <w:t>CORPORATE GOVERNANCE</w:t>
              </w:r>
            </w:hyperlink>
          </w:p>
        </w:tc>
        <w:tc>
          <w:tcPr>
            <w:tcW w:w="9440" w:type="dxa"/>
            <w:vAlign w:val="bottom"/>
            <w:tcBorders>
              <w:bottom w:val="single" w:sz="8" w:color="auto"/>
            </w:tcBorders>
            <w:gridSpan w:val="27"/>
          </w:tcPr>
          <w:p>
            <w:pPr>
              <w:spacing w:after="0"/>
              <w:rPr>
                <w:sz w:val="14"/>
                <w:szCs w:val="14"/>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10920" w:type="dxa"/>
            <w:vAlign w:val="bottom"/>
            <w:gridSpan w:val="39"/>
          </w:tcPr>
          <w:p>
            <w:pPr>
              <w:spacing w:after="0"/>
              <w:rPr>
                <w:rFonts w:ascii="Arial" w:cs="Arial" w:eastAsia="Arial" w:hAnsi="Arial"/>
                <w:sz w:val="11"/>
                <w:szCs w:val="11"/>
                <w:color w:val="0000EE"/>
              </w:rPr>
            </w:pPr>
            <w:hyperlink w:anchor="page11">
              <w:r>
                <w:rPr>
                  <w:rFonts w:ascii="Arial" w:cs="Arial" w:eastAsia="Arial" w:hAnsi="Arial"/>
                  <w:sz w:val="11"/>
                  <w:szCs w:val="11"/>
                  <w:color w:val="0000EE"/>
                </w:rPr>
                <w:t>Board of Directors</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gridSpan w:val="2"/>
          </w:tcPr>
          <w:p>
            <w:pPr>
              <w:spacing w:after="0" w:line="104" w:lineRule="exact"/>
              <w:rPr>
                <w:rFonts w:ascii="Arial" w:cs="Arial" w:eastAsia="Arial" w:hAnsi="Arial"/>
                <w:sz w:val="11"/>
                <w:szCs w:val="11"/>
                <w:color w:val="0000EE"/>
                <w:w w:val="85"/>
              </w:rPr>
            </w:pPr>
            <w:hyperlink w:anchor="page11">
              <w:r>
                <w:rPr>
                  <w:rFonts w:ascii="Arial" w:cs="Arial" w:eastAsia="Arial" w:hAnsi="Arial"/>
                  <w:sz w:val="11"/>
                  <w:szCs w:val="11"/>
                  <w:color w:val="0000EE"/>
                  <w:w w:val="85"/>
                </w:rPr>
                <w:t>Biographical</w:t>
              </w:r>
            </w:hyperlink>
          </w:p>
        </w:tc>
        <w:tc>
          <w:tcPr>
            <w:tcW w:w="10020" w:type="dxa"/>
            <w:vAlign w:val="bottom"/>
            <w:gridSpan w:val="36"/>
          </w:tcPr>
          <w:p>
            <w:pPr>
              <w:jc w:val="center"/>
              <w:ind w:right="8560"/>
              <w:spacing w:after="0" w:line="104" w:lineRule="exact"/>
              <w:rPr>
                <w:rFonts w:ascii="Arial" w:cs="Arial" w:eastAsia="Arial" w:hAnsi="Arial"/>
                <w:sz w:val="11"/>
                <w:szCs w:val="11"/>
                <w:color w:val="0000EE"/>
              </w:rPr>
            </w:pPr>
            <w:hyperlink w:anchor="page11">
              <w:r>
                <w:rPr>
                  <w:rFonts w:ascii="Arial" w:cs="Arial" w:eastAsia="Arial" w:hAnsi="Arial"/>
                  <w:sz w:val="11"/>
                  <w:szCs w:val="11"/>
                  <w:color w:val="0000EE"/>
                </w:rPr>
                <w:t>Information for Nominees</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vMerge w:val="restart"/>
          </w:tcPr>
          <w:p>
            <w:pPr>
              <w:jc w:val="right"/>
              <w:ind w:right="60"/>
              <w:spacing w:after="0" w:line="124" w:lineRule="exact"/>
              <w:rPr>
                <w:sz w:val="20"/>
                <w:szCs w:val="20"/>
                <w:color w:val="auto"/>
              </w:rPr>
            </w:pPr>
            <w:r>
              <w:rPr>
                <w:rFonts w:ascii="Arial" w:cs="Arial" w:eastAsia="Arial" w:hAnsi="Arial"/>
                <w:sz w:val="11"/>
                <w:szCs w:val="11"/>
                <w:color w:val="auto"/>
              </w:rPr>
              <w:t>8</w:t>
            </w:r>
          </w:p>
        </w:tc>
        <w:tc>
          <w:tcPr>
            <w:tcW w:w="0" w:type="dxa"/>
            <w:vAlign w:val="bottom"/>
          </w:tcPr>
          <w:p>
            <w:pPr>
              <w:spacing w:after="0" w:line="20" w:lineRule="exact"/>
              <w:rPr>
                <w:sz w:val="1"/>
                <w:szCs w:val="1"/>
                <w:color w:val="auto"/>
              </w:rPr>
            </w:pPr>
          </w:p>
        </w:tc>
      </w:tr>
      <w:tr>
        <w:trPr>
          <w:trHeight w:val="104"/>
        </w:trPr>
        <w:tc>
          <w:tcPr>
            <w:tcW w:w="180" w:type="dxa"/>
            <w:vAlign w:val="bottom"/>
          </w:tcPr>
          <w:p>
            <w:pPr>
              <w:spacing w:after="0"/>
              <w:rPr>
                <w:sz w:val="9"/>
                <w:szCs w:val="9"/>
                <w:color w:val="auto"/>
              </w:rPr>
            </w:pPr>
          </w:p>
        </w:tc>
        <w:tc>
          <w:tcPr>
            <w:tcW w:w="10920" w:type="dxa"/>
            <w:vAlign w:val="bottom"/>
            <w:gridSpan w:val="39"/>
          </w:tcPr>
          <w:p>
            <w:pPr>
              <w:spacing w:after="0" w:line="104" w:lineRule="exact"/>
              <w:rPr>
                <w:rFonts w:ascii="Arial" w:cs="Arial" w:eastAsia="Arial" w:hAnsi="Arial"/>
                <w:sz w:val="11"/>
                <w:szCs w:val="11"/>
                <w:color w:val="0000EE"/>
              </w:rPr>
            </w:pPr>
            <w:hyperlink w:anchor="page14">
              <w:r>
                <w:rPr>
                  <w:rFonts w:ascii="Arial" w:cs="Arial" w:eastAsia="Arial" w:hAnsi="Arial"/>
                  <w:sz w:val="11"/>
                  <w:szCs w:val="11"/>
                  <w:color w:val="0000EE"/>
                </w:rPr>
                <w:t>Functions and Meetings of the Board of Directors</w:t>
              </w:r>
            </w:hyperlink>
          </w:p>
        </w:tc>
        <w:tc>
          <w:tcPr>
            <w:tcW w:w="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2080" w:type="dxa"/>
            <w:vAlign w:val="bottom"/>
            <w:tcBorders>
              <w:top w:val="single" w:sz="8" w:color="0000EE"/>
            </w:tcBorders>
            <w:gridSpan w:val="26"/>
          </w:tcPr>
          <w:p>
            <w:pPr>
              <w:spacing w:after="0" w:line="104" w:lineRule="exact"/>
              <w:rPr>
                <w:rFonts w:ascii="Arial" w:cs="Arial" w:eastAsia="Arial" w:hAnsi="Arial"/>
                <w:sz w:val="11"/>
                <w:szCs w:val="11"/>
                <w:color w:val="0000EE"/>
              </w:rPr>
            </w:pPr>
            <w:hyperlink w:anchor="page15">
              <w:r>
                <w:rPr>
                  <w:rFonts w:ascii="Arial" w:cs="Arial" w:eastAsia="Arial" w:hAnsi="Arial"/>
                  <w:sz w:val="11"/>
                  <w:szCs w:val="11"/>
                  <w:color w:val="0000EE"/>
                </w:rPr>
                <w:t>Director Independence</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vMerge w:val="restart"/>
          </w:tcPr>
          <w:p>
            <w:pPr>
              <w:jc w:val="right"/>
              <w:ind w:right="60"/>
              <w:spacing w:after="0" w:line="124" w:lineRule="exact"/>
              <w:rPr>
                <w:sz w:val="20"/>
                <w:szCs w:val="20"/>
                <w:color w:val="auto"/>
              </w:rPr>
            </w:pPr>
            <w:r>
              <w:rPr>
                <w:rFonts w:ascii="Arial" w:cs="Arial" w:eastAsia="Arial" w:hAnsi="Arial"/>
                <w:sz w:val="11"/>
                <w:szCs w:val="11"/>
                <w:color w:val="auto"/>
              </w:rPr>
              <w:t>9</w:t>
            </w:r>
          </w:p>
        </w:tc>
        <w:tc>
          <w:tcPr>
            <w:tcW w:w="0" w:type="dxa"/>
            <w:vAlign w:val="bottom"/>
          </w:tcPr>
          <w:p>
            <w:pPr>
              <w:spacing w:after="0" w:line="20" w:lineRule="exact"/>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560" w:type="dxa"/>
            <w:vAlign w:val="bottom"/>
            <w:gridSpan w:val="38"/>
          </w:tcPr>
          <w:p>
            <w:pPr>
              <w:spacing w:after="0" w:line="104" w:lineRule="exact"/>
              <w:rPr>
                <w:rFonts w:ascii="Arial" w:cs="Arial" w:eastAsia="Arial" w:hAnsi="Arial"/>
                <w:sz w:val="11"/>
                <w:szCs w:val="11"/>
                <w:color w:val="0000EE"/>
              </w:rPr>
            </w:pPr>
            <w:hyperlink w:anchor="page15">
              <w:r>
                <w:rPr>
                  <w:rFonts w:ascii="Arial" w:cs="Arial" w:eastAsia="Arial" w:hAnsi="Arial"/>
                  <w:sz w:val="11"/>
                  <w:szCs w:val="11"/>
                  <w:color w:val="0000EE"/>
                </w:rPr>
                <w:t>Board Leadership Structure</w:t>
              </w:r>
            </w:hyperlink>
          </w:p>
        </w:tc>
        <w:tc>
          <w:tcPr>
            <w:tcW w:w="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Borders>
              <w:top w:val="single" w:sz="8" w:color="0000EE"/>
              <w:bottom w:val="single" w:sz="8" w:color="0000EE"/>
            </w:tcBorders>
            <w:gridSpan w:val="16"/>
          </w:tcPr>
          <w:p>
            <w:pPr>
              <w:spacing w:after="0" w:line="104" w:lineRule="exact"/>
              <w:rPr>
                <w:rFonts w:ascii="Arial" w:cs="Arial" w:eastAsia="Arial" w:hAnsi="Arial"/>
                <w:sz w:val="11"/>
                <w:szCs w:val="11"/>
                <w:color w:val="0000EE"/>
                <w:w w:val="99"/>
              </w:rPr>
            </w:pPr>
            <w:hyperlink w:anchor="page16">
              <w:r>
                <w:rPr>
                  <w:rFonts w:ascii="Arial" w:cs="Arial" w:eastAsia="Arial" w:hAnsi="Arial"/>
                  <w:sz w:val="11"/>
                  <w:szCs w:val="11"/>
                  <w:color w:val="0000EE"/>
                  <w:w w:val="99"/>
                </w:rPr>
                <w:t>Risk Management and Risk</w:t>
              </w:r>
            </w:hyperlink>
          </w:p>
        </w:tc>
        <w:tc>
          <w:tcPr>
            <w:tcW w:w="660" w:type="dxa"/>
            <w:vAlign w:val="bottom"/>
            <w:tcBorders>
              <w:bottom w:val="single" w:sz="8" w:color="0000EE"/>
            </w:tcBorders>
            <w:gridSpan w:val="9"/>
          </w:tcPr>
          <w:p>
            <w:pPr>
              <w:ind w:left="40"/>
              <w:spacing w:after="0" w:line="104" w:lineRule="exact"/>
              <w:rPr>
                <w:rFonts w:ascii="Arial" w:cs="Arial" w:eastAsia="Arial" w:hAnsi="Arial"/>
                <w:sz w:val="11"/>
                <w:szCs w:val="11"/>
                <w:color w:val="0000EE"/>
              </w:rPr>
            </w:pPr>
            <w:hyperlink w:anchor="page16">
              <w:r>
                <w:rPr>
                  <w:rFonts w:ascii="Arial" w:cs="Arial" w:eastAsia="Arial" w:hAnsi="Arial"/>
                  <w:sz w:val="11"/>
                  <w:szCs w:val="11"/>
                  <w:color w:val="0000EE"/>
                </w:rPr>
                <w:t>Assessment</w:t>
              </w:r>
            </w:hyperlink>
          </w:p>
        </w:tc>
        <w:tc>
          <w:tcPr>
            <w:tcW w:w="8540" w:type="dxa"/>
            <w:vAlign w:val="bottom"/>
            <w:gridSpan w:val="13"/>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560" w:type="dxa"/>
            <w:vAlign w:val="bottom"/>
            <w:gridSpan w:val="38"/>
          </w:tcPr>
          <w:p>
            <w:pPr>
              <w:spacing w:after="0" w:line="104" w:lineRule="exact"/>
              <w:rPr>
                <w:rFonts w:ascii="Arial" w:cs="Arial" w:eastAsia="Arial" w:hAnsi="Arial"/>
                <w:sz w:val="11"/>
                <w:szCs w:val="11"/>
                <w:color w:val="0000EE"/>
              </w:rPr>
            </w:pPr>
            <w:hyperlink w:anchor="page16">
              <w:r>
                <w:rPr>
                  <w:rFonts w:ascii="Arial" w:cs="Arial" w:eastAsia="Arial" w:hAnsi="Arial"/>
                  <w:sz w:val="11"/>
                  <w:szCs w:val="11"/>
                  <w:color w:val="0000EE"/>
                </w:rPr>
                <w:t>Communicating with the Board of Directors</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Borders>
              <w:top w:val="single" w:sz="8" w:color="0000EE"/>
              <w:bottom w:val="single" w:sz="8" w:color="0000EE"/>
            </w:tcBorders>
            <w:gridSpan w:val="7"/>
          </w:tcPr>
          <w:p>
            <w:pPr>
              <w:spacing w:after="0" w:line="104" w:lineRule="exact"/>
              <w:rPr>
                <w:rFonts w:ascii="Arial" w:cs="Arial" w:eastAsia="Arial" w:hAnsi="Arial"/>
                <w:sz w:val="11"/>
                <w:szCs w:val="11"/>
                <w:color w:val="0000EE"/>
              </w:rPr>
            </w:pPr>
            <w:hyperlink w:anchor="page17">
              <w:r>
                <w:rPr>
                  <w:rFonts w:ascii="Arial" w:cs="Arial" w:eastAsia="Arial" w:hAnsi="Arial"/>
                  <w:sz w:val="11"/>
                  <w:szCs w:val="11"/>
                  <w:color w:val="0000EE"/>
                </w:rPr>
                <w:t>Codes of Conduct</w:t>
              </w:r>
            </w:hyperlink>
          </w:p>
        </w:tc>
        <w:tc>
          <w:tcPr>
            <w:tcW w:w="1200" w:type="dxa"/>
            <w:vAlign w:val="bottom"/>
            <w:tcBorders>
              <w:top w:val="single" w:sz="8" w:color="0000EE"/>
            </w:tcBorders>
            <w:gridSpan w:val="20"/>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0920" w:type="dxa"/>
            <w:vAlign w:val="bottom"/>
            <w:gridSpan w:val="39"/>
          </w:tcPr>
          <w:p>
            <w:pPr>
              <w:spacing w:after="0" w:line="104" w:lineRule="exact"/>
              <w:rPr>
                <w:rFonts w:ascii="Arial" w:cs="Arial" w:eastAsia="Arial" w:hAnsi="Arial"/>
                <w:sz w:val="11"/>
                <w:szCs w:val="11"/>
                <w:color w:val="0000EE"/>
              </w:rPr>
            </w:pPr>
            <w:hyperlink w:anchor="page17">
              <w:r>
                <w:rPr>
                  <w:rFonts w:ascii="Arial" w:cs="Arial" w:eastAsia="Arial" w:hAnsi="Arial"/>
                  <w:sz w:val="11"/>
                  <w:szCs w:val="11"/>
                  <w:color w:val="0000EE"/>
                </w:rPr>
                <w:t>Board of Directors Meetings</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380" w:type="dxa"/>
            <w:vAlign w:val="bottom"/>
            <w:tcBorders>
              <w:top w:val="single" w:sz="8" w:color="0000EE"/>
            </w:tcBorders>
            <w:gridSpan w:val="10"/>
          </w:tcPr>
          <w:p>
            <w:pPr>
              <w:spacing w:after="0" w:line="104" w:lineRule="exact"/>
              <w:rPr>
                <w:rFonts w:ascii="Arial" w:cs="Arial" w:eastAsia="Arial" w:hAnsi="Arial"/>
                <w:sz w:val="11"/>
                <w:szCs w:val="11"/>
                <w:color w:val="0000EE"/>
              </w:rPr>
            </w:pPr>
            <w:hyperlink w:anchor="page17">
              <w:r>
                <w:rPr>
                  <w:rFonts w:ascii="Arial" w:cs="Arial" w:eastAsia="Arial" w:hAnsi="Arial"/>
                  <w:sz w:val="11"/>
                  <w:szCs w:val="11"/>
                  <w:color w:val="0000EE"/>
                </w:rPr>
                <w:t>Committees of the Board of</w:t>
              </w:r>
            </w:hyperlink>
          </w:p>
        </w:tc>
        <w:tc>
          <w:tcPr>
            <w:tcW w:w="9540" w:type="dxa"/>
            <w:vAlign w:val="bottom"/>
            <w:gridSpan w:val="29"/>
          </w:tcPr>
          <w:p>
            <w:pPr>
              <w:jc w:val="center"/>
              <w:ind w:right="9060"/>
              <w:spacing w:after="0" w:line="104" w:lineRule="exact"/>
              <w:rPr>
                <w:rFonts w:ascii="Arial" w:cs="Arial" w:eastAsia="Arial" w:hAnsi="Arial"/>
                <w:sz w:val="11"/>
                <w:szCs w:val="11"/>
                <w:color w:val="0000EE"/>
                <w:w w:val="99"/>
              </w:rPr>
            </w:pPr>
            <w:hyperlink w:anchor="page17">
              <w:r>
                <w:rPr>
                  <w:rFonts w:ascii="Arial" w:cs="Arial" w:eastAsia="Arial" w:hAnsi="Arial"/>
                  <w:sz w:val="11"/>
                  <w:szCs w:val="11"/>
                  <w:color w:val="0000EE"/>
                  <w:w w:val="99"/>
                </w:rPr>
                <w:t>Directors</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1480" w:type="dxa"/>
            <w:vAlign w:val="bottom"/>
            <w:tcBorders>
              <w:top w:val="single" w:sz="8" w:color="0000EE"/>
            </w:tcBorders>
            <w:gridSpan w:val="19"/>
          </w:tcPr>
          <w:p>
            <w:pPr>
              <w:spacing w:after="0" w:line="104" w:lineRule="exact"/>
              <w:rPr>
                <w:rFonts w:ascii="Arial" w:cs="Arial" w:eastAsia="Arial" w:hAnsi="Arial"/>
                <w:sz w:val="11"/>
                <w:szCs w:val="11"/>
                <w:color w:val="0000EE"/>
              </w:rPr>
            </w:pPr>
            <w:hyperlink w:anchor="page17">
              <w:r>
                <w:rPr>
                  <w:rFonts w:ascii="Arial" w:cs="Arial" w:eastAsia="Arial" w:hAnsi="Arial"/>
                  <w:sz w:val="11"/>
                  <w:szCs w:val="11"/>
                  <w:color w:val="0000EE"/>
                </w:rPr>
                <w:t>Audit Committee</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top w:val="single" w:sz="8" w:color="0000EE"/>
            </w:tcBorders>
            <w:gridSpan w:val="5"/>
          </w:tcPr>
          <w:p>
            <w:pPr>
              <w:spacing w:after="0" w:line="104" w:lineRule="exact"/>
              <w:rPr>
                <w:rFonts w:ascii="Arial" w:cs="Arial" w:eastAsia="Arial" w:hAnsi="Arial"/>
                <w:sz w:val="11"/>
                <w:szCs w:val="11"/>
                <w:color w:val="0000EE"/>
              </w:rPr>
            </w:pPr>
            <w:hyperlink w:anchor="page18">
              <w:r>
                <w:rPr>
                  <w:rFonts w:ascii="Arial" w:cs="Arial" w:eastAsia="Arial" w:hAnsi="Arial"/>
                  <w:sz w:val="11"/>
                  <w:szCs w:val="11"/>
                  <w:color w:val="0000EE"/>
                </w:rPr>
                <w:t>Compensation</w:t>
              </w:r>
            </w:hyperlink>
          </w:p>
        </w:tc>
        <w:tc>
          <w:tcPr>
            <w:tcW w:w="9740" w:type="dxa"/>
            <w:vAlign w:val="bottom"/>
            <w:gridSpan w:val="33"/>
          </w:tcPr>
          <w:p>
            <w:pPr>
              <w:spacing w:after="0" w:line="104" w:lineRule="exact"/>
              <w:rPr>
                <w:rFonts w:ascii="Arial" w:cs="Arial" w:eastAsia="Arial" w:hAnsi="Arial"/>
                <w:sz w:val="11"/>
                <w:szCs w:val="11"/>
                <w:color w:val="0000EE"/>
              </w:rPr>
            </w:pPr>
            <w:hyperlink w:anchor="page18">
              <w:r>
                <w:rPr>
                  <w:rFonts w:ascii="Arial" w:cs="Arial" w:eastAsia="Arial" w:hAnsi="Arial"/>
                  <w:sz w:val="11"/>
                  <w:szCs w:val="11"/>
                  <w:color w:val="0000EE"/>
                </w:rPr>
                <w:t>Committee</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top w:val="single" w:sz="8" w:color="0000EE"/>
            </w:tcBorders>
            <w:gridSpan w:val="15"/>
          </w:tcPr>
          <w:p>
            <w:pPr>
              <w:spacing w:after="0" w:line="104" w:lineRule="exact"/>
              <w:rPr>
                <w:rFonts w:ascii="Arial" w:cs="Arial" w:eastAsia="Arial" w:hAnsi="Arial"/>
                <w:sz w:val="11"/>
                <w:szCs w:val="11"/>
                <w:color w:val="0000EE"/>
              </w:rPr>
            </w:pPr>
            <w:hyperlink w:anchor="page18">
              <w:r>
                <w:rPr>
                  <w:rFonts w:ascii="Arial" w:cs="Arial" w:eastAsia="Arial" w:hAnsi="Arial"/>
                  <w:sz w:val="11"/>
                  <w:szCs w:val="11"/>
                  <w:color w:val="0000EE"/>
                </w:rPr>
                <w:t>Corporate Governance</w:t>
              </w:r>
            </w:hyperlink>
          </w:p>
        </w:tc>
        <w:tc>
          <w:tcPr>
            <w:tcW w:w="9260" w:type="dxa"/>
            <w:vAlign w:val="bottom"/>
            <w:gridSpan w:val="23"/>
          </w:tcPr>
          <w:p>
            <w:pPr>
              <w:spacing w:after="0" w:line="104" w:lineRule="exact"/>
              <w:rPr>
                <w:rFonts w:ascii="Arial" w:cs="Arial" w:eastAsia="Arial" w:hAnsi="Arial"/>
                <w:sz w:val="11"/>
                <w:szCs w:val="11"/>
                <w:color w:val="0000EE"/>
              </w:rPr>
            </w:pPr>
            <w:hyperlink w:anchor="page18">
              <w:r>
                <w:rPr>
                  <w:rFonts w:ascii="Arial" w:cs="Arial" w:eastAsia="Arial" w:hAnsi="Arial"/>
                  <w:sz w:val="11"/>
                  <w:szCs w:val="11"/>
                  <w:color w:val="0000EE"/>
                </w:rPr>
                <w:t>Committee</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Borders>
              <w:top w:val="single" w:sz="8" w:color="0000EE"/>
              <w:bottom w:val="single" w:sz="8" w:color="0000EE"/>
            </w:tcBorders>
            <w:gridSpan w:val="10"/>
          </w:tcPr>
          <w:p>
            <w:pPr>
              <w:spacing w:after="0" w:line="104" w:lineRule="exact"/>
              <w:rPr>
                <w:rFonts w:ascii="Arial" w:cs="Arial" w:eastAsia="Arial" w:hAnsi="Arial"/>
                <w:sz w:val="11"/>
                <w:szCs w:val="11"/>
                <w:color w:val="0000EE"/>
              </w:rPr>
            </w:pPr>
            <w:hyperlink w:anchor="page19">
              <w:r>
                <w:rPr>
                  <w:rFonts w:ascii="Arial" w:cs="Arial" w:eastAsia="Arial" w:hAnsi="Arial"/>
                  <w:sz w:val="11"/>
                  <w:szCs w:val="11"/>
                  <w:color w:val="0000EE"/>
                </w:rPr>
                <w:t>Executive Committee</w:t>
              </w:r>
            </w:hyperlink>
          </w:p>
        </w:tc>
        <w:tc>
          <w:tcPr>
            <w:tcW w:w="660" w:type="dxa"/>
            <w:vAlign w:val="bottom"/>
            <w:tcBorders>
              <w:top w:val="single" w:sz="8" w:color="0000EE"/>
            </w:tcBorders>
            <w:gridSpan w:val="1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040" w:type="dxa"/>
            <w:vAlign w:val="bottom"/>
            <w:tcBorders>
              <w:bottom w:val="single" w:sz="8" w:color="0000EE"/>
            </w:tcBorders>
            <w:gridSpan w:val="4"/>
          </w:tcPr>
          <w:p>
            <w:pPr>
              <w:spacing w:after="0" w:line="104" w:lineRule="exact"/>
              <w:rPr>
                <w:rFonts w:ascii="Arial" w:cs="Arial" w:eastAsia="Arial" w:hAnsi="Arial"/>
                <w:sz w:val="11"/>
                <w:szCs w:val="11"/>
                <w:color w:val="0000EE"/>
                <w:w w:val="99"/>
              </w:rPr>
            </w:pPr>
            <w:hyperlink w:anchor="page19">
              <w:r>
                <w:rPr>
                  <w:rFonts w:ascii="Arial" w:cs="Arial" w:eastAsia="Arial" w:hAnsi="Arial"/>
                  <w:sz w:val="11"/>
                  <w:szCs w:val="11"/>
                  <w:color w:val="0000EE"/>
                  <w:w w:val="99"/>
                </w:rPr>
                <w:t>Succession Planning</w:t>
              </w:r>
            </w:hyperlink>
          </w:p>
        </w:tc>
        <w:tc>
          <w:tcPr>
            <w:tcW w:w="380" w:type="dxa"/>
            <w:vAlign w:val="bottom"/>
            <w:gridSpan w:val="7"/>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480" w:type="dxa"/>
            <w:vAlign w:val="bottom"/>
            <w:tcBorders>
              <w:bottom w:val="single" w:sz="8" w:color="0000EE"/>
            </w:tcBorders>
            <w:gridSpan w:val="12"/>
          </w:tcPr>
          <w:p>
            <w:pPr>
              <w:spacing w:after="0" w:line="104" w:lineRule="exact"/>
              <w:rPr>
                <w:rFonts w:ascii="Arial" w:cs="Arial" w:eastAsia="Arial" w:hAnsi="Arial"/>
                <w:sz w:val="11"/>
                <w:szCs w:val="11"/>
                <w:color w:val="0000EE"/>
              </w:rPr>
            </w:pPr>
            <w:hyperlink w:anchor="page20">
              <w:r>
                <w:rPr>
                  <w:rFonts w:ascii="Arial" w:cs="Arial" w:eastAsia="Arial" w:hAnsi="Arial"/>
                  <w:sz w:val="11"/>
                  <w:szCs w:val="11"/>
                  <w:color w:val="0000EE"/>
                </w:rPr>
                <w:t>Related Person Transactions</w:t>
              </w:r>
            </w:hyperlink>
          </w:p>
        </w:tc>
        <w:tc>
          <w:tcPr>
            <w:tcW w:w="9440" w:type="dxa"/>
            <w:vAlign w:val="bottom"/>
            <w:gridSpan w:val="27"/>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0"/>
        </w:trPr>
        <w:tc>
          <w:tcPr>
            <w:tcW w:w="3220" w:type="dxa"/>
            <w:vAlign w:val="bottom"/>
            <w:tcBorders>
              <w:bottom w:val="single" w:sz="8" w:color="0000EE"/>
            </w:tcBorders>
            <w:gridSpan w:val="34"/>
          </w:tcPr>
          <w:p>
            <w:pPr>
              <w:spacing w:after="0"/>
              <w:rPr>
                <w:rFonts w:ascii="Arial" w:cs="Arial" w:eastAsia="Arial" w:hAnsi="Arial"/>
                <w:sz w:val="11"/>
                <w:szCs w:val="11"/>
                <w:color w:val="0000EE"/>
              </w:rPr>
            </w:pPr>
            <w:hyperlink w:anchor="page21">
              <w:r>
                <w:rPr>
                  <w:rFonts w:ascii="Arial" w:cs="Arial" w:eastAsia="Arial" w:hAnsi="Arial"/>
                  <w:sz w:val="11"/>
                  <w:szCs w:val="11"/>
                  <w:color w:val="0000EE"/>
                </w:rPr>
                <w:t>SECURITY OWNERSHIP OF CERTAIN BENEFICIAL OWNERS</w:t>
              </w:r>
            </w:hyperlink>
          </w:p>
        </w:tc>
        <w:tc>
          <w:tcPr>
            <w:tcW w:w="7880" w:type="dxa"/>
            <w:vAlign w:val="bottom"/>
            <w:gridSpan w:val="6"/>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0"/>
        </w:trPr>
        <w:tc>
          <w:tcPr>
            <w:tcW w:w="3680" w:type="dxa"/>
            <w:vAlign w:val="bottom"/>
            <w:tcBorders>
              <w:bottom w:val="single" w:sz="8" w:color="0000EE"/>
            </w:tcBorders>
            <w:gridSpan w:val="36"/>
          </w:tcPr>
          <w:p>
            <w:pPr>
              <w:spacing w:after="0"/>
              <w:rPr>
                <w:rFonts w:ascii="Arial" w:cs="Arial" w:eastAsia="Arial" w:hAnsi="Arial"/>
                <w:sz w:val="11"/>
                <w:szCs w:val="11"/>
                <w:color w:val="0000EE"/>
              </w:rPr>
            </w:pPr>
            <w:hyperlink w:anchor="page23">
              <w:r>
                <w:rPr>
                  <w:rFonts w:ascii="Arial" w:cs="Arial" w:eastAsia="Arial" w:hAnsi="Arial"/>
                  <w:sz w:val="11"/>
                  <w:szCs w:val="11"/>
                  <w:color w:val="0000EE"/>
                </w:rPr>
                <w:t>SECTION 16(a) BENEFICIAL OWNERSHIP REPORTING COMPLIANCE</w:t>
              </w:r>
            </w:hyperlink>
          </w:p>
        </w:tc>
        <w:tc>
          <w:tcPr>
            <w:tcW w:w="7420" w:type="dxa"/>
            <w:vAlign w:val="bottom"/>
            <w:gridSpan w:val="4"/>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0"/>
        </w:trPr>
        <w:tc>
          <w:tcPr>
            <w:tcW w:w="11100" w:type="dxa"/>
            <w:vAlign w:val="bottom"/>
            <w:gridSpan w:val="40"/>
          </w:tcPr>
          <w:p>
            <w:pPr>
              <w:spacing w:after="0"/>
              <w:rPr>
                <w:rFonts w:ascii="Arial" w:cs="Arial" w:eastAsia="Arial" w:hAnsi="Arial"/>
                <w:sz w:val="11"/>
                <w:szCs w:val="11"/>
                <w:color w:val="0000EE"/>
              </w:rPr>
            </w:pPr>
            <w:hyperlink w:anchor="page23">
              <w:r>
                <w:rPr>
                  <w:rFonts w:ascii="Arial" w:cs="Arial" w:eastAsia="Arial" w:hAnsi="Arial"/>
                  <w:sz w:val="11"/>
                  <w:szCs w:val="11"/>
                  <w:color w:val="0000EE"/>
                </w:rPr>
                <w:t>EXECUTIVE OFFICERS</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0"/>
        </w:trPr>
        <w:tc>
          <w:tcPr>
            <w:tcW w:w="12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100" w:type="dxa"/>
            <w:vAlign w:val="bottom"/>
            <w:tcBorders>
              <w:bottom w:val="single" w:sz="8" w:color="auto"/>
            </w:tcBorders>
            <w:gridSpan w:val="40"/>
          </w:tcPr>
          <w:p>
            <w:pPr>
              <w:spacing w:after="0"/>
              <w:rPr>
                <w:rFonts w:ascii="Arial" w:cs="Arial" w:eastAsia="Arial" w:hAnsi="Arial"/>
                <w:sz w:val="11"/>
                <w:szCs w:val="11"/>
                <w:color w:val="0000EE"/>
              </w:rPr>
            </w:pPr>
            <w:hyperlink w:anchor="page25">
              <w:r>
                <w:rPr>
                  <w:rFonts w:ascii="Arial" w:cs="Arial" w:eastAsia="Arial" w:hAnsi="Arial"/>
                  <w:sz w:val="11"/>
                  <w:szCs w:val="11"/>
                  <w:color w:val="0000EE"/>
                </w:rPr>
                <w:t>EXECUTIVE COMPENSATION</w:t>
              </w:r>
            </w:hyperlink>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10920" w:type="dxa"/>
            <w:vAlign w:val="bottom"/>
            <w:gridSpan w:val="39"/>
          </w:tcPr>
          <w:p>
            <w:pPr>
              <w:spacing w:after="0"/>
              <w:rPr>
                <w:rFonts w:ascii="Arial" w:cs="Arial" w:eastAsia="Arial" w:hAnsi="Arial"/>
                <w:sz w:val="11"/>
                <w:szCs w:val="11"/>
                <w:color w:val="0000EE"/>
              </w:rPr>
            </w:pPr>
            <w:hyperlink w:anchor="page25">
              <w:r>
                <w:rPr>
                  <w:rFonts w:ascii="Arial" w:cs="Arial" w:eastAsia="Arial" w:hAnsi="Arial"/>
                  <w:sz w:val="11"/>
                  <w:szCs w:val="11"/>
                  <w:color w:val="0000EE"/>
                </w:rPr>
                <w:t>Compensation Discussion and Analysis</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960" w:type="dxa"/>
            <w:vAlign w:val="bottom"/>
            <w:tcBorders>
              <w:top w:val="single" w:sz="8" w:color="0000EE"/>
            </w:tcBorders>
            <w:gridSpan w:val="21"/>
          </w:tcPr>
          <w:p>
            <w:pPr>
              <w:spacing w:after="0" w:line="104" w:lineRule="exact"/>
              <w:rPr>
                <w:rFonts w:ascii="Arial" w:cs="Arial" w:eastAsia="Arial" w:hAnsi="Arial"/>
                <w:sz w:val="11"/>
                <w:szCs w:val="11"/>
                <w:color w:val="0000EE"/>
              </w:rPr>
            </w:pPr>
            <w:hyperlink w:anchor="page35">
              <w:r>
                <w:rPr>
                  <w:rFonts w:ascii="Arial" w:cs="Arial" w:eastAsia="Arial" w:hAnsi="Arial"/>
                  <w:sz w:val="11"/>
                  <w:szCs w:val="11"/>
                  <w:color w:val="0000EE"/>
                </w:rPr>
                <w:t>Summary Compensation Table</w:t>
              </w:r>
            </w:hyperlink>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520" w:type="dxa"/>
            <w:vAlign w:val="bottom"/>
            <w:tcBorders>
              <w:top w:val="single" w:sz="8" w:color="0000EE"/>
            </w:tcBorders>
            <w:gridSpan w:val="13"/>
          </w:tcPr>
          <w:p>
            <w:pPr>
              <w:spacing w:after="0" w:line="104" w:lineRule="exact"/>
              <w:rPr>
                <w:rFonts w:ascii="Arial" w:cs="Arial" w:eastAsia="Arial" w:hAnsi="Arial"/>
                <w:sz w:val="11"/>
                <w:szCs w:val="11"/>
                <w:color w:val="0000EE"/>
              </w:rPr>
            </w:pPr>
            <w:hyperlink w:anchor="page38">
              <w:r>
                <w:rPr>
                  <w:rFonts w:ascii="Arial" w:cs="Arial" w:eastAsia="Arial" w:hAnsi="Arial"/>
                  <w:sz w:val="11"/>
                  <w:szCs w:val="11"/>
                  <w:color w:val="0000EE"/>
                </w:rPr>
                <w:t>Grants of Plan-Based Awards</w:t>
              </w:r>
            </w:hyperlink>
          </w:p>
        </w:tc>
        <w:tc>
          <w:tcPr>
            <w:tcW w:w="9400" w:type="dxa"/>
            <w:vAlign w:val="bottom"/>
            <w:gridSpan w:val="26"/>
          </w:tcPr>
          <w:p>
            <w:pPr>
              <w:jc w:val="center"/>
              <w:ind w:right="9140"/>
              <w:spacing w:after="0" w:line="104" w:lineRule="exact"/>
              <w:rPr>
                <w:rFonts w:ascii="Arial" w:cs="Arial" w:eastAsia="Arial" w:hAnsi="Arial"/>
                <w:sz w:val="11"/>
                <w:szCs w:val="11"/>
                <w:color w:val="0000EE"/>
                <w:w w:val="94"/>
              </w:rPr>
            </w:pPr>
            <w:hyperlink w:anchor="page38">
              <w:r>
                <w:rPr>
                  <w:rFonts w:ascii="Arial" w:cs="Arial" w:eastAsia="Arial" w:hAnsi="Arial"/>
                  <w:sz w:val="11"/>
                  <w:szCs w:val="11"/>
                  <w:color w:val="0000EE"/>
                  <w:w w:val="94"/>
                </w:rPr>
                <w:t>Table</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780" w:type="dxa"/>
            <w:vAlign w:val="bottom"/>
            <w:tcBorders>
              <w:top w:val="single" w:sz="8" w:color="0000EE"/>
            </w:tcBorders>
            <w:gridSpan w:val="18"/>
          </w:tcPr>
          <w:p>
            <w:pPr>
              <w:spacing w:after="0" w:line="104" w:lineRule="exact"/>
              <w:rPr>
                <w:rFonts w:ascii="Arial" w:cs="Arial" w:eastAsia="Arial" w:hAnsi="Arial"/>
                <w:sz w:val="11"/>
                <w:szCs w:val="11"/>
                <w:color w:val="0000EE"/>
              </w:rPr>
            </w:pPr>
            <w:hyperlink w:anchor="page39">
              <w:r>
                <w:rPr>
                  <w:rFonts w:ascii="Arial" w:cs="Arial" w:eastAsia="Arial" w:hAnsi="Arial"/>
                  <w:sz w:val="11"/>
                  <w:szCs w:val="11"/>
                  <w:color w:val="0000EE"/>
                </w:rPr>
                <w:t>Outstanding Equity Awards at Year-</w:t>
              </w:r>
            </w:hyperlink>
          </w:p>
        </w:tc>
        <w:tc>
          <w:tcPr>
            <w:tcW w:w="9140" w:type="dxa"/>
            <w:vAlign w:val="bottom"/>
            <w:gridSpan w:val="21"/>
          </w:tcPr>
          <w:p>
            <w:pPr>
              <w:jc w:val="center"/>
              <w:ind w:right="8660"/>
              <w:spacing w:after="0" w:line="104" w:lineRule="exact"/>
              <w:rPr>
                <w:rFonts w:ascii="Arial" w:cs="Arial" w:eastAsia="Arial" w:hAnsi="Arial"/>
                <w:sz w:val="11"/>
                <w:szCs w:val="11"/>
                <w:color w:val="0000EE"/>
                <w:w w:val="95"/>
              </w:rPr>
            </w:pPr>
            <w:hyperlink w:anchor="page39">
              <w:r>
                <w:rPr>
                  <w:rFonts w:ascii="Arial" w:cs="Arial" w:eastAsia="Arial" w:hAnsi="Arial"/>
                  <w:sz w:val="11"/>
                  <w:szCs w:val="11"/>
                  <w:color w:val="0000EE"/>
                  <w:w w:val="95"/>
                </w:rPr>
                <w:t>End Table</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260" w:type="dxa"/>
            <w:vAlign w:val="bottom"/>
            <w:tcBorders>
              <w:top w:val="single" w:sz="8" w:color="0000EE"/>
            </w:tcBorders>
            <w:gridSpan w:val="25"/>
          </w:tcPr>
          <w:p>
            <w:pPr>
              <w:spacing w:after="0" w:line="104" w:lineRule="exact"/>
              <w:rPr>
                <w:rFonts w:ascii="Arial" w:cs="Arial" w:eastAsia="Arial" w:hAnsi="Arial"/>
                <w:sz w:val="11"/>
                <w:szCs w:val="11"/>
                <w:color w:val="0000EE"/>
              </w:rPr>
            </w:pPr>
            <w:hyperlink w:anchor="page40">
              <w:r>
                <w:rPr>
                  <w:rFonts w:ascii="Arial" w:cs="Arial" w:eastAsia="Arial" w:hAnsi="Arial"/>
                  <w:sz w:val="11"/>
                  <w:szCs w:val="11"/>
                  <w:color w:val="0000EE"/>
                </w:rPr>
                <w:t>Option Exercises and Stock Vested Table</w:t>
              </w:r>
            </w:hyperlink>
          </w:p>
        </w:tc>
        <w:tc>
          <w:tcPr>
            <w:tcW w:w="2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040" w:type="dxa"/>
            <w:vAlign w:val="bottom"/>
            <w:tcBorders>
              <w:top w:val="single" w:sz="8" w:color="0000EE"/>
            </w:tcBorders>
            <w:gridSpan w:val="22"/>
          </w:tcPr>
          <w:p>
            <w:pPr>
              <w:spacing w:after="0" w:line="104" w:lineRule="exact"/>
              <w:rPr>
                <w:rFonts w:ascii="Arial" w:cs="Arial" w:eastAsia="Arial" w:hAnsi="Arial"/>
                <w:sz w:val="11"/>
                <w:szCs w:val="11"/>
                <w:color w:val="0000EE"/>
              </w:rPr>
            </w:pPr>
            <w:hyperlink w:anchor="page40">
              <w:r>
                <w:rPr>
                  <w:rFonts w:ascii="Arial" w:cs="Arial" w:eastAsia="Arial" w:hAnsi="Arial"/>
                  <w:sz w:val="11"/>
                  <w:szCs w:val="11"/>
                  <w:color w:val="0000EE"/>
                </w:rPr>
                <w:t>Pension Benefits Table</w:t>
              </w:r>
            </w:hyperlink>
          </w:p>
        </w:tc>
        <w:tc>
          <w:tcPr>
            <w:tcW w:w="140" w:type="dxa"/>
            <w:vAlign w:val="bottom"/>
            <w:gridSpan w:val="2"/>
          </w:tcPr>
          <w:p>
            <w:pPr>
              <w:spacing w:after="0"/>
              <w:rPr>
                <w:sz w:val="9"/>
                <w:szCs w:val="9"/>
                <w:color w:val="auto"/>
              </w:rPr>
            </w:pPr>
          </w:p>
        </w:tc>
        <w:tc>
          <w:tcPr>
            <w:tcW w:w="340" w:type="dxa"/>
            <w:vAlign w:val="bottom"/>
            <w:gridSpan w:val="5"/>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140" w:type="dxa"/>
            <w:vAlign w:val="bottom"/>
            <w:tcBorders>
              <w:top w:val="single" w:sz="8" w:color="0000EE"/>
            </w:tcBorders>
            <w:gridSpan w:val="5"/>
          </w:tcPr>
          <w:p>
            <w:pPr>
              <w:spacing w:after="0" w:line="104" w:lineRule="exact"/>
              <w:rPr>
                <w:rFonts w:ascii="Arial" w:cs="Arial" w:eastAsia="Arial" w:hAnsi="Arial"/>
                <w:sz w:val="11"/>
                <w:szCs w:val="11"/>
                <w:color w:val="0000EE"/>
              </w:rPr>
            </w:pPr>
            <w:hyperlink w:anchor="page41">
              <w:r>
                <w:rPr>
                  <w:rFonts w:ascii="Arial" w:cs="Arial" w:eastAsia="Arial" w:hAnsi="Arial"/>
                  <w:sz w:val="11"/>
                  <w:szCs w:val="11"/>
                  <w:color w:val="0000EE"/>
                </w:rPr>
                <w:t>Non-qualified Deferred</w:t>
              </w:r>
            </w:hyperlink>
          </w:p>
        </w:tc>
        <w:tc>
          <w:tcPr>
            <w:tcW w:w="9780" w:type="dxa"/>
            <w:vAlign w:val="bottom"/>
            <w:gridSpan w:val="34"/>
          </w:tcPr>
          <w:p>
            <w:pPr>
              <w:ind w:left="20"/>
              <w:spacing w:after="0" w:line="104" w:lineRule="exact"/>
              <w:rPr>
                <w:rFonts w:ascii="Arial" w:cs="Arial" w:eastAsia="Arial" w:hAnsi="Arial"/>
                <w:sz w:val="11"/>
                <w:szCs w:val="11"/>
                <w:color w:val="0000EE"/>
              </w:rPr>
            </w:pPr>
            <w:hyperlink w:anchor="page41">
              <w:r>
                <w:rPr>
                  <w:rFonts w:ascii="Arial" w:cs="Arial" w:eastAsia="Arial" w:hAnsi="Arial"/>
                  <w:sz w:val="11"/>
                  <w:szCs w:val="11"/>
                  <w:color w:val="0000EE"/>
                </w:rPr>
                <w:t>Compensation Table</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vMerge w:val="restart"/>
          </w:tcPr>
          <w:p>
            <w:pPr>
              <w:jc w:val="right"/>
              <w:ind w:right="60"/>
              <w:spacing w:after="0" w:line="124" w:lineRule="exact"/>
              <w:rPr>
                <w:sz w:val="20"/>
                <w:szCs w:val="20"/>
                <w:color w:val="auto"/>
              </w:rPr>
            </w:pPr>
            <w:r>
              <w:rPr>
                <w:rFonts w:ascii="Arial" w:cs="Arial" w:eastAsia="Arial" w:hAnsi="Arial"/>
                <w:sz w:val="11"/>
                <w:szCs w:val="11"/>
                <w:color w:val="auto"/>
              </w:rPr>
              <w:t>35</w:t>
            </w:r>
          </w:p>
        </w:tc>
        <w:tc>
          <w:tcPr>
            <w:tcW w:w="0" w:type="dxa"/>
            <w:vAlign w:val="bottom"/>
          </w:tcPr>
          <w:p>
            <w:pPr>
              <w:spacing w:after="0" w:line="20" w:lineRule="exact"/>
              <w:rPr>
                <w:sz w:val="1"/>
                <w:szCs w:val="1"/>
                <w:color w:val="auto"/>
              </w:rPr>
            </w:pPr>
          </w:p>
        </w:tc>
      </w:tr>
      <w:tr>
        <w:trPr>
          <w:trHeight w:val="104"/>
        </w:trPr>
        <w:tc>
          <w:tcPr>
            <w:tcW w:w="180" w:type="dxa"/>
            <w:vAlign w:val="bottom"/>
          </w:tcPr>
          <w:p>
            <w:pPr>
              <w:spacing w:after="0"/>
              <w:rPr>
                <w:sz w:val="9"/>
                <w:szCs w:val="9"/>
                <w:color w:val="auto"/>
              </w:rPr>
            </w:pPr>
          </w:p>
        </w:tc>
        <w:tc>
          <w:tcPr>
            <w:tcW w:w="10920" w:type="dxa"/>
            <w:vAlign w:val="bottom"/>
            <w:gridSpan w:val="39"/>
          </w:tcPr>
          <w:p>
            <w:pPr>
              <w:spacing w:after="0" w:line="104" w:lineRule="exact"/>
              <w:rPr>
                <w:rFonts w:ascii="Arial" w:cs="Arial" w:eastAsia="Arial" w:hAnsi="Arial"/>
                <w:sz w:val="11"/>
                <w:szCs w:val="11"/>
                <w:color w:val="0000EE"/>
              </w:rPr>
            </w:pPr>
            <w:hyperlink w:anchor="page41">
              <w:r>
                <w:rPr>
                  <w:rFonts w:ascii="Arial" w:cs="Arial" w:eastAsia="Arial" w:hAnsi="Arial"/>
                  <w:sz w:val="11"/>
                  <w:szCs w:val="11"/>
                  <w:color w:val="0000EE"/>
                </w:rPr>
                <w:t>Employment Agreements and Other Arrangements</w:t>
              </w:r>
            </w:hyperlink>
          </w:p>
        </w:tc>
        <w:tc>
          <w:tcPr>
            <w:tcW w:w="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520" w:type="dxa"/>
            <w:vAlign w:val="bottom"/>
            <w:tcBorders>
              <w:top w:val="single" w:sz="8" w:color="0000EE"/>
              <w:bottom w:val="single" w:sz="8" w:color="0000EE"/>
            </w:tcBorders>
            <w:gridSpan w:val="29"/>
          </w:tcPr>
          <w:p>
            <w:pPr>
              <w:spacing w:after="0" w:line="104" w:lineRule="exact"/>
              <w:rPr>
                <w:rFonts w:ascii="Arial" w:cs="Arial" w:eastAsia="Arial" w:hAnsi="Arial"/>
                <w:sz w:val="11"/>
                <w:szCs w:val="11"/>
                <w:color w:val="0000EE"/>
              </w:rPr>
            </w:pPr>
            <w:hyperlink w:anchor="page44">
              <w:r>
                <w:rPr>
                  <w:rFonts w:ascii="Arial" w:cs="Arial" w:eastAsia="Arial" w:hAnsi="Arial"/>
                  <w:sz w:val="11"/>
                  <w:szCs w:val="11"/>
                  <w:color w:val="0000EE"/>
                </w:rPr>
                <w:t>Termination, Severance and Change of Control</w:t>
              </w:r>
            </w:hyperlink>
          </w:p>
        </w:tc>
        <w:tc>
          <w:tcPr>
            <w:tcW w:w="560" w:type="dxa"/>
            <w:vAlign w:val="bottom"/>
            <w:tcBorders>
              <w:bottom w:val="single" w:sz="8" w:color="0000EE"/>
            </w:tcBorders>
            <w:gridSpan w:val="5"/>
          </w:tcPr>
          <w:p>
            <w:pPr>
              <w:spacing w:after="0" w:line="104" w:lineRule="exact"/>
              <w:rPr>
                <w:rFonts w:ascii="Arial" w:cs="Arial" w:eastAsia="Arial" w:hAnsi="Arial"/>
                <w:sz w:val="11"/>
                <w:szCs w:val="11"/>
                <w:color w:val="0000EE"/>
                <w:w w:val="78"/>
              </w:rPr>
            </w:pPr>
            <w:hyperlink w:anchor="page44">
              <w:r>
                <w:rPr>
                  <w:rFonts w:ascii="Arial" w:cs="Arial" w:eastAsia="Arial" w:hAnsi="Arial"/>
                  <w:sz w:val="11"/>
                  <w:szCs w:val="11"/>
                  <w:color w:val="0000EE"/>
                  <w:w w:val="78"/>
                </w:rPr>
                <w:t>Arrangements</w:t>
              </w:r>
            </w:hyperlink>
          </w:p>
        </w:tc>
        <w:tc>
          <w:tcPr>
            <w:tcW w:w="7840" w:type="dxa"/>
            <w:vAlign w:val="bottom"/>
            <w:gridSpan w:val="5"/>
          </w:tcPr>
          <w:p>
            <w:pPr>
              <w:spacing w:after="0"/>
              <w:rPr>
                <w:sz w:val="9"/>
                <w:szCs w:val="9"/>
                <w:color w:val="auto"/>
              </w:rPr>
            </w:pPr>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0"/>
        </w:trPr>
        <w:tc>
          <w:tcPr>
            <w:tcW w:w="1800" w:type="dxa"/>
            <w:vAlign w:val="bottom"/>
            <w:tcBorders>
              <w:bottom w:val="single" w:sz="8" w:color="0000EE"/>
            </w:tcBorders>
            <w:gridSpan w:val="16"/>
          </w:tcPr>
          <w:p>
            <w:pPr>
              <w:spacing w:after="0"/>
              <w:rPr>
                <w:rFonts w:ascii="Arial" w:cs="Arial" w:eastAsia="Arial" w:hAnsi="Arial"/>
                <w:sz w:val="11"/>
                <w:szCs w:val="11"/>
                <w:color w:val="0000EE"/>
              </w:rPr>
            </w:pPr>
            <w:hyperlink w:anchor="page46">
              <w:r>
                <w:rPr>
                  <w:rFonts w:ascii="Arial" w:cs="Arial" w:eastAsia="Arial" w:hAnsi="Arial"/>
                  <w:sz w:val="11"/>
                  <w:szCs w:val="11"/>
                  <w:color w:val="0000EE"/>
                </w:rPr>
                <w:t>2013 DIRECTOR COMPENSATION</w:t>
              </w:r>
            </w:hyperlink>
          </w:p>
        </w:tc>
        <w:tc>
          <w:tcPr>
            <w:tcW w:w="9300" w:type="dxa"/>
            <w:vAlign w:val="bottom"/>
            <w:gridSpan w:val="24"/>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0"/>
        </w:trPr>
        <w:tc>
          <w:tcPr>
            <w:tcW w:w="11100" w:type="dxa"/>
            <w:vAlign w:val="bottom"/>
            <w:gridSpan w:val="40"/>
          </w:tcPr>
          <w:p>
            <w:pPr>
              <w:spacing w:after="0"/>
              <w:rPr>
                <w:rFonts w:ascii="Arial" w:cs="Arial" w:eastAsia="Arial" w:hAnsi="Arial"/>
                <w:sz w:val="11"/>
                <w:szCs w:val="11"/>
                <w:color w:val="0000EE"/>
              </w:rPr>
            </w:pPr>
            <w:hyperlink w:anchor="page48">
              <w:r>
                <w:rPr>
                  <w:rFonts w:ascii="Arial" w:cs="Arial" w:eastAsia="Arial" w:hAnsi="Arial"/>
                  <w:sz w:val="11"/>
                  <w:szCs w:val="11"/>
                  <w:color w:val="0000EE"/>
                </w:rPr>
                <w:t>REPORT OF AUDIT COMMITTEE</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100" w:type="dxa"/>
            <w:vAlign w:val="bottom"/>
            <w:tcBorders>
              <w:bottom w:val="single" w:sz="8" w:color="auto"/>
            </w:tcBorders>
            <w:gridSpan w:val="40"/>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PROPOSALS TO BE VOTED ON AT MEETING</w:t>
              </w:r>
            </w:hyperlink>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10920" w:type="dxa"/>
            <w:vAlign w:val="bottom"/>
            <w:gridSpan w:val="39"/>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Proposal No. 1: Election of Directors</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10"/>
            <w:shd w:val="clear" w:color="auto" w:fill="0000EE"/>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gridSpan w:val="2"/>
            <w:vMerge w:val="restart"/>
          </w:tcPr>
          <w:p>
            <w:pPr>
              <w:jc w:val="right"/>
              <w:ind w:right="60"/>
              <w:spacing w:after="0" w:line="124" w:lineRule="exact"/>
              <w:rPr>
                <w:sz w:val="20"/>
                <w:szCs w:val="20"/>
                <w:color w:val="auto"/>
              </w:rPr>
            </w:pPr>
            <w:r>
              <w:rPr>
                <w:rFonts w:ascii="Arial" w:cs="Arial" w:eastAsia="Arial" w:hAnsi="Arial"/>
                <w:sz w:val="11"/>
                <w:szCs w:val="11"/>
                <w:color w:val="auto"/>
              </w:rPr>
              <w:t>44</w:t>
            </w:r>
          </w:p>
        </w:tc>
        <w:tc>
          <w:tcPr>
            <w:tcW w:w="0" w:type="dxa"/>
            <w:vAlign w:val="bottom"/>
          </w:tcPr>
          <w:p>
            <w:pPr>
              <w:spacing w:after="0" w:line="20" w:lineRule="exact"/>
              <w:rPr>
                <w:sz w:val="1"/>
                <w:szCs w:val="1"/>
                <w:color w:val="auto"/>
              </w:rPr>
            </w:pPr>
          </w:p>
        </w:tc>
      </w:tr>
      <w:tr>
        <w:trPr>
          <w:trHeight w:val="104"/>
        </w:trPr>
        <w:tc>
          <w:tcPr>
            <w:tcW w:w="180" w:type="dxa"/>
            <w:vAlign w:val="bottom"/>
          </w:tcPr>
          <w:p>
            <w:pPr>
              <w:spacing w:after="0"/>
              <w:rPr>
                <w:sz w:val="9"/>
                <w:szCs w:val="9"/>
                <w:color w:val="auto"/>
              </w:rPr>
            </w:pPr>
          </w:p>
        </w:tc>
        <w:tc>
          <w:tcPr>
            <w:tcW w:w="10920" w:type="dxa"/>
            <w:vAlign w:val="bottom"/>
            <w:gridSpan w:val="39"/>
          </w:tcPr>
          <w:p>
            <w:pPr>
              <w:spacing w:after="0" w:line="104" w:lineRule="exact"/>
              <w:rPr>
                <w:rFonts w:ascii="Arial" w:cs="Arial" w:eastAsia="Arial" w:hAnsi="Arial"/>
                <w:sz w:val="11"/>
                <w:szCs w:val="11"/>
                <w:color w:val="0000EE"/>
              </w:rPr>
            </w:pPr>
            <w:hyperlink w:anchor="page50">
              <w:r>
                <w:rPr>
                  <w:rFonts w:ascii="Arial" w:cs="Arial" w:eastAsia="Arial" w:hAnsi="Arial"/>
                  <w:sz w:val="11"/>
                  <w:szCs w:val="11"/>
                  <w:color w:val="0000EE"/>
                </w:rPr>
                <w:t>Proposal No. 2: Ratification of Appointment of Auditors</w:t>
              </w:r>
            </w:hyperlink>
          </w:p>
        </w:tc>
        <w:tc>
          <w:tcPr>
            <w:tcW w:w="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2720" w:type="dxa"/>
            <w:vAlign w:val="bottom"/>
            <w:tcBorders>
              <w:top w:val="single" w:sz="8" w:color="0000EE"/>
            </w:tcBorders>
            <w:gridSpan w:val="30"/>
          </w:tcPr>
          <w:p>
            <w:pPr>
              <w:spacing w:after="0" w:line="104" w:lineRule="exact"/>
              <w:rPr>
                <w:rFonts w:ascii="Arial" w:cs="Arial" w:eastAsia="Arial" w:hAnsi="Arial"/>
                <w:sz w:val="11"/>
                <w:szCs w:val="11"/>
                <w:color w:val="0000EE"/>
                <w:w w:val="99"/>
              </w:rPr>
            </w:pPr>
            <w:hyperlink w:anchor="page52">
              <w:r>
                <w:rPr>
                  <w:rFonts w:ascii="Arial" w:cs="Arial" w:eastAsia="Arial" w:hAnsi="Arial"/>
                  <w:sz w:val="11"/>
                  <w:szCs w:val="11"/>
                  <w:color w:val="0000EE"/>
                  <w:w w:val="99"/>
                </w:rPr>
                <w:t>Proposal No. 3: Advisory Approval of the Compensation</w:t>
              </w:r>
            </w:hyperlink>
          </w:p>
        </w:tc>
        <w:tc>
          <w:tcPr>
            <w:tcW w:w="60" w:type="dxa"/>
            <w:vAlign w:val="bottom"/>
          </w:tcPr>
          <w:p>
            <w:pPr>
              <w:spacing w:after="0"/>
              <w:rPr>
                <w:sz w:val="9"/>
                <w:szCs w:val="9"/>
                <w:color w:val="auto"/>
              </w:rPr>
            </w:pPr>
          </w:p>
        </w:tc>
        <w:tc>
          <w:tcPr>
            <w:tcW w:w="8140" w:type="dxa"/>
            <w:vAlign w:val="bottom"/>
            <w:gridSpan w:val="8"/>
          </w:tcPr>
          <w:p>
            <w:pPr>
              <w:ind w:left="20"/>
              <w:spacing w:after="0" w:line="104" w:lineRule="exact"/>
              <w:rPr>
                <w:rFonts w:ascii="Arial" w:cs="Arial" w:eastAsia="Arial" w:hAnsi="Arial"/>
                <w:sz w:val="11"/>
                <w:szCs w:val="11"/>
                <w:color w:val="0000EE"/>
              </w:rPr>
            </w:pPr>
            <w:hyperlink w:anchor="page52">
              <w:r>
                <w:rPr>
                  <w:rFonts w:ascii="Arial" w:cs="Arial" w:eastAsia="Arial" w:hAnsi="Arial"/>
                  <w:sz w:val="11"/>
                  <w:szCs w:val="11"/>
                  <w:color w:val="0000EE"/>
                </w:rPr>
                <w:t>of Our Named Executive Officers</w:t>
              </w:r>
            </w:hyperlink>
          </w:p>
        </w:tc>
        <w:tc>
          <w:tcPr>
            <w:tcW w:w="340" w:type="dxa"/>
            <w:vAlign w:val="bottom"/>
            <w:gridSpan w:val="2"/>
          </w:tcPr>
          <w:p>
            <w:pPr>
              <w:jc w:val="right"/>
              <w:ind w:right="60"/>
              <w:spacing w:after="0" w:line="104" w:lineRule="exact"/>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4440" w:type="dxa"/>
            <w:vAlign w:val="bottom"/>
            <w:tcBorders>
              <w:top w:val="single" w:sz="8" w:color="0000EE"/>
            </w:tcBorders>
            <w:gridSpan w:val="37"/>
          </w:tcPr>
          <w:p>
            <w:pPr>
              <w:spacing w:after="0" w:line="104" w:lineRule="exact"/>
              <w:rPr>
                <w:rFonts w:ascii="Arial" w:cs="Arial" w:eastAsia="Arial" w:hAnsi="Arial"/>
                <w:sz w:val="11"/>
                <w:szCs w:val="11"/>
                <w:color w:val="0000EE"/>
              </w:rPr>
            </w:pPr>
            <w:hyperlink w:anchor="page53">
              <w:r>
                <w:rPr>
                  <w:rFonts w:ascii="Arial" w:cs="Arial" w:eastAsia="Arial" w:hAnsi="Arial"/>
                  <w:sz w:val="11"/>
                  <w:szCs w:val="11"/>
                  <w:color w:val="0000EE"/>
                </w:rPr>
                <w:t>Proposal No. 4: Approval of the Avis Budget Group, Inc.</w:t>
              </w:r>
            </w:hyperlink>
          </w:p>
        </w:tc>
        <w:tc>
          <w:tcPr>
            <w:tcW w:w="2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520" w:type="dxa"/>
            <w:vAlign w:val="bottom"/>
            <w:tcBorders>
              <w:top w:val="single" w:sz="8" w:color="0000EE"/>
              <w:bottom w:val="single" w:sz="8" w:color="0000EE"/>
            </w:tcBorders>
            <w:gridSpan w:val="24"/>
          </w:tcPr>
          <w:p>
            <w:pPr>
              <w:jc w:val="center"/>
              <w:spacing w:after="0" w:line="93" w:lineRule="exact"/>
              <w:rPr>
                <w:rFonts w:ascii="Arial" w:cs="Arial" w:eastAsia="Arial" w:hAnsi="Arial"/>
                <w:sz w:val="10"/>
                <w:szCs w:val="10"/>
                <w:color w:val="0000EE"/>
              </w:rPr>
            </w:pPr>
            <w:hyperlink w:anchor="page53">
              <w:r>
                <w:rPr>
                  <w:rFonts w:ascii="Arial" w:cs="Arial" w:eastAsia="Arial" w:hAnsi="Arial"/>
                  <w:sz w:val="10"/>
                  <w:szCs w:val="10"/>
                  <w:color w:val="0000EE"/>
                </w:rPr>
                <w:t>Amended and Restated Equity</w:t>
              </w:r>
            </w:hyperlink>
          </w:p>
        </w:tc>
        <w:tc>
          <w:tcPr>
            <w:tcW w:w="960" w:type="dxa"/>
            <w:vAlign w:val="bottom"/>
            <w:tcBorders>
              <w:bottom w:val="single" w:sz="8" w:color="0000EE"/>
            </w:tcBorders>
            <w:gridSpan w:val="5"/>
          </w:tcPr>
          <w:p>
            <w:pPr>
              <w:ind w:left="20"/>
              <w:spacing w:after="0" w:line="84" w:lineRule="exact"/>
              <w:rPr>
                <w:rFonts w:ascii="Arial" w:cs="Arial" w:eastAsia="Arial" w:hAnsi="Arial"/>
                <w:sz w:val="9"/>
                <w:szCs w:val="9"/>
                <w:color w:val="0000EE"/>
              </w:rPr>
            </w:pPr>
            <w:hyperlink w:anchor="page53">
              <w:r>
                <w:rPr>
                  <w:rFonts w:ascii="Arial" w:cs="Arial" w:eastAsia="Arial" w:hAnsi="Arial"/>
                  <w:sz w:val="9"/>
                  <w:szCs w:val="9"/>
                  <w:color w:val="0000EE"/>
                </w:rPr>
                <w:t>and Incentive Plan</w:t>
              </w:r>
            </w:hyperlink>
          </w:p>
        </w:tc>
        <w:tc>
          <w:tcPr>
            <w:tcW w:w="7180" w:type="dxa"/>
            <w:vAlign w:val="bottom"/>
            <w:gridSpan w:val="3"/>
          </w:tcPr>
          <w:p>
            <w:pPr>
              <w:spacing w:after="0"/>
              <w:rPr>
                <w:sz w:val="9"/>
                <w:szCs w:val="9"/>
                <w:color w:val="auto"/>
              </w:rPr>
            </w:pPr>
          </w:p>
        </w:tc>
        <w:tc>
          <w:tcPr>
            <w:tcW w:w="340" w:type="dxa"/>
            <w:vAlign w:val="bottom"/>
            <w:gridSpan w:val="2"/>
          </w:tcPr>
          <w:p>
            <w:pPr>
              <w:jc w:val="right"/>
              <w:ind w:right="60"/>
              <w:spacing w:after="0" w:line="93"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0000EE"/>
            </w:tcBorders>
            <w:gridSpan w:val="33"/>
          </w:tcPr>
          <w:p>
            <w:pPr>
              <w:spacing w:after="0"/>
              <w:rPr>
                <w:rFonts w:ascii="Arial" w:cs="Arial" w:eastAsia="Arial" w:hAnsi="Arial"/>
                <w:sz w:val="11"/>
                <w:szCs w:val="11"/>
                <w:color w:val="0000EE"/>
              </w:rPr>
            </w:pPr>
            <w:hyperlink w:anchor="page60">
              <w:r>
                <w:rPr>
                  <w:rFonts w:ascii="Arial" w:cs="Arial" w:eastAsia="Arial" w:hAnsi="Arial"/>
                  <w:sz w:val="11"/>
                  <w:szCs w:val="11"/>
                  <w:color w:val="0000EE"/>
                </w:rPr>
                <w:t>STOCKHOLDER PROPOSALS FOR 2015 ANNUAL MEETING</w:t>
              </w:r>
            </w:hyperlink>
          </w:p>
        </w:tc>
        <w:tc>
          <w:tcPr>
            <w:tcW w:w="7940" w:type="dxa"/>
            <w:vAlign w:val="bottom"/>
            <w:gridSpan w:val="7"/>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0"/>
        </w:trPr>
        <w:tc>
          <w:tcPr>
            <w:tcW w:w="1480" w:type="dxa"/>
            <w:vAlign w:val="bottom"/>
            <w:tcBorders>
              <w:bottom w:val="single" w:sz="8" w:color="0000EE"/>
            </w:tcBorders>
            <w:gridSpan w:val="10"/>
          </w:tcPr>
          <w:p>
            <w:pPr>
              <w:spacing w:after="0"/>
              <w:rPr>
                <w:rFonts w:ascii="Arial" w:cs="Arial" w:eastAsia="Arial" w:hAnsi="Arial"/>
                <w:sz w:val="11"/>
                <w:szCs w:val="11"/>
                <w:color w:val="0000EE"/>
                <w:w w:val="99"/>
              </w:rPr>
            </w:pPr>
            <w:hyperlink w:anchor="page60">
              <w:r>
                <w:rPr>
                  <w:rFonts w:ascii="Arial" w:cs="Arial" w:eastAsia="Arial" w:hAnsi="Arial"/>
                  <w:sz w:val="11"/>
                  <w:szCs w:val="11"/>
                  <w:color w:val="0000EE"/>
                  <w:w w:val="99"/>
                </w:rPr>
                <w:t>ADDITIONAL INFORMATION</w:t>
              </w:r>
            </w:hyperlink>
          </w:p>
        </w:tc>
        <w:tc>
          <w:tcPr>
            <w:tcW w:w="9620" w:type="dxa"/>
            <w:vAlign w:val="bottom"/>
            <w:gridSpan w:val="30"/>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0"/>
        </w:trPr>
        <w:tc>
          <w:tcPr>
            <w:tcW w:w="11100" w:type="dxa"/>
            <w:vAlign w:val="bottom"/>
            <w:gridSpan w:val="40"/>
          </w:tcPr>
          <w:p>
            <w:pPr>
              <w:spacing w:after="0"/>
              <w:rPr>
                <w:rFonts w:ascii="Arial" w:cs="Arial" w:eastAsia="Arial" w:hAnsi="Arial"/>
                <w:sz w:val="11"/>
                <w:szCs w:val="11"/>
                <w:color w:val="0000EE"/>
              </w:rPr>
            </w:pPr>
            <w:hyperlink w:anchor="page61">
              <w:r>
                <w:rPr>
                  <w:rFonts w:ascii="Arial" w:cs="Arial" w:eastAsia="Arial" w:hAnsi="Arial"/>
                  <w:sz w:val="11"/>
                  <w:szCs w:val="11"/>
                  <w:color w:val="0000EE"/>
                </w:rPr>
                <w:t>ANNEX A – Proposed Avis Budget Group, Inc. Amended and Restated Equity and Incentive Plan</w:t>
              </w:r>
            </w:hyperlink>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A-1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407" w:right="219" w:bottom="1440" w:gutter="0" w:footer="0" w:header="0"/>
        </w:sectPr>
      </w:pPr>
    </w:p>
    <w:bookmarkStart w:id="4" w:name="page5"/>
    <w:bookmarkEnd w:id="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ind w:left="10"/>
        <w:spacing w:after="0"/>
        <w:rPr>
          <w:sz w:val="20"/>
          <w:szCs w:val="20"/>
          <w:color w:val="auto"/>
        </w:rPr>
      </w:pPr>
      <w:r>
        <w:rPr>
          <w:rFonts w:ascii="Arial" w:cs="Arial" w:eastAsia="Arial" w:hAnsi="Arial"/>
          <w:sz w:val="27"/>
          <w:szCs w:val="27"/>
          <w:b w:val="1"/>
          <w:bCs w:val="1"/>
          <w:color w:val="auto"/>
        </w:rPr>
        <w:t>2014 PROXY SUMMARY</w:t>
      </w:r>
    </w:p>
    <w:p>
      <w:pPr>
        <w:spacing w:after="0" w:line="92" w:lineRule="exact"/>
        <w:rPr>
          <w:sz w:val="20"/>
          <w:szCs w:val="20"/>
          <w:color w:val="auto"/>
        </w:rPr>
      </w:pPr>
    </w:p>
    <w:p>
      <w:pPr>
        <w:ind w:left="10" w:right="80"/>
        <w:spacing w:after="0" w:line="259" w:lineRule="auto"/>
        <w:rPr>
          <w:sz w:val="20"/>
          <w:szCs w:val="20"/>
          <w:color w:val="auto"/>
        </w:rPr>
      </w:pPr>
      <w:r>
        <w:rPr>
          <w:rFonts w:ascii="Arial" w:cs="Arial" w:eastAsia="Arial" w:hAnsi="Arial"/>
          <w:sz w:val="15"/>
          <w:szCs w:val="15"/>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Annual Meeting of Stockholders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440" w:type="dxa"/>
            <w:vAlign w:val="bottom"/>
          </w:tcPr>
          <w:p>
            <w:pPr>
              <w:ind w:left="60"/>
              <w:spacing w:after="0"/>
              <w:rPr>
                <w:sz w:val="20"/>
                <w:szCs w:val="20"/>
                <w:color w:val="auto"/>
              </w:rPr>
            </w:pPr>
            <w:r>
              <w:rPr>
                <w:rFonts w:ascii="Arial" w:cs="Arial" w:eastAsia="Arial" w:hAnsi="Arial"/>
                <w:sz w:val="15"/>
                <w:szCs w:val="15"/>
                <w:color w:val="auto"/>
              </w:rPr>
              <w:t>Date and Time</w:t>
            </w:r>
          </w:p>
        </w:tc>
        <w:tc>
          <w:tcPr>
            <w:tcW w:w="4240" w:type="dxa"/>
            <w:vAlign w:val="bottom"/>
          </w:tcPr>
          <w:p>
            <w:pPr>
              <w:ind w:left="400"/>
              <w:spacing w:after="0"/>
              <w:rPr>
                <w:sz w:val="20"/>
                <w:szCs w:val="20"/>
                <w:color w:val="auto"/>
              </w:rPr>
            </w:pPr>
            <w:r>
              <w:rPr>
                <w:rFonts w:ascii="Arial" w:cs="Arial" w:eastAsia="Arial" w:hAnsi="Arial"/>
                <w:sz w:val="15"/>
                <w:szCs w:val="15"/>
                <w:color w:val="auto"/>
              </w:rPr>
              <w:t>May 23, 2014, 11:00 a.m., Eastern Time</w:t>
            </w:r>
          </w:p>
        </w:tc>
      </w:tr>
      <w:tr>
        <w:trPr>
          <w:trHeight w:val="169"/>
        </w:trPr>
        <w:tc>
          <w:tcPr>
            <w:tcW w:w="1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ind w:left="60"/>
              <w:spacing w:after="0" w:line="169" w:lineRule="exact"/>
              <w:rPr>
                <w:sz w:val="20"/>
                <w:szCs w:val="20"/>
                <w:color w:val="auto"/>
              </w:rPr>
            </w:pPr>
            <w:r>
              <w:rPr>
                <w:rFonts w:ascii="Arial" w:cs="Arial" w:eastAsia="Arial" w:hAnsi="Arial"/>
                <w:sz w:val="15"/>
                <w:szCs w:val="15"/>
                <w:color w:val="auto"/>
              </w:rPr>
              <w:t>Place</w:t>
            </w:r>
          </w:p>
        </w:tc>
        <w:tc>
          <w:tcPr>
            <w:tcW w:w="4240" w:type="dxa"/>
            <w:vAlign w:val="bottom"/>
          </w:tcPr>
          <w:p>
            <w:pPr>
              <w:ind w:left="400"/>
              <w:spacing w:after="0" w:line="169" w:lineRule="exact"/>
              <w:rPr>
                <w:sz w:val="20"/>
                <w:szCs w:val="20"/>
                <w:color w:val="auto"/>
              </w:rPr>
            </w:pPr>
            <w:r>
              <w:rPr>
                <w:rFonts w:ascii="Arial" w:cs="Arial" w:eastAsia="Arial" w:hAnsi="Arial"/>
                <w:sz w:val="15"/>
                <w:szCs w:val="15"/>
                <w:color w:val="auto"/>
                <w:w w:val="96"/>
              </w:rPr>
              <w:t>DoubleTree by Hilton Downtown Wilmington—Legal District</w:t>
            </w:r>
          </w:p>
        </w:tc>
      </w:tr>
      <w:tr>
        <w:trPr>
          <w:trHeight w:val="169"/>
        </w:trPr>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40" w:type="dxa"/>
            <w:vAlign w:val="bottom"/>
          </w:tcPr>
          <w:p>
            <w:pPr>
              <w:ind w:left="400"/>
              <w:spacing w:after="0" w:line="169" w:lineRule="exact"/>
              <w:rPr>
                <w:sz w:val="20"/>
                <w:szCs w:val="20"/>
                <w:color w:val="auto"/>
              </w:rPr>
            </w:pPr>
            <w:r>
              <w:rPr>
                <w:rFonts w:ascii="Arial" w:cs="Arial" w:eastAsia="Arial" w:hAnsi="Arial"/>
                <w:sz w:val="15"/>
                <w:szCs w:val="15"/>
                <w:color w:val="auto"/>
              </w:rPr>
              <w:t>700 N. King Street</w:t>
            </w:r>
          </w:p>
        </w:tc>
      </w:tr>
      <w:tr>
        <w:trPr>
          <w:trHeight w:val="176"/>
        </w:trPr>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40" w:type="dxa"/>
            <w:vAlign w:val="bottom"/>
          </w:tcPr>
          <w:p>
            <w:pPr>
              <w:ind w:left="400"/>
              <w:spacing w:after="0"/>
              <w:rPr>
                <w:sz w:val="20"/>
                <w:szCs w:val="20"/>
                <w:color w:val="auto"/>
              </w:rPr>
            </w:pPr>
            <w:r>
              <w:rPr>
                <w:rFonts w:ascii="Arial" w:cs="Arial" w:eastAsia="Arial" w:hAnsi="Arial"/>
                <w:sz w:val="15"/>
                <w:szCs w:val="15"/>
                <w:color w:val="auto"/>
              </w:rPr>
              <w:t>Wilmington, Delaware 19801</w:t>
            </w:r>
          </w:p>
        </w:tc>
      </w:tr>
      <w:tr>
        <w:trPr>
          <w:trHeight w:val="18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440" w:type="dxa"/>
            <w:vAlign w:val="bottom"/>
          </w:tcPr>
          <w:p>
            <w:pPr>
              <w:ind w:left="60"/>
              <w:spacing w:after="0"/>
              <w:rPr>
                <w:sz w:val="20"/>
                <w:szCs w:val="20"/>
                <w:color w:val="auto"/>
              </w:rPr>
            </w:pPr>
            <w:r>
              <w:rPr>
                <w:rFonts w:ascii="Arial" w:cs="Arial" w:eastAsia="Arial" w:hAnsi="Arial"/>
                <w:sz w:val="15"/>
                <w:szCs w:val="15"/>
                <w:color w:val="auto"/>
              </w:rPr>
              <w:t>Record Date</w:t>
            </w:r>
          </w:p>
        </w:tc>
        <w:tc>
          <w:tcPr>
            <w:tcW w:w="4240" w:type="dxa"/>
            <w:vAlign w:val="bottom"/>
          </w:tcPr>
          <w:p>
            <w:pPr>
              <w:ind w:left="400"/>
              <w:spacing w:after="0"/>
              <w:rPr>
                <w:sz w:val="20"/>
                <w:szCs w:val="20"/>
                <w:color w:val="auto"/>
              </w:rPr>
            </w:pPr>
            <w:r>
              <w:rPr>
                <w:rFonts w:ascii="Arial" w:cs="Arial" w:eastAsia="Arial" w:hAnsi="Arial"/>
                <w:sz w:val="15"/>
                <w:szCs w:val="15"/>
                <w:color w:val="auto"/>
              </w:rPr>
              <w:t>March 27, 2014</w:t>
            </w:r>
          </w:p>
        </w:tc>
      </w:tr>
    </w:tbl>
    <w:p>
      <w:pPr>
        <w:spacing w:after="0" w:line="9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Voting Matters and Vote Recommendations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1760" w:type="dxa"/>
            <w:vAlign w:val="bottom"/>
          </w:tcPr>
          <w:p>
            <w:pPr>
              <w:jc w:val="center"/>
              <w:ind w:right="492"/>
              <w:spacing w:after="0"/>
              <w:rPr>
                <w:sz w:val="20"/>
                <w:szCs w:val="20"/>
                <w:color w:val="auto"/>
              </w:rPr>
            </w:pPr>
            <w:r>
              <w:rPr>
                <w:rFonts w:ascii="Arial" w:cs="Arial" w:eastAsia="Arial" w:hAnsi="Arial"/>
                <w:sz w:val="11"/>
                <w:szCs w:val="11"/>
                <w:b w:val="1"/>
                <w:bCs w:val="1"/>
                <w:color w:val="auto"/>
              </w:rPr>
              <w:t>Proposal</w:t>
            </w:r>
          </w:p>
        </w:tc>
        <w:tc>
          <w:tcPr>
            <w:tcW w:w="4440" w:type="dxa"/>
            <w:vAlign w:val="bottom"/>
          </w:tcPr>
          <w:p>
            <w:pPr>
              <w:jc w:val="center"/>
              <w:ind w:right="532"/>
              <w:spacing w:after="0"/>
              <w:rPr>
                <w:sz w:val="20"/>
                <w:szCs w:val="20"/>
                <w:color w:val="auto"/>
              </w:rPr>
            </w:pPr>
            <w:r>
              <w:rPr>
                <w:rFonts w:ascii="Arial" w:cs="Arial" w:eastAsia="Arial" w:hAnsi="Arial"/>
                <w:sz w:val="11"/>
                <w:szCs w:val="11"/>
                <w:b w:val="1"/>
                <w:bCs w:val="1"/>
                <w:color w:val="auto"/>
              </w:rPr>
              <w:t>Our Board’s Vote</w:t>
            </w:r>
          </w:p>
        </w:tc>
      </w:tr>
      <w:tr>
        <w:trPr>
          <w:trHeight w:val="138"/>
        </w:trPr>
        <w:tc>
          <w:tcPr>
            <w:tcW w:w="52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Voting Matters</w:t>
            </w:r>
          </w:p>
        </w:tc>
        <w:tc>
          <w:tcPr>
            <w:tcW w:w="1760" w:type="dxa"/>
            <w:vAlign w:val="bottom"/>
            <w:tcBorders>
              <w:bottom w:val="single" w:sz="8" w:color="auto"/>
            </w:tcBorders>
          </w:tcPr>
          <w:p>
            <w:pPr>
              <w:jc w:val="center"/>
              <w:ind w:right="512"/>
              <w:spacing w:after="0"/>
              <w:rPr>
                <w:sz w:val="20"/>
                <w:szCs w:val="20"/>
                <w:color w:val="auto"/>
              </w:rPr>
            </w:pPr>
            <w:r>
              <w:rPr>
                <w:rFonts w:ascii="Arial" w:cs="Arial" w:eastAsia="Arial" w:hAnsi="Arial"/>
                <w:sz w:val="11"/>
                <w:szCs w:val="11"/>
                <w:b w:val="1"/>
                <w:bCs w:val="1"/>
                <w:color w:val="auto"/>
              </w:rPr>
              <w:t>No.</w:t>
            </w:r>
          </w:p>
        </w:tc>
        <w:tc>
          <w:tcPr>
            <w:tcW w:w="4440" w:type="dxa"/>
            <w:vAlign w:val="bottom"/>
            <w:tcBorders>
              <w:bottom w:val="single" w:sz="8" w:color="auto"/>
            </w:tcBorders>
          </w:tcPr>
          <w:p>
            <w:pPr>
              <w:jc w:val="center"/>
              <w:ind w:right="532"/>
              <w:spacing w:after="0"/>
              <w:rPr>
                <w:sz w:val="20"/>
                <w:szCs w:val="20"/>
                <w:color w:val="auto"/>
              </w:rPr>
            </w:pPr>
            <w:r>
              <w:rPr>
                <w:rFonts w:ascii="Arial" w:cs="Arial" w:eastAsia="Arial" w:hAnsi="Arial"/>
                <w:sz w:val="11"/>
                <w:szCs w:val="11"/>
                <w:b w:val="1"/>
                <w:bCs w:val="1"/>
                <w:color w:val="auto"/>
              </w:rPr>
              <w:t>Recommendation</w:t>
            </w:r>
          </w:p>
        </w:tc>
      </w:tr>
      <w:tr>
        <w:trPr>
          <w:trHeight w:val="160"/>
        </w:trPr>
        <w:tc>
          <w:tcPr>
            <w:tcW w:w="524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Election of Directors (page 43)</w:t>
            </w:r>
          </w:p>
        </w:tc>
        <w:tc>
          <w:tcPr>
            <w:tcW w:w="1760" w:type="dxa"/>
            <w:vAlign w:val="bottom"/>
            <w:shd w:val="clear" w:color="auto" w:fill="D8D8D8"/>
          </w:tcPr>
          <w:p>
            <w:pPr>
              <w:jc w:val="center"/>
              <w:ind w:right="492"/>
              <w:spacing w:after="0" w:line="160" w:lineRule="exact"/>
              <w:rPr>
                <w:sz w:val="20"/>
                <w:szCs w:val="20"/>
                <w:color w:val="auto"/>
              </w:rPr>
            </w:pPr>
            <w:r>
              <w:rPr>
                <w:rFonts w:ascii="Arial" w:cs="Arial" w:eastAsia="Arial" w:hAnsi="Arial"/>
                <w:sz w:val="15"/>
                <w:szCs w:val="15"/>
                <w:color w:val="auto"/>
                <w:w w:val="95"/>
              </w:rPr>
              <w:t>1</w:t>
            </w:r>
          </w:p>
        </w:tc>
        <w:tc>
          <w:tcPr>
            <w:tcW w:w="4440" w:type="dxa"/>
            <w:vAlign w:val="bottom"/>
            <w:shd w:val="clear" w:color="auto" w:fill="D8D8D8"/>
          </w:tcPr>
          <w:p>
            <w:pPr>
              <w:jc w:val="center"/>
              <w:ind w:right="532"/>
              <w:spacing w:after="0" w:line="160" w:lineRule="exact"/>
              <w:rPr>
                <w:sz w:val="20"/>
                <w:szCs w:val="20"/>
                <w:color w:val="auto"/>
              </w:rPr>
            </w:pPr>
            <w:r>
              <w:rPr>
                <w:rFonts w:ascii="Arial" w:cs="Arial" w:eastAsia="Arial" w:hAnsi="Arial"/>
                <w:sz w:val="15"/>
                <w:szCs w:val="15"/>
                <w:color w:val="auto"/>
                <w:w w:val="97"/>
              </w:rPr>
              <w:t>“FOR” all ten director nominees</w:t>
            </w:r>
          </w:p>
        </w:tc>
      </w:tr>
      <w:tr>
        <w:trPr>
          <w:trHeight w:val="171"/>
        </w:trPr>
        <w:tc>
          <w:tcPr>
            <w:tcW w:w="5240" w:type="dxa"/>
            <w:vAlign w:val="bottom"/>
          </w:tcPr>
          <w:p>
            <w:pPr>
              <w:spacing w:after="0"/>
              <w:rPr>
                <w:sz w:val="20"/>
                <w:szCs w:val="20"/>
                <w:color w:val="auto"/>
              </w:rPr>
            </w:pPr>
            <w:r>
              <w:rPr>
                <w:rFonts w:ascii="Arial" w:cs="Arial" w:eastAsia="Arial" w:hAnsi="Arial"/>
                <w:sz w:val="15"/>
                <w:szCs w:val="15"/>
                <w:color w:val="auto"/>
              </w:rPr>
              <w:t>Ratification of Appointment of Auditors</w:t>
            </w:r>
          </w:p>
        </w:tc>
        <w:tc>
          <w:tcPr>
            <w:tcW w:w="17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7"/>
        </w:trPr>
        <w:tc>
          <w:tcPr>
            <w:tcW w:w="5240" w:type="dxa"/>
            <w:vAlign w:val="bottom"/>
          </w:tcPr>
          <w:p>
            <w:pPr>
              <w:ind w:left="180"/>
              <w:spacing w:after="0"/>
              <w:rPr>
                <w:sz w:val="20"/>
                <w:szCs w:val="20"/>
                <w:color w:val="auto"/>
              </w:rPr>
            </w:pPr>
            <w:r>
              <w:rPr>
                <w:rFonts w:ascii="Arial" w:cs="Arial" w:eastAsia="Arial" w:hAnsi="Arial"/>
                <w:sz w:val="15"/>
                <w:szCs w:val="15"/>
                <w:color w:val="auto"/>
              </w:rPr>
              <w:t>(pages 44-45)</w:t>
            </w:r>
          </w:p>
        </w:tc>
        <w:tc>
          <w:tcPr>
            <w:tcW w:w="1760" w:type="dxa"/>
            <w:vAlign w:val="bottom"/>
          </w:tcPr>
          <w:p>
            <w:pPr>
              <w:jc w:val="center"/>
              <w:ind w:right="492"/>
              <w:spacing w:after="0"/>
              <w:rPr>
                <w:sz w:val="20"/>
                <w:szCs w:val="20"/>
                <w:color w:val="auto"/>
              </w:rPr>
            </w:pPr>
            <w:r>
              <w:rPr>
                <w:rFonts w:ascii="Arial" w:cs="Arial" w:eastAsia="Arial" w:hAnsi="Arial"/>
                <w:sz w:val="15"/>
                <w:szCs w:val="15"/>
                <w:color w:val="auto"/>
                <w:w w:val="95"/>
              </w:rPr>
              <w:t>2</w:t>
            </w:r>
          </w:p>
        </w:tc>
        <w:tc>
          <w:tcPr>
            <w:tcW w:w="4440" w:type="dxa"/>
            <w:vAlign w:val="bottom"/>
          </w:tcPr>
          <w:p>
            <w:pPr>
              <w:jc w:val="center"/>
              <w:ind w:right="532"/>
              <w:spacing w:after="0"/>
              <w:rPr>
                <w:sz w:val="20"/>
                <w:szCs w:val="20"/>
                <w:color w:val="auto"/>
              </w:rPr>
            </w:pPr>
            <w:r>
              <w:rPr>
                <w:rFonts w:ascii="Arial" w:cs="Arial" w:eastAsia="Arial" w:hAnsi="Arial"/>
                <w:sz w:val="15"/>
                <w:szCs w:val="15"/>
                <w:color w:val="auto"/>
                <w:w w:val="95"/>
              </w:rPr>
              <w:t>“FOR”</w:t>
            </w:r>
          </w:p>
        </w:tc>
      </w:tr>
      <w:tr>
        <w:trPr>
          <w:trHeight w:val="171"/>
        </w:trPr>
        <w:tc>
          <w:tcPr>
            <w:tcW w:w="5240" w:type="dxa"/>
            <w:vAlign w:val="bottom"/>
            <w:shd w:val="clear" w:color="auto" w:fill="D8D8D8"/>
          </w:tcPr>
          <w:p>
            <w:pPr>
              <w:spacing w:after="0"/>
              <w:rPr>
                <w:sz w:val="20"/>
                <w:szCs w:val="20"/>
                <w:color w:val="auto"/>
              </w:rPr>
            </w:pPr>
            <w:r>
              <w:rPr>
                <w:rFonts w:ascii="Arial" w:cs="Arial" w:eastAsia="Arial" w:hAnsi="Arial"/>
                <w:sz w:val="15"/>
                <w:szCs w:val="15"/>
                <w:color w:val="auto"/>
              </w:rPr>
              <w:t>Advisory Approval of the Compensation of our Named Executive Officers</w:t>
            </w:r>
          </w:p>
        </w:tc>
        <w:tc>
          <w:tcPr>
            <w:tcW w:w="1760" w:type="dxa"/>
            <w:vAlign w:val="bottom"/>
            <w:shd w:val="clear" w:color="auto" w:fill="D8D8D8"/>
          </w:tcPr>
          <w:p>
            <w:pPr>
              <w:spacing w:after="0"/>
              <w:rPr>
                <w:sz w:val="14"/>
                <w:szCs w:val="14"/>
                <w:color w:val="auto"/>
              </w:rPr>
            </w:pPr>
          </w:p>
        </w:tc>
        <w:tc>
          <w:tcPr>
            <w:tcW w:w="4440" w:type="dxa"/>
            <w:vAlign w:val="bottom"/>
            <w:shd w:val="clear" w:color="auto" w:fill="D8D8D8"/>
          </w:tcPr>
          <w:p>
            <w:pPr>
              <w:spacing w:after="0"/>
              <w:rPr>
                <w:sz w:val="14"/>
                <w:szCs w:val="14"/>
                <w:color w:val="auto"/>
              </w:rPr>
            </w:pPr>
          </w:p>
        </w:tc>
      </w:tr>
      <w:tr>
        <w:trPr>
          <w:trHeight w:val="166"/>
        </w:trPr>
        <w:tc>
          <w:tcPr>
            <w:tcW w:w="5240" w:type="dxa"/>
            <w:vAlign w:val="bottom"/>
            <w:shd w:val="clear" w:color="auto" w:fill="D8D8D8"/>
          </w:tcPr>
          <w:p>
            <w:pPr>
              <w:ind w:left="180"/>
              <w:spacing w:after="0" w:line="167" w:lineRule="exact"/>
              <w:rPr>
                <w:sz w:val="20"/>
                <w:szCs w:val="20"/>
                <w:color w:val="auto"/>
              </w:rPr>
            </w:pPr>
            <w:r>
              <w:rPr>
                <w:rFonts w:ascii="Arial" w:cs="Arial" w:eastAsia="Arial" w:hAnsi="Arial"/>
                <w:sz w:val="15"/>
                <w:szCs w:val="15"/>
                <w:color w:val="auto"/>
              </w:rPr>
              <w:t>(page 46)</w:t>
            </w:r>
          </w:p>
        </w:tc>
        <w:tc>
          <w:tcPr>
            <w:tcW w:w="1760" w:type="dxa"/>
            <w:vAlign w:val="bottom"/>
            <w:shd w:val="clear" w:color="auto" w:fill="D8D8D8"/>
          </w:tcPr>
          <w:p>
            <w:pPr>
              <w:jc w:val="center"/>
              <w:ind w:right="492"/>
              <w:spacing w:after="0" w:line="167" w:lineRule="exact"/>
              <w:rPr>
                <w:sz w:val="20"/>
                <w:szCs w:val="20"/>
                <w:color w:val="auto"/>
              </w:rPr>
            </w:pPr>
            <w:r>
              <w:rPr>
                <w:rFonts w:ascii="Arial" w:cs="Arial" w:eastAsia="Arial" w:hAnsi="Arial"/>
                <w:sz w:val="15"/>
                <w:szCs w:val="15"/>
                <w:color w:val="auto"/>
                <w:w w:val="95"/>
              </w:rPr>
              <w:t>3</w:t>
            </w:r>
          </w:p>
        </w:tc>
        <w:tc>
          <w:tcPr>
            <w:tcW w:w="4440" w:type="dxa"/>
            <w:vAlign w:val="bottom"/>
            <w:shd w:val="clear" w:color="auto" w:fill="D8D8D8"/>
          </w:tcPr>
          <w:p>
            <w:pPr>
              <w:jc w:val="center"/>
              <w:ind w:right="532"/>
              <w:spacing w:after="0" w:line="167" w:lineRule="exact"/>
              <w:rPr>
                <w:sz w:val="20"/>
                <w:szCs w:val="20"/>
                <w:color w:val="auto"/>
              </w:rPr>
            </w:pPr>
            <w:r>
              <w:rPr>
                <w:rFonts w:ascii="Arial" w:cs="Arial" w:eastAsia="Arial" w:hAnsi="Arial"/>
                <w:sz w:val="15"/>
                <w:szCs w:val="15"/>
                <w:color w:val="auto"/>
                <w:w w:val="95"/>
              </w:rPr>
              <w:t>“FOR”</w:t>
            </w:r>
          </w:p>
        </w:tc>
      </w:tr>
      <w:tr>
        <w:trPr>
          <w:trHeight w:val="171"/>
        </w:trPr>
        <w:tc>
          <w:tcPr>
            <w:tcW w:w="5240" w:type="dxa"/>
            <w:vAlign w:val="bottom"/>
          </w:tcPr>
          <w:p>
            <w:pPr>
              <w:spacing w:after="0"/>
              <w:rPr>
                <w:sz w:val="20"/>
                <w:szCs w:val="20"/>
                <w:color w:val="auto"/>
              </w:rPr>
            </w:pPr>
            <w:r>
              <w:rPr>
                <w:rFonts w:ascii="Arial" w:cs="Arial" w:eastAsia="Arial" w:hAnsi="Arial"/>
                <w:sz w:val="15"/>
                <w:szCs w:val="15"/>
                <w:color w:val="auto"/>
              </w:rPr>
              <w:t>Approval of the Avis Budget Group, Inc. Amended and Restated Equity and</w:t>
            </w:r>
          </w:p>
        </w:tc>
        <w:tc>
          <w:tcPr>
            <w:tcW w:w="17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66"/>
        </w:trPr>
        <w:tc>
          <w:tcPr>
            <w:tcW w:w="524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color w:val="auto"/>
              </w:rPr>
              <w:t>Incentive Plan (pages 47-53)</w:t>
            </w:r>
          </w:p>
        </w:tc>
        <w:tc>
          <w:tcPr>
            <w:tcW w:w="1760" w:type="dxa"/>
            <w:vAlign w:val="bottom"/>
            <w:tcBorders>
              <w:bottom w:val="single" w:sz="8" w:color="auto"/>
            </w:tcBorders>
          </w:tcPr>
          <w:p>
            <w:pPr>
              <w:jc w:val="center"/>
              <w:ind w:right="492"/>
              <w:spacing w:after="0" w:line="167" w:lineRule="exact"/>
              <w:rPr>
                <w:sz w:val="20"/>
                <w:szCs w:val="20"/>
                <w:color w:val="auto"/>
              </w:rPr>
            </w:pPr>
            <w:r>
              <w:rPr>
                <w:rFonts w:ascii="Arial" w:cs="Arial" w:eastAsia="Arial" w:hAnsi="Arial"/>
                <w:sz w:val="15"/>
                <w:szCs w:val="15"/>
                <w:color w:val="auto"/>
                <w:w w:val="95"/>
              </w:rPr>
              <w:t>4</w:t>
            </w:r>
          </w:p>
        </w:tc>
        <w:tc>
          <w:tcPr>
            <w:tcW w:w="4440" w:type="dxa"/>
            <w:vAlign w:val="bottom"/>
            <w:tcBorders>
              <w:bottom w:val="single" w:sz="8" w:color="auto"/>
            </w:tcBorders>
          </w:tcPr>
          <w:p>
            <w:pPr>
              <w:jc w:val="center"/>
              <w:ind w:right="532"/>
              <w:spacing w:after="0" w:line="167" w:lineRule="exact"/>
              <w:rPr>
                <w:sz w:val="20"/>
                <w:szCs w:val="20"/>
                <w:color w:val="auto"/>
              </w:rPr>
            </w:pPr>
            <w:r>
              <w:rPr>
                <w:rFonts w:ascii="Arial" w:cs="Arial" w:eastAsia="Arial" w:hAnsi="Arial"/>
                <w:sz w:val="15"/>
                <w:szCs w:val="15"/>
                <w:color w:val="auto"/>
                <w:w w:val="95"/>
              </w:rPr>
              <w:t>“FOR”</w:t>
            </w:r>
          </w:p>
        </w:tc>
      </w:tr>
    </w:tbl>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Corporate Governance Highlights</w:t>
      </w:r>
    </w:p>
    <w:p>
      <w:pPr>
        <w:sectPr>
          <w:pgSz w:w="11900" w:h="16838" w:orient="portrait"/>
          <w:cols w:equalWidth="0" w:num="1">
            <w:col w:w="11450"/>
          </w:cols>
          <w:pgMar w:left="230" w:top="407" w:right="219" w:bottom="1440" w:gutter="0" w:footer="0" w:header="0"/>
        </w:sectPr>
      </w:pPr>
    </w:p>
    <w:p>
      <w:pPr>
        <w:spacing w:after="0" w:line="228" w:lineRule="exact"/>
        <w:rPr>
          <w:sz w:val="20"/>
          <w:szCs w:val="20"/>
          <w:color w:val="auto"/>
        </w:rPr>
      </w:pPr>
    </w:p>
    <w:p>
      <w:pPr>
        <w:ind w:left="210" w:hanging="210"/>
        <w:spacing w:after="0"/>
        <w:tabs>
          <w:tab w:leader="none" w:pos="210" w:val="left"/>
        </w:tabs>
        <w:numPr>
          <w:ilvl w:val="0"/>
          <w:numId w:val="7"/>
        </w:numPr>
        <w:rPr>
          <w:rFonts w:ascii="Arial" w:cs="Arial" w:eastAsia="Arial" w:hAnsi="Arial"/>
          <w:sz w:val="15"/>
          <w:szCs w:val="15"/>
          <w:color w:val="auto"/>
        </w:rPr>
      </w:pPr>
      <w:r>
        <w:rPr>
          <w:rFonts w:ascii="Arial" w:cs="Arial" w:eastAsia="Arial" w:hAnsi="Arial"/>
          <w:sz w:val="15"/>
          <w:szCs w:val="15"/>
          <w:color w:val="auto"/>
        </w:rPr>
        <w:t>80% of directors are independent</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Independent Presiding Director</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members of Compensation, Corporate Governance and Audit Committees are independent</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Annual election of the entire Board</w:t>
      </w:r>
    </w:p>
    <w:p>
      <w:pPr>
        <w:spacing w:after="0" w:line="63" w:lineRule="exact"/>
        <w:rPr>
          <w:rFonts w:ascii="Arial" w:cs="Arial" w:eastAsia="Arial" w:hAnsi="Arial"/>
          <w:sz w:val="15"/>
          <w:szCs w:val="15"/>
          <w:color w:val="auto"/>
        </w:rPr>
      </w:pPr>
    </w:p>
    <w:p>
      <w:pPr>
        <w:ind w:left="210" w:right="420" w:hanging="210"/>
        <w:spacing w:after="0"/>
        <w:tabs>
          <w:tab w:leader="none" w:pos="21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Majority voting and a director resignation policy for directors in uncontested elections</w: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Executive Compensation</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See “Executive Compensation” for more information.</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2013 Company Performance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98" w:hanging="198"/>
        <w:spacing w:after="0"/>
        <w:tabs>
          <w:tab w:leader="none" w:pos="198" w:val="left"/>
        </w:tabs>
        <w:numPr>
          <w:ilvl w:val="0"/>
          <w:numId w:val="8"/>
        </w:numPr>
        <w:rPr>
          <w:rFonts w:ascii="Arial" w:cs="Arial" w:eastAsia="Arial" w:hAnsi="Arial"/>
          <w:sz w:val="15"/>
          <w:szCs w:val="15"/>
          <w:color w:val="auto"/>
        </w:rPr>
      </w:pPr>
      <w:r>
        <w:rPr>
          <w:rFonts w:ascii="Arial" w:cs="Arial" w:eastAsia="Arial" w:hAnsi="Arial"/>
          <w:sz w:val="15"/>
          <w:szCs w:val="15"/>
          <w:color w:val="auto"/>
        </w:rPr>
        <w:t>Robust executive and director stock ownership guidelines</w:t>
      </w:r>
    </w:p>
    <w:p>
      <w:pPr>
        <w:spacing w:after="0" w:line="63" w:lineRule="exact"/>
        <w:rPr>
          <w:rFonts w:ascii="Arial" w:cs="Arial" w:eastAsia="Arial" w:hAnsi="Arial"/>
          <w:sz w:val="15"/>
          <w:szCs w:val="15"/>
          <w:color w:val="auto"/>
        </w:rPr>
      </w:pPr>
    </w:p>
    <w:p>
      <w:pPr>
        <w:ind w:left="198" w:hanging="198"/>
        <w:spacing w:after="0"/>
        <w:tabs>
          <w:tab w:leader="none" w:pos="198" w:val="left"/>
        </w:tabs>
        <w:numPr>
          <w:ilvl w:val="0"/>
          <w:numId w:val="8"/>
        </w:numPr>
        <w:rPr>
          <w:rFonts w:ascii="Arial" w:cs="Arial" w:eastAsia="Arial" w:hAnsi="Arial"/>
          <w:sz w:val="15"/>
          <w:szCs w:val="15"/>
          <w:color w:val="auto"/>
        </w:rPr>
      </w:pPr>
      <w:r>
        <w:rPr>
          <w:rFonts w:ascii="Arial" w:cs="Arial" w:eastAsia="Arial" w:hAnsi="Arial"/>
          <w:sz w:val="15"/>
          <w:szCs w:val="15"/>
          <w:color w:val="auto"/>
        </w:rPr>
        <w:t>No poison pill</w:t>
      </w:r>
    </w:p>
    <w:p>
      <w:pPr>
        <w:spacing w:after="0" w:line="63" w:lineRule="exact"/>
        <w:rPr>
          <w:rFonts w:ascii="Arial" w:cs="Arial" w:eastAsia="Arial" w:hAnsi="Arial"/>
          <w:sz w:val="15"/>
          <w:szCs w:val="15"/>
          <w:color w:val="auto"/>
        </w:rPr>
      </w:pPr>
    </w:p>
    <w:p>
      <w:pPr>
        <w:ind w:left="198" w:right="240" w:hanging="198"/>
        <w:spacing w:after="0"/>
        <w:tabs>
          <w:tab w:leader="none" w:pos="198" w:val="left"/>
        </w:tabs>
        <w:numPr>
          <w:ilvl w:val="0"/>
          <w:numId w:val="8"/>
        </w:numPr>
        <w:rPr>
          <w:rFonts w:ascii="Arial" w:cs="Arial" w:eastAsia="Arial" w:hAnsi="Arial"/>
          <w:sz w:val="15"/>
          <w:szCs w:val="15"/>
          <w:color w:val="auto"/>
        </w:rPr>
      </w:pPr>
      <w:r>
        <w:rPr>
          <w:rFonts w:ascii="Arial" w:cs="Arial" w:eastAsia="Arial" w:hAnsi="Arial"/>
          <w:sz w:val="15"/>
          <w:szCs w:val="15"/>
          <w:color w:val="auto"/>
        </w:rPr>
        <w:t>No director nominee attended less than 75% of Board and Committee meetings held in 2013 during such director’s period of service</w:t>
      </w:r>
    </w:p>
    <w:p>
      <w:pPr>
        <w:spacing w:after="0" w:line="1670" w:lineRule="exact"/>
        <w:rPr>
          <w:sz w:val="20"/>
          <w:szCs w:val="20"/>
          <w:color w:val="auto"/>
        </w:rPr>
      </w:pPr>
    </w:p>
    <w:p>
      <w:pPr>
        <w:sectPr>
          <w:pgSz w:w="11900" w:h="16838" w:orient="portrait"/>
          <w:cols w:equalWidth="0" w:num="2">
            <w:col w:w="5470" w:space="382"/>
            <w:col w:w="5598"/>
          </w:cols>
          <w:pgMar w:left="230" w:top="407" w:right="219" w:bottom="1440" w:gutter="0" w:footer="0" w:header="0"/>
          <w:type w:val="continuous"/>
        </w:sectPr>
      </w:pPr>
    </w:p>
    <w:p>
      <w:pPr>
        <w:ind w:left="10" w:right="520"/>
        <w:spacing w:after="0"/>
        <w:rPr>
          <w:sz w:val="20"/>
          <w:szCs w:val="20"/>
          <w:color w:val="auto"/>
        </w:rPr>
      </w:pPr>
      <w:r>
        <w:rPr>
          <w:rFonts w:ascii="Arial" w:cs="Arial" w:eastAsia="Arial" w:hAnsi="Arial"/>
          <w:sz w:val="15"/>
          <w:szCs w:val="15"/>
          <w:color w:val="auto"/>
        </w:rPr>
        <w:t>We had a successful 2013. We made continued progress on our strategic plan and achieved an 8% increase in revenue. Our stock price performance has made us a top performing U.S. stock, reflecting the Company’s solid operating and financial performance over the past several years,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72390</wp:posOffset>
            </wp:positionV>
            <wp:extent cx="950595"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1" w:lineRule="exact"/>
        <w:rPr>
          <w:sz w:val="20"/>
          <w:szCs w:val="20"/>
          <w:color w:val="auto"/>
        </w:rPr>
      </w:pPr>
    </w:p>
    <w:p>
      <w:pPr>
        <w:jc w:val="right"/>
        <w:ind w:right="100"/>
        <w:spacing w:after="0"/>
        <w:tabs>
          <w:tab w:leader="none" w:pos="20" w:val="left"/>
        </w:tabs>
        <w:rPr>
          <w:sz w:val="20"/>
          <w:szCs w:val="20"/>
          <w:color w:val="auto"/>
        </w:rPr>
      </w:pPr>
      <w:r>
        <w:rPr>
          <w:rFonts w:ascii="Arial" w:cs="Arial" w:eastAsia="Arial" w:hAnsi="Arial"/>
          <w:sz w:val="15"/>
          <w:szCs w:val="15"/>
          <w:i w:val="1"/>
          <w:iCs w:val="1"/>
          <w:color w:val="auto"/>
        </w:rPr>
        <w:t>2014 Proxy Statement</w:t>
      </w:r>
      <w:r>
        <w:rPr>
          <w:sz w:val="20"/>
          <w:szCs w:val="20"/>
          <w:color w:val="auto"/>
        </w:rPr>
        <w:tab/>
      </w:r>
      <w:r>
        <w:rPr>
          <w:rFonts w:ascii="Arial" w:cs="Arial" w:eastAsia="Arial" w:hAnsi="Arial"/>
          <w:sz w:val="14"/>
          <w:szCs w:val="14"/>
          <w:b w:val="1"/>
          <w:bCs w:val="1"/>
          <w:color w:val="auto"/>
        </w:rPr>
        <w:t>i</w:t>
      </w:r>
    </w:p>
    <w:p>
      <w:pPr>
        <w:sectPr>
          <w:pgSz w:w="11900" w:h="16838" w:orient="portrait"/>
          <w:cols w:equalWidth="0" w:num="1">
            <w:col w:w="11450"/>
          </w:cols>
          <w:pgMar w:left="230" w:top="407" w:right="219" w:bottom="1440" w:gutter="0" w:footer="0" w:header="0"/>
          <w:type w:val="continuous"/>
        </w:sectPr>
      </w:pPr>
    </w:p>
    <w:bookmarkStart w:id="5" w:name="page6"/>
    <w:bookmarkEnd w:id="5"/>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2014 PROXY SUMMARY</w:t>
      </w:r>
    </w:p>
    <w:p>
      <w:pPr>
        <w:sectPr>
          <w:pgSz w:w="11900" w:h="16838" w:orient="portrait"/>
          <w:cols w:equalWidth="0" w:num="1">
            <w:col w:w="11450"/>
          </w:cols>
          <w:pgMar w:left="230" w:top="407" w:right="219" w:bottom="1440" w:gutter="0" w:footer="0" w:header="0"/>
        </w:sectPr>
      </w:pPr>
    </w:p>
    <w:p>
      <w:pPr>
        <w:spacing w:after="0" w:line="154" w:lineRule="exact"/>
        <w:rPr>
          <w:sz w:val="20"/>
          <w:szCs w:val="20"/>
          <w:color w:val="auto"/>
        </w:rPr>
      </w:pPr>
    </w:p>
    <w:p>
      <w:pPr>
        <w:ind w:left="1890"/>
        <w:spacing w:after="0"/>
        <w:rPr>
          <w:sz w:val="20"/>
          <w:szCs w:val="20"/>
          <w:color w:val="auto"/>
        </w:rPr>
      </w:pPr>
      <w:r>
        <w:rPr>
          <w:rFonts w:ascii="Arial" w:cs="Arial" w:eastAsia="Arial" w:hAnsi="Arial"/>
          <w:sz w:val="15"/>
          <w:szCs w:val="15"/>
          <w:b w:val="1"/>
          <w:bCs w:val="1"/>
          <w:color w:val="auto"/>
        </w:rPr>
        <w:t>Stock Price Performance</w:t>
      </w:r>
    </w:p>
    <w:p>
      <w:pPr>
        <w:spacing w:after="0" w:line="14" w:lineRule="exact"/>
        <w:rPr>
          <w:sz w:val="20"/>
          <w:szCs w:val="20"/>
          <w:color w:val="auto"/>
        </w:rPr>
      </w:pPr>
    </w:p>
    <w:p>
      <w:pPr>
        <w:ind w:left="1830"/>
        <w:spacing w:after="0"/>
        <w:rPr>
          <w:sz w:val="20"/>
          <w:szCs w:val="20"/>
          <w:color w:val="auto"/>
        </w:rPr>
      </w:pPr>
      <w:r>
        <w:rPr>
          <w:rFonts w:ascii="Arial" w:cs="Arial" w:eastAsia="Arial" w:hAnsi="Arial"/>
          <w:sz w:val="14"/>
          <w:szCs w:val="14"/>
          <w:b w:val="1"/>
          <w:bCs w:val="1"/>
          <w:color w:val="auto"/>
        </w:rPr>
        <w:t>(One-Year and Three-Year)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46355</wp:posOffset>
            </wp:positionV>
            <wp:extent cx="1494155" cy="986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4155"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auto"/>
        </w:rPr>
        <w:t>Stock Price Growth</w:t>
      </w:r>
    </w:p>
    <w:p>
      <w:pPr>
        <w:spacing w:after="0" w:line="14"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(Year-End Closing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46355</wp:posOffset>
            </wp:positionV>
            <wp:extent cx="2015490" cy="993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15490" cy="993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10" w:space="720"/>
            <w:col w:w="3920"/>
          </w:cols>
          <w:pgMar w:left="230" w:top="40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2013 Compensation</w:t>
      </w:r>
    </w:p>
    <w:p>
      <w:pPr>
        <w:spacing w:after="0" w:line="82" w:lineRule="exact"/>
        <w:rPr>
          <w:sz w:val="20"/>
          <w:szCs w:val="20"/>
          <w:color w:val="auto"/>
        </w:rPr>
      </w:pPr>
    </w:p>
    <w:p>
      <w:pPr>
        <w:ind w:left="10" w:right="140"/>
        <w:spacing w:after="0" w:line="237" w:lineRule="auto"/>
        <w:rPr>
          <w:sz w:val="20"/>
          <w:szCs w:val="20"/>
          <w:color w:val="auto"/>
        </w:rPr>
      </w:pPr>
      <w:r>
        <w:rPr>
          <w:rFonts w:ascii="Arial" w:cs="Arial" w:eastAsia="Arial" w:hAnsi="Arial"/>
          <w:sz w:val="15"/>
          <w:szCs w:val="15"/>
          <w:color w:val="auto"/>
        </w:rPr>
        <w:t>Our named executive officers (“NEOs”) received total compensation for 2013 as set forth below. Compensation paid to our Chief Executive Officer (“CEO”) in 2013 was consistent with 2012 levels, reflecting strong performance in both years. The Committee approved increases to components of compensation paid to our other NEOs, including salary, based on a number of factors, including expanded responsibilities assumed by such officers following recent acquisitions. Aggregate compensation, as presented in the Summary Compensation Table below under “Executive Compensation”, for all such officers, however, appears to have decreased due to special three-year performance incentive awards granted to such officers in 2012.</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Summary Compensation Table Totals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5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NEO</w:t>
            </w:r>
          </w:p>
        </w:tc>
        <w:tc>
          <w:tcPr>
            <w:tcW w:w="3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2013</w:t>
            </w: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2012</w:t>
            </w:r>
          </w:p>
        </w:tc>
      </w:tr>
      <w:tr>
        <w:trPr>
          <w:trHeight w:val="160"/>
        </w:trPr>
        <w:tc>
          <w:tcPr>
            <w:tcW w:w="59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Chief Executive Officer</w:t>
            </w:r>
          </w:p>
        </w:tc>
        <w:tc>
          <w:tcPr>
            <w:tcW w:w="3280" w:type="dxa"/>
            <w:vAlign w:val="bottom"/>
            <w:shd w:val="clear" w:color="auto" w:fill="D8D8D8"/>
          </w:tcPr>
          <w:p>
            <w:pPr>
              <w:jc w:val="right"/>
              <w:ind w:right="7"/>
              <w:spacing w:after="0" w:line="160" w:lineRule="exact"/>
              <w:rPr>
                <w:sz w:val="20"/>
                <w:szCs w:val="20"/>
                <w:color w:val="auto"/>
              </w:rPr>
            </w:pPr>
            <w:r>
              <w:rPr>
                <w:rFonts w:ascii="Arial" w:cs="Arial" w:eastAsia="Arial" w:hAnsi="Arial"/>
                <w:sz w:val="15"/>
                <w:szCs w:val="15"/>
                <w:color w:val="auto"/>
              </w:rPr>
              <w:t>$</w:t>
            </w:r>
          </w:p>
        </w:tc>
        <w:tc>
          <w:tcPr>
            <w:tcW w:w="980" w:type="dxa"/>
            <w:vAlign w:val="bottom"/>
            <w:shd w:val="clear" w:color="auto" w:fill="D8D8D8"/>
          </w:tcPr>
          <w:p>
            <w:pPr>
              <w:ind w:left="80"/>
              <w:spacing w:after="0" w:line="160" w:lineRule="exact"/>
              <w:rPr>
                <w:sz w:val="20"/>
                <w:szCs w:val="20"/>
                <w:color w:val="auto"/>
              </w:rPr>
            </w:pPr>
            <w:r>
              <w:rPr>
                <w:rFonts w:ascii="Arial" w:cs="Arial" w:eastAsia="Arial" w:hAnsi="Arial"/>
                <w:sz w:val="15"/>
                <w:szCs w:val="15"/>
                <w:color w:val="auto"/>
              </w:rPr>
              <w:t>7.28 million</w:t>
            </w:r>
          </w:p>
        </w:tc>
        <w:tc>
          <w:tcPr>
            <w:tcW w:w="340" w:type="dxa"/>
            <w:vAlign w:val="bottom"/>
            <w:shd w:val="clear" w:color="auto" w:fill="D8D8D8"/>
          </w:tcPr>
          <w:p>
            <w:pPr>
              <w:jc w:val="right"/>
              <w:ind w:right="27"/>
              <w:spacing w:after="0" w:line="160" w:lineRule="exact"/>
              <w:rPr>
                <w:sz w:val="20"/>
                <w:szCs w:val="20"/>
                <w:color w:val="auto"/>
              </w:rPr>
            </w:pPr>
            <w:r>
              <w:rPr>
                <w:rFonts w:ascii="Arial" w:cs="Arial" w:eastAsia="Arial" w:hAnsi="Arial"/>
                <w:sz w:val="15"/>
                <w:szCs w:val="15"/>
                <w:color w:val="auto"/>
              </w:rPr>
              <w:t>$</w:t>
            </w:r>
          </w:p>
        </w:tc>
        <w:tc>
          <w:tcPr>
            <w:tcW w:w="940" w:type="dxa"/>
            <w:vAlign w:val="bottom"/>
            <w:shd w:val="clear" w:color="auto" w:fill="D8D8D8"/>
          </w:tcPr>
          <w:p>
            <w:pPr>
              <w:ind w:left="80"/>
              <w:spacing w:after="0" w:line="160" w:lineRule="exact"/>
              <w:rPr>
                <w:sz w:val="20"/>
                <w:szCs w:val="20"/>
                <w:color w:val="auto"/>
              </w:rPr>
            </w:pPr>
            <w:r>
              <w:rPr>
                <w:rFonts w:ascii="Arial" w:cs="Arial" w:eastAsia="Arial" w:hAnsi="Arial"/>
                <w:sz w:val="15"/>
                <w:szCs w:val="15"/>
                <w:color w:val="auto"/>
              </w:rPr>
              <w:t>7.25 million</w:t>
            </w: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color w:val="auto"/>
              </w:rPr>
              <w:t>Chief Financial Officer</w:t>
            </w:r>
          </w:p>
        </w:tc>
        <w:tc>
          <w:tcPr>
            <w:tcW w:w="3280" w:type="dxa"/>
            <w:vAlign w:val="bottom"/>
          </w:tcPr>
          <w:p>
            <w:pPr>
              <w:jc w:val="right"/>
              <w:ind w:right="7"/>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ind w:left="80"/>
              <w:spacing w:after="0" w:line="169" w:lineRule="exact"/>
              <w:rPr>
                <w:sz w:val="20"/>
                <w:szCs w:val="20"/>
                <w:color w:val="auto"/>
              </w:rPr>
            </w:pPr>
            <w:r>
              <w:rPr>
                <w:rFonts w:ascii="Arial" w:cs="Arial" w:eastAsia="Arial" w:hAnsi="Arial"/>
                <w:sz w:val="15"/>
                <w:szCs w:val="15"/>
                <w:color w:val="auto"/>
              </w:rPr>
              <w:t>2.83 million</w:t>
            </w:r>
          </w:p>
        </w:tc>
        <w:tc>
          <w:tcPr>
            <w:tcW w:w="34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ind w:left="80"/>
              <w:spacing w:after="0" w:line="169" w:lineRule="exact"/>
              <w:rPr>
                <w:sz w:val="20"/>
                <w:szCs w:val="20"/>
                <w:color w:val="auto"/>
              </w:rPr>
            </w:pPr>
            <w:r>
              <w:rPr>
                <w:rFonts w:ascii="Arial" w:cs="Arial" w:eastAsia="Arial" w:hAnsi="Arial"/>
                <w:sz w:val="15"/>
                <w:szCs w:val="15"/>
                <w:color w:val="auto"/>
              </w:rPr>
              <w:t>4.39 million</w:t>
            </w:r>
          </w:p>
        </w:tc>
      </w:tr>
      <w:tr>
        <w:trPr>
          <w:trHeight w:val="169"/>
        </w:trPr>
        <w:tc>
          <w:tcPr>
            <w:tcW w:w="59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President, North America</w:t>
            </w:r>
          </w:p>
        </w:tc>
        <w:tc>
          <w:tcPr>
            <w:tcW w:w="3280" w:type="dxa"/>
            <w:vAlign w:val="bottom"/>
            <w:shd w:val="clear" w:color="auto" w:fill="D8D8D8"/>
          </w:tcPr>
          <w:p>
            <w:pPr>
              <w:jc w:val="right"/>
              <w:ind w:right="7"/>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D8D8D8"/>
          </w:tcPr>
          <w:p>
            <w:pPr>
              <w:ind w:left="80"/>
              <w:spacing w:after="0" w:line="169" w:lineRule="exact"/>
              <w:rPr>
                <w:sz w:val="20"/>
                <w:szCs w:val="20"/>
                <w:color w:val="auto"/>
              </w:rPr>
            </w:pPr>
            <w:r>
              <w:rPr>
                <w:rFonts w:ascii="Arial" w:cs="Arial" w:eastAsia="Arial" w:hAnsi="Arial"/>
                <w:sz w:val="15"/>
                <w:szCs w:val="15"/>
                <w:color w:val="auto"/>
              </w:rPr>
              <w:t>2.85 million</w:t>
            </w:r>
          </w:p>
        </w:tc>
        <w:tc>
          <w:tcPr>
            <w:tcW w:w="340" w:type="dxa"/>
            <w:vAlign w:val="bottom"/>
            <w:shd w:val="clear" w:color="auto" w:fill="D8D8D8"/>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D8D8D8"/>
          </w:tcPr>
          <w:p>
            <w:pPr>
              <w:ind w:left="80"/>
              <w:spacing w:after="0" w:line="169" w:lineRule="exact"/>
              <w:rPr>
                <w:sz w:val="20"/>
                <w:szCs w:val="20"/>
                <w:color w:val="auto"/>
              </w:rPr>
            </w:pPr>
            <w:r>
              <w:rPr>
                <w:rFonts w:ascii="Arial" w:cs="Arial" w:eastAsia="Arial" w:hAnsi="Arial"/>
                <w:sz w:val="15"/>
                <w:szCs w:val="15"/>
                <w:color w:val="auto"/>
              </w:rPr>
              <w:t>4.52 million</w:t>
            </w: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color w:val="auto"/>
              </w:rPr>
              <w:t>President, Europe, Middle East and Africa*</w:t>
            </w:r>
          </w:p>
        </w:tc>
        <w:tc>
          <w:tcPr>
            <w:tcW w:w="3280" w:type="dxa"/>
            <w:vAlign w:val="bottom"/>
          </w:tcPr>
          <w:p>
            <w:pPr>
              <w:jc w:val="right"/>
              <w:ind w:right="7"/>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ind w:left="80"/>
              <w:spacing w:after="0" w:line="169" w:lineRule="exact"/>
              <w:rPr>
                <w:sz w:val="20"/>
                <w:szCs w:val="20"/>
                <w:color w:val="auto"/>
              </w:rPr>
            </w:pPr>
            <w:r>
              <w:rPr>
                <w:rFonts w:ascii="Arial" w:cs="Arial" w:eastAsia="Arial" w:hAnsi="Arial"/>
                <w:sz w:val="15"/>
                <w:szCs w:val="15"/>
                <w:color w:val="auto"/>
              </w:rPr>
              <w:t>4.83 million</w:t>
            </w:r>
          </w:p>
        </w:tc>
        <w:tc>
          <w:tcPr>
            <w:tcW w:w="34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ind w:left="80"/>
              <w:spacing w:after="0" w:line="169" w:lineRule="exact"/>
              <w:rPr>
                <w:sz w:val="20"/>
                <w:szCs w:val="20"/>
                <w:color w:val="auto"/>
              </w:rPr>
            </w:pPr>
            <w:r>
              <w:rPr>
                <w:rFonts w:ascii="Arial" w:cs="Arial" w:eastAsia="Arial" w:hAnsi="Arial"/>
                <w:sz w:val="15"/>
                <w:szCs w:val="15"/>
                <w:color w:val="auto"/>
              </w:rPr>
              <w:t>4.51 million</w:t>
            </w:r>
          </w:p>
        </w:tc>
      </w:tr>
      <w:tr>
        <w:trPr>
          <w:trHeight w:val="169"/>
        </w:trPr>
        <w:tc>
          <w:tcPr>
            <w:tcW w:w="59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President, Latin America/Asia-Pacific</w:t>
            </w:r>
          </w:p>
        </w:tc>
        <w:tc>
          <w:tcPr>
            <w:tcW w:w="3280" w:type="dxa"/>
            <w:vAlign w:val="bottom"/>
            <w:shd w:val="clear" w:color="auto" w:fill="D8D8D8"/>
          </w:tcPr>
          <w:p>
            <w:pPr>
              <w:jc w:val="right"/>
              <w:ind w:right="7"/>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D8D8D8"/>
          </w:tcPr>
          <w:p>
            <w:pPr>
              <w:ind w:left="80"/>
              <w:spacing w:after="0" w:line="169" w:lineRule="exact"/>
              <w:rPr>
                <w:sz w:val="20"/>
                <w:szCs w:val="20"/>
                <w:color w:val="auto"/>
              </w:rPr>
            </w:pPr>
            <w:r>
              <w:rPr>
                <w:rFonts w:ascii="Arial" w:cs="Arial" w:eastAsia="Arial" w:hAnsi="Arial"/>
                <w:sz w:val="15"/>
                <w:szCs w:val="15"/>
                <w:color w:val="auto"/>
              </w:rPr>
              <w:t>2.19 million</w:t>
            </w:r>
          </w:p>
        </w:tc>
        <w:tc>
          <w:tcPr>
            <w:tcW w:w="340" w:type="dxa"/>
            <w:vAlign w:val="bottom"/>
            <w:shd w:val="clear" w:color="auto" w:fill="D8D8D8"/>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D8D8D8"/>
          </w:tcPr>
          <w:p>
            <w:pPr>
              <w:ind w:left="80"/>
              <w:spacing w:after="0" w:line="169" w:lineRule="exact"/>
              <w:rPr>
                <w:sz w:val="20"/>
                <w:szCs w:val="20"/>
                <w:color w:val="auto"/>
              </w:rPr>
            </w:pPr>
            <w:r>
              <w:rPr>
                <w:rFonts w:ascii="Arial" w:cs="Arial" w:eastAsia="Arial" w:hAnsi="Arial"/>
                <w:sz w:val="15"/>
                <w:szCs w:val="15"/>
                <w:color w:val="auto"/>
              </w:rPr>
              <w:t>3.20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for 2013, $1.6 million of expatriate tax reimbursement in connection with the assignment of our President, EMEA to the United Kingdom.</w:t>
      </w:r>
    </w:p>
    <w:p>
      <w:pPr>
        <w:spacing w:after="0" w:line="68" w:lineRule="exact"/>
        <w:rPr>
          <w:sz w:val="20"/>
          <w:szCs w:val="20"/>
          <w:color w:val="auto"/>
        </w:rPr>
      </w:pPr>
    </w:p>
    <w:p>
      <w:pPr>
        <w:ind w:left="10"/>
        <w:spacing w:after="0"/>
        <w:rPr>
          <w:sz w:val="20"/>
          <w:szCs w:val="20"/>
          <w:color w:val="auto"/>
        </w:rPr>
      </w:pPr>
      <w:r>
        <w:rPr>
          <w:rFonts w:ascii="Arial" w:cs="Arial" w:eastAsia="Arial" w:hAnsi="Arial"/>
          <w:sz w:val="15"/>
          <w:szCs w:val="15"/>
          <w:color w:val="auto"/>
        </w:rPr>
        <w:t>As in prior years, compensation</w:t>
      </w:r>
      <w:r>
        <w:rPr>
          <w:rFonts w:ascii="Arial" w:cs="Arial" w:eastAsia="Arial" w:hAnsi="Arial"/>
          <w:sz w:val="9"/>
          <w:szCs w:val="9"/>
          <w:color w:val="auto"/>
        </w:rPr>
        <w:t>*</w:t>
      </w:r>
      <w:r>
        <w:rPr>
          <w:rFonts w:ascii="Arial" w:cs="Arial" w:eastAsia="Arial" w:hAnsi="Arial"/>
          <w:sz w:val="15"/>
          <w:szCs w:val="15"/>
          <w:color w:val="auto"/>
        </w:rPr>
        <w:t xml:space="preserve"> for our NEOs in 2013 was significantly performance-based, as illustrated below:</w:t>
      </w:r>
    </w:p>
    <w:p>
      <w:pPr>
        <w:spacing w:after="0" w:line="80" w:lineRule="exact"/>
        <w:rPr>
          <w:sz w:val="20"/>
          <w:szCs w:val="20"/>
          <w:color w:val="auto"/>
        </w:rPr>
      </w:pPr>
    </w:p>
    <w:tbl>
      <w:tblPr>
        <w:tblLayout w:type="fixed"/>
        <w:tblInd w:w="2590" w:type="dxa"/>
        <w:tblCellMar>
          <w:top w:w="0" w:type="dxa"/>
          <w:left w:w="0" w:type="dxa"/>
          <w:bottom w:w="0" w:type="dxa"/>
          <w:right w:w="0" w:type="dxa"/>
        </w:tblCellMar>
      </w:tblPr>
      <w:tr>
        <w:trPr>
          <w:trHeight w:val="194"/>
        </w:trPr>
        <w:tc>
          <w:tcPr>
            <w:tcW w:w="2780" w:type="dxa"/>
            <w:vAlign w:val="bottom"/>
            <w:vMerge w:val="restart"/>
          </w:tcPr>
          <w:p>
            <w:pPr>
              <w:spacing w:after="0"/>
              <w:rPr>
                <w:sz w:val="20"/>
                <w:szCs w:val="20"/>
                <w:color w:val="auto"/>
              </w:rPr>
            </w:pPr>
            <w:r>
              <w:rPr>
                <w:rFonts w:ascii="Arial" w:cs="Arial" w:eastAsia="Arial" w:hAnsi="Arial"/>
                <w:sz w:val="15"/>
                <w:szCs w:val="15"/>
                <w:b w:val="1"/>
                <w:bCs w:val="1"/>
                <w:color w:val="auto"/>
              </w:rPr>
              <w:t>CEO</w:t>
            </w:r>
          </w:p>
        </w:tc>
        <w:tc>
          <w:tcPr>
            <w:tcW w:w="3980" w:type="dxa"/>
            <w:vAlign w:val="bottom"/>
          </w:tcPr>
          <w:p>
            <w:pPr>
              <w:ind w:left="2460"/>
              <w:spacing w:after="0"/>
              <w:rPr>
                <w:sz w:val="20"/>
                <w:szCs w:val="20"/>
                <w:color w:val="auto"/>
              </w:rPr>
            </w:pPr>
            <w:r>
              <w:rPr>
                <w:rFonts w:ascii="Arial" w:cs="Arial" w:eastAsia="Arial" w:hAnsi="Arial"/>
                <w:sz w:val="15"/>
                <w:szCs w:val="15"/>
                <w:b w:val="1"/>
                <w:bCs w:val="1"/>
                <w:color w:val="auto"/>
                <w:w w:val="96"/>
              </w:rPr>
              <w:t>Other NEOs (average)</w:t>
            </w:r>
          </w:p>
        </w:tc>
        <w:tc>
          <w:tcPr>
            <w:tcW w:w="0" w:type="dxa"/>
            <w:vAlign w:val="bottom"/>
          </w:tcPr>
          <w:p>
            <w:pPr>
              <w:spacing w:after="0"/>
              <w:rPr>
                <w:sz w:val="1"/>
                <w:szCs w:val="1"/>
                <w:color w:val="auto"/>
              </w:rPr>
            </w:pPr>
          </w:p>
        </w:tc>
      </w:tr>
      <w:tr>
        <w:trPr>
          <w:trHeight w:val="68"/>
        </w:trPr>
        <w:tc>
          <w:tcPr>
            <w:tcW w:w="278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36195</wp:posOffset>
            </wp:positionV>
            <wp:extent cx="1858645" cy="1215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8645" cy="12153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-5715</wp:posOffset>
            </wp:positionV>
            <wp:extent cx="1887220" cy="1158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7220" cy="115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0" w:right="60" w:hanging="330"/>
        <w:spacing w:after="0" w:line="248" w:lineRule="auto"/>
        <w:tabs>
          <w:tab w:leader="none" w:pos="33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Pay mix reflects values as disclosed in the Summary Compensation Table, excluding Other Compensation, which constituted 5% or less of total compensation for all our NEOs other than our President, EMEA, who received expatriate and relocation benefits in 2013, including expatriate tax reimbursement. LTI is defined as long-term incentive.</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ii </w:t>
      </w:r>
      <w:r>
        <w:rPr>
          <w:sz w:val="1"/>
          <w:szCs w:val="1"/>
          <w:color w:val="auto"/>
        </w:rPr>
        <w:drawing>
          <wp:inline distT="0" distB="0" distL="0" distR="0">
            <wp:extent cx="857885" cy="114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type w:val="continuous"/>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ABOUT THE ANNUAL MEETING</w:t>
      </w:r>
    </w:p>
    <w:p>
      <w:pPr>
        <w:sectPr>
          <w:pgSz w:w="11900" w:h="16838" w:orient="portrait"/>
          <w:cols w:equalWidth="0" w:num="1">
            <w:col w:w="11440"/>
          </w:cols>
          <w:pgMar w:left="240" w:top="407" w:right="21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Why am I receiving these proxy materials?</w:t>
      </w:r>
    </w:p>
    <w:p>
      <w:pPr>
        <w:spacing w:after="0" w:line="82"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auto"/>
        </w:rPr>
        <w:t>The Board of Directors of Avis Budget Group, Inc. (the “Company” or “Avis Budget”) is soliciting your vote at the 2014 Annual Meeting of Stockholders, and any adjournment or postponement thereof (the “Meeting”), to be held Friday, May 23, 2014, at 11:00 a.m. Eastern Time, at the DoubleTree by Hilton Downtown Wilmington—Legal District, 700 N. King Street, Wilmington, Delaware 19801, for the purposes set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items will I be voting on and what are the Board’s voting recommendations?</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forth in this Proxy Statement. On or about April 4, 2014,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Board’s Voting</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Recommendation</w:t>
      </w:r>
    </w:p>
    <w:p>
      <w:pPr>
        <w:spacing w:after="0" w:line="1" w:lineRule="exact"/>
        <w:rPr>
          <w:sz w:val="20"/>
          <w:szCs w:val="20"/>
          <w:color w:val="auto"/>
        </w:rPr>
      </w:pPr>
    </w:p>
    <w:p>
      <w:pPr>
        <w:sectPr>
          <w:pgSz w:w="11900" w:h="16838" w:orient="portrait"/>
          <w:cols w:equalWidth="0" w:num="2">
            <w:col w:w="5680" w:space="160"/>
            <w:col w:w="5600"/>
          </w:cols>
          <w:pgMar w:left="240" w:top="407" w:right="2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8600" w:type="dxa"/>
            <w:vAlign w:val="bottom"/>
            <w:tcBorders>
              <w:top w:val="single" w:sz="8" w:color="auto"/>
            </w:tcBorders>
            <w:shd w:val="clear" w:color="auto" w:fill="D8D8D8"/>
          </w:tcPr>
          <w:p>
            <w:pPr>
              <w:spacing w:after="0" w:line="160" w:lineRule="exact"/>
              <w:rPr>
                <w:sz w:val="20"/>
                <w:szCs w:val="20"/>
                <w:color w:val="auto"/>
              </w:rPr>
            </w:pPr>
            <w:r>
              <w:rPr>
                <w:rFonts w:ascii="Arial" w:cs="Arial" w:eastAsia="Arial" w:hAnsi="Arial"/>
                <w:sz w:val="15"/>
                <w:szCs w:val="15"/>
                <w:color w:val="auto"/>
              </w:rPr>
              <w:t>No. 1: Election of Directors (see page 43)</w:t>
            </w:r>
          </w:p>
        </w:tc>
        <w:tc>
          <w:tcPr>
            <w:tcW w:w="2840" w:type="dxa"/>
            <w:vAlign w:val="bottom"/>
            <w:tcBorders>
              <w:top w:val="single" w:sz="8" w:color="auto"/>
            </w:tcBorders>
            <w:shd w:val="clear" w:color="auto" w:fill="D8D8D8"/>
          </w:tcPr>
          <w:p>
            <w:pPr>
              <w:jc w:val="center"/>
              <w:ind w:left="667"/>
              <w:spacing w:after="0" w:line="160" w:lineRule="exact"/>
              <w:rPr>
                <w:sz w:val="20"/>
                <w:szCs w:val="20"/>
                <w:color w:val="auto"/>
              </w:rPr>
            </w:pPr>
            <w:r>
              <w:rPr>
                <w:rFonts w:ascii="Arial" w:cs="Arial" w:eastAsia="Arial" w:hAnsi="Arial"/>
                <w:sz w:val="15"/>
                <w:szCs w:val="15"/>
                <w:color w:val="auto"/>
                <w:w w:val="98"/>
              </w:rPr>
              <w:t>“FOR” each nominee</w:t>
            </w:r>
          </w:p>
        </w:tc>
      </w:tr>
      <w:tr>
        <w:trPr>
          <w:trHeight w:val="169"/>
        </w:trPr>
        <w:tc>
          <w:tcPr>
            <w:tcW w:w="8600" w:type="dxa"/>
            <w:vAlign w:val="bottom"/>
          </w:tcPr>
          <w:p>
            <w:pPr>
              <w:spacing w:after="0" w:line="169" w:lineRule="exact"/>
              <w:rPr>
                <w:sz w:val="20"/>
                <w:szCs w:val="20"/>
                <w:color w:val="auto"/>
              </w:rPr>
            </w:pPr>
            <w:r>
              <w:rPr>
                <w:rFonts w:ascii="Arial" w:cs="Arial" w:eastAsia="Arial" w:hAnsi="Arial"/>
                <w:sz w:val="15"/>
                <w:szCs w:val="15"/>
                <w:color w:val="auto"/>
              </w:rPr>
              <w:t>No. 2: Ratification of Appointment of Auditors (see pages 44-45)</w:t>
            </w:r>
          </w:p>
        </w:tc>
        <w:tc>
          <w:tcPr>
            <w:tcW w:w="2840" w:type="dxa"/>
            <w:vAlign w:val="bottom"/>
          </w:tcPr>
          <w:p>
            <w:pPr>
              <w:jc w:val="center"/>
              <w:ind w:left="667"/>
              <w:spacing w:after="0" w:line="169" w:lineRule="exact"/>
              <w:rPr>
                <w:sz w:val="20"/>
                <w:szCs w:val="20"/>
                <w:color w:val="auto"/>
              </w:rPr>
            </w:pPr>
            <w:r>
              <w:rPr>
                <w:rFonts w:ascii="Arial" w:cs="Arial" w:eastAsia="Arial" w:hAnsi="Arial"/>
                <w:sz w:val="15"/>
                <w:szCs w:val="15"/>
                <w:color w:val="auto"/>
              </w:rPr>
              <w:t>“FOR”</w:t>
            </w:r>
          </w:p>
        </w:tc>
      </w:tr>
      <w:tr>
        <w:trPr>
          <w:trHeight w:val="169"/>
        </w:trPr>
        <w:tc>
          <w:tcPr>
            <w:tcW w:w="86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No. 3: Advisory Approval of the Compensation of our Named Executive Officers (see page 46)</w:t>
            </w:r>
          </w:p>
        </w:tc>
        <w:tc>
          <w:tcPr>
            <w:tcW w:w="2840" w:type="dxa"/>
            <w:vAlign w:val="bottom"/>
            <w:shd w:val="clear" w:color="auto" w:fill="D8D8D8"/>
          </w:tcPr>
          <w:p>
            <w:pPr>
              <w:jc w:val="center"/>
              <w:ind w:left="667"/>
              <w:spacing w:after="0" w:line="169" w:lineRule="exact"/>
              <w:rPr>
                <w:sz w:val="20"/>
                <w:szCs w:val="20"/>
                <w:color w:val="auto"/>
              </w:rPr>
            </w:pPr>
            <w:r>
              <w:rPr>
                <w:rFonts w:ascii="Arial" w:cs="Arial" w:eastAsia="Arial" w:hAnsi="Arial"/>
                <w:sz w:val="15"/>
                <w:szCs w:val="15"/>
                <w:color w:val="auto"/>
              </w:rPr>
              <w:t>“FOR”</w:t>
            </w:r>
          </w:p>
        </w:tc>
      </w:tr>
      <w:tr>
        <w:trPr>
          <w:trHeight w:val="169"/>
        </w:trPr>
        <w:tc>
          <w:tcPr>
            <w:tcW w:w="860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No. 4: Approval of the Avis Budget Group, Inc. Amended and Restated Equity and Incentive Plan (see pages 47-53)</w:t>
            </w:r>
          </w:p>
        </w:tc>
        <w:tc>
          <w:tcPr>
            <w:tcW w:w="2840" w:type="dxa"/>
            <w:vAlign w:val="bottom"/>
            <w:tcBorders>
              <w:bottom w:val="single" w:sz="8" w:color="auto"/>
            </w:tcBorders>
          </w:tcPr>
          <w:p>
            <w:pPr>
              <w:jc w:val="center"/>
              <w:ind w:left="667"/>
              <w:spacing w:after="0" w:line="169" w:lineRule="exact"/>
              <w:rPr>
                <w:sz w:val="20"/>
                <w:szCs w:val="20"/>
                <w:color w:val="auto"/>
              </w:rPr>
            </w:pPr>
            <w:r>
              <w:rPr>
                <w:rFonts w:ascii="Arial" w:cs="Arial" w:eastAsia="Arial" w:hAnsi="Arial"/>
                <w:sz w:val="15"/>
                <w:szCs w:val="15"/>
                <w:color w:val="auto"/>
              </w:rPr>
              <w:t>“FOR”</w:t>
            </w:r>
          </w:p>
        </w:tc>
      </w:tr>
    </w:tbl>
    <w:p>
      <w:pPr>
        <w:spacing w:after="0" w:line="187" w:lineRule="exact"/>
        <w:rPr>
          <w:sz w:val="20"/>
          <w:szCs w:val="20"/>
          <w:color w:val="auto"/>
        </w:rPr>
      </w:pPr>
    </w:p>
    <w:p>
      <w:pPr>
        <w:sectPr>
          <w:pgSz w:w="11900" w:h="16838" w:orient="portrait"/>
          <w:cols w:equalWidth="0" w:num="1">
            <w:col w:w="11440"/>
          </w:cols>
          <w:pgMar w:left="240" w:top="407"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Could other matters be decided at the Meeting?</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Board of Directors is not aware of any other matters to be brought before the Annual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do I have?</w:t>
      </w:r>
    </w:p>
    <w:p>
      <w:pPr>
        <w:spacing w:after="0" w:line="82" w:lineRule="exact"/>
        <w:rPr>
          <w:sz w:val="20"/>
          <w:szCs w:val="20"/>
          <w:color w:val="auto"/>
        </w:rPr>
      </w:pPr>
    </w:p>
    <w:p>
      <w:pPr>
        <w:jc w:val="both"/>
        <w:ind w:right="100"/>
        <w:spacing w:after="0" w:line="238" w:lineRule="auto"/>
        <w:rPr>
          <w:sz w:val="20"/>
          <w:szCs w:val="20"/>
          <w:color w:val="auto"/>
        </w:rPr>
      </w:pPr>
      <w:r>
        <w:rPr>
          <w:rFonts w:ascii="Arial" w:cs="Arial" w:eastAsia="Arial" w:hAnsi="Arial"/>
          <w:sz w:val="15"/>
          <w:szCs w:val="15"/>
          <w:color w:val="auto"/>
        </w:rPr>
        <w:t>You will have one vote for every share of the Company’s common stock, par value $0.01 per share (the “Common Stock”), you owned as of the close of business on March 27, 2014 (the “Record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How many votes can be cast by all stockholders?</w:t>
      </w:r>
    </w:p>
    <w:p>
      <w:pPr>
        <w:spacing w:after="0" w:line="82"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color w:val="auto"/>
        </w:rPr>
        <w:t>106,217,593 votes, consisting of one vote for each of the Company’s shares of Common Stock that were outstanding on the Record Date. There is no cumulative voting, and the holders of the Common Stock vote together as a single class.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must be present to hold the Meeting?</w:t>
      </w:r>
    </w:p>
    <w:p>
      <w:pPr>
        <w:spacing w:after="0" w:line="82"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One-third of the outstanding shares of Common Stock entitled to vote at the Meeting, or 35,405,864 votes, must be present, in person or by proxy, to constitute a quorum at the Meeting. Abstentions and broker non-votes will be counted for the purpose of determining whether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252095</wp:posOffset>
            </wp:positionV>
            <wp:extent cx="95059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5400" w:space="440"/>
            <w:col w:w="5600"/>
          </w:cols>
          <w:pgMar w:left="240" w:top="407" w:right="219" w:bottom="1440" w:gutter="0" w:footer="0" w:header="0"/>
          <w:type w:val="continuous"/>
        </w:sectPr>
      </w:pPr>
    </w:p>
    <w:p>
      <w:pPr>
        <w:spacing w:after="0" w:line="12" w:lineRule="exact"/>
        <w:rPr>
          <w:sz w:val="20"/>
          <w:szCs w:val="20"/>
          <w:color w:val="auto"/>
        </w:rPr>
      </w:pPr>
    </w:p>
    <w:tbl>
      <w:tblPr>
        <w:tblLayout w:type="fixed"/>
        <w:tblInd w:w="956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bl>
    <w:p>
      <w:pPr>
        <w:sectPr>
          <w:pgSz w:w="11900" w:h="16838" w:orient="portrait"/>
          <w:cols w:equalWidth="0" w:num="1">
            <w:col w:w="11440"/>
          </w:cols>
          <w:pgMar w:left="240" w:top="407" w:right="219" w:bottom="1440" w:gutter="0" w:footer="0" w:header="0"/>
          <w:type w:val="continuous"/>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FFFFFF"/>
          <w:highlight w:val="black"/>
        </w:rPr>
        <w:t>ABOUT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many votes are required to elect directors and adopt the other proposals?</w:t>
      </w:r>
    </w:p>
    <w:p>
      <w:pPr>
        <w:spacing w:after="0" w:line="165" w:lineRule="exact"/>
        <w:rPr>
          <w:sz w:val="20"/>
          <w:szCs w:val="20"/>
          <w:color w:val="auto"/>
        </w:rPr>
      </w:pPr>
    </w:p>
    <w:p>
      <w:pPr>
        <w:spacing w:after="0"/>
        <w:tabs>
          <w:tab w:leader="none" w:pos="4120" w:val="left"/>
          <w:tab w:leader="none" w:pos="7940" w:val="left"/>
        </w:tabs>
        <w:rPr>
          <w:sz w:val="20"/>
          <w:szCs w:val="20"/>
          <w:color w:val="auto"/>
        </w:rPr>
      </w:pPr>
      <w:r>
        <w:rPr>
          <w:rFonts w:ascii="Arial" w:cs="Arial" w:eastAsia="Arial" w:hAnsi="Arial"/>
          <w:sz w:val="15"/>
          <w:szCs w:val="15"/>
          <w:b w:val="1"/>
          <w:bCs w:val="1"/>
          <w:color w:val="auto"/>
        </w:rPr>
        <w:t>Proposal</w:t>
      </w:r>
      <w:r>
        <w:rPr>
          <w:sz w:val="20"/>
          <w:szCs w:val="20"/>
          <w:color w:val="auto"/>
        </w:rPr>
        <w:tab/>
      </w:r>
      <w:r>
        <w:rPr>
          <w:rFonts w:ascii="Arial" w:cs="Arial" w:eastAsia="Arial" w:hAnsi="Arial"/>
          <w:sz w:val="15"/>
          <w:szCs w:val="15"/>
          <w:b w:val="1"/>
          <w:bCs w:val="1"/>
          <w:color w:val="auto"/>
        </w:rPr>
        <w:t>Vote Requirement</w:t>
      </w:r>
      <w:r>
        <w:rPr>
          <w:sz w:val="20"/>
          <w:szCs w:val="20"/>
          <w:color w:val="auto"/>
        </w:rPr>
        <w:tab/>
      </w:r>
      <w:r>
        <w:rPr>
          <w:rFonts w:ascii="Arial" w:cs="Arial" w:eastAsia="Arial" w:hAnsi="Arial"/>
          <w:sz w:val="14"/>
          <w:szCs w:val="14"/>
          <w:b w:val="1"/>
          <w:bCs w:val="1"/>
          <w:color w:val="auto"/>
        </w:rPr>
        <w:t>Impact of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269480" cy="700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700405"/>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p>
      <w:pPr>
        <w:spacing w:after="0" w:line="22" w:lineRule="exact"/>
        <w:rPr>
          <w:sz w:val="20"/>
          <w:szCs w:val="20"/>
          <w:color w:val="auto"/>
        </w:rPr>
      </w:pPr>
    </w:p>
    <w:p>
      <w:pPr>
        <w:spacing w:after="0"/>
        <w:tabs>
          <w:tab w:leader="none" w:pos="4120" w:val="left"/>
          <w:tab w:leader="none" w:pos="4340" w:val="left"/>
        </w:tabs>
        <w:rPr>
          <w:sz w:val="20"/>
          <w:szCs w:val="20"/>
          <w:color w:val="auto"/>
        </w:rPr>
      </w:pPr>
      <w:r>
        <w:rPr>
          <w:rFonts w:ascii="Arial" w:cs="Arial" w:eastAsia="Arial" w:hAnsi="Arial"/>
          <w:sz w:val="15"/>
          <w:szCs w:val="15"/>
          <w:color w:val="auto"/>
        </w:rPr>
        <w:t>No. 1: Election of Directors</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Uncontested Election: Directors are elected by a</w:t>
      </w:r>
    </w:p>
    <w:p>
      <w:pPr>
        <w:ind w:left="4360"/>
        <w:spacing w:after="0" w:line="234" w:lineRule="auto"/>
        <w:rPr>
          <w:sz w:val="20"/>
          <w:szCs w:val="20"/>
          <w:color w:val="auto"/>
        </w:rPr>
      </w:pPr>
      <w:r>
        <w:rPr>
          <w:rFonts w:ascii="Arial" w:cs="Arial" w:eastAsia="Arial" w:hAnsi="Arial"/>
          <w:sz w:val="15"/>
          <w:szCs w:val="15"/>
          <w:color w:val="auto"/>
        </w:rPr>
        <w:t>majority of votes cast (number of votes cast “for”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each nominee must exceed the number of votes cast</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“against” that nominee)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Not counted as votes cast “for” or “against” and will have no effect on the outcome</w:t>
      </w:r>
    </w:p>
    <w:p>
      <w:pPr>
        <w:spacing w:after="0" w:line="398" w:lineRule="exact"/>
        <w:rPr>
          <w:sz w:val="20"/>
          <w:szCs w:val="20"/>
          <w:color w:val="auto"/>
        </w:rPr>
      </w:pPr>
    </w:p>
    <w:p>
      <w:pPr>
        <w:sectPr>
          <w:pgSz w:w="11900" w:h="16838" w:orient="portrait"/>
          <w:cols w:equalWidth="0" w:num="2">
            <w:col w:w="7800" w:space="160"/>
            <w:col w:w="3480"/>
          </w:cols>
          <w:pgMar w:left="240" w:top="407" w:right="219" w:bottom="1440" w:gutter="0" w:footer="0" w:header="0"/>
          <w:type w:val="continuous"/>
        </w:sectPr>
      </w:pPr>
    </w:p>
    <w:p>
      <w:pPr>
        <w:ind w:left="4360" w:right="3920" w:hanging="216"/>
        <w:spacing w:after="0"/>
        <w:tabs>
          <w:tab w:leader="none" w:pos="4317"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Contested Election: Plurality of shares present, in person or by proxy, and entitled to vote</w:t>
      </w:r>
    </w:p>
    <w:p>
      <w:pPr>
        <w:sectPr>
          <w:pgSz w:w="11900" w:h="16838" w:orient="portrait"/>
          <w:cols w:equalWidth="0" w:num="1">
            <w:col w:w="11440"/>
          </w:cols>
          <w:pgMar w:left="240" w:top="407" w:right="219" w:bottom="1440" w:gutter="0" w:footer="0" w:header="0"/>
          <w:type w:val="continuous"/>
        </w:sectPr>
      </w:pPr>
    </w:p>
    <w:p>
      <w:pPr>
        <w:spacing w:after="0"/>
        <w:tabs>
          <w:tab w:leader="none" w:pos="4120" w:val="left"/>
        </w:tabs>
        <w:rPr>
          <w:sz w:val="20"/>
          <w:szCs w:val="20"/>
          <w:color w:val="auto"/>
        </w:rPr>
      </w:pPr>
      <w:r>
        <w:rPr>
          <w:rFonts w:ascii="Arial" w:cs="Arial" w:eastAsia="Arial" w:hAnsi="Arial"/>
          <w:sz w:val="15"/>
          <w:szCs w:val="15"/>
          <w:color w:val="auto"/>
        </w:rPr>
        <w:t>No. 2: Ratification of Appointment of Auditors</w:t>
      </w:r>
      <w:r>
        <w:rPr>
          <w:sz w:val="20"/>
          <w:szCs w:val="20"/>
          <w:color w:val="auto"/>
        </w:rPr>
        <w:tab/>
      </w:r>
      <w:r>
        <w:rPr>
          <w:rFonts w:ascii="Arial" w:cs="Arial" w:eastAsia="Arial" w:hAnsi="Arial"/>
          <w:sz w:val="14"/>
          <w:szCs w:val="14"/>
          <w:color w:val="auto"/>
        </w:rPr>
        <w:t>Majority of shares present, in person or by proxy, and</w:t>
      </w:r>
    </w:p>
    <w:p>
      <w:pPr>
        <w:ind w:left="4140"/>
        <w:spacing w:after="0" w:line="228" w:lineRule="auto"/>
        <w:rPr>
          <w:sz w:val="20"/>
          <w:szCs w:val="20"/>
          <w:color w:val="auto"/>
        </w:rPr>
      </w:pPr>
      <w:r>
        <w:rPr>
          <w:rFonts w:ascii="Arial" w:cs="Arial" w:eastAsia="Arial" w:hAnsi="Arial"/>
          <w:sz w:val="15"/>
          <w:szCs w:val="15"/>
          <w:color w:val="auto"/>
        </w:rPr>
        <w:t>entitled to vote</w:t>
      </w:r>
    </w:p>
    <w:p>
      <w:pPr>
        <w:spacing w:after="0" w:line="20" w:lineRule="exact"/>
        <w:rPr>
          <w:sz w:val="20"/>
          <w:szCs w:val="20"/>
          <w:color w:val="auto"/>
        </w:rPr>
      </w:pPr>
      <w:r>
        <w:rPr>
          <w:sz w:val="20"/>
          <w:szCs w:val="20"/>
          <w:color w:val="auto"/>
        </w:rPr>
        <w:br w:type="column"/>
      </w:r>
    </w:p>
    <w:p>
      <w:pPr>
        <w:ind w:right="360"/>
        <w:spacing w:after="0" w:line="231" w:lineRule="auto"/>
        <w:rPr>
          <w:sz w:val="20"/>
          <w:szCs w:val="20"/>
          <w:color w:val="auto"/>
        </w:rPr>
      </w:pPr>
      <w:r>
        <w:rPr>
          <w:rFonts w:ascii="Arial" w:cs="Arial" w:eastAsia="Arial" w:hAnsi="Arial"/>
          <w:sz w:val="15"/>
          <w:szCs w:val="15"/>
          <w:color w:val="auto"/>
        </w:rPr>
        <w:t>Counted and will have the same effect as a vote against such proposal</w:t>
      </w:r>
    </w:p>
    <w:p>
      <w:pPr>
        <w:spacing w:after="0" w:line="1" w:lineRule="exact"/>
        <w:rPr>
          <w:sz w:val="20"/>
          <w:szCs w:val="20"/>
          <w:color w:val="auto"/>
        </w:rPr>
      </w:pPr>
    </w:p>
    <w:p>
      <w:pPr>
        <w:sectPr>
          <w:pgSz w:w="11900" w:h="16838" w:orient="portrait"/>
          <w:cols w:equalWidth="0" w:num="2">
            <w:col w:w="7580" w:space="380"/>
            <w:col w:w="3480"/>
          </w:cols>
          <w:pgMar w:left="240" w:top="407" w:right="2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040" w:type="dxa"/>
            <w:vAlign w:val="bottom"/>
            <w:shd w:val="clear" w:color="auto" w:fill="D8D8D8"/>
          </w:tcPr>
          <w:p>
            <w:pPr>
              <w:spacing w:after="0"/>
              <w:rPr>
                <w:sz w:val="20"/>
                <w:szCs w:val="20"/>
                <w:color w:val="auto"/>
              </w:rPr>
            </w:pPr>
            <w:r>
              <w:rPr>
                <w:rFonts w:ascii="Arial" w:cs="Arial" w:eastAsia="Arial" w:hAnsi="Arial"/>
                <w:sz w:val="15"/>
                <w:szCs w:val="15"/>
                <w:color w:val="auto"/>
                <w:w w:val="99"/>
              </w:rPr>
              <w:t>No. 3: Advisory Approval of the Compensation of our Named</w:t>
            </w:r>
          </w:p>
        </w:tc>
        <w:tc>
          <w:tcPr>
            <w:tcW w:w="3740" w:type="dxa"/>
            <w:vAlign w:val="bottom"/>
            <w:shd w:val="clear" w:color="auto" w:fill="D8D8D8"/>
          </w:tcPr>
          <w:p>
            <w:pPr>
              <w:ind w:left="100"/>
              <w:spacing w:after="0"/>
              <w:rPr>
                <w:sz w:val="20"/>
                <w:szCs w:val="20"/>
                <w:color w:val="auto"/>
              </w:rPr>
            </w:pPr>
            <w:r>
              <w:rPr>
                <w:rFonts w:ascii="Arial" w:cs="Arial" w:eastAsia="Arial" w:hAnsi="Arial"/>
                <w:sz w:val="15"/>
                <w:szCs w:val="15"/>
                <w:color w:val="auto"/>
              </w:rPr>
              <w:t>Majority of shares present, in person or by proxy, and</w:t>
            </w:r>
          </w:p>
        </w:tc>
        <w:tc>
          <w:tcPr>
            <w:tcW w:w="3660" w:type="dxa"/>
            <w:vAlign w:val="bottom"/>
            <w:shd w:val="clear" w:color="auto" w:fill="D8D8D8"/>
          </w:tcPr>
          <w:p>
            <w:pPr>
              <w:ind w:left="180"/>
              <w:spacing w:after="0"/>
              <w:rPr>
                <w:sz w:val="20"/>
                <w:szCs w:val="20"/>
                <w:color w:val="auto"/>
              </w:rPr>
            </w:pPr>
            <w:r>
              <w:rPr>
                <w:rFonts w:ascii="Arial" w:cs="Arial" w:eastAsia="Arial" w:hAnsi="Arial"/>
                <w:sz w:val="15"/>
                <w:szCs w:val="15"/>
                <w:color w:val="auto"/>
              </w:rPr>
              <w:t>Counted and will have the same effect as a vote</w:t>
            </w:r>
          </w:p>
        </w:tc>
      </w:tr>
      <w:tr>
        <w:trPr>
          <w:trHeight w:val="166"/>
        </w:trPr>
        <w:tc>
          <w:tcPr>
            <w:tcW w:w="4040" w:type="dxa"/>
            <w:vAlign w:val="bottom"/>
            <w:shd w:val="clear" w:color="auto" w:fill="D8D8D8"/>
          </w:tcPr>
          <w:p>
            <w:pPr>
              <w:spacing w:after="0" w:line="167" w:lineRule="exact"/>
              <w:rPr>
                <w:sz w:val="20"/>
                <w:szCs w:val="20"/>
                <w:color w:val="auto"/>
              </w:rPr>
            </w:pPr>
            <w:r>
              <w:rPr>
                <w:rFonts w:ascii="Arial" w:cs="Arial" w:eastAsia="Arial" w:hAnsi="Arial"/>
                <w:sz w:val="15"/>
                <w:szCs w:val="15"/>
                <w:color w:val="auto"/>
              </w:rPr>
              <w:t>Executive Officers</w:t>
            </w:r>
          </w:p>
        </w:tc>
        <w:tc>
          <w:tcPr>
            <w:tcW w:w="3740" w:type="dxa"/>
            <w:vAlign w:val="bottom"/>
            <w:shd w:val="clear" w:color="auto" w:fill="D8D8D8"/>
          </w:tcPr>
          <w:p>
            <w:pPr>
              <w:ind w:left="100"/>
              <w:spacing w:after="0" w:line="167" w:lineRule="exact"/>
              <w:rPr>
                <w:sz w:val="20"/>
                <w:szCs w:val="20"/>
                <w:color w:val="auto"/>
              </w:rPr>
            </w:pPr>
            <w:r>
              <w:rPr>
                <w:rFonts w:ascii="Arial" w:cs="Arial" w:eastAsia="Arial" w:hAnsi="Arial"/>
                <w:sz w:val="15"/>
                <w:szCs w:val="15"/>
                <w:color w:val="auto"/>
              </w:rPr>
              <w:t>entitled to vote</w:t>
            </w:r>
          </w:p>
        </w:tc>
        <w:tc>
          <w:tcPr>
            <w:tcW w:w="3660" w:type="dxa"/>
            <w:vAlign w:val="bottom"/>
            <w:shd w:val="clear" w:color="auto" w:fill="D8D8D8"/>
          </w:tcPr>
          <w:p>
            <w:pPr>
              <w:ind w:left="180"/>
              <w:spacing w:after="0" w:line="167" w:lineRule="exact"/>
              <w:rPr>
                <w:sz w:val="20"/>
                <w:szCs w:val="20"/>
                <w:color w:val="auto"/>
              </w:rPr>
            </w:pPr>
            <w:r>
              <w:rPr>
                <w:rFonts w:ascii="Arial" w:cs="Arial" w:eastAsia="Arial" w:hAnsi="Arial"/>
                <w:sz w:val="15"/>
                <w:szCs w:val="15"/>
                <w:color w:val="auto"/>
              </w:rPr>
              <w:t>against such proposal</w:t>
            </w:r>
          </w:p>
        </w:tc>
      </w:tr>
    </w:tbl>
    <w:p>
      <w:pPr>
        <w:spacing w:after="0" w:line="1" w:lineRule="exact"/>
        <w:rPr>
          <w:sz w:val="20"/>
          <w:szCs w:val="20"/>
          <w:color w:val="auto"/>
        </w:rPr>
      </w:pPr>
    </w:p>
    <w:p>
      <w:pPr>
        <w:sectPr>
          <w:pgSz w:w="11900" w:h="16838" w:orient="portrait"/>
          <w:cols w:equalWidth="0" w:num="1">
            <w:col w:w="11440"/>
          </w:cols>
          <w:pgMar w:left="240" w:top="407" w:right="219" w:bottom="1440" w:gutter="0" w:footer="0" w:header="0"/>
          <w:type w:val="continuous"/>
        </w:sectPr>
      </w:pPr>
    </w:p>
    <w:p>
      <w:pPr>
        <w:spacing w:after="0"/>
        <w:tabs>
          <w:tab w:leader="none" w:pos="4120" w:val="left"/>
        </w:tabs>
        <w:rPr>
          <w:sz w:val="20"/>
          <w:szCs w:val="20"/>
          <w:color w:val="auto"/>
        </w:rPr>
      </w:pPr>
      <w:r>
        <w:rPr>
          <w:rFonts w:ascii="Arial" w:cs="Arial" w:eastAsia="Arial" w:hAnsi="Arial"/>
          <w:sz w:val="15"/>
          <w:szCs w:val="15"/>
          <w:color w:val="auto"/>
        </w:rPr>
        <w:t>No. 4: Approval of the Avis Budget Group, Inc. Amended</w:t>
      </w:r>
      <w:r>
        <w:rPr>
          <w:sz w:val="20"/>
          <w:szCs w:val="20"/>
          <w:color w:val="auto"/>
        </w:rPr>
        <w:tab/>
      </w:r>
      <w:r>
        <w:rPr>
          <w:rFonts w:ascii="Arial" w:cs="Arial" w:eastAsia="Arial" w:hAnsi="Arial"/>
          <w:sz w:val="14"/>
          <w:szCs w:val="14"/>
          <w:color w:val="auto"/>
        </w:rPr>
        <w:t>Majority of shares present, in person or by proxy, and</w:t>
      </w:r>
    </w:p>
    <w:p>
      <w:pPr>
        <w:spacing w:after="0"/>
        <w:tabs>
          <w:tab w:leader="none" w:pos="4120" w:val="left"/>
        </w:tabs>
        <w:rPr>
          <w:sz w:val="20"/>
          <w:szCs w:val="20"/>
          <w:color w:val="auto"/>
        </w:rPr>
      </w:pPr>
      <w:r>
        <w:rPr>
          <w:rFonts w:ascii="Arial" w:cs="Arial" w:eastAsia="Arial" w:hAnsi="Arial"/>
          <w:sz w:val="15"/>
          <w:szCs w:val="15"/>
          <w:color w:val="auto"/>
        </w:rPr>
        <w:t>and Restated Equity and Incentive Plan</w:t>
      </w:r>
      <w:r>
        <w:rPr>
          <w:sz w:val="20"/>
          <w:szCs w:val="20"/>
          <w:color w:val="auto"/>
        </w:rPr>
        <w:tab/>
      </w:r>
      <w:r>
        <w:rPr>
          <w:rFonts w:ascii="Arial" w:cs="Arial" w:eastAsia="Arial" w:hAnsi="Arial"/>
          <w:sz w:val="14"/>
          <w:szCs w:val="14"/>
          <w:color w:val="auto"/>
        </w:rPr>
        <w:t>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26948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rPr>
          <w:sz w:val="20"/>
          <w:szCs w:val="20"/>
          <w:color w:val="auto"/>
        </w:rPr>
      </w:pPr>
      <w:r>
        <w:rPr>
          <w:rFonts w:ascii="Arial" w:cs="Arial" w:eastAsia="Arial" w:hAnsi="Arial"/>
          <w:sz w:val="15"/>
          <w:szCs w:val="15"/>
          <w:color w:val="auto"/>
        </w:rPr>
        <w:t>Counted and will have the same effect as a vote against such proposal</w:t>
      </w:r>
    </w:p>
    <w:p>
      <w:pPr>
        <w:spacing w:after="0" w:line="87" w:lineRule="exact"/>
        <w:rPr>
          <w:sz w:val="20"/>
          <w:szCs w:val="20"/>
          <w:color w:val="auto"/>
        </w:rPr>
      </w:pPr>
    </w:p>
    <w:p>
      <w:pPr>
        <w:sectPr>
          <w:pgSz w:w="11900" w:h="16838" w:orient="portrait"/>
          <w:cols w:equalWidth="0" w:num="2">
            <w:col w:w="7580" w:space="380"/>
            <w:col w:w="3480"/>
          </w:cols>
          <w:pgMar w:left="240" w:top="407" w:right="219" w:bottom="1440" w:gutter="0" w:footer="0" w:header="0"/>
          <w:type w:val="continuous"/>
        </w:sectPr>
      </w:pP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62"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 Nos. 1, 3, or 4, but the broker will have the discretion to vote your shares of Common Stock on Proposal No. 2. As a result, broker non-votes will have no effect on the outcome of Proposal Nos. 1, 3 or 4.</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 </w:t>
      </w:r>
      <w:r>
        <w:rPr>
          <w:sz w:val="1"/>
          <w:szCs w:val="1"/>
          <w:color w:val="auto"/>
        </w:rPr>
        <w:drawing>
          <wp:inline distT="0" distB="0" distL="0" distR="0">
            <wp:extent cx="857885" cy="1143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ind w:right="240"/>
        <w:spacing w:after="0" w:line="301" w:lineRule="auto"/>
        <w:rPr>
          <w:sz w:val="20"/>
          <w:szCs w:val="20"/>
          <w:color w:val="auto"/>
        </w:rPr>
      </w:pPr>
      <w:r>
        <w:rPr>
          <w:rFonts w:ascii="Arial" w:cs="Arial" w:eastAsia="Arial" w:hAnsi="Arial"/>
          <w:sz w:val="14"/>
          <w:szCs w:val="14"/>
          <w:b w:val="1"/>
          <w:bCs w:val="1"/>
          <w:color w:val="auto"/>
        </w:rPr>
        <w:t>Why did certain stockholders receive in the mail a one-page Notice regarding Internet availability of this Proxy Statement rather than a printed copy?</w:t>
      </w:r>
    </w:p>
    <w:p>
      <w:pPr>
        <w:spacing w:after="0" w:line="19"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To conserve natural resources and reduce costs, we are sending to a portion of our stockholders a Notice containing instructions on how to access this Proxy Statement online, as permitted by the Securities and Exchange Commission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w:t>
      </w:r>
    </w:p>
    <w:p>
      <w:pPr>
        <w:spacing w:after="0" w:line="82"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You should submit your proxy or voting instructions as soon as possible. If you received or requested printed copies of the proxy materials by mail, the materials will include a proxy card, for registered stockholders (that is, if you hold your stock directly in your name through our transfer agent), or a vote instruction form (“VIF”) for beneficial owners (if your shares are held in “street</w:t>
      </w:r>
    </w:p>
    <w:p>
      <w:pPr>
        <w:sectPr>
          <w:pgSz w:w="11900" w:h="16838" w:orient="portrait"/>
          <w:cols w:equalWidth="0" w:num="2">
            <w:col w:w="5480" w:space="360"/>
            <w:col w:w="5600"/>
          </w:cols>
          <w:pgMar w:left="240" w:top="407" w:right="219" w:bottom="1440" w:gutter="0" w:footer="0" w:header="0"/>
          <w:type w:val="continuous"/>
        </w:sectPr>
      </w:pPr>
    </w:p>
    <w:bookmarkStart w:id="8" w:name="page9"/>
    <w:bookmarkEnd w:id="8"/>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 w:right="80"/>
        <w:spacing w:after="0" w:line="238" w:lineRule="auto"/>
        <w:rPr>
          <w:sz w:val="20"/>
          <w:szCs w:val="20"/>
          <w:color w:val="auto"/>
        </w:rPr>
      </w:pPr>
      <w:r>
        <w:rPr>
          <w:rFonts w:ascii="Arial" w:cs="Arial" w:eastAsia="Arial" w:hAnsi="Arial"/>
          <w:sz w:val="15"/>
          <w:szCs w:val="15"/>
          <w:color w:val="auto"/>
        </w:rPr>
        <w:t>name” such as in a stock brokerage account, by a bank or other nominee). Whether you are a registered stockholder or hold any of your shares in “street name,” you may vote in the following ways:</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By Phone</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By Internet</w:t>
            </w:r>
          </w:p>
        </w:tc>
      </w:tr>
      <w:tr>
        <w:trPr>
          <w:trHeight w:val="163"/>
        </w:trPr>
        <w:tc>
          <w:tcPr>
            <w:tcW w:w="2880" w:type="dxa"/>
            <w:vAlign w:val="bottom"/>
            <w:shd w:val="clear" w:color="auto" w:fill="D8D8D8"/>
          </w:tcPr>
          <w:p>
            <w:pPr>
              <w:spacing w:after="0" w:line="163" w:lineRule="exact"/>
              <w:rPr>
                <w:sz w:val="20"/>
                <w:szCs w:val="20"/>
                <w:color w:val="auto"/>
              </w:rPr>
            </w:pPr>
            <w:r>
              <w:rPr>
                <w:rFonts w:ascii="Arial" w:cs="Arial" w:eastAsia="Arial" w:hAnsi="Arial"/>
                <w:sz w:val="15"/>
                <w:szCs w:val="15"/>
                <w:color w:val="auto"/>
              </w:rPr>
              <w:t>If you received or requested printed copies</w:t>
            </w:r>
          </w:p>
        </w:tc>
        <w:tc>
          <w:tcPr>
            <w:tcW w:w="2600" w:type="dxa"/>
            <w:vAlign w:val="bottom"/>
            <w:shd w:val="clear" w:color="auto" w:fill="D8D8D8"/>
          </w:tcPr>
          <w:p>
            <w:pPr>
              <w:ind w:left="100"/>
              <w:spacing w:after="0" w:line="163" w:lineRule="exact"/>
              <w:rPr>
                <w:sz w:val="20"/>
                <w:szCs w:val="20"/>
                <w:color w:val="auto"/>
              </w:rPr>
            </w:pPr>
            <w:r>
              <w:rPr>
                <w:rFonts w:ascii="Arial" w:cs="Arial" w:eastAsia="Arial" w:hAnsi="Arial"/>
                <w:sz w:val="15"/>
                <w:szCs w:val="15"/>
                <w:color w:val="auto"/>
                <w:w w:val="97"/>
              </w:rPr>
              <w:t>Follow the instructions included on the</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of the proxy materials by mail, in the U.S.</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proxy card/VIF or Notice of Internet</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or Canada, vote by dialing the number on</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Availability</w:t>
            </w:r>
          </w:p>
        </w:tc>
      </w:tr>
      <w:tr>
        <w:trPr>
          <w:trHeight w:val="166"/>
        </w:trPr>
        <w:tc>
          <w:tcPr>
            <w:tcW w:w="2880" w:type="dxa"/>
            <w:vAlign w:val="bottom"/>
            <w:tcBorders>
              <w:bottom w:val="single" w:sz="8" w:color="auto"/>
            </w:tcBorders>
            <w:shd w:val="clear" w:color="auto" w:fill="D8D8D8"/>
          </w:tcPr>
          <w:p>
            <w:pPr>
              <w:spacing w:after="0" w:line="167" w:lineRule="exact"/>
              <w:rPr>
                <w:sz w:val="20"/>
                <w:szCs w:val="20"/>
                <w:color w:val="auto"/>
              </w:rPr>
            </w:pPr>
            <w:r>
              <w:rPr>
                <w:rFonts w:ascii="Arial" w:cs="Arial" w:eastAsia="Arial" w:hAnsi="Arial"/>
                <w:sz w:val="15"/>
                <w:szCs w:val="15"/>
                <w:color w:val="auto"/>
              </w:rPr>
              <w:t>the proxy card/VIF</w:t>
            </w:r>
          </w:p>
        </w:tc>
        <w:tc>
          <w:tcPr>
            <w:tcW w:w="2600" w:type="dxa"/>
            <w:vAlign w:val="bottom"/>
            <w:tcBorders>
              <w:bottom w:val="single" w:sz="8" w:color="auto"/>
            </w:tcBorders>
            <w:shd w:val="clear" w:color="auto" w:fill="D8D8D8"/>
          </w:tcPr>
          <w:p>
            <w:pPr>
              <w:spacing w:after="0"/>
              <w:rPr>
                <w:sz w:val="14"/>
                <w:szCs w:val="14"/>
                <w:color w:val="auto"/>
              </w:rPr>
            </w:pPr>
          </w:p>
        </w:tc>
      </w:tr>
    </w:tbl>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By Mail</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In Person</w:t>
            </w:r>
          </w:p>
        </w:tc>
      </w:tr>
      <w:tr>
        <w:trPr>
          <w:trHeight w:val="163"/>
        </w:trPr>
        <w:tc>
          <w:tcPr>
            <w:tcW w:w="2880" w:type="dxa"/>
            <w:vAlign w:val="bottom"/>
            <w:shd w:val="clear" w:color="auto" w:fill="D8D8D8"/>
          </w:tcPr>
          <w:p>
            <w:pPr>
              <w:spacing w:after="0" w:line="163" w:lineRule="exact"/>
              <w:rPr>
                <w:sz w:val="20"/>
                <w:szCs w:val="20"/>
                <w:color w:val="auto"/>
              </w:rPr>
            </w:pPr>
            <w:r>
              <w:rPr>
                <w:rFonts w:ascii="Arial" w:cs="Arial" w:eastAsia="Arial" w:hAnsi="Arial"/>
                <w:sz w:val="15"/>
                <w:szCs w:val="15"/>
                <w:color w:val="auto"/>
              </w:rPr>
              <w:t>If you received or requested printed copies</w:t>
            </w:r>
          </w:p>
        </w:tc>
        <w:tc>
          <w:tcPr>
            <w:tcW w:w="2600" w:type="dxa"/>
            <w:vAlign w:val="bottom"/>
            <w:shd w:val="clear" w:color="auto" w:fill="D8D8D8"/>
          </w:tcPr>
          <w:p>
            <w:pPr>
              <w:ind w:left="100"/>
              <w:spacing w:after="0" w:line="163" w:lineRule="exact"/>
              <w:rPr>
                <w:sz w:val="20"/>
                <w:szCs w:val="20"/>
                <w:color w:val="auto"/>
              </w:rPr>
            </w:pPr>
            <w:r>
              <w:rPr>
                <w:rFonts w:ascii="Arial" w:cs="Arial" w:eastAsia="Arial" w:hAnsi="Arial"/>
                <w:sz w:val="15"/>
                <w:szCs w:val="15"/>
                <w:color w:val="auto"/>
              </w:rPr>
              <w:t>Attend the Meeting and vote in</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of the proxy materials by mail, vote by</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person. If you hold any shares in</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marking, dating and signing the proxy card</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“street name,” you may not vote in</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or VIF and returning it promptly in the</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person unless you bring with you a</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envelope provided</w:t>
            </w:r>
          </w:p>
        </w:tc>
        <w:tc>
          <w:tcPr>
            <w:tcW w:w="2600" w:type="dxa"/>
            <w:vAlign w:val="bottom"/>
            <w:shd w:val="clear" w:color="auto" w:fill="D8D8D8"/>
          </w:tcPr>
          <w:p>
            <w:pPr>
              <w:ind w:left="100"/>
              <w:spacing w:after="0" w:line="169" w:lineRule="exact"/>
              <w:rPr>
                <w:sz w:val="20"/>
                <w:szCs w:val="20"/>
                <w:color w:val="auto"/>
              </w:rPr>
            </w:pPr>
            <w:r>
              <w:rPr>
                <w:rFonts w:ascii="Arial" w:cs="Arial" w:eastAsia="Arial" w:hAnsi="Arial"/>
                <w:sz w:val="15"/>
                <w:szCs w:val="15"/>
                <w:color w:val="auto"/>
              </w:rPr>
              <w:t>legal proxy from the organization that</w:t>
            </w:r>
          </w:p>
        </w:tc>
      </w:tr>
      <w:tr>
        <w:trPr>
          <w:trHeight w:val="166"/>
        </w:trPr>
        <w:tc>
          <w:tcPr>
            <w:tcW w:w="2880" w:type="dxa"/>
            <w:vAlign w:val="bottom"/>
            <w:tcBorders>
              <w:bottom w:val="single" w:sz="8" w:color="auto"/>
            </w:tcBorders>
            <w:shd w:val="clear" w:color="auto" w:fill="D8D8D8"/>
          </w:tcPr>
          <w:p>
            <w:pPr>
              <w:spacing w:after="0"/>
              <w:rPr>
                <w:sz w:val="14"/>
                <w:szCs w:val="14"/>
                <w:color w:val="auto"/>
              </w:rPr>
            </w:pPr>
          </w:p>
        </w:tc>
        <w:tc>
          <w:tcPr>
            <w:tcW w:w="2600" w:type="dxa"/>
            <w:vAlign w:val="bottom"/>
            <w:tcBorders>
              <w:bottom w:val="single" w:sz="8" w:color="auto"/>
            </w:tcBorders>
            <w:shd w:val="clear" w:color="auto" w:fill="D8D8D8"/>
          </w:tcPr>
          <w:p>
            <w:pPr>
              <w:ind w:left="100"/>
              <w:spacing w:after="0" w:line="167" w:lineRule="exact"/>
              <w:rPr>
                <w:sz w:val="20"/>
                <w:szCs w:val="20"/>
                <w:color w:val="auto"/>
              </w:rPr>
            </w:pPr>
            <w:r>
              <w:rPr>
                <w:rFonts w:ascii="Arial" w:cs="Arial" w:eastAsia="Arial" w:hAnsi="Arial"/>
                <w:sz w:val="15"/>
                <w:szCs w:val="15"/>
                <w:color w:val="auto"/>
              </w:rPr>
              <w:t>holds your shares</w:t>
            </w:r>
          </w:p>
        </w:tc>
      </w:tr>
    </w:tbl>
    <w:p>
      <w:pPr>
        <w:spacing w:after="0" w:line="3" w:lineRule="exact"/>
        <w:rPr>
          <w:sz w:val="20"/>
          <w:szCs w:val="20"/>
          <w:color w:val="auto"/>
        </w:rPr>
      </w:pPr>
    </w:p>
    <w:p>
      <w:pPr>
        <w:ind w:left="10" w:right="260"/>
        <w:spacing w:after="0"/>
        <w:rPr>
          <w:sz w:val="20"/>
          <w:szCs w:val="20"/>
          <w:color w:val="auto"/>
        </w:rPr>
      </w:pPr>
      <w:r>
        <w:rPr>
          <w:rFonts w:ascii="Arial" w:cs="Arial" w:eastAsia="Arial" w:hAnsi="Arial"/>
          <w:sz w:val="15"/>
          <w:szCs w:val="15"/>
          <w:color w:val="auto"/>
        </w:rPr>
        <w:t>In all cases, the deadline for voting by telephone or via the Internet is 11:59 p.m., Eastern Time, on May 22, 2014.</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Can I change my vote?</w:t>
      </w:r>
    </w:p>
    <w:p>
      <w:pPr>
        <w:spacing w:after="0" w:line="82" w:lineRule="exact"/>
        <w:rPr>
          <w:sz w:val="20"/>
          <w:szCs w:val="20"/>
          <w:color w:val="auto"/>
        </w:rPr>
      </w:pPr>
    </w:p>
    <w:p>
      <w:pPr>
        <w:ind w:left="10" w:right="200"/>
        <w:spacing w:after="0"/>
        <w:rPr>
          <w:sz w:val="20"/>
          <w:szCs w:val="20"/>
          <w:color w:val="auto"/>
        </w:rPr>
      </w:pPr>
      <w:r>
        <w:rPr>
          <w:rFonts w:ascii="Arial" w:cs="Arial" w:eastAsia="Arial" w:hAnsi="Arial"/>
          <w:sz w:val="15"/>
          <w:szCs w:val="15"/>
          <w:color w:val="auto"/>
        </w:rPr>
        <w:t>Yes. You may revoke your proxy at any time prior to the voting at the Meeting if, in accordance with the voting procedures described above, you:</w:t>
      </w:r>
    </w:p>
    <w:p>
      <w:pPr>
        <w:spacing w:after="0" w:line="60" w:lineRule="exact"/>
        <w:rPr>
          <w:sz w:val="20"/>
          <w:szCs w:val="20"/>
          <w:color w:val="auto"/>
        </w:rPr>
      </w:pPr>
    </w:p>
    <w:p>
      <w:pPr>
        <w:ind w:left="210" w:hanging="210"/>
        <w:spacing w:after="0"/>
        <w:tabs>
          <w:tab w:leader="none" w:pos="2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Vote again (including by phone or Internet by the applicable deadline); or</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Complete, sign, date and return a new proxy card or VIF with a later date; or</w:t>
      </w:r>
    </w:p>
    <w:p>
      <w:pPr>
        <w:spacing w:after="0" w:line="63" w:lineRule="exact"/>
        <w:rPr>
          <w:rFonts w:ascii="Arial" w:cs="Arial" w:eastAsia="Arial" w:hAnsi="Arial"/>
          <w:sz w:val="15"/>
          <w:szCs w:val="15"/>
          <w:color w:val="auto"/>
        </w:rPr>
      </w:pPr>
    </w:p>
    <w:p>
      <w:pPr>
        <w:ind w:left="210" w:right="380" w:hanging="210"/>
        <w:spacing w:after="0"/>
        <w:tabs>
          <w:tab w:leader="none" w:pos="2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Give timely written notice of such revocation to our Corporate Secretary at 6 Sylvan Way, Parsippany, N.J. 07054; or</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Attend the Meeting and vote in person.</w:t>
      </w:r>
    </w:p>
    <w:p>
      <w:pPr>
        <w:spacing w:after="0" w:line="11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What if I do not vote for some of the proposals?</w:t>
      </w:r>
    </w:p>
    <w:p>
      <w:pPr>
        <w:spacing w:after="0" w:line="82" w:lineRule="exact"/>
        <w:rPr>
          <w:sz w:val="20"/>
          <w:szCs w:val="20"/>
          <w:color w:val="auto"/>
        </w:rPr>
      </w:pPr>
    </w:p>
    <w:p>
      <w:pPr>
        <w:ind w:left="10" w:right="380"/>
        <w:spacing w:after="0" w:line="237" w:lineRule="auto"/>
        <w:rPr>
          <w:sz w:val="20"/>
          <w:szCs w:val="20"/>
          <w:color w:val="auto"/>
        </w:rPr>
      </w:pPr>
      <w:r>
        <w:rPr>
          <w:rFonts w:ascii="Arial" w:cs="Arial" w:eastAsia="Arial" w:hAnsi="Arial"/>
          <w:sz w:val="15"/>
          <w:szCs w:val="15"/>
          <w:color w:val="auto"/>
        </w:rPr>
        <w:t>Shares of Common Stock represented by proxies received by the Company (whether through the return of a proxy card or VIF), that do not contain voting instructions, or if you vote by telephone or electronically via the Internet without indicating how you want to vote, your shares will be voted:</w:t>
      </w:r>
    </w:p>
    <w:p>
      <w:pPr>
        <w:spacing w:after="0" w:line="62" w:lineRule="exact"/>
        <w:rPr>
          <w:sz w:val="20"/>
          <w:szCs w:val="20"/>
          <w:color w:val="auto"/>
        </w:rPr>
      </w:pPr>
    </w:p>
    <w:p>
      <w:pPr>
        <w:ind w:left="210" w:hanging="210"/>
        <w:spacing w:after="0"/>
        <w:tabs>
          <w:tab w:leader="none" w:pos="21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election of all ten nominees for the Board of Directors (Proposal No.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left="200" w:hanging="197"/>
        <w:spacing w:after="0"/>
        <w:tabs>
          <w:tab w:leader="none" w:pos="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ratification of the appointment of auditors (Proposal No. 2);</w:t>
      </w:r>
    </w:p>
    <w:p>
      <w:pPr>
        <w:spacing w:after="0" w:line="63" w:lineRule="exact"/>
        <w:rPr>
          <w:rFonts w:ascii="Arial" w:cs="Arial" w:eastAsia="Arial" w:hAnsi="Arial"/>
          <w:sz w:val="15"/>
          <w:szCs w:val="15"/>
          <w:color w:val="auto"/>
        </w:rPr>
      </w:pPr>
    </w:p>
    <w:p>
      <w:pPr>
        <w:ind w:left="200" w:right="460" w:hanging="197"/>
        <w:spacing w:after="0"/>
        <w:tabs>
          <w:tab w:leader="none" w:pos="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proposal regarding advisory approval of the compensation of our named executive officers (Proposal No. 3); and</w:t>
      </w:r>
    </w:p>
    <w:p>
      <w:pPr>
        <w:spacing w:after="0" w:line="60" w:lineRule="exact"/>
        <w:rPr>
          <w:rFonts w:ascii="Arial" w:cs="Arial" w:eastAsia="Arial" w:hAnsi="Arial"/>
          <w:sz w:val="15"/>
          <w:szCs w:val="15"/>
          <w:color w:val="auto"/>
        </w:rPr>
      </w:pPr>
    </w:p>
    <w:p>
      <w:pPr>
        <w:ind w:left="200" w:right="60" w:hanging="197"/>
        <w:spacing w:after="0"/>
        <w:tabs>
          <w:tab w:leader="none" w:pos="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approval of the Avis Budget Group, Inc. Amended and Restated Equity and Incentive Plan (Proposal No. 4).</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participants in savings plans vote?</w:t>
      </w:r>
    </w:p>
    <w:p>
      <w:pPr>
        <w:spacing w:after="0" w:line="82"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16, 2014,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16, 2014. Participants in the Savings Plans are not entitled to vote in person at the Meeting.</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 I need a ticket to attend the Meeting?</w:t>
      </w:r>
    </w:p>
    <w:p>
      <w:pPr>
        <w:spacing w:after="0" w:line="82" w:lineRule="exact"/>
        <w:rPr>
          <w:sz w:val="20"/>
          <w:szCs w:val="20"/>
          <w:color w:val="auto"/>
        </w:rPr>
      </w:pPr>
    </w:p>
    <w:p>
      <w:pPr>
        <w:ind w:right="260"/>
        <w:spacing w:after="0"/>
        <w:rPr>
          <w:sz w:val="20"/>
          <w:szCs w:val="20"/>
          <w:color w:val="auto"/>
        </w:rPr>
      </w:pPr>
      <w:r>
        <w:rPr>
          <w:rFonts w:ascii="Arial" w:cs="Arial" w:eastAsia="Arial" w:hAnsi="Arial"/>
          <w:sz w:val="15"/>
          <w:szCs w:val="15"/>
          <w:color w:val="auto"/>
        </w:rPr>
        <w:t>Yes. Admission will be by ticket only. Admission to the Meeting will be expedited if tickets are obtained in advance.</w:t>
      </w:r>
    </w:p>
    <w:p>
      <w:pPr>
        <w:spacing w:after="0" w:line="46" w:lineRule="exact"/>
        <w:rPr>
          <w:sz w:val="20"/>
          <w:szCs w:val="20"/>
          <w:color w:val="auto"/>
        </w:rPr>
      </w:pPr>
    </w:p>
    <w:p>
      <w:pPr>
        <w:jc w:val="both"/>
        <w:ind w:left="200" w:right="80" w:hanging="197"/>
        <w:spacing w:after="0" w:line="247" w:lineRule="auto"/>
        <w:tabs>
          <w:tab w:leader="none" w:pos="20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Registered stockholders</w:t>
      </w:r>
      <w:r>
        <w:rPr>
          <w:rFonts w:ascii="Arial" w:cs="Arial" w:eastAsia="Arial" w:hAnsi="Arial"/>
          <w:sz w:val="15"/>
          <w:szCs w:val="15"/>
          <w:color w:val="auto"/>
        </w:rPr>
        <w:t>: bring the bottom portion of the proxy card enclosed with</w:t>
      </w:r>
      <w:r>
        <w:rPr>
          <w:rFonts w:ascii="Arial" w:cs="Arial" w:eastAsia="Arial" w:hAnsi="Arial"/>
          <w:sz w:val="15"/>
          <w:szCs w:val="15"/>
          <w:i w:val="1"/>
          <w:iCs w:val="1"/>
          <w:color w:val="auto"/>
        </w:rPr>
        <w:t xml:space="preserve"> </w:t>
      </w:r>
      <w:r>
        <w:rPr>
          <w:rFonts w:ascii="Arial" w:cs="Arial" w:eastAsia="Arial" w:hAnsi="Arial"/>
          <w:sz w:val="15"/>
          <w:szCs w:val="15"/>
          <w:color w:val="auto"/>
        </w:rPr>
        <w:t>this Proxy Statement (or obtained via the Internet) as your Meeting ticket. Notices will not be accepted as a Meeting ticket.</w:t>
      </w:r>
    </w:p>
    <w:p>
      <w:pPr>
        <w:spacing w:after="0" w:line="41" w:lineRule="exact"/>
        <w:rPr>
          <w:rFonts w:ascii="Arial" w:cs="Arial" w:eastAsia="Arial" w:hAnsi="Arial"/>
          <w:sz w:val="15"/>
          <w:szCs w:val="15"/>
          <w:color w:val="auto"/>
        </w:rPr>
      </w:pPr>
    </w:p>
    <w:p>
      <w:pPr>
        <w:ind w:left="200" w:right="40" w:hanging="197"/>
        <w:spacing w:after="0" w:line="239" w:lineRule="auto"/>
        <w:tabs>
          <w:tab w:leader="none" w:pos="20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Beneficial owners: </w:t>
      </w:r>
      <w:r>
        <w:rPr>
          <w:rFonts w:ascii="Arial" w:cs="Arial" w:eastAsia="Arial" w:hAnsi="Arial"/>
          <w:sz w:val="15"/>
          <w:szCs w:val="15"/>
          <w:color w:val="auto"/>
        </w:rPr>
        <w:t>if you own shares of Common Stock through an intermediary,</w:t>
      </w:r>
      <w:r>
        <w:rPr>
          <w:rFonts w:ascii="Arial" w:cs="Arial" w:eastAsia="Arial" w:hAnsi="Arial"/>
          <w:sz w:val="15"/>
          <w:szCs w:val="15"/>
          <w:i w:val="1"/>
          <w:iCs w:val="1"/>
          <w:color w:val="auto"/>
        </w:rPr>
        <w:t xml:space="preserve"> </w:t>
      </w:r>
      <w:r>
        <w:rPr>
          <w:rFonts w:ascii="Arial" w:cs="Arial" w:eastAsia="Arial" w:hAnsi="Arial"/>
          <w:sz w:val="15"/>
          <w:szCs w:val="15"/>
          <w:color w:val="auto"/>
        </w:rPr>
        <w:t>such as a bank or broker, request tickets in writing from the Corporate Secretary at Avis Budget Group, Inc., 6 Sylvan Way, Parsippany, N.J. 07054. Please include proof of ownership, such as a bank or brokerage firm account statement or letter from the broker, trustee, bank or nominee holding their stock, confirming beneficial ownership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246380</wp:posOffset>
            </wp:positionV>
            <wp:extent cx="950595"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375" w:lineRule="exact"/>
        <w:rPr>
          <w:sz w:val="20"/>
          <w:szCs w:val="20"/>
          <w:color w:val="auto"/>
        </w:rPr>
      </w:pPr>
    </w:p>
    <w:tbl>
      <w:tblPr>
        <w:tblLayout w:type="fixed"/>
        <w:tblInd w:w="372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bl>
    <w:p>
      <w:pPr>
        <w:sectPr>
          <w:pgSz w:w="11900" w:h="16838" w:orient="portrait"/>
          <w:cols w:equalWidth="0" w:num="2">
            <w:col w:w="5490" w:space="360"/>
            <w:col w:w="5540"/>
          </w:cols>
          <w:pgMar w:left="230" w:top="407" w:right="279" w:bottom="1440" w:gutter="0" w:footer="0" w:header="0"/>
        </w:sectPr>
      </w:pPr>
    </w:p>
    <w:bookmarkStart w:id="9" w:name="page10"/>
    <w:bookmarkEnd w:id="9"/>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50"/>
        <w:spacing w:after="0"/>
        <w:rPr>
          <w:sz w:val="20"/>
          <w:szCs w:val="20"/>
          <w:color w:val="auto"/>
        </w:rPr>
      </w:pPr>
      <w:r>
        <w:rPr>
          <w:rFonts w:ascii="Arial" w:cs="Arial" w:eastAsia="Arial" w:hAnsi="Arial"/>
          <w:sz w:val="11"/>
          <w:szCs w:val="11"/>
          <w:b w:val="1"/>
          <w:bCs w:val="1"/>
          <w:color w:val="FFFFFF"/>
          <w:highlight w:val="black"/>
        </w:rPr>
        <w:t>ABOUT THE ANNUAL MEETING</w:t>
      </w:r>
    </w:p>
    <w:p>
      <w:pPr>
        <w:spacing w:after="0" w:line="158" w:lineRule="exact"/>
        <w:rPr>
          <w:sz w:val="20"/>
          <w:szCs w:val="20"/>
          <w:color w:val="auto"/>
        </w:rPr>
      </w:pPr>
    </w:p>
    <w:p>
      <w:pPr>
        <w:ind w:left="210" w:right="180" w:hanging="210"/>
        <w:spacing w:after="0" w:line="247" w:lineRule="auto"/>
        <w:tabs>
          <w:tab w:leader="none" w:pos="21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Stockholders without advance tickets: </w:t>
      </w:r>
      <w:r>
        <w:rPr>
          <w:rFonts w:ascii="Arial" w:cs="Arial" w:eastAsia="Arial" w:hAnsi="Arial"/>
          <w:sz w:val="15"/>
          <w:szCs w:val="15"/>
          <w:color w:val="auto"/>
        </w:rPr>
        <w:t>stockholders who do not obtain tickets in</w:t>
      </w:r>
      <w:r>
        <w:rPr>
          <w:rFonts w:ascii="Arial" w:cs="Arial" w:eastAsia="Arial" w:hAnsi="Arial"/>
          <w:sz w:val="15"/>
          <w:szCs w:val="15"/>
          <w:i w:val="1"/>
          <w:iCs w:val="1"/>
          <w:color w:val="auto"/>
        </w:rPr>
        <w:t xml:space="preserve"> </w:t>
      </w:r>
      <w:r>
        <w:rPr>
          <w:rFonts w:ascii="Arial" w:cs="Arial" w:eastAsia="Arial" w:hAnsi="Arial"/>
          <w:sz w:val="15"/>
          <w:szCs w:val="15"/>
          <w:color w:val="auto"/>
        </w:rPr>
        <w:t>advance may obtain tickets on the Meeting date at the registration desk upon verifying his or her stock ownership as of the Record Date.</w:t>
      </w:r>
    </w:p>
    <w:p>
      <w:pPr>
        <w:spacing w:after="0" w:line="56" w:lineRule="exact"/>
        <w:rPr>
          <w:sz w:val="20"/>
          <w:szCs w:val="20"/>
          <w:color w:val="auto"/>
        </w:rPr>
      </w:pPr>
    </w:p>
    <w:p>
      <w:pPr>
        <w:ind w:left="10" w:right="20"/>
        <w:spacing w:after="0" w:line="256" w:lineRule="auto"/>
        <w:rPr>
          <w:sz w:val="20"/>
          <w:szCs w:val="20"/>
          <w:color w:val="auto"/>
        </w:rPr>
      </w:pPr>
      <w:r>
        <w:rPr>
          <w:rFonts w:ascii="Arial" w:cs="Arial" w:eastAsia="Arial" w:hAnsi="Arial"/>
          <w:sz w:val="14"/>
          <w:szCs w:val="14"/>
          <w:color w:val="auto"/>
        </w:rPr>
        <w:t>Attendance at the Meeting will be limited to stockholders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How can I find the voting results of the Annual Meeting?</w:t>
      </w:r>
    </w:p>
    <w:p>
      <w:pPr>
        <w:spacing w:after="0" w:line="82" w:lineRule="exact"/>
        <w:rPr>
          <w:sz w:val="20"/>
          <w:szCs w:val="20"/>
          <w:color w:val="auto"/>
        </w:rPr>
      </w:pPr>
    </w:p>
    <w:p>
      <w:pPr>
        <w:ind w:left="10" w:right="40"/>
        <w:spacing w:after="0" w:line="238" w:lineRule="auto"/>
        <w:rPr>
          <w:sz w:val="20"/>
          <w:szCs w:val="20"/>
          <w:color w:val="auto"/>
        </w:rPr>
      </w:pPr>
      <w:r>
        <w:rPr>
          <w:rFonts w:ascii="Arial" w:cs="Arial" w:eastAsia="Arial" w:hAnsi="Arial"/>
          <w:sz w:val="15"/>
          <w:szCs w:val="15"/>
          <w:color w:val="auto"/>
        </w:rPr>
        <w:t>Voting results will be tallied by the inspector of election. The Company will report the final results in a Current Report on Form 8-K, to be filed with the SEC within four business days following the Meeting.</w:t>
      </w:r>
    </w:p>
    <w:p>
      <w:pPr>
        <w:spacing w:after="0" w:line="110" w:lineRule="exact"/>
        <w:rPr>
          <w:sz w:val="20"/>
          <w:szCs w:val="20"/>
          <w:color w:val="auto"/>
        </w:rPr>
      </w:pPr>
    </w:p>
    <w:p>
      <w:pPr>
        <w:ind w:left="10" w:right="800"/>
        <w:spacing w:after="0" w:line="265" w:lineRule="auto"/>
        <w:rPr>
          <w:sz w:val="20"/>
          <w:szCs w:val="20"/>
          <w:color w:val="auto"/>
        </w:rPr>
      </w:pPr>
      <w:r>
        <w:rPr>
          <w:rFonts w:ascii="Arial" w:cs="Arial" w:eastAsia="Arial" w:hAnsi="Arial"/>
          <w:sz w:val="15"/>
          <w:szCs w:val="15"/>
          <w:b w:val="1"/>
          <w:bCs w:val="1"/>
          <w:color w:val="auto"/>
        </w:rPr>
        <w:t>How can I access the Company’s proxy materials and annual report electronically?</w:t>
      </w:r>
    </w:p>
    <w:p>
      <w:pPr>
        <w:spacing w:after="0" w:line="42" w:lineRule="exact"/>
        <w:rPr>
          <w:sz w:val="20"/>
          <w:szCs w:val="20"/>
          <w:color w:val="auto"/>
        </w:rPr>
      </w:pPr>
    </w:p>
    <w:p>
      <w:pPr>
        <w:ind w:left="10"/>
        <w:spacing w:after="0" w:line="236" w:lineRule="auto"/>
        <w:rPr>
          <w:sz w:val="20"/>
          <w:szCs w:val="20"/>
          <w:color w:val="auto"/>
        </w:rPr>
      </w:pPr>
      <w:r>
        <w:rPr>
          <w:rFonts w:ascii="Arial" w:cs="Arial" w:eastAsia="Arial" w:hAnsi="Arial"/>
          <w:sz w:val="15"/>
          <w:szCs w:val="15"/>
          <w:color w:val="auto"/>
        </w:rPr>
        <w:t xml:space="preserve">This Proxy Statement and the Company’s 2013 Annual Report may be viewed online at </w:t>
      </w:r>
      <w:r>
        <w:rPr>
          <w:rFonts w:ascii="Arial" w:cs="Arial" w:eastAsia="Arial" w:hAnsi="Arial"/>
          <w:sz w:val="15"/>
          <w:szCs w:val="15"/>
          <w:i w:val="1"/>
          <w:iCs w:val="1"/>
          <w:color w:val="auto"/>
        </w:rPr>
        <w:t>www.edocumentview.com/CAR.</w:t>
      </w:r>
      <w:r>
        <w:rPr>
          <w:rFonts w:ascii="Arial" w:cs="Arial" w:eastAsia="Arial" w:hAnsi="Arial"/>
          <w:sz w:val="15"/>
          <w:szCs w:val="15"/>
          <w:color w:val="auto"/>
        </w:rPr>
        <w:t xml:space="preserve"> If you are a stockholder of record, you can elect to receive future annual reports and proxy statements electronically by following the instructions provided if you vote via the Internet or by telephone or by enrolling through the transfer agent’s website at </w:t>
      </w:r>
      <w:r>
        <w:rPr>
          <w:rFonts w:ascii="Arial" w:cs="Arial" w:eastAsia="Arial" w:hAnsi="Arial"/>
          <w:sz w:val="15"/>
          <w:szCs w:val="15"/>
          <w:i w:val="1"/>
          <w:iCs w:val="1"/>
          <w:color w:val="auto"/>
        </w:rPr>
        <w:t>www.envisionreports.com/CAR.</w:t>
      </w:r>
      <w:r>
        <w:rPr>
          <w:rFonts w:ascii="Arial" w:cs="Arial" w:eastAsia="Arial" w:hAnsi="Arial"/>
          <w:sz w:val="15"/>
          <w:szCs w:val="15"/>
          <w:color w:val="auto"/>
        </w:rPr>
        <w:t xml:space="preserve"> If you choose this</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4 </w:t>
      </w:r>
      <w:r>
        <w:rPr>
          <w:sz w:val="1"/>
          <w:szCs w:val="1"/>
          <w:color w:val="auto"/>
        </w:rPr>
        <w:drawing>
          <wp:inline distT="0" distB="0" distL="0" distR="0">
            <wp:extent cx="857885" cy="114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option, you will receive a proxy form in early April 2015 listing the web 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-1276350</wp:posOffset>
            </wp:positionV>
            <wp:extent cx="730885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does a stockholder nominate someone to be a director?</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Director nominations may be made by a stockholder so long as the qualifying stockholder follows the procedures outlined in the amended and restated by-laws of the Company. Pursuant to our by-laws, for a nomination to be made by a stockholder, such stockholder must have given the proper notice within the specific time limits set forth in the relevant provision therein. For the 2015 annual meeting, the Company must receive this notice on or before February 22, 2015. Such notice and nomination should be submitted in writing to the Corporate Secretary of the Company and should include the information required for stockholder nominations set forth in the Company’s by-laws.</w:t>
      </w:r>
    </w:p>
    <w:p>
      <w:pPr>
        <w:spacing w:after="0" w:line="6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 xml:space="preserve">A copy of the full text of the Company’s by-law provision describing the procedure for stockholder nominations may be accessed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xml:space="preserve"> Nothing contained in any section of the Company’s website is incorporated by reference into this Proxy Statement.</w:t>
      </w:r>
    </w:p>
    <w:p>
      <w:pPr>
        <w:sectPr>
          <w:pgSz w:w="11900" w:h="16838" w:orient="portrait"/>
          <w:cols w:equalWidth="0" w:num="2">
            <w:col w:w="5490" w:space="360"/>
            <w:col w:w="5480"/>
          </w:cols>
          <w:pgMar w:left="230" w:top="407" w:right="339" w:bottom="1440" w:gutter="0" w:footer="0" w:header="0"/>
        </w:sectPr>
      </w:pPr>
    </w:p>
    <w:bookmarkStart w:id="10" w:name="page11"/>
    <w:bookmarkEnd w:id="10"/>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ind w:left="10"/>
        <w:spacing w:after="0"/>
        <w:rPr>
          <w:sz w:val="20"/>
          <w:szCs w:val="20"/>
          <w:color w:val="auto"/>
        </w:rPr>
      </w:pPr>
      <w:r>
        <w:rPr>
          <w:rFonts w:ascii="Arial" w:cs="Arial" w:eastAsia="Arial" w:hAnsi="Arial"/>
          <w:sz w:val="26"/>
          <w:szCs w:val="26"/>
          <w:b w:val="1"/>
          <w:bCs w:val="1"/>
          <w:color w:val="auto"/>
        </w:rPr>
        <w:t>CORPORATE GOVERNANCE</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6948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350"/>
          </w:cols>
          <w:pgMar w:left="230" w:top="407" w:right="319" w:bottom="1440" w:gutter="0" w:footer="0" w:header="0"/>
        </w:sectPr>
      </w:pPr>
    </w:p>
    <w:p>
      <w:pPr>
        <w:spacing w:after="0" w:line="228" w:lineRule="exact"/>
        <w:rPr>
          <w:sz w:val="20"/>
          <w:szCs w:val="20"/>
          <w:color w:val="auto"/>
        </w:rPr>
      </w:pPr>
    </w:p>
    <w:p>
      <w:pPr>
        <w:ind w:left="10"/>
        <w:spacing w:after="0" w:line="256" w:lineRule="auto"/>
        <w:rPr>
          <w:sz w:val="20"/>
          <w:szCs w:val="20"/>
          <w:color w:val="auto"/>
        </w:rPr>
      </w:pPr>
      <w:r>
        <w:rPr>
          <w:rFonts w:ascii="Arial" w:cs="Arial" w:eastAsia="Arial" w:hAnsi="Arial"/>
          <w:sz w:val="14"/>
          <w:szCs w:val="14"/>
          <w:color w:val="auto"/>
        </w:rPr>
        <w:t>The Board of Directors (the “Board”) currently consists of ten members. Each of the directors elected at the Meeting will serve for a term of one year expiring at the 2015 annual meeting of stockholders and until his or her successor is duly elected and qualified or until his or her earlier resignation or removal. The name of each present director, his or her position with the Company, and principal occupations and directorships held with other public companies during the past five years are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set forth below. In addition to the information presented below regarding each director’s experience, skills and attributes that contribute to the effectiveness of the Board as a whole, each director possesses valuable business management and leadership experience, demonstrates an ability to exercise sound judgment and business acumen, and brings unique perspective to the Board.</w:t>
      </w:r>
    </w:p>
    <w:p>
      <w:pPr>
        <w:spacing w:after="0" w:line="378" w:lineRule="exact"/>
        <w:rPr>
          <w:sz w:val="20"/>
          <w:szCs w:val="20"/>
          <w:color w:val="auto"/>
        </w:rPr>
      </w:pPr>
    </w:p>
    <w:p>
      <w:pPr>
        <w:sectPr>
          <w:pgSz w:w="11900" w:h="16838" w:orient="portrait"/>
          <w:cols w:equalWidth="0" w:num="2">
            <w:col w:w="5450" w:space="400"/>
            <w:col w:w="5500"/>
          </w:cols>
          <w:pgMar w:left="230" w:top="407" w:right="319" w:bottom="1440" w:gutter="0" w:footer="0" w:header="0"/>
          <w:type w:val="continuous"/>
        </w:sectPr>
      </w:pPr>
    </w:p>
    <w:p>
      <w:pPr>
        <w:spacing w:after="0" w:line="79" w:lineRule="exact"/>
        <w:rPr>
          <w:sz w:val="20"/>
          <w:szCs w:val="20"/>
          <w:color w:val="auto"/>
        </w:rPr>
      </w:pPr>
    </w:p>
    <w:p>
      <w:pPr>
        <w:ind w:left="10" w:right="2140"/>
        <w:spacing w:after="0" w:line="411" w:lineRule="auto"/>
        <w:rPr>
          <w:sz w:val="20"/>
          <w:szCs w:val="20"/>
          <w:color w:val="auto"/>
        </w:rPr>
      </w:pPr>
      <w:r>
        <w:rPr>
          <w:rFonts w:ascii="Arial" w:cs="Arial" w:eastAsia="Arial" w:hAnsi="Arial"/>
          <w:sz w:val="18"/>
          <w:szCs w:val="18"/>
          <w:b w:val="1"/>
          <w:bCs w:val="1"/>
          <w:color w:val="auto"/>
        </w:rPr>
        <w:t xml:space="preserve">Biographical Information for Nominees </w:t>
      </w:r>
      <w:r>
        <w:rPr>
          <w:rFonts w:ascii="Arial" w:cs="Arial" w:eastAsia="Arial" w:hAnsi="Arial"/>
          <w:sz w:val="18"/>
          <w:szCs w:val="18"/>
          <w:b w:val="1"/>
          <w:bCs w:val="1"/>
          <w:i w:val="1"/>
          <w:iCs w:val="1"/>
          <w:color w:val="auto"/>
        </w:rPr>
        <w:t>MR.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48805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ind w:left="10"/>
        <w:spacing w:after="0"/>
        <w:rPr>
          <w:sz w:val="20"/>
          <w:szCs w:val="20"/>
          <w:color w:val="auto"/>
        </w:rPr>
      </w:pPr>
      <w:r>
        <w:rPr>
          <w:rFonts w:ascii="Arial" w:cs="Arial" w:eastAsia="Arial" w:hAnsi="Arial"/>
          <w:sz w:val="15"/>
          <w:szCs w:val="15"/>
          <w:b w:val="1"/>
          <w:bCs w:val="1"/>
          <w:color w:val="auto"/>
        </w:rPr>
        <w:t>Director since April 2003;</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Chairman since August 2006</w:t>
      </w:r>
    </w:p>
    <w:p>
      <w:pPr>
        <w:ind w:left="10"/>
        <w:spacing w:after="0"/>
        <w:rPr>
          <w:sz w:val="20"/>
          <w:szCs w:val="20"/>
          <w:color w:val="auto"/>
        </w:rPr>
      </w:pPr>
      <w:r>
        <w:rPr>
          <w:rFonts w:ascii="Arial" w:cs="Arial" w:eastAsia="Arial" w:hAnsi="Arial"/>
          <w:sz w:val="15"/>
          <w:szCs w:val="15"/>
          <w:b w:val="1"/>
          <w:bCs w:val="1"/>
          <w:color w:val="auto"/>
        </w:rPr>
        <w:t>Board Committees: Executive (Chair)</w:t>
      </w:r>
    </w:p>
    <w:p>
      <w:pPr>
        <w:spacing w:after="0" w:line="64" w:lineRule="exact"/>
        <w:rPr>
          <w:sz w:val="20"/>
          <w:szCs w:val="20"/>
          <w:color w:val="auto"/>
        </w:rPr>
      </w:pPr>
    </w:p>
    <w:p>
      <w:pPr>
        <w:ind w:left="10"/>
        <w:spacing w:after="0" w:line="254" w:lineRule="auto"/>
        <w:rPr>
          <w:sz w:val="20"/>
          <w:szCs w:val="20"/>
          <w:color w:val="auto"/>
        </w:rPr>
      </w:pPr>
      <w:r>
        <w:rPr>
          <w:rFonts w:ascii="Arial" w:cs="Arial" w:eastAsia="Arial" w:hAnsi="Arial"/>
          <w:sz w:val="14"/>
          <w:szCs w:val="14"/>
          <w:color w:val="auto"/>
        </w:rPr>
        <w:t>Mr. Nelson, age 61, has been Chief Executive Officer of the Company and Chairman of the Board since August 2006. Prior to August 2006, Mr. Nelson held several executive finance and operating roles, starting in April 2003, with Cendant Corporation (as the Company was formerly known, “Cendant”),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 Inc. Mr. Nelson serves on the boards of Convergys Corporation and Hanesbrands, Inc., which both file reports pursuant to the Securities Exchange Act of 1934, as amended (the “Exchange Act”).</w:t>
      </w:r>
    </w:p>
    <w:p>
      <w:pPr>
        <w:spacing w:after="0" w:line="3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10" w:right="460" w:hanging="210"/>
        <w:spacing w:after="0"/>
        <w:tabs>
          <w:tab w:leader="none" w:pos="2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Chief Executive Officer, Chief Financial Officer and Chief Operating Officer experience</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Extensive Company and industry experience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Significant operating and financial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348805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 October 2011</w:t>
      </w:r>
    </w:p>
    <w:p>
      <w:pPr>
        <w:spacing w:after="0" w:line="82" w:lineRule="exact"/>
        <w:rPr>
          <w:sz w:val="20"/>
          <w:szCs w:val="20"/>
          <w:color w:val="auto"/>
        </w:rPr>
      </w:pPr>
    </w:p>
    <w:p>
      <w:pPr>
        <w:ind w:right="140"/>
        <w:spacing w:after="0" w:line="234" w:lineRule="auto"/>
        <w:rPr>
          <w:sz w:val="20"/>
          <w:szCs w:val="20"/>
          <w:color w:val="auto"/>
        </w:rPr>
      </w:pPr>
      <w:r>
        <w:rPr>
          <w:rFonts w:ascii="Arial" w:cs="Arial" w:eastAsia="Arial" w:hAnsi="Arial"/>
          <w:sz w:val="15"/>
          <w:szCs w:val="15"/>
          <w:color w:val="auto"/>
        </w:rPr>
        <w:t>Mr. Cathcart, age 70, was non-executive Chairman of the Board of Avis Europe Plc from May 2004 through October 2011 and also served as Chairman of the Nominations Committee and a member of the Remuneration Committee.</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Mr. Cathcart served as a member of the Board of Avis Europe from 1997 until it was acquired by Avis Budget Group in 2011. From 1983 to 1999, Mr. Cathcart was Chairman and Chief Executive of Avis Europe and he also served as Interim Chief Executive from November 2003 until March 2004. Mr. Cathcart spent 14 years in executive positions in the transportation industry before joining Avis Europe in 1980. Mr. Cathcart serves as Chairman of Palletways Group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00" w:hanging="198"/>
        <w:spacing w:after="0"/>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Chief Executive Officer experience</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Extensive Company and industry experience</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Broad international experience, particularly in the EMEA region</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410845</wp:posOffset>
            </wp:positionV>
            <wp:extent cx="950595"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72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5</w:t>
            </w:r>
          </w:p>
        </w:tc>
      </w:tr>
    </w:tbl>
    <w:p>
      <w:pPr>
        <w:sectPr>
          <w:pgSz w:w="11900" w:h="16838" w:orient="portrait"/>
          <w:cols w:equalWidth="0" w:num="2">
            <w:col w:w="5470" w:space="380"/>
            <w:col w:w="5500"/>
          </w:cols>
          <w:pgMar w:left="230" w:top="407" w:right="319" w:bottom="1440" w:gutter="0" w:footer="0" w:header="0"/>
          <w:type w:val="continuous"/>
        </w:sectPr>
      </w:pPr>
    </w:p>
    <w:bookmarkStart w:id="11" w:name="page12"/>
    <w:bookmarkEnd w:id="11"/>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31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4880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Director since March 2007</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Board Committees: Audit, Corporate Governance</w:t>
      </w:r>
    </w:p>
    <w:p>
      <w:pPr>
        <w:spacing w:after="0" w:line="64" w:lineRule="exact"/>
        <w:rPr>
          <w:sz w:val="20"/>
          <w:szCs w:val="20"/>
          <w:color w:val="auto"/>
        </w:rPr>
      </w:pPr>
    </w:p>
    <w:p>
      <w:pPr>
        <w:ind w:left="10"/>
        <w:spacing w:after="0" w:line="253" w:lineRule="auto"/>
        <w:rPr>
          <w:sz w:val="20"/>
          <w:szCs w:val="20"/>
          <w:color w:val="auto"/>
        </w:rPr>
      </w:pPr>
      <w:r>
        <w:rPr>
          <w:rFonts w:ascii="Arial" w:cs="Arial" w:eastAsia="Arial" w:hAnsi="Arial"/>
          <w:sz w:val="14"/>
          <w:szCs w:val="14"/>
          <w:color w:val="auto"/>
        </w:rPr>
        <w:t>Ms. Choksi, age 63, is a founding partner and Senior Managing Director of Strategic Investment Group, an investment management group founded in 1987, which designs and implements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Ms. Choksi also serves on the board of Omnicom Group Inc., which files reports pursuant to the Exchange Act, and is a member of Omnicom’s Audit and Finance Committees.</w:t>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10" w:hanging="210"/>
        <w:spacing w:after="0"/>
        <w:tabs>
          <w:tab w:leader="none" w:pos="2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Financial expertise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Broad international experience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Diverse personal background</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6 </w:t>
      </w:r>
      <w:r>
        <w:rPr>
          <w:sz w:val="1"/>
          <w:szCs w:val="1"/>
          <w:color w:val="auto"/>
        </w:rPr>
        <w:drawing>
          <wp:inline distT="0" distB="0" distL="0" distR="0">
            <wp:extent cx="857885" cy="1143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LEONARD 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-849630</wp:posOffset>
            </wp:positionV>
            <wp:extent cx="73088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348805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right="560"/>
        <w:spacing w:after="0" w:line="301" w:lineRule="auto"/>
        <w:rPr>
          <w:sz w:val="20"/>
          <w:szCs w:val="20"/>
          <w:color w:val="auto"/>
        </w:rPr>
      </w:pPr>
      <w:r>
        <w:rPr>
          <w:rFonts w:ascii="Arial" w:cs="Arial" w:eastAsia="Arial" w:hAnsi="Arial"/>
          <w:sz w:val="14"/>
          <w:szCs w:val="14"/>
          <w:b w:val="1"/>
          <w:bCs w:val="1"/>
          <w:color w:val="auto"/>
        </w:rPr>
        <w:t>Director since December 1997; Presiding Director since February 2003 Board Committees: Compensation, Corporate Governance (Chair)</w:t>
      </w:r>
    </w:p>
    <w:p>
      <w:pPr>
        <w:spacing w:after="0" w:line="1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Mr. Coleman, age 65, was a Senior Advisor to Major League Baseball from 1999 to December 2005. Mr. Coleman is the former President of The National League of Professional Baseball Clubs from 1994 to 1999, having served from 1992 to 1994 as Executive Director, Market Development of Major League Baseball. Previously,</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Aramark Holdings Corporation, Churchill Downs Incorporated, Electronic Arts Inc. and Omnicom Group Inc.</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00" w:hanging="198"/>
        <w:spacing w:after="0"/>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History with the Company</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Public service background</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International experience</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Diverse personal background</w:t>
      </w:r>
    </w:p>
    <w:p>
      <w:pPr>
        <w:sectPr>
          <w:pgSz w:w="11900" w:h="16838" w:orient="portrait"/>
          <w:cols w:equalWidth="0" w:num="2">
            <w:col w:w="5490" w:space="360"/>
            <w:col w:w="5460"/>
          </w:cols>
          <w:pgMar w:left="230" w:top="407" w:right="359" w:bottom="1440" w:gutter="0" w:footer="0" w:header="0"/>
        </w:sectPr>
      </w:pPr>
    </w:p>
    <w:bookmarkStart w:id="12" w:name="page13"/>
    <w:bookmarkEnd w:id="12"/>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MR.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48805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Director since July 2013</w:t>
      </w:r>
    </w:p>
    <w:p>
      <w:pPr>
        <w:spacing w:after="0" w:line="82" w:lineRule="exact"/>
        <w:rPr>
          <w:sz w:val="20"/>
          <w:szCs w:val="20"/>
          <w:color w:val="auto"/>
        </w:rPr>
      </w:pPr>
    </w:p>
    <w:p>
      <w:pPr>
        <w:ind w:left="10"/>
        <w:spacing w:after="0" w:line="235" w:lineRule="auto"/>
        <w:rPr>
          <w:sz w:val="20"/>
          <w:szCs w:val="20"/>
          <w:color w:val="auto"/>
        </w:rPr>
      </w:pPr>
      <w:r>
        <w:rPr>
          <w:rFonts w:ascii="Arial" w:cs="Arial" w:eastAsia="Arial" w:hAnsi="Arial"/>
          <w:sz w:val="15"/>
          <w:szCs w:val="15"/>
          <w:color w:val="auto"/>
        </w:rPr>
        <w:t>Mr. Fox, age 52, is a principal of The Circumference Group LLC, an investment and advisory firm which he founded in 2009. Mr. Fox was President and Chief Executive Officer of Convergys Corporation from 2010 to November 2012, and then Executive Chairman until April 2013. Previously, Mr. Fox worked for Alltel Corporation as Chief Operating Officer from 2007 through 2008, and as Group President from 2003 until 2007. Prior to joining Alltel, Mr. Fox worked in investment banking for ten years with Stephens Inc., preceded by two years with Merrill Lynch, specializing in mergers and acquisitions advisory services. Mr. Fox also currently serves as non-executive Chairman of the Board of Convergys Corporation, a company that files reports pursuant to the Exchange Act.</w:t>
      </w:r>
    </w:p>
    <w:p>
      <w:pPr>
        <w:spacing w:after="0" w:line="4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10" w:hanging="210"/>
        <w:spacing w:after="0"/>
        <w:tabs>
          <w:tab w:leader="none" w:pos="2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Chief Executive Officer and Chief Operating Officer experience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Technology expertise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Significant operating experience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Financial expertise</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MR.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48805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Director since April 2008</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Board Committees: Compensation (Chair)</w:t>
      </w:r>
    </w:p>
    <w:p>
      <w:pPr>
        <w:spacing w:after="0" w:line="64" w:lineRule="exact"/>
        <w:rPr>
          <w:sz w:val="20"/>
          <w:szCs w:val="20"/>
          <w:color w:val="auto"/>
        </w:rPr>
      </w:pPr>
    </w:p>
    <w:p>
      <w:pPr>
        <w:ind w:left="10"/>
        <w:spacing w:after="0" w:line="236" w:lineRule="auto"/>
        <w:rPr>
          <w:sz w:val="20"/>
          <w:szCs w:val="20"/>
          <w:color w:val="auto"/>
        </w:rPr>
      </w:pPr>
      <w:r>
        <w:rPr>
          <w:rFonts w:ascii="Arial" w:cs="Arial" w:eastAsia="Arial" w:hAnsi="Arial"/>
          <w:sz w:val="15"/>
          <w:szCs w:val="15"/>
          <w:color w:val="auto"/>
        </w:rPr>
        <w:t>From 1973 until his retirement in 2008, Mr. Hardy, age 70, was first an associate and later a partner at the law firm of O’Melveny &amp; Myers LLP where he practiced corporate and securities law and served on the firm’s compensation and bonus committee. From June 2008 through June 2009, Mr. Hardy was a partner at the law firm of Venable LLP, where he focused on recruitment and practice development for the firm’s West Coast business practice.</w:t>
      </w:r>
    </w:p>
    <w:p>
      <w:pPr>
        <w:spacing w:after="0" w:line="4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10" w:hanging="210"/>
        <w:spacing w:after="0"/>
        <w:tabs>
          <w:tab w:leader="none" w:pos="21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Extensive legal background</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Significant securities law expertise</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Compensation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348805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 October 2006</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 Audit, Compensation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Ms. Krominga, age 63, is a management consultant and attorney. Since 1999,</w:t>
      </w:r>
    </w:p>
    <w:p>
      <w:pPr>
        <w:ind w:right="80"/>
        <w:spacing w:after="0" w:line="251" w:lineRule="auto"/>
        <w:rPr>
          <w:sz w:val="20"/>
          <w:szCs w:val="20"/>
          <w:color w:val="auto"/>
        </w:rPr>
      </w:pPr>
      <w:r>
        <w:rPr>
          <w:rFonts w:ascii="Arial" w:cs="Arial" w:eastAsia="Arial" w:hAnsi="Arial"/>
          <w:sz w:val="14"/>
          <w:szCs w:val="14"/>
          <w:color w:val="auto"/>
        </w:rPr>
        <w:t>Ms. Krominga has been a consultant to private equity and venture capital investors, in which capacity she served in a number of operating and board positions, including Chief Executive Officer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Prior to joining Revlon, she was an attorney at American Express Company and an associate at Cleary, Gottlieb, Steen &amp; Hamilton. Until January 2013 (when the company was sold), Ms. Krominga served as Lead Director of Sunrise Senior Living, Inc., which had until then filed reports pursuant to the Exchange Act. From March through November 2008, she served as Chairman of the Board of Sunrise Senior Living (until the former CEO assumed that role); as Chairman of the Compensation Committee from 2008 to 2011; and as a member of the Audit, Compensation and Governance Committees from 2007 to 2013.</w:t>
      </w:r>
    </w:p>
    <w:p>
      <w:pPr>
        <w:spacing w:after="0" w:line="7" w:lineRule="exact"/>
        <w:rPr>
          <w:sz w:val="20"/>
          <w:szCs w:val="20"/>
          <w:color w:val="auto"/>
        </w:rPr>
      </w:pPr>
    </w:p>
    <w:p>
      <w:pPr>
        <w:ind w:right="360"/>
        <w:spacing w:after="0"/>
        <w:rPr>
          <w:sz w:val="20"/>
          <w:szCs w:val="20"/>
          <w:color w:val="auto"/>
        </w:rPr>
      </w:pPr>
      <w:r>
        <w:rPr>
          <w:rFonts w:ascii="Arial" w:cs="Arial" w:eastAsia="Arial" w:hAnsi="Arial"/>
          <w:sz w:val="15"/>
          <w:szCs w:val="15"/>
          <w:color w:val="auto"/>
        </w:rPr>
        <w:t>Ms. Krominga also currently serves on the Board of Advisors of the University of Minnesota Law School.</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82" w:lineRule="exact"/>
        <w:rPr>
          <w:sz w:val="20"/>
          <w:szCs w:val="20"/>
          <w:color w:val="auto"/>
        </w:rPr>
      </w:pPr>
    </w:p>
    <w:p>
      <w:pPr>
        <w:ind w:left="200" w:hanging="198"/>
        <w:spacing w:after="0"/>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Significant legal, governance, licensing and regulatory expertise</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International experience</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Diverse personal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1089660</wp:posOffset>
            </wp:positionV>
            <wp:extent cx="950595"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72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7</w:t>
            </w:r>
          </w:p>
        </w:tc>
      </w:tr>
    </w:tbl>
    <w:p>
      <w:pPr>
        <w:sectPr>
          <w:pgSz w:w="11900" w:h="16838" w:orient="portrait"/>
          <w:cols w:equalWidth="0" w:num="2">
            <w:col w:w="5470" w:space="380"/>
            <w:col w:w="5540"/>
          </w:cols>
          <w:pgMar w:left="230" w:top="407" w:right="279" w:bottom="1440" w:gutter="0" w:footer="0" w:header="0"/>
        </w:sectPr>
      </w:pPr>
    </w:p>
    <w:bookmarkStart w:id="13" w:name="page14"/>
    <w:bookmarkEnd w:id="13"/>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378"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MR.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4880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Director since July 2008</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Board Committees: Executive</w:t>
      </w:r>
    </w:p>
    <w:p>
      <w:pPr>
        <w:spacing w:after="0" w:line="64" w:lineRule="exact"/>
        <w:rPr>
          <w:sz w:val="20"/>
          <w:szCs w:val="20"/>
          <w:color w:val="auto"/>
        </w:rPr>
      </w:pPr>
    </w:p>
    <w:p>
      <w:pPr>
        <w:ind w:left="10"/>
        <w:spacing w:after="0" w:line="256" w:lineRule="auto"/>
        <w:rPr>
          <w:sz w:val="20"/>
          <w:szCs w:val="20"/>
          <w:color w:val="auto"/>
        </w:rPr>
      </w:pPr>
      <w:r>
        <w:rPr>
          <w:rFonts w:ascii="Arial" w:cs="Arial" w:eastAsia="Arial" w:hAnsi="Arial"/>
          <w:sz w:val="14"/>
          <w:szCs w:val="14"/>
          <w:color w:val="auto"/>
        </w:rPr>
        <w:t>Mr. Mestre, age 65, is Chairman of Global Advisory at Evercore Partners and was Vice Chairman with responsibility for the firm’s U.S. advisory practice from 2004 through 2011. Prior to joining Evercore, Mr. Mestre served as Chairman of Investment Banking at Citigroup, among numerous leadership positions he filled during a 27-year career there. Mr. Mestre also serves as a director of Comcast Corporation, a company that files reports pursuant to the Exchange Act.</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37" w:lineRule="exact"/>
        <w:rPr>
          <w:sz w:val="20"/>
          <w:szCs w:val="20"/>
          <w:color w:val="auto"/>
        </w:rPr>
      </w:pPr>
    </w:p>
    <w:p>
      <w:pPr>
        <w:ind w:left="210" w:hanging="210"/>
        <w:spacing w:after="0"/>
        <w:tabs>
          <w:tab w:leader="none" w:pos="2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Financial expertise</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Extensive advisory experience</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Diverse personal background</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MR.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48805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Director since August 2006</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Board Committees: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-892810</wp:posOffset>
            </wp:positionV>
            <wp:extent cx="730885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348805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 August 2006</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 Audit (Chair), Corporate Governance</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Mr. Sweeney, age 75, has been a financial advisor and equity investor 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37" w:lineRule="exact"/>
        <w:rPr>
          <w:sz w:val="20"/>
          <w:szCs w:val="20"/>
          <w:color w:val="auto"/>
        </w:rPr>
      </w:pPr>
    </w:p>
    <w:p>
      <w:pPr>
        <w:ind w:left="200" w:hanging="198"/>
        <w:spacing w:after="0"/>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Operating experience</w:t>
      </w:r>
    </w:p>
    <w:p>
      <w:pPr>
        <w:spacing w:after="0" w:line="18" w:lineRule="exact"/>
        <w:rPr>
          <w:rFonts w:ascii="Arial" w:cs="Arial" w:eastAsia="Arial" w:hAnsi="Arial"/>
          <w:sz w:val="15"/>
          <w:szCs w:val="15"/>
          <w:color w:val="auto"/>
        </w:rPr>
      </w:pPr>
    </w:p>
    <w:p>
      <w:pPr>
        <w:ind w:left="200" w:hanging="198"/>
        <w:spacing w:after="0"/>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Accounting expertise</w:t>
      </w:r>
    </w:p>
    <w:p>
      <w:pPr>
        <w:spacing w:after="0" w:line="18" w:lineRule="exact"/>
        <w:rPr>
          <w:rFonts w:ascii="Arial" w:cs="Arial" w:eastAsia="Arial" w:hAnsi="Arial"/>
          <w:sz w:val="15"/>
          <w:szCs w:val="15"/>
          <w:color w:val="auto"/>
        </w:rPr>
      </w:pPr>
    </w:p>
    <w:p>
      <w:pPr>
        <w:ind w:left="200" w:hanging="198"/>
        <w:spacing w:after="0"/>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Financial expertise</w:t>
      </w:r>
    </w:p>
    <w:p>
      <w:pPr>
        <w:spacing w:after="0" w:line="53" w:lineRule="exact"/>
        <w:rPr>
          <w:sz w:val="20"/>
          <w:szCs w:val="20"/>
          <w:color w:val="auto"/>
        </w:rPr>
      </w:pPr>
    </w:p>
    <w:p>
      <w:pPr>
        <w:sectPr>
          <w:pgSz w:w="11900" w:h="16838" w:orient="portrait"/>
          <w:cols w:equalWidth="0" w:num="2">
            <w:col w:w="5270" w:space="580"/>
            <w:col w:w="5480"/>
          </w:cols>
          <w:pgMar w:left="230" w:top="407" w:right="339" w:bottom="1440" w:gutter="0" w:footer="0" w:header="0"/>
        </w:sectPr>
      </w:pPr>
    </w:p>
    <w:p>
      <w:pPr>
        <w:ind w:left="10"/>
        <w:spacing w:after="0"/>
        <w:rPr>
          <w:sz w:val="20"/>
          <w:szCs w:val="20"/>
          <w:color w:val="auto"/>
        </w:rPr>
      </w:pPr>
      <w:r>
        <w:rPr>
          <w:rFonts w:ascii="Arial" w:cs="Arial" w:eastAsia="Arial" w:hAnsi="Arial"/>
          <w:sz w:val="14"/>
          <w:szCs w:val="14"/>
          <w:color w:val="auto"/>
        </w:rPr>
        <w:t>Mr. Salerno, age 62, was previously Vice Chairman of the Company from June 2010</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through December 2011, and President and Chief Operating Officer of the Company</w:t>
      </w:r>
    </w:p>
    <w:p>
      <w:pPr>
        <w:spacing w:after="0" w:line="4" w:lineRule="exact"/>
        <w:rPr>
          <w:sz w:val="20"/>
          <w:szCs w:val="20"/>
          <w:color w:val="auto"/>
        </w:rPr>
      </w:pPr>
    </w:p>
    <w:p>
      <w:pPr>
        <w:ind w:left="10"/>
        <w:spacing w:after="0"/>
        <w:rPr>
          <w:sz w:val="20"/>
          <w:szCs w:val="20"/>
          <w:color w:val="auto"/>
        </w:rPr>
      </w:pPr>
      <w:r>
        <w:rPr>
          <w:rFonts w:ascii="Arial" w:cs="Arial" w:eastAsia="Arial" w:hAnsi="Arial"/>
          <w:sz w:val="15"/>
          <w:szCs w:val="15"/>
          <w:color w:val="auto"/>
        </w:rPr>
        <w:t>from August 2006 to June 2010. For nearly 30 years, Mr. Salerno held numerous</w:t>
      </w:r>
    </w:p>
    <w:p>
      <w:pPr>
        <w:ind w:left="10"/>
        <w:spacing w:after="0" w:line="234" w:lineRule="auto"/>
        <w:rPr>
          <w:sz w:val="20"/>
          <w:szCs w:val="20"/>
          <w:color w:val="auto"/>
        </w:rPr>
      </w:pPr>
      <w:r>
        <w:rPr>
          <w:rFonts w:ascii="Arial" w:cs="Arial" w:eastAsia="Arial" w:hAnsi="Arial"/>
          <w:sz w:val="15"/>
          <w:szCs w:val="15"/>
          <w:color w:val="auto"/>
        </w:rPr>
        <w:t>leadership positions with the Company, including as chief executive of Cendant’s</w:t>
      </w:r>
    </w:p>
    <w:p>
      <w:pPr>
        <w:ind w:left="10"/>
        <w:spacing w:after="0" w:line="235" w:lineRule="auto"/>
        <w:rPr>
          <w:sz w:val="20"/>
          <w:szCs w:val="20"/>
          <w:color w:val="auto"/>
        </w:rPr>
      </w:pPr>
      <w:r>
        <w:rPr>
          <w:rFonts w:ascii="Arial" w:cs="Arial" w:eastAsia="Arial" w:hAnsi="Arial"/>
          <w:sz w:val="15"/>
          <w:szCs w:val="15"/>
          <w:color w:val="auto"/>
        </w:rPr>
        <w:t>vehicle rental business and as President and Chief Operating Officer of Avis from</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4"/>
          <w:szCs w:val="14"/>
          <w:color w:val="auto"/>
        </w:rPr>
        <w:t>1996 to November 2002. Mr. Salerno serves on the board of Norwegian Cruise Line</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Holdings, LLC, which files reports pursuant to the Exchange Act.</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Specific Qualifications, Attributes, Skills and Experience:</w:t>
      </w:r>
    </w:p>
    <w:p>
      <w:pPr>
        <w:spacing w:after="0" w:line="37" w:lineRule="exact"/>
        <w:rPr>
          <w:sz w:val="20"/>
          <w:szCs w:val="20"/>
          <w:color w:val="auto"/>
        </w:rPr>
      </w:pPr>
    </w:p>
    <w:p>
      <w:pPr>
        <w:ind w:left="210" w:hanging="210"/>
        <w:spacing w:after="0"/>
        <w:tabs>
          <w:tab w:leader="none" w:pos="2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Chief Operating Officer experience</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Extensive Company and industry experience</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Significant operating experience</w:t>
      </w:r>
    </w:p>
    <w:p>
      <w:pPr>
        <w:spacing w:after="0" w:line="29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694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330"/>
          </w:cols>
          <w:pgMar w:left="230" w:top="407" w:right="339" w:bottom="1440" w:gutter="0" w:footer="0" w:header="0"/>
          <w:type w:val="continuous"/>
        </w:sectPr>
      </w:pPr>
    </w:p>
    <w:p>
      <w:pPr>
        <w:spacing w:after="0" w:line="216"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200" w:lineRule="exact"/>
        <w:rPr>
          <w:sz w:val="20"/>
          <w:szCs w:val="20"/>
          <w:color w:val="auto"/>
        </w:rPr>
      </w:pPr>
    </w:p>
    <w:p>
      <w:pPr>
        <w:spacing w:after="0" w:line="24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8 </w:t>
      </w:r>
      <w:r>
        <w:rPr>
          <w:sz w:val="1"/>
          <w:szCs w:val="1"/>
          <w:color w:val="auto"/>
        </w:rPr>
        <w:drawing>
          <wp:inline distT="0" distB="0" distL="0" distR="0">
            <wp:extent cx="857885" cy="1143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w:t>
      </w:r>
    </w:p>
    <w:p>
      <w:pPr>
        <w:sectPr>
          <w:pgSz w:w="11900" w:h="16838" w:orient="portrait"/>
          <w:cols w:equalWidth="0" w:num="2">
            <w:col w:w="5230" w:space="620"/>
            <w:col w:w="5480"/>
          </w:cols>
          <w:pgMar w:left="230" w:top="407" w:right="339" w:bottom="1440" w:gutter="0" w:footer="0" w:header="0"/>
          <w:type w:val="continuous"/>
        </w:sectPr>
      </w:pPr>
    </w:p>
    <w:bookmarkStart w:id="14" w:name="page15"/>
    <w:bookmarkEnd w:id="14"/>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ind w:left="10"/>
        <w:spacing w:after="0" w:line="239" w:lineRule="auto"/>
        <w:rPr>
          <w:sz w:val="20"/>
          <w:szCs w:val="20"/>
          <w:color w:val="auto"/>
        </w:rPr>
      </w:pPr>
      <w:r>
        <w:rPr>
          <w:rFonts w:ascii="Arial" w:cs="Arial" w:eastAsia="Arial" w:hAnsi="Arial"/>
          <w:sz w:val="15"/>
          <w:szCs w:val="15"/>
          <w:color w:val="auto"/>
        </w:rPr>
        <w:t xml:space="preserve">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64"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After evaluating the factors described above, the Board of Directors has affirmatively determined that eight of our current directors are independent in accordance with NASDAQ corporate governance listing standards and our own director independence criteria.</w:t>
      </w:r>
    </w:p>
    <w:p>
      <w:pPr>
        <w:spacing w:after="0" w:line="89" w:lineRule="exact"/>
        <w:rPr>
          <w:sz w:val="20"/>
          <w:szCs w:val="20"/>
          <w:color w:val="auto"/>
        </w:rPr>
      </w:pPr>
    </w:p>
    <w:tbl>
      <w:tblPr>
        <w:tblLayout w:type="fixed"/>
        <w:tblInd w:w="710" w:type="dxa"/>
        <w:tblCellMar>
          <w:top w:w="0" w:type="dxa"/>
          <w:left w:w="0" w:type="dxa"/>
          <w:bottom w:w="0" w:type="dxa"/>
          <w:right w:w="0" w:type="dxa"/>
        </w:tblCellMar>
      </w:tblPr>
      <w:tr>
        <w:trPr>
          <w:trHeight w:val="187"/>
        </w:trPr>
        <w:tc>
          <w:tcPr>
            <w:tcW w:w="2820" w:type="dxa"/>
            <w:vAlign w:val="bottom"/>
          </w:tcPr>
          <w:p>
            <w:pPr>
              <w:ind w:left="1260"/>
              <w:spacing w:after="0"/>
              <w:rPr>
                <w:sz w:val="20"/>
                <w:szCs w:val="20"/>
                <w:color w:val="auto"/>
              </w:rPr>
            </w:pPr>
            <w:r>
              <w:rPr>
                <w:rFonts w:ascii="Arial" w:cs="Arial" w:eastAsia="Arial" w:hAnsi="Arial"/>
                <w:sz w:val="15"/>
                <w:szCs w:val="15"/>
                <w:b w:val="1"/>
                <w:bCs w:val="1"/>
                <w:color w:val="auto"/>
                <w:w w:val="96"/>
              </w:rPr>
              <w:t>Independent Directors</w:t>
            </w:r>
          </w:p>
        </w:tc>
        <w:tc>
          <w:tcPr>
            <w:tcW w:w="1340" w:type="dxa"/>
            <w:vAlign w:val="bottom"/>
          </w:tcPr>
          <w:p>
            <w:pPr>
              <w:spacing w:after="0"/>
              <w:rPr>
                <w:sz w:val="16"/>
                <w:szCs w:val="16"/>
                <w:color w:val="auto"/>
              </w:rPr>
            </w:pPr>
          </w:p>
        </w:tc>
      </w:tr>
      <w:tr>
        <w:trPr>
          <w:trHeight w:val="169"/>
        </w:trPr>
        <w:tc>
          <w:tcPr>
            <w:tcW w:w="2820" w:type="dxa"/>
            <w:vAlign w:val="bottom"/>
          </w:tcPr>
          <w:p>
            <w:pPr>
              <w:jc w:val="center"/>
              <w:ind w:right="1427"/>
              <w:spacing w:after="0" w:line="169" w:lineRule="exact"/>
              <w:rPr>
                <w:sz w:val="20"/>
                <w:szCs w:val="20"/>
                <w:color w:val="auto"/>
              </w:rPr>
            </w:pPr>
            <w:r>
              <w:rPr>
                <w:rFonts w:ascii="Arial" w:cs="Arial" w:eastAsia="Arial" w:hAnsi="Arial"/>
                <w:sz w:val="15"/>
                <w:szCs w:val="15"/>
                <w:color w:val="auto"/>
                <w:w w:val="96"/>
              </w:rPr>
              <w:t>Alun Cathcart</w:t>
            </w:r>
          </w:p>
        </w:tc>
        <w:tc>
          <w:tcPr>
            <w:tcW w:w="1340" w:type="dxa"/>
            <w:vAlign w:val="bottom"/>
          </w:tcPr>
          <w:p>
            <w:pPr>
              <w:jc w:val="center"/>
              <w:spacing w:after="0" w:line="169" w:lineRule="exact"/>
              <w:rPr>
                <w:sz w:val="20"/>
                <w:szCs w:val="20"/>
                <w:color w:val="auto"/>
              </w:rPr>
            </w:pPr>
            <w:r>
              <w:rPr>
                <w:rFonts w:ascii="Arial" w:cs="Arial" w:eastAsia="Arial" w:hAnsi="Arial"/>
                <w:sz w:val="15"/>
                <w:szCs w:val="15"/>
                <w:color w:val="auto"/>
                <w:w w:val="95"/>
              </w:rPr>
              <w:t>John D. Hardy, Jr.</w:t>
            </w:r>
          </w:p>
        </w:tc>
      </w:tr>
      <w:tr>
        <w:trPr>
          <w:trHeight w:val="169"/>
        </w:trPr>
        <w:tc>
          <w:tcPr>
            <w:tcW w:w="2820" w:type="dxa"/>
            <w:vAlign w:val="bottom"/>
          </w:tcPr>
          <w:p>
            <w:pPr>
              <w:jc w:val="center"/>
              <w:ind w:right="1427"/>
              <w:spacing w:after="0" w:line="169" w:lineRule="exact"/>
              <w:rPr>
                <w:sz w:val="20"/>
                <w:szCs w:val="20"/>
                <w:color w:val="auto"/>
              </w:rPr>
            </w:pPr>
            <w:r>
              <w:rPr>
                <w:rFonts w:ascii="Arial" w:cs="Arial" w:eastAsia="Arial" w:hAnsi="Arial"/>
                <w:sz w:val="15"/>
                <w:szCs w:val="15"/>
                <w:color w:val="auto"/>
                <w:w w:val="97"/>
              </w:rPr>
              <w:t>Mary C. Choksi</w:t>
            </w:r>
          </w:p>
        </w:tc>
        <w:tc>
          <w:tcPr>
            <w:tcW w:w="1340" w:type="dxa"/>
            <w:vAlign w:val="bottom"/>
          </w:tcPr>
          <w:p>
            <w:pPr>
              <w:jc w:val="center"/>
              <w:spacing w:after="0" w:line="169" w:lineRule="exact"/>
              <w:rPr>
                <w:sz w:val="20"/>
                <w:szCs w:val="20"/>
                <w:color w:val="auto"/>
              </w:rPr>
            </w:pPr>
            <w:r>
              <w:rPr>
                <w:rFonts w:ascii="Arial" w:cs="Arial" w:eastAsia="Arial" w:hAnsi="Arial"/>
                <w:sz w:val="15"/>
                <w:szCs w:val="15"/>
                <w:color w:val="auto"/>
                <w:w w:val="97"/>
              </w:rPr>
              <w:t>Lynn Krominga</w:t>
            </w:r>
          </w:p>
        </w:tc>
      </w:tr>
      <w:tr>
        <w:trPr>
          <w:trHeight w:val="169"/>
        </w:trPr>
        <w:tc>
          <w:tcPr>
            <w:tcW w:w="2820" w:type="dxa"/>
            <w:vAlign w:val="bottom"/>
          </w:tcPr>
          <w:p>
            <w:pPr>
              <w:jc w:val="center"/>
              <w:ind w:right="1407"/>
              <w:spacing w:after="0" w:line="169" w:lineRule="exact"/>
              <w:rPr>
                <w:sz w:val="20"/>
                <w:szCs w:val="20"/>
                <w:color w:val="auto"/>
              </w:rPr>
            </w:pPr>
            <w:r>
              <w:rPr>
                <w:rFonts w:ascii="Arial" w:cs="Arial" w:eastAsia="Arial" w:hAnsi="Arial"/>
                <w:sz w:val="15"/>
                <w:szCs w:val="15"/>
                <w:color w:val="auto"/>
                <w:w w:val="97"/>
              </w:rPr>
              <w:t>Leonard S. Coleman</w:t>
            </w:r>
          </w:p>
        </w:tc>
        <w:tc>
          <w:tcPr>
            <w:tcW w:w="1340" w:type="dxa"/>
            <w:vAlign w:val="bottom"/>
          </w:tcPr>
          <w:p>
            <w:pPr>
              <w:jc w:val="center"/>
              <w:spacing w:after="0" w:line="169" w:lineRule="exact"/>
              <w:rPr>
                <w:sz w:val="20"/>
                <w:szCs w:val="20"/>
                <w:color w:val="auto"/>
              </w:rPr>
            </w:pPr>
            <w:r>
              <w:rPr>
                <w:rFonts w:ascii="Arial" w:cs="Arial" w:eastAsia="Arial" w:hAnsi="Arial"/>
                <w:sz w:val="15"/>
                <w:szCs w:val="15"/>
                <w:color w:val="auto"/>
                <w:w w:val="96"/>
              </w:rPr>
              <w:t>Eduardo G. Mestre</w:t>
            </w:r>
          </w:p>
        </w:tc>
      </w:tr>
      <w:tr>
        <w:trPr>
          <w:trHeight w:val="176"/>
        </w:trPr>
        <w:tc>
          <w:tcPr>
            <w:tcW w:w="2820" w:type="dxa"/>
            <w:vAlign w:val="bottom"/>
          </w:tcPr>
          <w:p>
            <w:pPr>
              <w:jc w:val="center"/>
              <w:ind w:right="1407"/>
              <w:spacing w:after="0"/>
              <w:rPr>
                <w:sz w:val="20"/>
                <w:szCs w:val="20"/>
                <w:color w:val="auto"/>
              </w:rPr>
            </w:pPr>
            <w:r>
              <w:rPr>
                <w:rFonts w:ascii="Arial" w:cs="Arial" w:eastAsia="Arial" w:hAnsi="Arial"/>
                <w:sz w:val="15"/>
                <w:szCs w:val="15"/>
                <w:color w:val="auto"/>
                <w:w w:val="96"/>
              </w:rPr>
              <w:t>Jeffrey H. Fox</w:t>
            </w:r>
          </w:p>
        </w:tc>
        <w:tc>
          <w:tcPr>
            <w:tcW w:w="1340" w:type="dxa"/>
            <w:vAlign w:val="bottom"/>
          </w:tcPr>
          <w:p>
            <w:pPr>
              <w:jc w:val="center"/>
              <w:spacing w:after="0"/>
              <w:rPr>
                <w:sz w:val="20"/>
                <w:szCs w:val="20"/>
                <w:color w:val="auto"/>
              </w:rPr>
            </w:pPr>
            <w:r>
              <w:rPr>
                <w:rFonts w:ascii="Arial" w:cs="Arial" w:eastAsia="Arial" w:hAnsi="Arial"/>
                <w:sz w:val="15"/>
                <w:szCs w:val="15"/>
                <w:color w:val="auto"/>
                <w:w w:val="97"/>
              </w:rPr>
              <w:t>Stender E. Sweeney</w:t>
            </w:r>
          </w:p>
        </w:tc>
      </w:tr>
    </w:tbl>
    <w:p>
      <w:pPr>
        <w:spacing w:after="0" w:line="139" w:lineRule="exact"/>
        <w:rPr>
          <w:sz w:val="20"/>
          <w:szCs w:val="20"/>
          <w:color w:val="auto"/>
        </w:rPr>
      </w:pPr>
    </w:p>
    <w:p>
      <w:pPr>
        <w:ind w:left="10" w:right="40"/>
        <w:spacing w:after="0" w:line="237"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Our current Board leadership structure consists of:</w:t>
      </w:r>
    </w:p>
    <w:p>
      <w:pPr>
        <w:spacing w:after="0" w:line="64" w:lineRule="exact"/>
        <w:rPr>
          <w:sz w:val="20"/>
          <w:szCs w:val="20"/>
          <w:color w:val="auto"/>
        </w:rPr>
      </w:pPr>
    </w:p>
    <w:p>
      <w:pPr>
        <w:ind w:left="210" w:hanging="210"/>
        <w:spacing w:after="0"/>
        <w:tabs>
          <w:tab w:leader="none" w:pos="2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Chairman of the Board and CEO: Ronald L. Nelson;</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Presiding Director (our independent lead director): Leonard S. Coleman; and</w:t>
      </w:r>
    </w:p>
    <w:p>
      <w:pPr>
        <w:spacing w:after="0" w:line="18" w:lineRule="exact"/>
        <w:rPr>
          <w:rFonts w:ascii="Arial" w:cs="Arial" w:eastAsia="Arial" w:hAnsi="Arial"/>
          <w:sz w:val="15"/>
          <w:szCs w:val="15"/>
          <w:color w:val="auto"/>
        </w:rPr>
      </w:pPr>
    </w:p>
    <w:p>
      <w:pPr>
        <w:ind w:left="210" w:hanging="210"/>
        <w:spacing w:after="0"/>
        <w:tabs>
          <w:tab w:leader="none" w:pos="21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Fully independent Compensation, Corporate Governance and Audit Committees.</w:t>
      </w:r>
    </w:p>
    <w:p>
      <w:pPr>
        <w:spacing w:after="0" w:line="143" w:lineRule="exact"/>
        <w:rPr>
          <w:sz w:val="20"/>
          <w:szCs w:val="20"/>
          <w:color w:val="auto"/>
        </w:rPr>
      </w:pPr>
    </w:p>
    <w:p>
      <w:pPr>
        <w:ind w:left="10" w:right="40"/>
        <w:spacing w:after="0" w:line="254" w:lineRule="auto"/>
        <w:rPr>
          <w:sz w:val="20"/>
          <w:szCs w:val="20"/>
          <w:color w:val="auto"/>
        </w:rPr>
      </w:pPr>
      <w:r>
        <w:rPr>
          <w:rFonts w:ascii="Arial" w:cs="Arial" w:eastAsia="Arial" w:hAnsi="Arial"/>
          <w:sz w:val="14"/>
          <w:szCs w:val="14"/>
          <w:color w:val="auto"/>
        </w:rPr>
        <w:t>The Board of Directors, which is comprised of individuals who have extensive experience with board processes, has determined that the current leadership structure, as described above, best serves the Company and its stockholders. The Board of Directors believes that a combined Chairman of the Board and Chief Executive Officer, at this time,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w:t>
      </w:r>
    </w:p>
    <w:p>
      <w:pPr>
        <w:spacing w:after="0" w:line="55" w:lineRule="exact"/>
        <w:rPr>
          <w:sz w:val="20"/>
          <w:szCs w:val="20"/>
          <w:color w:val="auto"/>
        </w:rPr>
      </w:pPr>
    </w:p>
    <w:p>
      <w:pPr>
        <w:ind w:left="10" w:right="120"/>
        <w:spacing w:after="0"/>
        <w:rPr>
          <w:sz w:val="20"/>
          <w:szCs w:val="20"/>
          <w:color w:val="auto"/>
        </w:rPr>
      </w:pPr>
      <w:r>
        <w:rPr>
          <w:rFonts w:ascii="Arial" w:cs="Arial" w:eastAsia="Arial" w:hAnsi="Arial"/>
          <w:sz w:val="15"/>
          <w:szCs w:val="15"/>
          <w:color w:val="auto"/>
        </w:rPr>
        <w:t>Having a Chairman who also serves as CEO allows timely communication with the Board on critical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business matters given the global reach of our business. A combined CEO/Chairman of the Board position also eliminates the potential for confusion or a duplication of efforts and the role of an independent lead director, as further discussed below, adequately addresses any concerns over maintaining such a combined leadership role. Mr. Nelson, who possesses extensive financial, operating and management experience, and brings more than 10 years of executive and leadership experience with the Company as well as substantial board experience, has served in the dual role of Chairman of the Board and Chief Executive Officer since 2006. Under Mr. Nelson’s leadership, the Company has become a global enterprise following the acquisition of Avis Europe in 2011 and has maintained its position as a leader in the vehicle rental industry.</w:t>
      </w:r>
    </w:p>
    <w:p>
      <w:pPr>
        <w:spacing w:after="0" w:line="67"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The position of Presiding Director was established in February 2003 by the Board of Directors to designate an independent lead director whose primary responsibilities include:</w:t>
      </w:r>
    </w:p>
    <w:p>
      <w:pPr>
        <w:spacing w:after="0" w:line="61" w:lineRule="exact"/>
        <w:rPr>
          <w:sz w:val="20"/>
          <w:szCs w:val="20"/>
          <w:color w:val="auto"/>
        </w:rPr>
      </w:pPr>
    </w:p>
    <w:p>
      <w:pPr>
        <w:ind w:left="200" w:right="60" w:hanging="198"/>
        <w:spacing w:after="0" w:line="238" w:lineRule="auto"/>
        <w:tabs>
          <w:tab w:leader="none" w:pos="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presiding at all meetings of the Board at which the Chairman of the Board is not present, including periodic executive sessions of the independent members of the Board of Directors;</w:t>
      </w:r>
    </w:p>
    <w:p>
      <w:pPr>
        <w:spacing w:after="0" w:line="60" w:lineRule="exact"/>
        <w:rPr>
          <w:rFonts w:ascii="Arial" w:cs="Arial" w:eastAsia="Arial" w:hAnsi="Arial"/>
          <w:sz w:val="15"/>
          <w:szCs w:val="15"/>
          <w:color w:val="auto"/>
        </w:rPr>
      </w:pPr>
    </w:p>
    <w:p>
      <w:pPr>
        <w:ind w:left="200" w:right="480" w:hanging="198"/>
        <w:spacing w:after="0"/>
        <w:tabs>
          <w:tab w:leader="none" w:pos="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serving as liaison between the Chairman of the Board and the independent directors;</w:t>
      </w:r>
    </w:p>
    <w:p>
      <w:pPr>
        <w:spacing w:after="0" w:line="60" w:lineRule="exact"/>
        <w:rPr>
          <w:rFonts w:ascii="Arial" w:cs="Arial" w:eastAsia="Arial" w:hAnsi="Arial"/>
          <w:sz w:val="15"/>
          <w:szCs w:val="15"/>
          <w:color w:val="auto"/>
        </w:rPr>
      </w:pPr>
    </w:p>
    <w:p>
      <w:pPr>
        <w:ind w:left="200" w:right="700" w:hanging="198"/>
        <w:spacing w:after="0"/>
        <w:tabs>
          <w:tab w:leader="none" w:pos="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advising the Chairman of the Board with respect to information, meeting schedules and agendas sent to the Board;</w:t>
      </w:r>
    </w:p>
    <w:p>
      <w:pPr>
        <w:spacing w:after="0" w:line="60" w:lineRule="exact"/>
        <w:rPr>
          <w:rFonts w:ascii="Arial" w:cs="Arial" w:eastAsia="Arial" w:hAnsi="Arial"/>
          <w:sz w:val="15"/>
          <w:szCs w:val="15"/>
          <w:color w:val="auto"/>
        </w:rPr>
      </w:pPr>
    </w:p>
    <w:p>
      <w:pPr>
        <w:ind w:left="200" w:right="80" w:hanging="198"/>
        <w:spacing w:after="0" w:line="237" w:lineRule="auto"/>
        <w:tabs>
          <w:tab w:leader="none" w:pos="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providing advice with respect to the selection of committee chairs and performing other duties that the Board of Directors may from time to time delegate to assist it in the fulfillment of its responsibilities, including the authority to call meetings of the independent directors of the Board; and</w:t>
      </w:r>
    </w:p>
    <w:p>
      <w:pPr>
        <w:spacing w:after="0" w:line="61" w:lineRule="exact"/>
        <w:rPr>
          <w:rFonts w:ascii="Arial" w:cs="Arial" w:eastAsia="Arial" w:hAnsi="Arial"/>
          <w:sz w:val="15"/>
          <w:szCs w:val="15"/>
          <w:color w:val="auto"/>
        </w:rPr>
      </w:pPr>
    </w:p>
    <w:p>
      <w:pPr>
        <w:ind w:left="200" w:right="720" w:hanging="198"/>
        <w:spacing w:after="0"/>
        <w:tabs>
          <w:tab w:leader="none" w:pos="2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serving as the principal liaison for stockholder communications directed specifically to the Board.</w:t>
      </w:r>
    </w:p>
    <w:p>
      <w:pPr>
        <w:spacing w:after="0" w:line="60"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auto"/>
        </w:rPr>
        <w:t>Such delegation of well-defined responsibilities to a lead independent director helps ensure that an appropriate counter-balancing leadership structure is in place. The independent members of the Board of Directors have designated Mr. Coleman to serve in the position of Presiding Director. Mr. Coleman has served in this role since its creation and brings a history of leadership experience as a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524510</wp:posOffset>
            </wp:positionV>
            <wp:extent cx="950595"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72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9</w:t>
            </w:r>
          </w:p>
        </w:tc>
      </w:tr>
    </w:tbl>
    <w:p>
      <w:pPr>
        <w:sectPr>
          <w:pgSz w:w="11900" w:h="16838" w:orient="portrait"/>
          <w:cols w:equalWidth="0" w:num="2">
            <w:col w:w="5450" w:space="400"/>
            <w:col w:w="5540"/>
          </w:cols>
          <w:pgMar w:left="230" w:top="407" w:right="27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Risk Assessment</w:t>
      </w:r>
    </w:p>
    <w:p>
      <w:pPr>
        <w:spacing w:after="0" w:line="93" w:lineRule="exact"/>
        <w:rPr>
          <w:sz w:val="20"/>
          <w:szCs w:val="20"/>
          <w:color w:val="auto"/>
        </w:rPr>
      </w:pPr>
    </w:p>
    <w:p>
      <w:pPr>
        <w:ind w:right="540"/>
        <w:spacing w:after="0"/>
        <w:rPr>
          <w:sz w:val="20"/>
          <w:szCs w:val="20"/>
          <w:color w:val="auto"/>
        </w:rPr>
      </w:pPr>
      <w:r>
        <w:rPr>
          <w:rFonts w:ascii="Arial" w:cs="Arial" w:eastAsia="Arial" w:hAnsi="Arial"/>
          <w:sz w:val="15"/>
          <w:szCs w:val="15"/>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Board/Committee</w:t>
            </w:r>
          </w:p>
        </w:tc>
        <w:tc>
          <w:tcPr>
            <w:tcW w:w="8560" w:type="dxa"/>
            <w:vAlign w:val="bottom"/>
            <w:tcBorders>
              <w:bottom w:val="single" w:sz="8" w:color="auto"/>
            </w:tcBorders>
            <w:gridSpan w:val="2"/>
          </w:tcPr>
          <w:p>
            <w:pPr>
              <w:ind w:left="660"/>
              <w:spacing w:after="0"/>
              <w:rPr>
                <w:sz w:val="20"/>
                <w:szCs w:val="20"/>
                <w:color w:val="auto"/>
              </w:rPr>
            </w:pPr>
            <w:r>
              <w:rPr>
                <w:rFonts w:ascii="Arial" w:cs="Arial" w:eastAsia="Arial" w:hAnsi="Arial"/>
                <w:sz w:val="15"/>
                <w:szCs w:val="15"/>
                <w:b w:val="1"/>
                <w:bCs w:val="1"/>
                <w:color w:val="auto"/>
              </w:rPr>
              <w:t>Responsibility/Role</w:t>
            </w:r>
          </w:p>
        </w:tc>
      </w:tr>
      <w:tr>
        <w:trPr>
          <w:trHeight w:val="170"/>
        </w:trPr>
        <w:tc>
          <w:tcPr>
            <w:tcW w:w="2880" w:type="dxa"/>
            <w:vAlign w:val="bottom"/>
            <w:shd w:val="clear" w:color="auto" w:fill="D8D8D8"/>
          </w:tcPr>
          <w:p>
            <w:pPr>
              <w:spacing w:after="0" w:line="171" w:lineRule="exact"/>
              <w:rPr>
                <w:sz w:val="20"/>
                <w:szCs w:val="20"/>
                <w:color w:val="auto"/>
              </w:rPr>
            </w:pPr>
            <w:r>
              <w:rPr>
                <w:rFonts w:ascii="Arial" w:cs="Arial" w:eastAsia="Arial" w:hAnsi="Arial"/>
                <w:sz w:val="15"/>
                <w:szCs w:val="15"/>
                <w:color w:val="auto"/>
              </w:rPr>
              <w:t>Audit Committee</w:t>
            </w:r>
          </w:p>
        </w:tc>
        <w:tc>
          <w:tcPr>
            <w:tcW w:w="8560" w:type="dxa"/>
            <w:vAlign w:val="bottom"/>
            <w:gridSpan w:val="2"/>
            <w:shd w:val="clear" w:color="auto" w:fill="D8D8D8"/>
          </w:tcPr>
          <w:p>
            <w:pPr>
              <w:ind w:left="660"/>
              <w:spacing w:after="0" w:line="171" w:lineRule="exact"/>
              <w:rPr>
                <w:sz w:val="20"/>
                <w:szCs w:val="20"/>
                <w:color w:val="auto"/>
              </w:rPr>
            </w:pPr>
            <w:r>
              <w:rPr>
                <w:rFonts w:ascii="Arial" w:cs="Arial" w:eastAsia="Arial" w:hAnsi="Arial"/>
                <w:sz w:val="15"/>
                <w:szCs w:val="15"/>
                <w:color w:val="auto"/>
              </w:rPr>
              <w:t>•   Assists in the Board’s oversight of the Company’s:</w:t>
            </w:r>
          </w:p>
        </w:tc>
      </w:tr>
      <w:tr>
        <w:trPr>
          <w:trHeight w:val="225"/>
        </w:trPr>
        <w:tc>
          <w:tcPr>
            <w:tcW w:w="288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760" w:type="dxa"/>
            <w:vAlign w:val="bottom"/>
            <w:shd w:val="clear" w:color="auto" w:fill="D8D8D8"/>
          </w:tcPr>
          <w:p>
            <w:pPr>
              <w:ind w:left="80"/>
              <w:spacing w:after="0"/>
              <w:rPr>
                <w:sz w:val="20"/>
                <w:szCs w:val="20"/>
                <w:color w:val="auto"/>
              </w:rPr>
            </w:pPr>
            <w:r>
              <w:rPr>
                <w:rFonts w:ascii="Arial" w:cs="Arial" w:eastAsia="Arial" w:hAnsi="Arial"/>
                <w:sz w:val="15"/>
                <w:szCs w:val="15"/>
                <w:color w:val="auto"/>
              </w:rPr>
              <w:t>•   major financial risk exposures and the steps management has undertaken to control such risks; and</w:t>
            </w:r>
          </w:p>
        </w:tc>
      </w:tr>
      <w:tr>
        <w:trPr>
          <w:trHeight w:val="226"/>
        </w:trPr>
        <w:tc>
          <w:tcPr>
            <w:tcW w:w="288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760" w:type="dxa"/>
            <w:vAlign w:val="bottom"/>
            <w:shd w:val="clear" w:color="auto" w:fill="D8D8D8"/>
          </w:tcPr>
          <w:p>
            <w:pPr>
              <w:ind w:left="80"/>
              <w:spacing w:after="0"/>
              <w:rPr>
                <w:sz w:val="20"/>
                <w:szCs w:val="20"/>
                <w:color w:val="auto"/>
              </w:rPr>
            </w:pPr>
            <w:r>
              <w:rPr>
                <w:rFonts w:ascii="Arial" w:cs="Arial" w:eastAsia="Arial" w:hAnsi="Arial"/>
                <w:sz w:val="15"/>
                <w:szCs w:val="15"/>
                <w:color w:val="auto"/>
              </w:rPr>
              <w:t>•   compliance with legal and regulatory requirements.</w:t>
            </w:r>
          </w:p>
        </w:tc>
      </w:tr>
      <w:tr>
        <w:trPr>
          <w:trHeight w:val="171"/>
        </w:trPr>
        <w:tc>
          <w:tcPr>
            <w:tcW w:w="2880" w:type="dxa"/>
            <w:vAlign w:val="bottom"/>
          </w:tcPr>
          <w:p>
            <w:pPr>
              <w:spacing w:after="0"/>
              <w:rPr>
                <w:sz w:val="20"/>
                <w:szCs w:val="20"/>
                <w:color w:val="auto"/>
              </w:rPr>
            </w:pPr>
            <w:r>
              <w:rPr>
                <w:rFonts w:ascii="Arial" w:cs="Arial" w:eastAsia="Arial" w:hAnsi="Arial"/>
                <w:sz w:val="15"/>
                <w:szCs w:val="15"/>
                <w:color w:val="auto"/>
              </w:rPr>
              <w:t>Compensation Committee</w:t>
            </w:r>
          </w:p>
        </w:tc>
        <w:tc>
          <w:tcPr>
            <w:tcW w:w="8560" w:type="dxa"/>
            <w:vAlign w:val="bottom"/>
            <w:gridSpan w:val="2"/>
          </w:tcPr>
          <w:p>
            <w:pPr>
              <w:ind w:left="660"/>
              <w:spacing w:after="0"/>
              <w:rPr>
                <w:sz w:val="20"/>
                <w:szCs w:val="20"/>
                <w:color w:val="auto"/>
              </w:rPr>
            </w:pPr>
            <w:r>
              <w:rPr>
                <w:rFonts w:ascii="Arial" w:cs="Arial" w:eastAsia="Arial" w:hAnsi="Arial"/>
                <w:sz w:val="15"/>
                <w:szCs w:val="15"/>
                <w:color w:val="auto"/>
              </w:rPr>
              <w:t>•   Oversees risks associated with its respective area of responsibility, including, among other things, risks associated</w:t>
            </w:r>
          </w:p>
        </w:tc>
      </w:tr>
      <w:tr>
        <w:trPr>
          <w:trHeight w:val="166"/>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760" w:type="dxa"/>
            <w:vAlign w:val="bottom"/>
          </w:tcPr>
          <w:p>
            <w:pPr>
              <w:ind w:left="80"/>
              <w:spacing w:after="0" w:line="167" w:lineRule="exact"/>
              <w:rPr>
                <w:sz w:val="20"/>
                <w:szCs w:val="20"/>
                <w:color w:val="auto"/>
              </w:rPr>
            </w:pPr>
            <w:r>
              <w:rPr>
                <w:rFonts w:ascii="Arial" w:cs="Arial" w:eastAsia="Arial" w:hAnsi="Arial"/>
                <w:sz w:val="15"/>
                <w:szCs w:val="15"/>
                <w:color w:val="auto"/>
              </w:rPr>
              <w:t>with our compensation policies and practices with respect to executive compensation.</w:t>
            </w:r>
          </w:p>
        </w:tc>
      </w:tr>
      <w:tr>
        <w:trPr>
          <w:trHeight w:val="169"/>
        </w:trPr>
        <w:tc>
          <w:tcPr>
            <w:tcW w:w="28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Corporate Governance Committee</w:t>
            </w:r>
          </w:p>
        </w:tc>
        <w:tc>
          <w:tcPr>
            <w:tcW w:w="8560" w:type="dxa"/>
            <w:vAlign w:val="bottom"/>
            <w:gridSpan w:val="2"/>
            <w:shd w:val="clear" w:color="auto" w:fill="D8D8D8"/>
          </w:tcPr>
          <w:p>
            <w:pPr>
              <w:ind w:left="660"/>
              <w:spacing w:after="0" w:line="169" w:lineRule="exact"/>
              <w:rPr>
                <w:sz w:val="20"/>
                <w:szCs w:val="20"/>
                <w:color w:val="auto"/>
              </w:rPr>
            </w:pPr>
            <w:r>
              <w:rPr>
                <w:rFonts w:ascii="Arial" w:cs="Arial" w:eastAsia="Arial" w:hAnsi="Arial"/>
                <w:sz w:val="15"/>
                <w:szCs w:val="15"/>
                <w:color w:val="auto"/>
              </w:rPr>
              <w:t>•   Oversees risks associated with its respective area of responsibility, including corporate governance.</w:t>
            </w:r>
          </w:p>
        </w:tc>
      </w:tr>
      <w:tr>
        <w:trPr>
          <w:trHeight w:val="179"/>
        </w:trPr>
        <w:tc>
          <w:tcPr>
            <w:tcW w:w="2880" w:type="dxa"/>
            <w:vAlign w:val="bottom"/>
          </w:tcPr>
          <w:p>
            <w:pPr>
              <w:spacing w:after="0"/>
              <w:rPr>
                <w:sz w:val="20"/>
                <w:szCs w:val="20"/>
                <w:color w:val="auto"/>
              </w:rPr>
            </w:pPr>
            <w:r>
              <w:rPr>
                <w:rFonts w:ascii="Arial" w:cs="Arial" w:eastAsia="Arial" w:hAnsi="Arial"/>
                <w:sz w:val="15"/>
                <w:szCs w:val="15"/>
                <w:color w:val="auto"/>
              </w:rPr>
              <w:t>Full Board</w:t>
            </w:r>
          </w:p>
        </w:tc>
        <w:tc>
          <w:tcPr>
            <w:tcW w:w="8560" w:type="dxa"/>
            <w:vAlign w:val="bottom"/>
            <w:gridSpan w:val="2"/>
          </w:tcPr>
          <w:p>
            <w:pPr>
              <w:ind w:left="660"/>
              <w:spacing w:after="0"/>
              <w:rPr>
                <w:sz w:val="20"/>
                <w:szCs w:val="20"/>
                <w:color w:val="auto"/>
              </w:rPr>
            </w:pPr>
            <w:r>
              <w:rPr>
                <w:rFonts w:ascii="Arial" w:cs="Arial" w:eastAsia="Arial" w:hAnsi="Arial"/>
                <w:sz w:val="15"/>
                <w:szCs w:val="15"/>
                <w:color w:val="auto"/>
              </w:rPr>
              <w:t>•   Receives reports from the Committees, which are provided at every regular Board meeting.</w:t>
            </w:r>
          </w:p>
        </w:tc>
      </w:tr>
      <w:tr>
        <w:trPr>
          <w:trHeight w:val="225"/>
        </w:trPr>
        <w:tc>
          <w:tcPr>
            <w:tcW w:w="2880" w:type="dxa"/>
            <w:vAlign w:val="bottom"/>
          </w:tcPr>
          <w:p>
            <w:pPr>
              <w:spacing w:after="0"/>
              <w:rPr>
                <w:sz w:val="19"/>
                <w:szCs w:val="19"/>
                <w:color w:val="auto"/>
              </w:rPr>
            </w:pPr>
          </w:p>
        </w:tc>
        <w:tc>
          <w:tcPr>
            <w:tcW w:w="800" w:type="dxa"/>
            <w:vAlign w:val="bottom"/>
          </w:tcPr>
          <w:p>
            <w:pPr>
              <w:ind w:left="660"/>
              <w:spacing w:after="0"/>
              <w:rPr>
                <w:sz w:val="20"/>
                <w:szCs w:val="20"/>
                <w:color w:val="auto"/>
              </w:rPr>
            </w:pPr>
            <w:r>
              <w:rPr>
                <w:rFonts w:ascii="Arial" w:cs="Arial" w:eastAsia="Arial" w:hAnsi="Arial"/>
                <w:sz w:val="15"/>
                <w:szCs w:val="15"/>
                <w:color w:val="auto"/>
              </w:rPr>
              <w:t>•</w:t>
            </w:r>
          </w:p>
        </w:tc>
        <w:tc>
          <w:tcPr>
            <w:tcW w:w="7760" w:type="dxa"/>
            <w:vAlign w:val="bottom"/>
          </w:tcPr>
          <w:p>
            <w:pPr>
              <w:ind w:left="160"/>
              <w:spacing w:after="0"/>
              <w:rPr>
                <w:sz w:val="20"/>
                <w:szCs w:val="20"/>
                <w:color w:val="auto"/>
              </w:rPr>
            </w:pPr>
            <w:r>
              <w:rPr>
                <w:rFonts w:ascii="Arial" w:cs="Arial" w:eastAsia="Arial" w:hAnsi="Arial"/>
                <w:sz w:val="15"/>
                <w:szCs w:val="15"/>
                <w:color w:val="auto"/>
              </w:rPr>
              <w:t>Considers specific risk topics.</w:t>
            </w:r>
          </w:p>
        </w:tc>
      </w:tr>
      <w:tr>
        <w:trPr>
          <w:trHeight w:val="218"/>
        </w:trPr>
        <w:tc>
          <w:tcPr>
            <w:tcW w:w="2880" w:type="dxa"/>
            <w:vAlign w:val="bottom"/>
          </w:tcPr>
          <w:p>
            <w:pPr>
              <w:spacing w:after="0"/>
              <w:rPr>
                <w:sz w:val="18"/>
                <w:szCs w:val="18"/>
                <w:color w:val="auto"/>
              </w:rPr>
            </w:pPr>
          </w:p>
        </w:tc>
        <w:tc>
          <w:tcPr>
            <w:tcW w:w="8560" w:type="dxa"/>
            <w:vAlign w:val="bottom"/>
            <w:gridSpan w:val="2"/>
          </w:tcPr>
          <w:p>
            <w:pPr>
              <w:ind w:left="660"/>
              <w:spacing w:after="0"/>
              <w:rPr>
                <w:sz w:val="20"/>
                <w:szCs w:val="20"/>
                <w:color w:val="auto"/>
              </w:rPr>
            </w:pPr>
            <w:r>
              <w:rPr>
                <w:rFonts w:ascii="Arial" w:cs="Arial" w:eastAsia="Arial" w:hAnsi="Arial"/>
                <w:sz w:val="15"/>
                <w:szCs w:val="15"/>
                <w:color w:val="auto"/>
              </w:rPr>
              <w:t>•   Receives regular reports from members of senior management that include discussion of the risks and exposures</w:t>
            </w:r>
          </w:p>
        </w:tc>
      </w:tr>
      <w:tr>
        <w:trPr>
          <w:trHeight w:val="169"/>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760" w:type="dxa"/>
            <w:vAlign w:val="bottom"/>
          </w:tcPr>
          <w:p>
            <w:pPr>
              <w:ind w:left="80"/>
              <w:spacing w:after="0" w:line="169" w:lineRule="exact"/>
              <w:rPr>
                <w:sz w:val="20"/>
                <w:szCs w:val="20"/>
                <w:color w:val="auto"/>
              </w:rPr>
            </w:pPr>
            <w:r>
              <w:rPr>
                <w:rFonts w:ascii="Arial" w:cs="Arial" w:eastAsia="Arial" w:hAnsi="Arial"/>
                <w:sz w:val="15"/>
                <w:szCs w:val="15"/>
                <w:color w:val="auto"/>
              </w:rPr>
              <w:t>involved in their respective areas of responsibility. Such reports are provided in connection with and discussed at</w:t>
            </w:r>
          </w:p>
        </w:tc>
      </w:tr>
      <w:tr>
        <w:trPr>
          <w:trHeight w:val="177"/>
        </w:trPr>
        <w:tc>
          <w:tcPr>
            <w:tcW w:w="2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Board meetings.</w:t>
            </w:r>
          </w:p>
        </w:tc>
      </w:tr>
    </w:tbl>
    <w:p>
      <w:pPr>
        <w:spacing w:after="0" w:line="74" w:lineRule="exact"/>
        <w:rPr>
          <w:sz w:val="20"/>
          <w:szCs w:val="20"/>
          <w:color w:val="auto"/>
        </w:rPr>
      </w:pPr>
    </w:p>
    <w:p>
      <w:pPr>
        <w:sectPr>
          <w:pgSz w:w="11900" w:h="16838" w:orient="portrait"/>
          <w:cols w:equalWidth="0" w:num="1">
            <w:col w:w="11440"/>
          </w:cols>
          <w:pgMar w:left="240" w:top="407" w:right="219" w:bottom="1440" w:gutter="0" w:footer="0" w:header="0"/>
        </w:sectPr>
      </w:pP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In 2014,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10 </w:t>
      </w:r>
      <w:r>
        <w:rPr>
          <w:sz w:val="1"/>
          <w:szCs w:val="1"/>
          <w:color w:val="auto"/>
        </w:rPr>
        <w:drawing>
          <wp:inline distT="0" distB="0" distL="0" distR="0">
            <wp:extent cx="857885" cy="1143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Stockholders and other interested parties may send communications directly to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by writing to the following address:</w:t>
      </w:r>
    </w:p>
    <w:p>
      <w:pPr>
        <w:spacing w:after="0" w:line="64" w:lineRule="exact"/>
        <w:rPr>
          <w:sz w:val="20"/>
          <w:szCs w:val="20"/>
          <w:color w:val="auto"/>
        </w:rPr>
      </w:pPr>
    </w:p>
    <w:p>
      <w:pPr>
        <w:ind w:left="200" w:right="400" w:hanging="198"/>
        <w:spacing w:after="0"/>
        <w:tabs>
          <w:tab w:leader="none" w:pos="2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Board of Directors, c/o the Corporate Secretary, at Avis Budget Group, Inc., 6 Sylvan Way, Parsippany, N.J. 07054.</w:t>
      </w:r>
    </w:p>
    <w:p>
      <w:pPr>
        <w:spacing w:after="0" w:line="60"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auto"/>
        </w:rPr>
        <w:t xml:space="preserve">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5"/>
          <w:szCs w:val="15"/>
          <w:i w:val="1"/>
          <w:iCs w:val="1"/>
          <w:color w:val="auto"/>
        </w:rPr>
        <w:t>presiding.director@avisbudget.com</w:t>
      </w:r>
      <w:r>
        <w:rPr>
          <w:rFonts w:ascii="Arial" w:cs="Arial" w:eastAsia="Arial" w:hAnsi="Arial"/>
          <w:sz w:val="15"/>
          <w:szCs w:val="15"/>
          <w:color w:val="auto"/>
        </w:rPr>
        <w:t>. The Presiding Director is responsible for reviewing and distributing all interested parties’ communications received to the intended recipients and/or to the full Board of Directors, as appropriate.</w:t>
      </w:r>
    </w:p>
    <w:p>
      <w:pPr>
        <w:sectPr>
          <w:pgSz w:w="11900" w:h="16838" w:orient="portrait"/>
          <w:cols w:equalWidth="0" w:num="2">
            <w:col w:w="5460" w:space="380"/>
            <w:col w:w="5600"/>
          </w:cols>
          <w:pgMar w:left="240" w:top="407" w:right="219" w:bottom="1440" w:gutter="0" w:footer="0" w:header="0"/>
          <w:type w:val="continuous"/>
        </w:sectPr>
      </w:pPr>
    </w:p>
    <w:bookmarkStart w:id="16" w:name="page17"/>
    <w:bookmarkEnd w:id="16"/>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Codes of Conduct</w:t>
      </w:r>
    </w:p>
    <w:p>
      <w:pPr>
        <w:spacing w:after="0" w:line="93" w:lineRule="exact"/>
        <w:rPr>
          <w:sz w:val="20"/>
          <w:szCs w:val="20"/>
          <w:color w:val="auto"/>
        </w:rPr>
      </w:pPr>
    </w:p>
    <w:p>
      <w:pPr>
        <w:ind w:left="10"/>
        <w:spacing w:after="0" w:line="236" w:lineRule="auto"/>
        <w:rPr>
          <w:sz w:val="20"/>
          <w:szCs w:val="20"/>
          <w:color w:val="auto"/>
        </w:rPr>
      </w:pPr>
      <w:r>
        <w:rPr>
          <w:rFonts w:ascii="Arial" w:cs="Arial" w:eastAsia="Arial" w:hAnsi="Arial"/>
          <w:sz w:val="15"/>
          <w:szCs w:val="15"/>
          <w:color w:val="auto"/>
        </w:rPr>
        <w:t>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ind w:right="6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375"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i w:val="1"/>
          <w:iCs w:val="1"/>
          <w:color w:val="auto"/>
        </w:rPr>
        <w:t>www.avisbudgetgroup.com</w:t>
      </w:r>
      <w:r>
        <w:rPr>
          <w:rFonts w:ascii="Arial" w:cs="Arial" w:eastAsia="Arial" w:hAnsi="Arial"/>
          <w:sz w:val="14"/>
          <w:szCs w:val="14"/>
          <w:color w:val="auto"/>
        </w:rPr>
        <w:t>. The purpose of these codes of conduct is to promote</w:t>
      </w:r>
      <w:r>
        <w:rPr>
          <w:rFonts w:ascii="Arial" w:cs="Arial" w:eastAsia="Arial" w:hAnsi="Arial"/>
          <w:sz w:val="14"/>
          <w:szCs w:val="14"/>
          <w:i w:val="1"/>
          <w:iCs w:val="1"/>
          <w:color w:val="auto"/>
        </w:rPr>
        <w:t xml:space="preserve"> </w:t>
      </w:r>
      <w:r>
        <w:rPr>
          <w:rFonts w:ascii="Arial" w:cs="Arial" w:eastAsia="Arial" w:hAnsi="Arial"/>
          <w:sz w:val="14"/>
          <w:szCs w:val="14"/>
          <w:color w:val="auto"/>
        </w:rPr>
        <w:t>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455" w:lineRule="exact"/>
        <w:rPr>
          <w:sz w:val="20"/>
          <w:szCs w:val="20"/>
          <w:color w:val="auto"/>
        </w:rPr>
      </w:pPr>
    </w:p>
    <w:p>
      <w:pPr>
        <w:sectPr>
          <w:pgSz w:w="11900" w:h="16838" w:orient="portrait"/>
          <w:cols w:equalWidth="0" w:num="2">
            <w:col w:w="5450" w:space="400"/>
            <w:col w:w="5600"/>
          </w:cols>
          <w:pgMar w:left="230" w:top="407" w:right="219" w:bottom="1440" w:gutter="0" w:footer="0" w:header="0"/>
        </w:sectPr>
      </w:pPr>
    </w:p>
    <w:p>
      <w:pPr>
        <w:spacing w:after="0" w:line="5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6948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type w:val="continuous"/>
        </w:sectPr>
      </w:pPr>
    </w:p>
    <w:p>
      <w:pPr>
        <w:spacing w:after="0" w:line="228"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The Board of Directors held five meetings during 2013. In 2013, all incumbent directors attended at least 75% of the aggregate number of meetings of the Board of Directors and committees of the Board of Directors on which they served, in each case held during such director’s period of service. We expect all directors to attend each regularly scheduled Board of Directors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meeting. Attendance at the Company’s annual meeting of stockholders is strongly encouraged, and our goal is for a representative of each of the Audit Committee, Compensation Committee and Corporate Governance Committee to be present at each annual meeting. The 2013 annual meeting of stockholders was attended by eight directors.</w:t>
      </w:r>
    </w:p>
    <w:p>
      <w:pPr>
        <w:spacing w:after="0" w:line="200" w:lineRule="exact"/>
        <w:rPr>
          <w:sz w:val="20"/>
          <w:szCs w:val="20"/>
          <w:color w:val="auto"/>
        </w:rPr>
      </w:pPr>
    </w:p>
    <w:p>
      <w:pPr>
        <w:sectPr>
          <w:pgSz w:w="11900" w:h="16838" w:orient="portrait"/>
          <w:cols w:equalWidth="0" w:num="2">
            <w:col w:w="5450" w:space="400"/>
            <w:col w:w="5600"/>
          </w:cols>
          <w:pgMar w:left="230" w:top="407" w:right="219" w:bottom="1440" w:gutter="0" w:footer="0" w:header="0"/>
          <w:type w:val="continuous"/>
        </w:sectPr>
      </w:pPr>
    </w:p>
    <w:p>
      <w:pPr>
        <w:spacing w:after="0" w:line="8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694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standing committees of the Board include: the Audit Committee, the Compensation Committee, the Corporate Governance Committee and the Executive Committee.</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jc w:val="center"/>
              <w:ind w:right="127"/>
              <w:spacing w:after="0"/>
              <w:rPr>
                <w:sz w:val="20"/>
                <w:szCs w:val="20"/>
                <w:color w:val="auto"/>
              </w:rPr>
            </w:pPr>
            <w:r>
              <w:rPr>
                <w:rFonts w:ascii="Arial" w:cs="Arial" w:eastAsia="Arial" w:hAnsi="Arial"/>
                <w:sz w:val="15"/>
                <w:szCs w:val="15"/>
                <w:b w:val="1"/>
                <w:bCs w:val="1"/>
                <w:color w:val="auto"/>
                <w:w w:val="97"/>
              </w:rPr>
              <w:t>Corporate</w:t>
            </w:r>
          </w:p>
        </w:tc>
        <w:tc>
          <w:tcPr>
            <w:tcW w:w="1440" w:type="dxa"/>
            <w:vAlign w:val="bottom"/>
          </w:tcPr>
          <w:p>
            <w:pPr>
              <w:spacing w:after="0"/>
              <w:rPr>
                <w:sz w:val="14"/>
                <w:szCs w:val="14"/>
                <w:color w:val="auto"/>
              </w:rPr>
            </w:pPr>
          </w:p>
        </w:tc>
      </w:tr>
      <w:tr>
        <w:trPr>
          <w:trHeight w:val="195"/>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2320" w:type="dxa"/>
            <w:vAlign w:val="bottom"/>
            <w:tcBorders>
              <w:bottom w:val="single" w:sz="8" w:color="auto"/>
            </w:tcBorders>
          </w:tcPr>
          <w:p>
            <w:pPr>
              <w:ind w:left="1240"/>
              <w:spacing w:after="0"/>
              <w:rPr>
                <w:sz w:val="20"/>
                <w:szCs w:val="20"/>
                <w:color w:val="auto"/>
              </w:rPr>
            </w:pPr>
            <w:r>
              <w:rPr>
                <w:rFonts w:ascii="Arial" w:cs="Arial" w:eastAsia="Arial" w:hAnsi="Arial"/>
                <w:sz w:val="15"/>
                <w:szCs w:val="15"/>
                <w:b w:val="1"/>
                <w:bCs w:val="1"/>
                <w:color w:val="auto"/>
              </w:rPr>
              <w:t>Audit</w:t>
            </w:r>
          </w:p>
        </w:tc>
        <w:tc>
          <w:tcPr>
            <w:tcW w:w="226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rPr>
              <w:t>Compensation</w:t>
            </w:r>
          </w:p>
        </w:tc>
        <w:tc>
          <w:tcPr>
            <w:tcW w:w="210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99"/>
              </w:rPr>
              <w:t>Governance</w:t>
            </w:r>
          </w:p>
        </w:tc>
        <w:tc>
          <w:tcPr>
            <w:tcW w:w="144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w w:val="94"/>
              </w:rPr>
              <w:t>Executive</w:t>
            </w:r>
          </w:p>
        </w:tc>
      </w:tr>
      <w:tr>
        <w:trPr>
          <w:trHeight w:val="160"/>
        </w:trPr>
        <w:tc>
          <w:tcPr>
            <w:tcW w:w="332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Alun Cathcart</w:t>
            </w:r>
          </w:p>
        </w:tc>
        <w:tc>
          <w:tcPr>
            <w:tcW w:w="2320" w:type="dxa"/>
            <w:vAlign w:val="bottom"/>
            <w:shd w:val="clear" w:color="auto" w:fill="D8D8D8"/>
          </w:tcPr>
          <w:p>
            <w:pPr>
              <w:spacing w:after="0"/>
              <w:rPr>
                <w:sz w:val="13"/>
                <w:szCs w:val="13"/>
                <w:color w:val="auto"/>
              </w:rPr>
            </w:pPr>
          </w:p>
        </w:tc>
        <w:tc>
          <w:tcPr>
            <w:tcW w:w="2260" w:type="dxa"/>
            <w:vAlign w:val="bottom"/>
            <w:shd w:val="clear" w:color="auto" w:fill="D8D8D8"/>
          </w:tcPr>
          <w:p>
            <w:pPr>
              <w:spacing w:after="0"/>
              <w:rPr>
                <w:sz w:val="13"/>
                <w:szCs w:val="13"/>
                <w:color w:val="auto"/>
              </w:rPr>
            </w:pPr>
          </w:p>
        </w:tc>
        <w:tc>
          <w:tcPr>
            <w:tcW w:w="2100" w:type="dxa"/>
            <w:vAlign w:val="bottom"/>
            <w:shd w:val="clear" w:color="auto" w:fill="D8D8D8"/>
          </w:tcPr>
          <w:p>
            <w:pPr>
              <w:spacing w:after="0"/>
              <w:rPr>
                <w:sz w:val="13"/>
                <w:szCs w:val="13"/>
                <w:color w:val="auto"/>
              </w:rPr>
            </w:pPr>
          </w:p>
        </w:tc>
        <w:tc>
          <w:tcPr>
            <w:tcW w:w="1440" w:type="dxa"/>
            <w:vAlign w:val="bottom"/>
            <w:shd w:val="clear" w:color="auto" w:fill="D8D8D8"/>
          </w:tcPr>
          <w:p>
            <w:pPr>
              <w:spacing w:after="0"/>
              <w:rPr>
                <w:sz w:val="13"/>
                <w:szCs w:val="13"/>
                <w:color w:val="auto"/>
              </w:rPr>
            </w:pPr>
          </w:p>
        </w:tc>
      </w:tr>
      <w:tr>
        <w:trPr>
          <w:trHeight w:val="180"/>
        </w:trPr>
        <w:tc>
          <w:tcPr>
            <w:tcW w:w="3320" w:type="dxa"/>
            <w:vAlign w:val="bottom"/>
          </w:tcPr>
          <w:p>
            <w:pPr>
              <w:spacing w:after="0"/>
              <w:rPr>
                <w:sz w:val="20"/>
                <w:szCs w:val="20"/>
                <w:color w:val="auto"/>
              </w:rPr>
            </w:pPr>
            <w:r>
              <w:rPr>
                <w:rFonts w:ascii="Arial" w:cs="Arial" w:eastAsia="Arial" w:hAnsi="Arial"/>
                <w:sz w:val="15"/>
                <w:szCs w:val="15"/>
                <w:color w:val="auto"/>
              </w:rPr>
              <w:t>Mary C. Choksi</w:t>
            </w:r>
          </w:p>
        </w:tc>
        <w:tc>
          <w:tcPr>
            <w:tcW w:w="2320" w:type="dxa"/>
            <w:vAlign w:val="bottom"/>
          </w:tcPr>
          <w:p>
            <w:pPr>
              <w:jc w:val="center"/>
              <w:ind w:left="227"/>
              <w:spacing w:after="0"/>
              <w:rPr>
                <w:sz w:val="20"/>
                <w:szCs w:val="20"/>
                <w:color w:val="auto"/>
              </w:rPr>
            </w:pPr>
            <w:r>
              <w:rPr>
                <w:rFonts w:ascii="Arial" w:cs="Arial" w:eastAsia="Arial" w:hAnsi="Arial"/>
                <w:sz w:val="15"/>
                <w:szCs w:val="15"/>
                <w:color w:val="auto"/>
                <w:w w:val="71"/>
              </w:rPr>
              <w:t>ü</w:t>
            </w:r>
          </w:p>
        </w:tc>
        <w:tc>
          <w:tcPr>
            <w:tcW w:w="2260" w:type="dxa"/>
            <w:vAlign w:val="bottom"/>
          </w:tcPr>
          <w:p>
            <w:pPr>
              <w:spacing w:after="0"/>
              <w:rPr>
                <w:sz w:val="15"/>
                <w:szCs w:val="15"/>
                <w:color w:val="auto"/>
              </w:rPr>
            </w:pPr>
          </w:p>
        </w:tc>
        <w:tc>
          <w:tcPr>
            <w:tcW w:w="2100" w:type="dxa"/>
            <w:vAlign w:val="bottom"/>
          </w:tcPr>
          <w:p>
            <w:pPr>
              <w:jc w:val="center"/>
              <w:ind w:right="127"/>
              <w:spacing w:after="0"/>
              <w:rPr>
                <w:sz w:val="20"/>
                <w:szCs w:val="20"/>
                <w:color w:val="auto"/>
              </w:rPr>
            </w:pPr>
            <w:r>
              <w:rPr>
                <w:rFonts w:ascii="Arial" w:cs="Arial" w:eastAsia="Arial" w:hAnsi="Arial"/>
                <w:sz w:val="15"/>
                <w:szCs w:val="15"/>
                <w:color w:val="auto"/>
                <w:w w:val="71"/>
              </w:rPr>
              <w:t>ü</w:t>
            </w:r>
          </w:p>
        </w:tc>
        <w:tc>
          <w:tcPr>
            <w:tcW w:w="1440" w:type="dxa"/>
            <w:vAlign w:val="bottom"/>
          </w:tcPr>
          <w:p>
            <w:pPr>
              <w:spacing w:after="0"/>
              <w:rPr>
                <w:sz w:val="15"/>
                <w:szCs w:val="15"/>
                <w:color w:val="auto"/>
              </w:rPr>
            </w:pPr>
          </w:p>
        </w:tc>
      </w:tr>
      <w:tr>
        <w:trPr>
          <w:trHeight w:val="180"/>
        </w:trPr>
        <w:tc>
          <w:tcPr>
            <w:tcW w:w="3320" w:type="dxa"/>
            <w:vAlign w:val="bottom"/>
            <w:shd w:val="clear" w:color="auto" w:fill="D8D8D8"/>
          </w:tcPr>
          <w:p>
            <w:pPr>
              <w:spacing w:after="0"/>
              <w:rPr>
                <w:sz w:val="20"/>
                <w:szCs w:val="20"/>
                <w:color w:val="auto"/>
              </w:rPr>
            </w:pPr>
            <w:r>
              <w:rPr>
                <w:rFonts w:ascii="Arial" w:cs="Arial" w:eastAsia="Arial" w:hAnsi="Arial"/>
                <w:sz w:val="15"/>
                <w:szCs w:val="15"/>
                <w:color w:val="auto"/>
              </w:rPr>
              <w:t>Leonard S. Coleman</w:t>
            </w:r>
          </w:p>
        </w:tc>
        <w:tc>
          <w:tcPr>
            <w:tcW w:w="2320" w:type="dxa"/>
            <w:vAlign w:val="bottom"/>
            <w:shd w:val="clear" w:color="auto" w:fill="D8D8D8"/>
          </w:tcPr>
          <w:p>
            <w:pPr>
              <w:spacing w:after="0"/>
              <w:rPr>
                <w:sz w:val="15"/>
                <w:szCs w:val="15"/>
                <w:color w:val="auto"/>
              </w:rPr>
            </w:pPr>
          </w:p>
        </w:tc>
        <w:tc>
          <w:tcPr>
            <w:tcW w:w="2260" w:type="dxa"/>
            <w:vAlign w:val="bottom"/>
            <w:shd w:val="clear" w:color="auto" w:fill="D8D8D8"/>
          </w:tcPr>
          <w:p>
            <w:pPr>
              <w:jc w:val="center"/>
              <w:ind w:right="367"/>
              <w:spacing w:after="0"/>
              <w:rPr>
                <w:sz w:val="20"/>
                <w:szCs w:val="20"/>
                <w:color w:val="auto"/>
              </w:rPr>
            </w:pPr>
            <w:r>
              <w:rPr>
                <w:rFonts w:ascii="Arial" w:cs="Arial" w:eastAsia="Arial" w:hAnsi="Arial"/>
                <w:sz w:val="15"/>
                <w:szCs w:val="15"/>
                <w:color w:val="auto"/>
                <w:w w:val="71"/>
              </w:rPr>
              <w:t>ü</w:t>
            </w:r>
          </w:p>
        </w:tc>
        <w:tc>
          <w:tcPr>
            <w:tcW w:w="2100" w:type="dxa"/>
            <w:vAlign w:val="bottom"/>
            <w:shd w:val="clear" w:color="auto" w:fill="D8D8D8"/>
          </w:tcPr>
          <w:p>
            <w:pPr>
              <w:jc w:val="center"/>
              <w:ind w:right="127"/>
              <w:spacing w:after="0"/>
              <w:rPr>
                <w:sz w:val="20"/>
                <w:szCs w:val="20"/>
                <w:color w:val="auto"/>
              </w:rPr>
            </w:pPr>
            <w:r>
              <w:rPr>
                <w:rFonts w:ascii="Arial" w:cs="Arial" w:eastAsia="Arial" w:hAnsi="Arial"/>
                <w:sz w:val="15"/>
                <w:szCs w:val="15"/>
                <w:color w:val="auto"/>
                <w:w w:val="94"/>
              </w:rPr>
              <w:t>Chair</w:t>
            </w:r>
          </w:p>
        </w:tc>
        <w:tc>
          <w:tcPr>
            <w:tcW w:w="1440" w:type="dxa"/>
            <w:vAlign w:val="bottom"/>
            <w:shd w:val="clear" w:color="auto" w:fill="D8D8D8"/>
          </w:tcPr>
          <w:p>
            <w:pPr>
              <w:spacing w:after="0"/>
              <w:rPr>
                <w:sz w:val="15"/>
                <w:szCs w:val="15"/>
                <w:color w:val="auto"/>
              </w:rPr>
            </w:pP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color w:val="auto"/>
              </w:rPr>
              <w:t>Jeffrey H. Fox</w:t>
            </w:r>
          </w:p>
        </w:tc>
        <w:tc>
          <w:tcPr>
            <w:tcW w:w="2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33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John D. Hardy, Jr.</w:t>
            </w:r>
          </w:p>
        </w:tc>
        <w:tc>
          <w:tcPr>
            <w:tcW w:w="2320" w:type="dxa"/>
            <w:vAlign w:val="bottom"/>
            <w:shd w:val="clear" w:color="auto" w:fill="D8D8D8"/>
          </w:tcPr>
          <w:p>
            <w:pPr>
              <w:spacing w:after="0"/>
              <w:rPr>
                <w:sz w:val="14"/>
                <w:szCs w:val="14"/>
                <w:color w:val="auto"/>
              </w:rPr>
            </w:pPr>
          </w:p>
        </w:tc>
        <w:tc>
          <w:tcPr>
            <w:tcW w:w="2260" w:type="dxa"/>
            <w:vAlign w:val="bottom"/>
            <w:shd w:val="clear" w:color="auto" w:fill="D8D8D8"/>
          </w:tcPr>
          <w:p>
            <w:pPr>
              <w:jc w:val="center"/>
              <w:ind w:right="367"/>
              <w:spacing w:after="0" w:line="169" w:lineRule="exact"/>
              <w:rPr>
                <w:sz w:val="20"/>
                <w:szCs w:val="20"/>
                <w:color w:val="auto"/>
              </w:rPr>
            </w:pPr>
            <w:r>
              <w:rPr>
                <w:rFonts w:ascii="Arial" w:cs="Arial" w:eastAsia="Arial" w:hAnsi="Arial"/>
                <w:sz w:val="15"/>
                <w:szCs w:val="15"/>
                <w:color w:val="auto"/>
                <w:w w:val="94"/>
              </w:rPr>
              <w:t>Chair</w:t>
            </w:r>
          </w:p>
        </w:tc>
        <w:tc>
          <w:tcPr>
            <w:tcW w:w="210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r>
      <w:tr>
        <w:trPr>
          <w:trHeight w:val="180"/>
        </w:trPr>
        <w:tc>
          <w:tcPr>
            <w:tcW w:w="3320" w:type="dxa"/>
            <w:vAlign w:val="bottom"/>
          </w:tcPr>
          <w:p>
            <w:pPr>
              <w:spacing w:after="0"/>
              <w:rPr>
                <w:sz w:val="20"/>
                <w:szCs w:val="20"/>
                <w:color w:val="auto"/>
              </w:rPr>
            </w:pPr>
            <w:r>
              <w:rPr>
                <w:rFonts w:ascii="Arial" w:cs="Arial" w:eastAsia="Arial" w:hAnsi="Arial"/>
                <w:sz w:val="15"/>
                <w:szCs w:val="15"/>
                <w:color w:val="auto"/>
              </w:rPr>
              <w:t>Lynn Krominga</w:t>
            </w:r>
          </w:p>
        </w:tc>
        <w:tc>
          <w:tcPr>
            <w:tcW w:w="2320" w:type="dxa"/>
            <w:vAlign w:val="bottom"/>
          </w:tcPr>
          <w:p>
            <w:pPr>
              <w:jc w:val="center"/>
              <w:ind w:left="227"/>
              <w:spacing w:after="0"/>
              <w:rPr>
                <w:sz w:val="20"/>
                <w:szCs w:val="20"/>
                <w:color w:val="auto"/>
              </w:rPr>
            </w:pPr>
            <w:r>
              <w:rPr>
                <w:rFonts w:ascii="Arial" w:cs="Arial" w:eastAsia="Arial" w:hAnsi="Arial"/>
                <w:sz w:val="15"/>
                <w:szCs w:val="15"/>
                <w:color w:val="auto"/>
                <w:w w:val="71"/>
              </w:rPr>
              <w:t>ü</w:t>
            </w:r>
          </w:p>
        </w:tc>
        <w:tc>
          <w:tcPr>
            <w:tcW w:w="2260" w:type="dxa"/>
            <w:vAlign w:val="bottom"/>
          </w:tcPr>
          <w:p>
            <w:pPr>
              <w:jc w:val="center"/>
              <w:ind w:right="367"/>
              <w:spacing w:after="0"/>
              <w:rPr>
                <w:sz w:val="20"/>
                <w:szCs w:val="20"/>
                <w:color w:val="auto"/>
              </w:rPr>
            </w:pPr>
            <w:r>
              <w:rPr>
                <w:rFonts w:ascii="Arial" w:cs="Arial" w:eastAsia="Arial" w:hAnsi="Arial"/>
                <w:sz w:val="15"/>
                <w:szCs w:val="15"/>
                <w:color w:val="auto"/>
                <w:w w:val="71"/>
              </w:rPr>
              <w:t>ü</w:t>
            </w:r>
          </w:p>
        </w:tc>
        <w:tc>
          <w:tcPr>
            <w:tcW w:w="2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3320" w:type="dxa"/>
            <w:vAlign w:val="bottom"/>
            <w:shd w:val="clear" w:color="auto" w:fill="D8D8D8"/>
          </w:tcPr>
          <w:p>
            <w:pPr>
              <w:spacing w:after="0"/>
              <w:rPr>
                <w:sz w:val="20"/>
                <w:szCs w:val="20"/>
                <w:color w:val="auto"/>
              </w:rPr>
            </w:pPr>
            <w:r>
              <w:rPr>
                <w:rFonts w:ascii="Arial" w:cs="Arial" w:eastAsia="Arial" w:hAnsi="Arial"/>
                <w:sz w:val="15"/>
                <w:szCs w:val="15"/>
                <w:color w:val="auto"/>
              </w:rPr>
              <w:t>Eduardo G. Mestre</w:t>
            </w:r>
          </w:p>
        </w:tc>
        <w:tc>
          <w:tcPr>
            <w:tcW w:w="2320" w:type="dxa"/>
            <w:vAlign w:val="bottom"/>
            <w:shd w:val="clear" w:color="auto" w:fill="D8D8D8"/>
          </w:tcPr>
          <w:p>
            <w:pPr>
              <w:spacing w:after="0"/>
              <w:rPr>
                <w:sz w:val="15"/>
                <w:szCs w:val="15"/>
                <w:color w:val="auto"/>
              </w:rPr>
            </w:pPr>
          </w:p>
        </w:tc>
        <w:tc>
          <w:tcPr>
            <w:tcW w:w="2260" w:type="dxa"/>
            <w:vAlign w:val="bottom"/>
            <w:shd w:val="clear" w:color="auto" w:fill="D8D8D8"/>
          </w:tcPr>
          <w:p>
            <w:pPr>
              <w:spacing w:after="0"/>
              <w:rPr>
                <w:sz w:val="15"/>
                <w:szCs w:val="15"/>
                <w:color w:val="auto"/>
              </w:rPr>
            </w:pPr>
          </w:p>
        </w:tc>
        <w:tc>
          <w:tcPr>
            <w:tcW w:w="2100" w:type="dxa"/>
            <w:vAlign w:val="bottom"/>
            <w:shd w:val="clear" w:color="auto" w:fill="D8D8D8"/>
          </w:tcPr>
          <w:p>
            <w:pPr>
              <w:spacing w:after="0"/>
              <w:rPr>
                <w:sz w:val="15"/>
                <w:szCs w:val="15"/>
                <w:color w:val="auto"/>
              </w:rPr>
            </w:pPr>
          </w:p>
        </w:tc>
        <w:tc>
          <w:tcPr>
            <w:tcW w:w="1440" w:type="dxa"/>
            <w:vAlign w:val="bottom"/>
            <w:shd w:val="clear" w:color="auto" w:fill="D8D8D8"/>
          </w:tcPr>
          <w:p>
            <w:pPr>
              <w:jc w:val="center"/>
              <w:ind w:left="247"/>
              <w:spacing w:after="0"/>
              <w:rPr>
                <w:sz w:val="20"/>
                <w:szCs w:val="20"/>
                <w:color w:val="auto"/>
              </w:rPr>
            </w:pPr>
            <w:r>
              <w:rPr>
                <w:rFonts w:ascii="Arial" w:cs="Arial" w:eastAsia="Arial" w:hAnsi="Arial"/>
                <w:sz w:val="15"/>
                <w:szCs w:val="15"/>
                <w:color w:val="auto"/>
                <w:w w:val="95"/>
              </w:rPr>
              <w:t>ü</w:t>
            </w: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color w:val="auto"/>
              </w:rPr>
              <w:t>Ronald L. Nelson</w:t>
            </w:r>
          </w:p>
        </w:tc>
        <w:tc>
          <w:tcPr>
            <w:tcW w:w="2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40" w:type="dxa"/>
            <w:vAlign w:val="bottom"/>
          </w:tcPr>
          <w:p>
            <w:pPr>
              <w:ind w:left="720"/>
              <w:spacing w:after="0" w:line="169" w:lineRule="exact"/>
              <w:rPr>
                <w:sz w:val="20"/>
                <w:szCs w:val="20"/>
                <w:color w:val="auto"/>
              </w:rPr>
            </w:pPr>
            <w:r>
              <w:rPr>
                <w:rFonts w:ascii="Arial" w:cs="Arial" w:eastAsia="Arial" w:hAnsi="Arial"/>
                <w:sz w:val="15"/>
                <w:szCs w:val="15"/>
                <w:color w:val="auto"/>
              </w:rPr>
              <w:t>Chair</w:t>
            </w:r>
          </w:p>
        </w:tc>
      </w:tr>
      <w:tr>
        <w:trPr>
          <w:trHeight w:val="180"/>
        </w:trPr>
        <w:tc>
          <w:tcPr>
            <w:tcW w:w="3320" w:type="dxa"/>
            <w:vAlign w:val="bottom"/>
            <w:shd w:val="clear" w:color="auto" w:fill="D8D8D8"/>
          </w:tcPr>
          <w:p>
            <w:pPr>
              <w:spacing w:after="0"/>
              <w:rPr>
                <w:sz w:val="20"/>
                <w:szCs w:val="20"/>
                <w:color w:val="auto"/>
              </w:rPr>
            </w:pPr>
            <w:r>
              <w:rPr>
                <w:rFonts w:ascii="Arial" w:cs="Arial" w:eastAsia="Arial" w:hAnsi="Arial"/>
                <w:sz w:val="15"/>
                <w:szCs w:val="15"/>
                <w:color w:val="auto"/>
              </w:rPr>
              <w:t>F. Robert Salerno</w:t>
            </w:r>
          </w:p>
        </w:tc>
        <w:tc>
          <w:tcPr>
            <w:tcW w:w="2320" w:type="dxa"/>
            <w:vAlign w:val="bottom"/>
            <w:shd w:val="clear" w:color="auto" w:fill="D8D8D8"/>
          </w:tcPr>
          <w:p>
            <w:pPr>
              <w:spacing w:after="0"/>
              <w:rPr>
                <w:sz w:val="15"/>
                <w:szCs w:val="15"/>
                <w:color w:val="auto"/>
              </w:rPr>
            </w:pPr>
          </w:p>
        </w:tc>
        <w:tc>
          <w:tcPr>
            <w:tcW w:w="2260" w:type="dxa"/>
            <w:vAlign w:val="bottom"/>
            <w:shd w:val="clear" w:color="auto" w:fill="D8D8D8"/>
          </w:tcPr>
          <w:p>
            <w:pPr>
              <w:spacing w:after="0"/>
              <w:rPr>
                <w:sz w:val="15"/>
                <w:szCs w:val="15"/>
                <w:color w:val="auto"/>
              </w:rPr>
            </w:pPr>
          </w:p>
        </w:tc>
        <w:tc>
          <w:tcPr>
            <w:tcW w:w="2100" w:type="dxa"/>
            <w:vAlign w:val="bottom"/>
            <w:shd w:val="clear" w:color="auto" w:fill="D8D8D8"/>
          </w:tcPr>
          <w:p>
            <w:pPr>
              <w:spacing w:after="0"/>
              <w:rPr>
                <w:sz w:val="15"/>
                <w:szCs w:val="15"/>
                <w:color w:val="auto"/>
              </w:rPr>
            </w:pPr>
          </w:p>
        </w:tc>
        <w:tc>
          <w:tcPr>
            <w:tcW w:w="1440" w:type="dxa"/>
            <w:vAlign w:val="bottom"/>
            <w:shd w:val="clear" w:color="auto" w:fill="D8D8D8"/>
          </w:tcPr>
          <w:p>
            <w:pPr>
              <w:jc w:val="center"/>
              <w:ind w:left="247"/>
              <w:spacing w:after="0"/>
              <w:rPr>
                <w:sz w:val="20"/>
                <w:szCs w:val="20"/>
                <w:color w:val="auto"/>
              </w:rPr>
            </w:pPr>
            <w:r>
              <w:rPr>
                <w:rFonts w:ascii="Arial" w:cs="Arial" w:eastAsia="Arial" w:hAnsi="Arial"/>
                <w:sz w:val="15"/>
                <w:szCs w:val="15"/>
                <w:color w:val="auto"/>
                <w:w w:val="95"/>
              </w:rPr>
              <w:t>ü</w:t>
            </w:r>
          </w:p>
        </w:tc>
      </w:tr>
      <w:tr>
        <w:trPr>
          <w:trHeight w:val="180"/>
        </w:trPr>
        <w:tc>
          <w:tcPr>
            <w:tcW w:w="3320" w:type="dxa"/>
            <w:vAlign w:val="bottom"/>
          </w:tcPr>
          <w:p>
            <w:pPr>
              <w:spacing w:after="0"/>
              <w:rPr>
                <w:sz w:val="20"/>
                <w:szCs w:val="20"/>
                <w:color w:val="auto"/>
              </w:rPr>
            </w:pPr>
            <w:r>
              <w:rPr>
                <w:rFonts w:ascii="Arial" w:cs="Arial" w:eastAsia="Arial" w:hAnsi="Arial"/>
                <w:sz w:val="15"/>
                <w:szCs w:val="15"/>
                <w:color w:val="auto"/>
              </w:rPr>
              <w:t>Stender E. Sweeney</w:t>
            </w:r>
          </w:p>
        </w:tc>
        <w:tc>
          <w:tcPr>
            <w:tcW w:w="2320" w:type="dxa"/>
            <w:vAlign w:val="bottom"/>
          </w:tcPr>
          <w:p>
            <w:pPr>
              <w:jc w:val="center"/>
              <w:ind w:left="227"/>
              <w:spacing w:after="0"/>
              <w:rPr>
                <w:sz w:val="20"/>
                <w:szCs w:val="20"/>
                <w:color w:val="auto"/>
              </w:rPr>
            </w:pPr>
            <w:r>
              <w:rPr>
                <w:rFonts w:ascii="Arial" w:cs="Arial" w:eastAsia="Arial" w:hAnsi="Arial"/>
                <w:sz w:val="15"/>
                <w:szCs w:val="15"/>
                <w:color w:val="auto"/>
                <w:w w:val="94"/>
              </w:rPr>
              <w:t>Chair</w:t>
            </w:r>
          </w:p>
        </w:tc>
        <w:tc>
          <w:tcPr>
            <w:tcW w:w="2260" w:type="dxa"/>
            <w:vAlign w:val="bottom"/>
          </w:tcPr>
          <w:p>
            <w:pPr>
              <w:spacing w:after="0"/>
              <w:rPr>
                <w:sz w:val="15"/>
                <w:szCs w:val="15"/>
                <w:color w:val="auto"/>
              </w:rPr>
            </w:pPr>
          </w:p>
        </w:tc>
        <w:tc>
          <w:tcPr>
            <w:tcW w:w="2100" w:type="dxa"/>
            <w:vAlign w:val="bottom"/>
          </w:tcPr>
          <w:p>
            <w:pPr>
              <w:jc w:val="center"/>
              <w:ind w:right="127"/>
              <w:spacing w:after="0"/>
              <w:rPr>
                <w:sz w:val="20"/>
                <w:szCs w:val="20"/>
                <w:color w:val="auto"/>
              </w:rPr>
            </w:pPr>
            <w:r>
              <w:rPr>
                <w:rFonts w:ascii="Arial" w:cs="Arial" w:eastAsia="Arial" w:hAnsi="Arial"/>
                <w:sz w:val="15"/>
                <w:szCs w:val="15"/>
                <w:color w:val="auto"/>
                <w:w w:val="71"/>
              </w:rPr>
              <w:t>ü</w:t>
            </w:r>
          </w:p>
        </w:tc>
        <w:tc>
          <w:tcPr>
            <w:tcW w:w="1440" w:type="dxa"/>
            <w:vAlign w:val="bottom"/>
          </w:tcPr>
          <w:p>
            <w:pPr>
              <w:spacing w:after="0"/>
              <w:rPr>
                <w:sz w:val="15"/>
                <w:szCs w:val="15"/>
                <w:color w:val="auto"/>
              </w:rPr>
            </w:pPr>
          </w:p>
        </w:tc>
      </w:tr>
      <w:tr>
        <w:trPr>
          <w:trHeight w:val="169"/>
        </w:trPr>
        <w:tc>
          <w:tcPr>
            <w:tcW w:w="33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Committee Meetings Held in 2013</w:t>
            </w:r>
          </w:p>
        </w:tc>
        <w:tc>
          <w:tcPr>
            <w:tcW w:w="2320" w:type="dxa"/>
            <w:vAlign w:val="bottom"/>
            <w:shd w:val="clear" w:color="auto" w:fill="D8D8D8"/>
          </w:tcPr>
          <w:p>
            <w:pPr>
              <w:jc w:val="center"/>
              <w:ind w:left="207"/>
              <w:spacing w:after="0" w:line="169" w:lineRule="exact"/>
              <w:rPr>
                <w:sz w:val="20"/>
                <w:szCs w:val="20"/>
                <w:color w:val="auto"/>
              </w:rPr>
            </w:pPr>
            <w:r>
              <w:rPr>
                <w:rFonts w:ascii="Arial" w:cs="Arial" w:eastAsia="Arial" w:hAnsi="Arial"/>
                <w:sz w:val="15"/>
                <w:szCs w:val="15"/>
                <w:color w:val="auto"/>
                <w:w w:val="95"/>
              </w:rPr>
              <w:t>8</w:t>
            </w:r>
          </w:p>
        </w:tc>
        <w:tc>
          <w:tcPr>
            <w:tcW w:w="2260" w:type="dxa"/>
            <w:vAlign w:val="bottom"/>
            <w:shd w:val="clear" w:color="auto" w:fill="D8D8D8"/>
          </w:tcPr>
          <w:p>
            <w:pPr>
              <w:jc w:val="center"/>
              <w:ind w:right="387"/>
              <w:spacing w:after="0" w:line="169" w:lineRule="exact"/>
              <w:rPr>
                <w:sz w:val="20"/>
                <w:szCs w:val="20"/>
                <w:color w:val="auto"/>
              </w:rPr>
            </w:pPr>
            <w:r>
              <w:rPr>
                <w:rFonts w:ascii="Arial" w:cs="Arial" w:eastAsia="Arial" w:hAnsi="Arial"/>
                <w:sz w:val="15"/>
                <w:szCs w:val="15"/>
                <w:color w:val="auto"/>
                <w:w w:val="95"/>
              </w:rPr>
              <w:t>6</w:t>
            </w:r>
          </w:p>
        </w:tc>
        <w:tc>
          <w:tcPr>
            <w:tcW w:w="2100" w:type="dxa"/>
            <w:vAlign w:val="bottom"/>
            <w:shd w:val="clear" w:color="auto" w:fill="D8D8D8"/>
          </w:tcPr>
          <w:p>
            <w:pPr>
              <w:jc w:val="center"/>
              <w:ind w:right="147"/>
              <w:spacing w:after="0" w:line="169" w:lineRule="exact"/>
              <w:rPr>
                <w:sz w:val="20"/>
                <w:szCs w:val="20"/>
                <w:color w:val="auto"/>
              </w:rPr>
            </w:pPr>
            <w:r>
              <w:rPr>
                <w:rFonts w:ascii="Arial" w:cs="Arial" w:eastAsia="Arial" w:hAnsi="Arial"/>
                <w:sz w:val="15"/>
                <w:szCs w:val="15"/>
                <w:color w:val="auto"/>
                <w:w w:val="95"/>
              </w:rPr>
              <w:t>4</w:t>
            </w:r>
          </w:p>
        </w:tc>
        <w:tc>
          <w:tcPr>
            <w:tcW w:w="1440" w:type="dxa"/>
            <w:vAlign w:val="bottom"/>
            <w:shd w:val="clear" w:color="auto" w:fill="D8D8D8"/>
          </w:tcPr>
          <w:p>
            <w:pPr>
              <w:jc w:val="center"/>
              <w:ind w:left="247"/>
              <w:spacing w:after="0" w:line="169" w:lineRule="exact"/>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type w:val="continuous"/>
        </w:sectPr>
      </w:pPr>
    </w:p>
    <w:p>
      <w:pPr>
        <w:spacing w:after="0" w:line="11" w:lineRule="exact"/>
        <w:rPr>
          <w:sz w:val="20"/>
          <w:szCs w:val="20"/>
          <w:color w:val="auto"/>
        </w:rPr>
      </w:pPr>
    </w:p>
    <w:p>
      <w:pPr>
        <w:ind w:left="330" w:hanging="330"/>
        <w:spacing w:after="0"/>
        <w:tabs>
          <w:tab w:leader="none" w:pos="33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Executive Committee acted solely by unanimous consent in 2013.</w:t>
      </w:r>
    </w:p>
    <w:p>
      <w:pPr>
        <w:spacing w:after="0" w:line="203" w:lineRule="exact"/>
        <w:rPr>
          <w:sz w:val="20"/>
          <w:szCs w:val="20"/>
          <w:color w:val="auto"/>
        </w:rPr>
      </w:pPr>
    </w:p>
    <w:p>
      <w:pPr>
        <w:jc w:val="both"/>
        <w:ind w:left="10" w:right="80"/>
        <w:spacing w:after="0" w:line="263" w:lineRule="auto"/>
        <w:rPr>
          <w:sz w:val="20"/>
          <w:szCs w:val="20"/>
          <w:color w:val="auto"/>
        </w:rPr>
      </w:pPr>
      <w:r>
        <w:rPr>
          <w:rFonts w:ascii="Arial" w:cs="Arial" w:eastAsia="Arial" w:hAnsi="Arial"/>
          <w:sz w:val="14"/>
          <w:szCs w:val="14"/>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assists in the Board’s oversight of:</w:t>
      </w:r>
    </w:p>
    <w:p>
      <w:pPr>
        <w:spacing w:after="0" w:line="64" w:lineRule="exact"/>
        <w:rPr>
          <w:sz w:val="20"/>
          <w:szCs w:val="20"/>
          <w:color w:val="auto"/>
        </w:rPr>
      </w:pPr>
    </w:p>
    <w:p>
      <w:pPr>
        <w:ind w:left="200" w:hanging="198"/>
        <w:spacing w:after="0"/>
        <w:tabs>
          <w:tab w:leader="none" w:pos="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integrity of the Company’s financial statements;</w:t>
      </w:r>
    </w:p>
    <w:p>
      <w:pPr>
        <w:spacing w:after="0" w:line="63" w:lineRule="exact"/>
        <w:rPr>
          <w:rFonts w:ascii="Arial" w:cs="Arial" w:eastAsia="Arial" w:hAnsi="Arial"/>
          <w:sz w:val="15"/>
          <w:szCs w:val="15"/>
          <w:color w:val="auto"/>
        </w:rPr>
      </w:pPr>
    </w:p>
    <w:p>
      <w:pPr>
        <w:ind w:left="200" w:hanging="198"/>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Company’s independent auditors’ qualifications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139065</wp:posOffset>
            </wp:positionV>
            <wp:extent cx="950595" cy="142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30" w:space="720"/>
            <w:col w:w="5600"/>
          </w:cols>
          <w:pgMar w:left="230" w:top="407" w:right="219" w:bottom="1440" w:gutter="0" w:footer="0" w:header="0"/>
          <w:type w:val="continuous"/>
        </w:sectPr>
      </w:pPr>
    </w:p>
    <w:p>
      <w:pPr>
        <w:spacing w:after="0" w:line="26"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11</w:t>
            </w:r>
          </w:p>
        </w:tc>
      </w:tr>
    </w:tbl>
    <w:p>
      <w:pPr>
        <w:sectPr>
          <w:pgSz w:w="11900" w:h="16838" w:orient="portrait"/>
          <w:cols w:equalWidth="0" w:num="1">
            <w:col w:w="11450"/>
          </w:cols>
          <w:pgMar w:left="230" w:top="407" w:right="219" w:bottom="1440" w:gutter="0" w:footer="0" w:header="0"/>
          <w:type w:val="continuous"/>
        </w:sectPr>
      </w:pPr>
    </w:p>
    <w:bookmarkStart w:id="17" w:name="page18"/>
    <w:bookmarkEnd w:id="17"/>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172" w:lineRule="exact"/>
        <w:rPr>
          <w:sz w:val="20"/>
          <w:szCs w:val="20"/>
          <w:color w:val="auto"/>
        </w:rPr>
      </w:pPr>
    </w:p>
    <w:p>
      <w:pPr>
        <w:ind w:left="210" w:right="280" w:hanging="210"/>
        <w:spacing w:after="0"/>
        <w:tabs>
          <w:tab w:leader="none" w:pos="2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performance of the Company’s independent auditors and the Company’s internal audit function;</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Company’s compliance with legal and regulatory requirements;</w:t>
      </w:r>
    </w:p>
    <w:p>
      <w:pPr>
        <w:spacing w:after="0" w:line="63" w:lineRule="exact"/>
        <w:rPr>
          <w:rFonts w:ascii="Arial" w:cs="Arial" w:eastAsia="Arial" w:hAnsi="Arial"/>
          <w:sz w:val="15"/>
          <w:szCs w:val="15"/>
          <w:color w:val="auto"/>
        </w:rPr>
      </w:pPr>
    </w:p>
    <w:p>
      <w:pPr>
        <w:ind w:left="210" w:right="360" w:hanging="210"/>
        <w:spacing w:after="0"/>
        <w:tabs>
          <w:tab w:leader="none" w:pos="2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Company’s systems of disclosure controls and procedures, and internal controls over financial reporting; and</w:t>
      </w:r>
    </w:p>
    <w:p>
      <w:pPr>
        <w:spacing w:after="0" w:line="60" w:lineRule="exact"/>
        <w:rPr>
          <w:rFonts w:ascii="Arial" w:cs="Arial" w:eastAsia="Arial" w:hAnsi="Arial"/>
          <w:sz w:val="15"/>
          <w:szCs w:val="15"/>
          <w:color w:val="auto"/>
        </w:rPr>
      </w:pPr>
    </w:p>
    <w:p>
      <w:pPr>
        <w:ind w:left="210" w:right="200" w:hanging="210"/>
        <w:spacing w:after="0"/>
        <w:tabs>
          <w:tab w:leader="none" w:pos="2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Company’s major financial risk exposures and the steps management has undertaken to control such risks.</w:t>
      </w:r>
    </w:p>
    <w:p>
      <w:pPr>
        <w:spacing w:after="0" w:line="128"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The Audit Committee has the power and authority to engage the independent auditor, review and approve the services and terms of all audits, review and discuss with management the Company’s annual audited and quarterly financial statements, and review the adequacy and effectiveness of the Company’s accounting and internal control policies and procedures.</w:t>
      </w:r>
    </w:p>
    <w:p>
      <w:pPr>
        <w:spacing w:after="0" w:line="128" w:lineRule="exact"/>
        <w:rPr>
          <w:sz w:val="20"/>
          <w:szCs w:val="20"/>
          <w:color w:val="auto"/>
        </w:rPr>
      </w:pPr>
    </w:p>
    <w:p>
      <w:pPr>
        <w:ind w:left="10"/>
        <w:spacing w:after="0" w:line="236" w:lineRule="auto"/>
        <w:rPr>
          <w:sz w:val="20"/>
          <w:szCs w:val="20"/>
          <w:color w:val="auto"/>
        </w:rPr>
      </w:pPr>
      <w:r>
        <w:rPr>
          <w:rFonts w:ascii="Arial" w:cs="Arial" w:eastAsia="Arial" w:hAnsi="Arial"/>
          <w:sz w:val="15"/>
          <w:szCs w:val="15"/>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Mr. Sweeney qualifies as an “audit committee financial expert” as defined by the rules of the SEC, thereby satisfying NASDAQ’s “financial sophistication” requirement.</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Compensation Committee</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primary responsibilities of the Compensation Committee include to:</w:t>
      </w:r>
    </w:p>
    <w:p>
      <w:pPr>
        <w:spacing w:after="0" w:line="64" w:lineRule="exact"/>
        <w:rPr>
          <w:sz w:val="20"/>
          <w:szCs w:val="20"/>
          <w:color w:val="auto"/>
        </w:rPr>
      </w:pPr>
    </w:p>
    <w:p>
      <w:pPr>
        <w:ind w:left="210" w:hanging="210"/>
        <w:spacing w:after="0" w:line="238" w:lineRule="auto"/>
        <w:tabs>
          <w:tab w:leader="none" w:pos="2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review and approve corporate goals and objectives relevant to the compensation of the Chief Executive Officer and determine and approve the Chief Executive Officer’s compensation level;</w:t>
      </w:r>
    </w:p>
    <w:p>
      <w:pPr>
        <w:spacing w:after="0" w:line="60" w:lineRule="exact"/>
        <w:rPr>
          <w:rFonts w:ascii="Arial" w:cs="Arial" w:eastAsia="Arial" w:hAnsi="Arial"/>
          <w:sz w:val="15"/>
          <w:szCs w:val="15"/>
          <w:color w:val="auto"/>
        </w:rPr>
      </w:pPr>
    </w:p>
    <w:p>
      <w:pPr>
        <w:ind w:left="210" w:right="400" w:hanging="210"/>
        <w:spacing w:after="0"/>
        <w:tabs>
          <w:tab w:leader="none" w:pos="2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review and approve individual elements of total compensation for our other executive officers;</w:t>
      </w:r>
    </w:p>
    <w:p>
      <w:pPr>
        <w:spacing w:after="0" w:line="60" w:lineRule="exact"/>
        <w:rPr>
          <w:rFonts w:ascii="Arial" w:cs="Arial" w:eastAsia="Arial" w:hAnsi="Arial"/>
          <w:sz w:val="15"/>
          <w:szCs w:val="15"/>
          <w:color w:val="auto"/>
        </w:rPr>
      </w:pPr>
    </w:p>
    <w:p>
      <w:pPr>
        <w:ind w:left="210" w:right="40" w:hanging="210"/>
        <w:spacing w:after="0"/>
        <w:tabs>
          <w:tab w:leader="none" w:pos="2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review and approve our annual and long-term incentive compensation programs and plans;</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review and approve all stock option and other equity awards;</w:t>
      </w:r>
    </w:p>
    <w:p>
      <w:pPr>
        <w:spacing w:after="0" w:line="63" w:lineRule="exact"/>
        <w:rPr>
          <w:rFonts w:ascii="Arial" w:cs="Arial" w:eastAsia="Arial" w:hAnsi="Arial"/>
          <w:sz w:val="15"/>
          <w:szCs w:val="15"/>
          <w:color w:val="auto"/>
        </w:rPr>
      </w:pPr>
    </w:p>
    <w:p>
      <w:pPr>
        <w:ind w:left="210" w:right="300" w:hanging="210"/>
        <w:spacing w:after="0"/>
        <w:tabs>
          <w:tab w:leader="none" w:pos="2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assess the results of the Company’s most recent advisory vote on executive compensation; and</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12 </w:t>
      </w:r>
      <w:r>
        <w:rPr>
          <w:sz w:val="1"/>
          <w:szCs w:val="1"/>
          <w:color w:val="auto"/>
        </w:rPr>
        <w:drawing>
          <wp:inline distT="0" distB="0" distL="0" distR="0">
            <wp:extent cx="857885" cy="1143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right="160" w:hanging="198"/>
        <w:spacing w:after="0"/>
        <w:tabs>
          <w:tab w:leader="none" w:pos="2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evaluate whether compensation arrangements for executive officers incentivize unnecessary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-848995</wp:posOffset>
            </wp:positionV>
            <wp:extent cx="730885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128"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In 2014, the Corporate Governance Committee voted to waive the mandatory retirement age contained in our Corporate Governance Guidelines with respect to Mr. Sweeney’s 2014 Board nomination. In reaching this determination, the Corporate Governance Committee considered Mr. Sweeney’s extensive knowledge and experience, his deep understanding of the Company’s business and his leadership as Chair of the Audit Committee, and concluded that the Corporation would benefit from his continued service as a member of the Board. The Corporate Governance Committee will re-evaluate this waiver of Mr. Sweeney’s retirement on an annual basis.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Nomination Procedures</w:t>
      </w:r>
    </w:p>
    <w:p>
      <w:pPr>
        <w:spacing w:after="0" w:line="82"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w:t>
      </w:r>
    </w:p>
    <w:p>
      <w:pPr>
        <w:sectPr>
          <w:pgSz w:w="11900" w:h="16838" w:orient="portrait"/>
          <w:cols w:equalWidth="0" w:num="2">
            <w:col w:w="5430" w:space="420"/>
            <w:col w:w="5480"/>
          </w:cols>
          <w:pgMar w:left="230" w:top="407" w:right="3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520"/>
        <w:spacing w:after="0"/>
        <w:rPr>
          <w:sz w:val="20"/>
          <w:szCs w:val="20"/>
          <w:color w:val="auto"/>
        </w:rPr>
      </w:pPr>
      <w:r>
        <w:rPr>
          <w:rFonts w:ascii="Arial" w:cs="Arial" w:eastAsia="Arial" w:hAnsi="Arial"/>
          <w:sz w:val="15"/>
          <w:szCs w:val="15"/>
          <w:color w:val="auto"/>
        </w:rPr>
        <w:t>business environment, and willingness to devote adequate time to the duties associated with being a member of the Board of Directors.</w:t>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2015 Annual Meeting” below.</w:t>
      </w:r>
    </w:p>
    <w:p>
      <w:pPr>
        <w:spacing w:after="0" w:line="67"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These candidates are evaluated by the Corporate Governance Committee by reviewing such candidates’ biographical information and qualifications and checking the candidates’ references. Qualified candidates are interviewed by at least one member of the Corporate Governance Committee. Using the input from this interview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80"/>
        <w:spacing w:after="0" w:line="237" w:lineRule="auto"/>
        <w:rPr>
          <w:sz w:val="20"/>
          <w:szCs w:val="20"/>
          <w:color w:val="auto"/>
        </w:rPr>
      </w:pPr>
      <w:r>
        <w:rPr>
          <w:rFonts w:ascii="Arial" w:cs="Arial" w:eastAsia="Arial" w:hAnsi="Arial"/>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Diversity</w:t>
      </w:r>
    </w:p>
    <w:p>
      <w:pPr>
        <w:spacing w:after="0" w:line="82" w:lineRule="exact"/>
        <w:rPr>
          <w:sz w:val="20"/>
          <w:szCs w:val="20"/>
          <w:color w:val="auto"/>
        </w:rPr>
      </w:pPr>
    </w:p>
    <w:p>
      <w:pPr>
        <w:ind w:right="100"/>
        <w:spacing w:after="0" w:line="236" w:lineRule="auto"/>
        <w:rPr>
          <w:sz w:val="20"/>
          <w:szCs w:val="20"/>
          <w:color w:val="auto"/>
        </w:rPr>
      </w:pPr>
      <w:r>
        <w:rPr>
          <w:rFonts w:ascii="Arial" w:cs="Arial" w:eastAsia="Arial" w:hAnsi="Arial"/>
          <w:sz w:val="15"/>
          <w:szCs w:val="15"/>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considered in its process of identifying and evaluating candidates to be nominees to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3"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Succession Planning</w:t>
      </w:r>
    </w:p>
    <w:p>
      <w:pPr>
        <w:spacing w:after="0" w:line="104" w:lineRule="exact"/>
        <w:rPr>
          <w:sz w:val="20"/>
          <w:szCs w:val="20"/>
          <w:color w:val="auto"/>
        </w:rPr>
      </w:pPr>
    </w:p>
    <w:p>
      <w:pPr>
        <w:ind w:right="120"/>
        <w:spacing w:after="0" w:line="235" w:lineRule="auto"/>
        <w:rPr>
          <w:sz w:val="20"/>
          <w:szCs w:val="20"/>
          <w:color w:val="auto"/>
        </w:rPr>
      </w:pPr>
      <w:r>
        <w:rPr>
          <w:rFonts w:ascii="Arial" w:cs="Arial" w:eastAsia="Arial" w:hAnsi="Arial"/>
          <w:sz w:val="15"/>
          <w:szCs w:val="15"/>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133985</wp:posOffset>
            </wp:positionV>
            <wp:extent cx="950595"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98"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13</w:t>
            </w:r>
          </w:p>
        </w:tc>
      </w:tr>
    </w:tbl>
    <w:p>
      <w:pPr>
        <w:sectPr>
          <w:pgSz w:w="11900" w:h="16838" w:orient="portrait"/>
          <w:cols w:equalWidth="0" w:num="2">
            <w:col w:w="5460" w:space="380"/>
            <w:col w:w="5540"/>
          </w:cols>
          <w:pgMar w:left="240" w:top="407" w:right="279" w:bottom="1440" w:gutter="0" w:footer="0" w:header="0"/>
        </w:sectPr>
      </w:pPr>
    </w:p>
    <w:bookmarkStart w:id="19" w:name="page20"/>
    <w:bookmarkEnd w:id="19"/>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CORPORATE GOVERNANCE</w:t>
      </w:r>
    </w:p>
    <w:p>
      <w:pPr>
        <w:spacing w:after="0" w:line="172" w:lineRule="exact"/>
        <w:rPr>
          <w:sz w:val="20"/>
          <w:szCs w:val="20"/>
          <w:color w:val="auto"/>
        </w:rPr>
      </w:pPr>
    </w:p>
    <w:p>
      <w:pPr>
        <w:ind w:left="10" w:right="20"/>
        <w:spacing w:after="0" w:line="254" w:lineRule="auto"/>
        <w:rPr>
          <w:sz w:val="20"/>
          <w:szCs w:val="20"/>
          <w:color w:val="auto"/>
        </w:rPr>
      </w:pPr>
      <w:r>
        <w:rPr>
          <w:rFonts w:ascii="Arial" w:cs="Arial" w:eastAsia="Arial" w:hAnsi="Arial"/>
          <w:sz w:val="14"/>
          <w:szCs w:val="14"/>
          <w:color w:val="auto"/>
        </w:rPr>
        <w:t>assess and develop successor candidates not only for the position of Chief Executive Officer but for each senior executive level position held by a SLT member. In order to ensure that qualified candidates are available for such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9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Related Person Transactions</w:t>
      </w:r>
    </w:p>
    <w:p>
      <w:pPr>
        <w:spacing w:after="0" w:line="104"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There are no related person transactions that require reporting under SEC rules. The Company has adopted written procedures for the review, approval or ratification of transactions with Related Persons (the “Policy”) that apply to any transaction, arrangement or relationship in which:</w:t>
      </w:r>
    </w:p>
    <w:p>
      <w:pPr>
        <w:spacing w:after="0" w:line="62" w:lineRule="exact"/>
        <w:rPr>
          <w:sz w:val="20"/>
          <w:szCs w:val="20"/>
          <w:color w:val="auto"/>
        </w:rPr>
      </w:pPr>
    </w:p>
    <w:p>
      <w:pPr>
        <w:ind w:left="210" w:right="280" w:hanging="210"/>
        <w:spacing w:after="0"/>
        <w:tabs>
          <w:tab w:leader="none" w:pos="2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Company (including any of its subsidiaries) was, is or will be a participant; and</w:t>
      </w:r>
    </w:p>
    <w:p>
      <w:pPr>
        <w:spacing w:after="0" w:line="60" w:lineRule="exact"/>
        <w:rPr>
          <w:rFonts w:ascii="Arial" w:cs="Arial" w:eastAsia="Arial" w:hAnsi="Arial"/>
          <w:sz w:val="15"/>
          <w:szCs w:val="15"/>
          <w:color w:val="auto"/>
        </w:rPr>
      </w:pPr>
    </w:p>
    <w:p>
      <w:pPr>
        <w:ind w:left="210" w:right="20" w:hanging="210"/>
        <w:spacing w:after="0" w:line="237" w:lineRule="auto"/>
        <w:tabs>
          <w:tab w:leader="none" w:pos="2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Related Person (i.e., a director, executive officer or director nominee, any greater than 5% beneficial owner, any immediate family member of the foregoing, or any entity in which any of the foregoing persons is employed, or is a partner, principal or in a</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14 </w:t>
      </w:r>
      <w:r>
        <w:rPr>
          <w:sz w:val="1"/>
          <w:szCs w:val="1"/>
          <w:color w:val="auto"/>
        </w:rPr>
        <w:drawing>
          <wp:inline distT="0" distB="0" distL="0" distR="0">
            <wp:extent cx="857885" cy="1143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right="220"/>
        <w:spacing w:after="0"/>
        <w:rPr>
          <w:sz w:val="20"/>
          <w:szCs w:val="20"/>
          <w:color w:val="auto"/>
        </w:rPr>
      </w:pPr>
      <w:r>
        <w:rPr>
          <w:rFonts w:ascii="Arial" w:cs="Arial" w:eastAsia="Arial" w:hAnsi="Arial"/>
          <w:sz w:val="15"/>
          <w:szCs w:val="15"/>
          <w:color w:val="auto"/>
        </w:rPr>
        <w:t>similar position, or has any greater than 5% beneficial interest) had, has or will have a direct or indirect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-848995</wp:posOffset>
            </wp:positionV>
            <wp:extent cx="73088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08"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Under the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60" w:lineRule="exact"/>
        <w:rPr>
          <w:sz w:val="20"/>
          <w:szCs w:val="20"/>
          <w:color w:val="auto"/>
        </w:rPr>
      </w:pPr>
    </w:p>
    <w:p>
      <w:pPr>
        <w:ind w:left="200" w:right="480" w:hanging="198"/>
        <w:spacing w:after="0" w:line="274" w:lineRule="auto"/>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transaction will be submitted to the Audit Committee, or, under certain circumstances, to the Chairman of the Audit Committee (the “Chair”).</w:t>
      </w:r>
    </w:p>
    <w:p>
      <w:pPr>
        <w:spacing w:after="0" w:line="37" w:lineRule="exact"/>
        <w:rPr>
          <w:rFonts w:ascii="Arial" w:cs="Arial" w:eastAsia="Arial" w:hAnsi="Arial"/>
          <w:sz w:val="14"/>
          <w:szCs w:val="14"/>
          <w:color w:val="auto"/>
        </w:rPr>
      </w:pPr>
    </w:p>
    <w:p>
      <w:pPr>
        <w:ind w:left="200" w:right="560" w:hanging="198"/>
        <w:spacing w:after="0"/>
        <w:tabs>
          <w:tab w:leader="none" w:pos="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Audit Committee or the Chair will then consider all relevant facts and circumstances available.</w:t>
      </w:r>
    </w:p>
    <w:p>
      <w:pPr>
        <w:spacing w:after="0" w:line="60" w:lineRule="exact"/>
        <w:rPr>
          <w:rFonts w:ascii="Arial" w:cs="Arial" w:eastAsia="Arial" w:hAnsi="Arial"/>
          <w:sz w:val="15"/>
          <w:szCs w:val="15"/>
          <w:color w:val="auto"/>
        </w:rPr>
      </w:pPr>
    </w:p>
    <w:p>
      <w:pPr>
        <w:ind w:left="200" w:hanging="198"/>
        <w:spacing w:after="0" w:line="238" w:lineRule="auto"/>
        <w:tabs>
          <w:tab w:leader="none" w:pos="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Audit Committee or the Chair will approve only those transactions, determined in good faith to be in, or are not inconsistent with, the best interests of the Company and its stockholders.</w:t>
      </w:r>
    </w:p>
    <w:p>
      <w:pPr>
        <w:spacing w:after="0" w:line="128"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ectPr>
          <w:pgSz w:w="11900" w:h="16838" w:orient="portrait"/>
          <w:cols w:equalWidth="0" w:num="2">
            <w:col w:w="5490" w:space="360"/>
            <w:col w:w="5480"/>
          </w:cols>
          <w:pgMar w:left="230" w:top="407" w:right="3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SECURITY OWNERSHIP OF CERTAIN</w:t>
      </w:r>
    </w:p>
    <w:p>
      <w:pPr>
        <w:spacing w:after="0" w:line="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BENEFICIAL OWNERS</w:t>
      </w:r>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The following table sets forth information regarding beneficial ownership of shares of Common Stock as of March 1, 2014, by (i) each person who is known by us to beneficially own more than 5% of the outstanding shares of Common Stock, (ii) each of the Company’s directors and each of its named executive officers (“NEOs”), and (iii) all of the Company’s directors and current executive officers, as a group.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0" w:type="dxa"/>
            <w:vAlign w:val="bottom"/>
            <w:vMerge w:val="restart"/>
          </w:tcPr>
          <w:p>
            <w:pPr>
              <w:jc w:val="center"/>
              <w:ind w:left="124"/>
              <w:spacing w:after="0"/>
              <w:rPr>
                <w:sz w:val="20"/>
                <w:szCs w:val="20"/>
                <w:color w:val="auto"/>
              </w:rPr>
            </w:pPr>
            <w:r>
              <w:rPr>
                <w:rFonts w:ascii="Arial" w:cs="Arial" w:eastAsia="Arial" w:hAnsi="Arial"/>
                <w:sz w:val="11"/>
                <w:szCs w:val="11"/>
                <w:b w:val="1"/>
                <w:bCs w:val="1"/>
                <w:color w:val="auto"/>
              </w:rPr>
              <w:t>Percent of</w:t>
            </w:r>
          </w:p>
        </w:tc>
        <w:tc>
          <w:tcPr>
            <w:tcW w:w="2400" w:type="dxa"/>
            <w:vAlign w:val="bottom"/>
            <w:gridSpan w:val="2"/>
          </w:tcPr>
          <w:p>
            <w:pPr>
              <w:jc w:val="center"/>
              <w:spacing w:after="0"/>
              <w:rPr>
                <w:sz w:val="20"/>
                <w:szCs w:val="20"/>
                <w:color w:val="auto"/>
              </w:rPr>
            </w:pPr>
            <w:r>
              <w:rPr>
                <w:rFonts w:ascii="Arial" w:cs="Arial" w:eastAsia="Arial" w:hAnsi="Arial"/>
                <w:sz w:val="11"/>
                <w:szCs w:val="11"/>
                <w:b w:val="1"/>
                <w:bCs w:val="1"/>
                <w:color w:val="auto"/>
              </w:rPr>
              <w:t>Of the Total Number of Shares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2400" w:type="dxa"/>
            <w:vAlign w:val="bottom"/>
            <w:gridSpan w:val="2"/>
          </w:tcPr>
          <w:p>
            <w:pPr>
              <w:jc w:val="center"/>
              <w:spacing w:after="0" w:line="116" w:lineRule="exact"/>
              <w:rPr>
                <w:sz w:val="20"/>
                <w:szCs w:val="20"/>
                <w:color w:val="auto"/>
              </w:rPr>
            </w:pPr>
            <w:r>
              <w:rPr>
                <w:rFonts w:ascii="Arial" w:cs="Arial" w:eastAsia="Arial" w:hAnsi="Arial"/>
                <w:sz w:val="11"/>
                <w:szCs w:val="11"/>
                <w:b w:val="1"/>
                <w:bCs w:val="1"/>
                <w:color w:val="auto"/>
              </w:rPr>
              <w:t>Beneficially Owned, Shares which</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10"/>
                <w:szCs w:val="10"/>
                <w:color w:val="auto"/>
              </w:rPr>
            </w:pP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b w:val="1"/>
                <w:bCs w:val="1"/>
                <w:color w:val="auto"/>
              </w:rPr>
              <w:t>Total Amount of Shares</w:t>
            </w:r>
          </w:p>
        </w:tc>
        <w:tc>
          <w:tcPr>
            <w:tcW w:w="1800" w:type="dxa"/>
            <w:vAlign w:val="bottom"/>
          </w:tcPr>
          <w:p>
            <w:pPr>
              <w:jc w:val="center"/>
              <w:ind w:left="124"/>
              <w:spacing w:after="0" w:line="124" w:lineRule="exact"/>
              <w:rPr>
                <w:sz w:val="20"/>
                <w:szCs w:val="20"/>
                <w:color w:val="auto"/>
              </w:rPr>
            </w:pPr>
            <w:r>
              <w:rPr>
                <w:rFonts w:ascii="Arial" w:cs="Arial" w:eastAsia="Arial" w:hAnsi="Arial"/>
                <w:sz w:val="11"/>
                <w:szCs w:val="11"/>
                <w:b w:val="1"/>
                <w:bCs w:val="1"/>
                <w:color w:val="auto"/>
              </w:rPr>
              <w:t>Common</w:t>
            </w:r>
          </w:p>
        </w:tc>
        <w:tc>
          <w:tcPr>
            <w:tcW w:w="760" w:type="dxa"/>
            <w:vAlign w:val="bottom"/>
          </w:tcPr>
          <w:p>
            <w:pPr>
              <w:spacing w:after="0"/>
              <w:rPr>
                <w:sz w:val="10"/>
                <w:szCs w:val="10"/>
                <w:color w:val="auto"/>
              </w:rPr>
            </w:pPr>
          </w:p>
        </w:tc>
        <w:tc>
          <w:tcPr>
            <w:tcW w:w="1640" w:type="dxa"/>
            <w:vAlign w:val="bottom"/>
          </w:tcPr>
          <w:p>
            <w:pPr>
              <w:jc w:val="center"/>
              <w:ind w:right="702"/>
              <w:spacing w:after="0" w:line="124" w:lineRule="exact"/>
              <w:rPr>
                <w:sz w:val="20"/>
                <w:szCs w:val="20"/>
                <w:color w:val="auto"/>
              </w:rPr>
            </w:pPr>
            <w:r>
              <w:rPr>
                <w:rFonts w:ascii="Arial" w:cs="Arial" w:eastAsia="Arial" w:hAnsi="Arial"/>
                <w:sz w:val="11"/>
                <w:szCs w:val="11"/>
                <w:b w:val="1"/>
                <w:bCs w:val="1"/>
                <w:color w:val="auto"/>
                <w:w w:val="93"/>
              </w:rPr>
              <w:t>May</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Beneficial Owner</w:t>
            </w:r>
          </w:p>
        </w:tc>
        <w:tc>
          <w:tcPr>
            <w:tcW w:w="3180" w:type="dxa"/>
            <w:vAlign w:val="bottom"/>
            <w:tcBorders>
              <w:bottom w:val="single" w:sz="8" w:color="auto"/>
            </w:tcBorders>
          </w:tcPr>
          <w:p>
            <w:pPr>
              <w:jc w:val="right"/>
              <w:ind w:right="724"/>
              <w:spacing w:after="0" w:line="146" w:lineRule="exact"/>
              <w:rPr>
                <w:sz w:val="20"/>
                <w:szCs w:val="20"/>
                <w:color w:val="auto"/>
              </w:rPr>
            </w:pPr>
            <w:r>
              <w:rPr>
                <w:rFonts w:ascii="Arial" w:cs="Arial" w:eastAsia="Arial" w:hAnsi="Arial"/>
                <w:sz w:val="10"/>
                <w:szCs w:val="10"/>
                <w:b w:val="1"/>
                <w:bCs w:val="1"/>
                <w:color w:val="auto"/>
              </w:rPr>
              <w:t>Beneficially Owned</w:t>
            </w:r>
            <w:r>
              <w:rPr>
                <w:rFonts w:ascii="Arial" w:cs="Arial" w:eastAsia="Arial" w:hAnsi="Arial"/>
                <w:sz w:val="16"/>
                <w:szCs w:val="16"/>
                <w:b w:val="1"/>
                <w:bCs w:val="1"/>
                <w:color w:val="auto"/>
                <w:vertAlign w:val="superscript"/>
              </w:rPr>
              <w:t>(1)</w:t>
            </w:r>
          </w:p>
        </w:tc>
        <w:tc>
          <w:tcPr>
            <w:tcW w:w="1800" w:type="dxa"/>
            <w:vAlign w:val="bottom"/>
            <w:tcBorders>
              <w:bottom w:val="single" w:sz="8" w:color="auto"/>
            </w:tcBorders>
          </w:tcPr>
          <w:p>
            <w:pPr>
              <w:jc w:val="center"/>
              <w:ind w:left="124"/>
              <w:spacing w:after="0" w:line="146" w:lineRule="exact"/>
              <w:rPr>
                <w:sz w:val="20"/>
                <w:szCs w:val="20"/>
                <w:color w:val="auto"/>
              </w:rPr>
            </w:pPr>
            <w:r>
              <w:rPr>
                <w:rFonts w:ascii="Arial" w:cs="Arial" w:eastAsia="Arial" w:hAnsi="Arial"/>
                <w:sz w:val="10"/>
                <w:szCs w:val="10"/>
                <w:b w:val="1"/>
                <w:bCs w:val="1"/>
                <w:color w:val="auto"/>
              </w:rPr>
              <w:t>Stock Owned</w:t>
            </w:r>
            <w:r>
              <w:rPr>
                <w:rFonts w:ascii="Arial" w:cs="Arial" w:eastAsia="Arial" w:hAnsi="Arial"/>
                <w:sz w:val="16"/>
                <w:szCs w:val="16"/>
                <w:b w:val="1"/>
                <w:bCs w:val="1"/>
                <w:color w:val="auto"/>
                <w:vertAlign w:val="superscript"/>
              </w:rPr>
              <w:t>(2)</w:t>
            </w:r>
          </w:p>
        </w:tc>
        <w:tc>
          <w:tcPr>
            <w:tcW w:w="240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0"/>
                <w:szCs w:val="10"/>
                <w:b w:val="1"/>
                <w:bCs w:val="1"/>
                <w:color w:val="auto"/>
              </w:rPr>
              <w:t>be Acquired within 60 Days</w:t>
            </w:r>
            <w:r>
              <w:rPr>
                <w:rFonts w:ascii="Arial" w:cs="Arial" w:eastAsia="Arial" w:hAnsi="Arial"/>
                <w:sz w:val="16"/>
                <w:szCs w:val="16"/>
                <w:b w:val="1"/>
                <w:bCs w:val="1"/>
                <w:color w:val="auto"/>
                <w:vertAlign w:val="superscript"/>
              </w:rPr>
              <w:t>(3)</w:t>
            </w: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line="115" w:lineRule="exact"/>
              <w:rPr>
                <w:sz w:val="20"/>
                <w:szCs w:val="20"/>
                <w:color w:val="auto"/>
              </w:rPr>
            </w:pPr>
            <w:r>
              <w:rPr>
                <w:rFonts w:ascii="Arial" w:cs="Arial" w:eastAsia="Arial" w:hAnsi="Arial"/>
                <w:sz w:val="11"/>
                <w:szCs w:val="11"/>
                <w:b w:val="1"/>
                <w:bCs w:val="1"/>
                <w:color w:val="auto"/>
              </w:rPr>
              <w:t>Principal Stockholders:**</w:t>
            </w: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700" w:type="dxa"/>
            <w:vAlign w:val="bottom"/>
            <w:shd w:val="clear" w:color="auto" w:fill="D8D8D8"/>
          </w:tcPr>
          <w:p>
            <w:pPr>
              <w:spacing w:after="0" w:line="123" w:lineRule="exact"/>
              <w:rPr>
                <w:sz w:val="20"/>
                <w:szCs w:val="20"/>
                <w:color w:val="auto"/>
              </w:rPr>
            </w:pPr>
            <w:r>
              <w:rPr>
                <w:rFonts w:ascii="Arial" w:cs="Arial" w:eastAsia="Arial" w:hAnsi="Arial"/>
                <w:sz w:val="11"/>
                <w:szCs w:val="11"/>
                <w:color w:val="auto"/>
              </w:rPr>
              <w:t>Iridian Asset Management LLC</w:t>
            </w:r>
          </w:p>
        </w:tc>
        <w:tc>
          <w:tcPr>
            <w:tcW w:w="3180" w:type="dxa"/>
            <w:vAlign w:val="bottom"/>
            <w:shd w:val="clear" w:color="auto" w:fill="D8D8D8"/>
          </w:tcPr>
          <w:p>
            <w:pPr>
              <w:spacing w:after="0"/>
              <w:rPr>
                <w:sz w:val="10"/>
                <w:szCs w:val="10"/>
                <w:color w:val="auto"/>
              </w:rPr>
            </w:pPr>
          </w:p>
        </w:tc>
        <w:tc>
          <w:tcPr>
            <w:tcW w:w="1800" w:type="dxa"/>
            <w:vAlign w:val="bottom"/>
            <w:shd w:val="clear" w:color="auto" w:fill="D8D8D8"/>
          </w:tcPr>
          <w:p>
            <w:pPr>
              <w:spacing w:after="0"/>
              <w:rPr>
                <w:sz w:val="10"/>
                <w:szCs w:val="10"/>
                <w:color w:val="auto"/>
              </w:rPr>
            </w:pPr>
          </w:p>
        </w:tc>
        <w:tc>
          <w:tcPr>
            <w:tcW w:w="760" w:type="dxa"/>
            <w:vAlign w:val="bottom"/>
            <w:tcBorders>
              <w:right w:val="single" w:sz="8" w:color="D8D8D8"/>
            </w:tcBorders>
            <w:shd w:val="clear" w:color="auto" w:fill="D8D8D8"/>
          </w:tcPr>
          <w:p>
            <w:pPr>
              <w:spacing w:after="0"/>
              <w:rPr>
                <w:sz w:val="10"/>
                <w:szCs w:val="10"/>
                <w:color w:val="auto"/>
              </w:rPr>
            </w:pPr>
          </w:p>
        </w:tc>
        <w:tc>
          <w:tcPr>
            <w:tcW w:w="1640" w:type="dxa"/>
            <w:vAlign w:val="bottom"/>
            <w:shd w:val="clear" w:color="auto" w:fill="D8D8D8"/>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700" w:type="dxa"/>
            <w:vAlign w:val="bottom"/>
            <w:shd w:val="clear" w:color="auto" w:fill="D8D8D8"/>
          </w:tcPr>
          <w:p>
            <w:pPr>
              <w:spacing w:after="0" w:line="107" w:lineRule="exact"/>
              <w:rPr>
                <w:sz w:val="20"/>
                <w:szCs w:val="20"/>
                <w:color w:val="auto"/>
              </w:rPr>
            </w:pPr>
            <w:r>
              <w:rPr>
                <w:rFonts w:ascii="Arial" w:cs="Arial" w:eastAsia="Arial" w:hAnsi="Arial"/>
                <w:sz w:val="11"/>
                <w:szCs w:val="11"/>
                <w:color w:val="auto"/>
              </w:rPr>
              <w:t>276 Post Road West</w:t>
            </w:r>
          </w:p>
        </w:tc>
        <w:tc>
          <w:tcPr>
            <w:tcW w:w="3180" w:type="dxa"/>
            <w:vAlign w:val="bottom"/>
            <w:shd w:val="clear" w:color="auto" w:fill="D8D8D8"/>
          </w:tcPr>
          <w:p>
            <w:pPr>
              <w:spacing w:after="0"/>
              <w:rPr>
                <w:sz w:val="9"/>
                <w:szCs w:val="9"/>
                <w:color w:val="auto"/>
              </w:rPr>
            </w:pPr>
          </w:p>
        </w:tc>
        <w:tc>
          <w:tcPr>
            <w:tcW w:w="1800" w:type="dxa"/>
            <w:vAlign w:val="bottom"/>
            <w:shd w:val="clear" w:color="auto" w:fill="D8D8D8"/>
          </w:tcPr>
          <w:p>
            <w:pPr>
              <w:spacing w:after="0"/>
              <w:rPr>
                <w:sz w:val="9"/>
                <w:szCs w:val="9"/>
                <w:color w:val="auto"/>
              </w:rPr>
            </w:pPr>
          </w:p>
        </w:tc>
        <w:tc>
          <w:tcPr>
            <w:tcW w:w="760" w:type="dxa"/>
            <w:vAlign w:val="bottom"/>
            <w:tcBorders>
              <w:right w:val="single" w:sz="8" w:color="D8D8D8"/>
            </w:tcBorders>
            <w:shd w:val="clear" w:color="auto" w:fill="D8D8D8"/>
          </w:tcPr>
          <w:p>
            <w:pPr>
              <w:spacing w:after="0"/>
              <w:rPr>
                <w:sz w:val="9"/>
                <w:szCs w:val="9"/>
                <w:color w:val="auto"/>
              </w:rPr>
            </w:pPr>
          </w:p>
        </w:tc>
        <w:tc>
          <w:tcPr>
            <w:tcW w:w="164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700" w:type="dxa"/>
            <w:vAlign w:val="bottom"/>
            <w:shd w:val="clear" w:color="auto" w:fill="D8D8D8"/>
          </w:tcPr>
          <w:p>
            <w:pPr>
              <w:spacing w:after="0" w:line="153" w:lineRule="exact"/>
              <w:rPr>
                <w:sz w:val="20"/>
                <w:szCs w:val="20"/>
                <w:color w:val="auto"/>
              </w:rPr>
            </w:pPr>
            <w:r>
              <w:rPr>
                <w:rFonts w:ascii="Arial" w:cs="Arial" w:eastAsia="Arial" w:hAnsi="Arial"/>
                <w:sz w:val="11"/>
                <w:szCs w:val="11"/>
                <w:color w:val="auto"/>
              </w:rPr>
              <w:t>Westport, CT 06880</w:t>
            </w:r>
            <w:r>
              <w:rPr>
                <w:rFonts w:ascii="Arial" w:cs="Arial" w:eastAsia="Arial" w:hAnsi="Arial"/>
                <w:sz w:val="17"/>
                <w:szCs w:val="17"/>
                <w:color w:val="auto"/>
                <w:vertAlign w:val="superscript"/>
              </w:rPr>
              <w:t>(4)</w:t>
            </w:r>
          </w:p>
        </w:tc>
        <w:tc>
          <w:tcPr>
            <w:tcW w:w="3180" w:type="dxa"/>
            <w:vAlign w:val="bottom"/>
            <w:shd w:val="clear" w:color="auto" w:fill="D8D8D8"/>
          </w:tcPr>
          <w:p>
            <w:pPr>
              <w:jc w:val="right"/>
              <w:ind w:right="684"/>
              <w:spacing w:after="0"/>
              <w:rPr>
                <w:sz w:val="20"/>
                <w:szCs w:val="20"/>
                <w:color w:val="auto"/>
              </w:rPr>
            </w:pPr>
            <w:r>
              <w:rPr>
                <w:rFonts w:ascii="Arial" w:cs="Arial" w:eastAsia="Arial" w:hAnsi="Arial"/>
                <w:sz w:val="11"/>
                <w:szCs w:val="11"/>
                <w:color w:val="auto"/>
              </w:rPr>
              <w:t>10,004,144</w:t>
            </w:r>
          </w:p>
        </w:tc>
        <w:tc>
          <w:tcPr>
            <w:tcW w:w="180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9.4%</w:t>
            </w:r>
          </w:p>
        </w:tc>
        <w:tc>
          <w:tcPr>
            <w:tcW w:w="760" w:type="dxa"/>
            <w:vAlign w:val="bottom"/>
            <w:tcBorders>
              <w:right w:val="single" w:sz="8" w:color="D8D8D8"/>
            </w:tcBorders>
            <w:shd w:val="clear" w:color="auto" w:fill="D8D8D8"/>
          </w:tcPr>
          <w:p>
            <w:pPr>
              <w:spacing w:after="0"/>
              <w:rPr>
                <w:sz w:val="13"/>
                <w:szCs w:val="13"/>
                <w:color w:val="auto"/>
              </w:rPr>
            </w:pPr>
          </w:p>
        </w:tc>
        <w:tc>
          <w:tcPr>
            <w:tcW w:w="1640" w:type="dxa"/>
            <w:vAlign w:val="bottom"/>
            <w:shd w:val="clear" w:color="auto" w:fill="D8D8D8"/>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00" w:type="dxa"/>
            <w:vAlign w:val="bottom"/>
          </w:tcPr>
          <w:p>
            <w:pPr>
              <w:spacing w:after="0" w:line="107" w:lineRule="exact"/>
              <w:rPr>
                <w:sz w:val="20"/>
                <w:szCs w:val="20"/>
                <w:color w:val="auto"/>
              </w:rPr>
            </w:pPr>
            <w:r>
              <w:rPr>
                <w:rFonts w:ascii="Arial" w:cs="Arial" w:eastAsia="Arial" w:hAnsi="Arial"/>
                <w:sz w:val="8"/>
                <w:szCs w:val="8"/>
                <w:color w:val="auto"/>
              </w:rPr>
              <w:t>SRS Investment Management, LLC</w:t>
            </w:r>
            <w:r>
              <w:rPr>
                <w:rFonts w:ascii="Arial" w:cs="Arial" w:eastAsia="Arial" w:hAnsi="Arial"/>
                <w:sz w:val="12"/>
                <w:szCs w:val="12"/>
                <w:color w:val="auto"/>
                <w:vertAlign w:val="superscript"/>
              </w:rPr>
              <w:t>(5)</w:t>
            </w: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line="141" w:lineRule="exact"/>
              <w:rPr>
                <w:sz w:val="20"/>
                <w:szCs w:val="20"/>
                <w:color w:val="auto"/>
              </w:rPr>
            </w:pPr>
            <w:r>
              <w:rPr>
                <w:rFonts w:ascii="Arial" w:cs="Arial" w:eastAsia="Arial" w:hAnsi="Arial"/>
                <w:sz w:val="10"/>
                <w:szCs w:val="10"/>
                <w:color w:val="auto"/>
              </w:rPr>
              <w:t>1 Bryant Park, 39</w:t>
            </w:r>
            <w:r>
              <w:rPr>
                <w:rFonts w:ascii="Arial" w:cs="Arial" w:eastAsia="Arial" w:hAnsi="Arial"/>
                <w:sz w:val="16"/>
                <w:szCs w:val="16"/>
                <w:color w:val="auto"/>
                <w:vertAlign w:val="superscript"/>
              </w:rPr>
              <w:t>th</w:t>
            </w:r>
            <w:r>
              <w:rPr>
                <w:rFonts w:ascii="Arial" w:cs="Arial" w:eastAsia="Arial" w:hAnsi="Arial"/>
                <w:sz w:val="10"/>
                <w:szCs w:val="10"/>
                <w:color w:val="auto"/>
              </w:rPr>
              <w:t xml:space="preserve"> Floor</w:t>
            </w:r>
          </w:p>
        </w:tc>
        <w:tc>
          <w:tcPr>
            <w:tcW w:w="3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00" w:type="dxa"/>
            <w:vAlign w:val="bottom"/>
          </w:tcPr>
          <w:p>
            <w:pPr>
              <w:spacing w:after="0"/>
              <w:rPr>
                <w:sz w:val="20"/>
                <w:szCs w:val="20"/>
                <w:color w:val="auto"/>
              </w:rPr>
            </w:pPr>
            <w:r>
              <w:rPr>
                <w:rFonts w:ascii="Arial" w:cs="Arial" w:eastAsia="Arial" w:hAnsi="Arial"/>
                <w:sz w:val="11"/>
                <w:szCs w:val="11"/>
                <w:color w:val="auto"/>
              </w:rPr>
              <w:t>New York, NY 10036</w:t>
            </w:r>
          </w:p>
        </w:tc>
        <w:tc>
          <w:tcPr>
            <w:tcW w:w="3180" w:type="dxa"/>
            <w:vAlign w:val="bottom"/>
          </w:tcPr>
          <w:p>
            <w:pPr>
              <w:jc w:val="right"/>
              <w:ind w:right="684"/>
              <w:spacing w:after="0"/>
              <w:rPr>
                <w:sz w:val="20"/>
                <w:szCs w:val="20"/>
                <w:color w:val="auto"/>
              </w:rPr>
            </w:pPr>
            <w:r>
              <w:rPr>
                <w:rFonts w:ascii="Arial" w:cs="Arial" w:eastAsia="Arial" w:hAnsi="Arial"/>
                <w:sz w:val="11"/>
                <w:szCs w:val="11"/>
                <w:color w:val="auto"/>
              </w:rPr>
              <w:t>10,000,000</w:t>
            </w:r>
          </w:p>
        </w:tc>
        <w:tc>
          <w:tcPr>
            <w:tcW w:w="1800" w:type="dxa"/>
            <w:vAlign w:val="bottom"/>
          </w:tcPr>
          <w:p>
            <w:pPr>
              <w:jc w:val="right"/>
              <w:ind w:right="244"/>
              <w:spacing w:after="0"/>
              <w:rPr>
                <w:sz w:val="20"/>
                <w:szCs w:val="20"/>
                <w:color w:val="auto"/>
              </w:rPr>
            </w:pPr>
            <w:r>
              <w:rPr>
                <w:rFonts w:ascii="Arial" w:cs="Arial" w:eastAsia="Arial" w:hAnsi="Arial"/>
                <w:sz w:val="11"/>
                <w:szCs w:val="11"/>
                <w:color w:val="auto"/>
              </w:rPr>
              <w:t>9.4%</w:t>
            </w:r>
          </w:p>
        </w:tc>
        <w:tc>
          <w:tcPr>
            <w:tcW w:w="760" w:type="dxa"/>
            <w:vAlign w:val="bottom"/>
          </w:tcPr>
          <w:p>
            <w:pPr>
              <w:spacing w:after="0"/>
              <w:rPr>
                <w:sz w:val="11"/>
                <w:szCs w:val="11"/>
                <w:color w:val="auto"/>
              </w:rPr>
            </w:pPr>
          </w:p>
        </w:tc>
        <w:tc>
          <w:tcPr>
            <w:tcW w:w="1640" w:type="dxa"/>
            <w:vAlign w:val="bottom"/>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shd w:val="clear" w:color="auto" w:fill="D8D8D8"/>
          </w:tcPr>
          <w:p>
            <w:pPr>
              <w:spacing w:after="0" w:line="123" w:lineRule="exact"/>
              <w:rPr>
                <w:sz w:val="20"/>
                <w:szCs w:val="20"/>
                <w:color w:val="auto"/>
              </w:rPr>
            </w:pPr>
            <w:r>
              <w:rPr>
                <w:rFonts w:ascii="Arial" w:cs="Arial" w:eastAsia="Arial" w:hAnsi="Arial"/>
                <w:sz w:val="9"/>
                <w:szCs w:val="9"/>
                <w:color w:val="auto"/>
              </w:rPr>
              <w:t>Dimensional Fund Advisors LP</w:t>
            </w:r>
            <w:r>
              <w:rPr>
                <w:rFonts w:ascii="Arial" w:cs="Arial" w:eastAsia="Arial" w:hAnsi="Arial"/>
                <w:sz w:val="14"/>
                <w:szCs w:val="14"/>
                <w:color w:val="auto"/>
                <w:vertAlign w:val="superscript"/>
              </w:rPr>
              <w:t>(6)</w:t>
            </w:r>
          </w:p>
        </w:tc>
        <w:tc>
          <w:tcPr>
            <w:tcW w:w="3180" w:type="dxa"/>
            <w:vAlign w:val="bottom"/>
            <w:shd w:val="clear" w:color="auto" w:fill="D8D8D8"/>
          </w:tcPr>
          <w:p>
            <w:pPr>
              <w:spacing w:after="0"/>
              <w:rPr>
                <w:sz w:val="10"/>
                <w:szCs w:val="10"/>
                <w:color w:val="auto"/>
              </w:rPr>
            </w:pPr>
          </w:p>
        </w:tc>
        <w:tc>
          <w:tcPr>
            <w:tcW w:w="1800" w:type="dxa"/>
            <w:vAlign w:val="bottom"/>
            <w:shd w:val="clear" w:color="auto" w:fill="D8D8D8"/>
          </w:tcPr>
          <w:p>
            <w:pPr>
              <w:spacing w:after="0"/>
              <w:rPr>
                <w:sz w:val="10"/>
                <w:szCs w:val="10"/>
                <w:color w:val="auto"/>
              </w:rPr>
            </w:pPr>
          </w:p>
        </w:tc>
        <w:tc>
          <w:tcPr>
            <w:tcW w:w="760" w:type="dxa"/>
            <w:vAlign w:val="bottom"/>
            <w:tcBorders>
              <w:right w:val="single" w:sz="8" w:color="D8D8D8"/>
            </w:tcBorders>
            <w:shd w:val="clear" w:color="auto" w:fill="D8D8D8"/>
          </w:tcPr>
          <w:p>
            <w:pPr>
              <w:spacing w:after="0"/>
              <w:rPr>
                <w:sz w:val="10"/>
                <w:szCs w:val="10"/>
                <w:color w:val="auto"/>
              </w:rPr>
            </w:pPr>
          </w:p>
        </w:tc>
        <w:tc>
          <w:tcPr>
            <w:tcW w:w="1640" w:type="dxa"/>
            <w:vAlign w:val="bottom"/>
            <w:shd w:val="clear" w:color="auto" w:fill="D8D8D8"/>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Palisades West, Building One</w:t>
            </w:r>
          </w:p>
        </w:tc>
        <w:tc>
          <w:tcPr>
            <w:tcW w:w="3180" w:type="dxa"/>
            <w:vAlign w:val="bottom"/>
            <w:shd w:val="clear" w:color="auto" w:fill="D8D8D8"/>
          </w:tcPr>
          <w:p>
            <w:pPr>
              <w:spacing w:after="0"/>
              <w:rPr>
                <w:sz w:val="10"/>
                <w:szCs w:val="10"/>
                <w:color w:val="auto"/>
              </w:rPr>
            </w:pPr>
          </w:p>
        </w:tc>
        <w:tc>
          <w:tcPr>
            <w:tcW w:w="1800" w:type="dxa"/>
            <w:vAlign w:val="bottom"/>
            <w:shd w:val="clear" w:color="auto" w:fill="D8D8D8"/>
          </w:tcPr>
          <w:p>
            <w:pPr>
              <w:spacing w:after="0"/>
              <w:rPr>
                <w:sz w:val="10"/>
                <w:szCs w:val="10"/>
                <w:color w:val="auto"/>
              </w:rPr>
            </w:pPr>
          </w:p>
        </w:tc>
        <w:tc>
          <w:tcPr>
            <w:tcW w:w="760" w:type="dxa"/>
            <w:vAlign w:val="bottom"/>
            <w:tcBorders>
              <w:right w:val="single" w:sz="8" w:color="D8D8D8"/>
            </w:tcBorders>
            <w:shd w:val="clear" w:color="auto" w:fill="D8D8D8"/>
          </w:tcPr>
          <w:p>
            <w:pPr>
              <w:spacing w:after="0"/>
              <w:rPr>
                <w:sz w:val="10"/>
                <w:szCs w:val="10"/>
                <w:color w:val="auto"/>
              </w:rPr>
            </w:pPr>
          </w:p>
        </w:tc>
        <w:tc>
          <w:tcPr>
            <w:tcW w:w="1640" w:type="dxa"/>
            <w:vAlign w:val="bottom"/>
            <w:shd w:val="clear" w:color="auto" w:fill="D8D8D8"/>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00" w:type="dxa"/>
            <w:vAlign w:val="bottom"/>
            <w:shd w:val="clear" w:color="auto" w:fill="D8D8D8"/>
          </w:tcPr>
          <w:p>
            <w:pPr>
              <w:spacing w:after="0"/>
              <w:rPr>
                <w:sz w:val="20"/>
                <w:szCs w:val="20"/>
                <w:color w:val="auto"/>
              </w:rPr>
            </w:pPr>
            <w:r>
              <w:rPr>
                <w:rFonts w:ascii="Arial" w:cs="Arial" w:eastAsia="Arial" w:hAnsi="Arial"/>
                <w:sz w:val="11"/>
                <w:szCs w:val="11"/>
                <w:color w:val="auto"/>
              </w:rPr>
              <w:t>6300 Bee Cave Road, Austin, TX 78746</w:t>
            </w:r>
          </w:p>
        </w:tc>
        <w:tc>
          <w:tcPr>
            <w:tcW w:w="3180" w:type="dxa"/>
            <w:vAlign w:val="bottom"/>
            <w:shd w:val="clear" w:color="auto" w:fill="D8D8D8"/>
          </w:tcPr>
          <w:p>
            <w:pPr>
              <w:jc w:val="right"/>
              <w:ind w:right="684"/>
              <w:spacing w:after="0"/>
              <w:rPr>
                <w:sz w:val="20"/>
                <w:szCs w:val="20"/>
                <w:color w:val="auto"/>
              </w:rPr>
            </w:pPr>
            <w:r>
              <w:rPr>
                <w:rFonts w:ascii="Arial" w:cs="Arial" w:eastAsia="Arial" w:hAnsi="Arial"/>
                <w:sz w:val="11"/>
                <w:szCs w:val="11"/>
                <w:color w:val="auto"/>
              </w:rPr>
              <w:t>7,572,938</w:t>
            </w:r>
          </w:p>
        </w:tc>
        <w:tc>
          <w:tcPr>
            <w:tcW w:w="180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7.1%</w:t>
            </w:r>
          </w:p>
        </w:tc>
        <w:tc>
          <w:tcPr>
            <w:tcW w:w="760" w:type="dxa"/>
            <w:vAlign w:val="bottom"/>
            <w:tcBorders>
              <w:right w:val="single" w:sz="8" w:color="D8D8D8"/>
            </w:tcBorders>
            <w:shd w:val="clear" w:color="auto" w:fill="D8D8D8"/>
          </w:tcPr>
          <w:p>
            <w:pPr>
              <w:spacing w:after="0"/>
              <w:rPr>
                <w:sz w:val="11"/>
                <w:szCs w:val="11"/>
                <w:color w:val="auto"/>
              </w:rPr>
            </w:pPr>
          </w:p>
        </w:tc>
        <w:tc>
          <w:tcPr>
            <w:tcW w:w="1640" w:type="dxa"/>
            <w:vAlign w:val="bottom"/>
            <w:shd w:val="clear" w:color="auto" w:fill="D8D8D8"/>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line="123" w:lineRule="exact"/>
              <w:rPr>
                <w:sz w:val="20"/>
                <w:szCs w:val="20"/>
                <w:color w:val="auto"/>
              </w:rPr>
            </w:pPr>
            <w:r>
              <w:rPr>
                <w:rFonts w:ascii="Arial" w:cs="Arial" w:eastAsia="Arial" w:hAnsi="Arial"/>
                <w:sz w:val="9"/>
                <w:szCs w:val="9"/>
                <w:color w:val="auto"/>
              </w:rPr>
              <w:t>Columbia Wanger Asset Management, L.P.</w:t>
            </w:r>
            <w:r>
              <w:rPr>
                <w:rFonts w:ascii="Arial" w:cs="Arial" w:eastAsia="Arial" w:hAnsi="Arial"/>
                <w:sz w:val="14"/>
                <w:szCs w:val="14"/>
                <w:color w:val="auto"/>
                <w:vertAlign w:val="superscript"/>
              </w:rPr>
              <w:t>(7)</w:t>
            </w: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227 West Monroe Street, Suite 3000</w:t>
            </w: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00" w:type="dxa"/>
            <w:vAlign w:val="bottom"/>
          </w:tcPr>
          <w:p>
            <w:pPr>
              <w:spacing w:after="0"/>
              <w:rPr>
                <w:sz w:val="20"/>
                <w:szCs w:val="20"/>
                <w:color w:val="auto"/>
              </w:rPr>
            </w:pPr>
            <w:r>
              <w:rPr>
                <w:rFonts w:ascii="Arial" w:cs="Arial" w:eastAsia="Arial" w:hAnsi="Arial"/>
                <w:sz w:val="11"/>
                <w:szCs w:val="11"/>
                <w:color w:val="auto"/>
              </w:rPr>
              <w:t>Chicago, IL 60606</w:t>
            </w:r>
          </w:p>
        </w:tc>
        <w:tc>
          <w:tcPr>
            <w:tcW w:w="3180" w:type="dxa"/>
            <w:vAlign w:val="bottom"/>
          </w:tcPr>
          <w:p>
            <w:pPr>
              <w:jc w:val="right"/>
              <w:ind w:right="684"/>
              <w:spacing w:after="0"/>
              <w:rPr>
                <w:sz w:val="20"/>
                <w:szCs w:val="20"/>
                <w:color w:val="auto"/>
              </w:rPr>
            </w:pPr>
            <w:r>
              <w:rPr>
                <w:rFonts w:ascii="Arial" w:cs="Arial" w:eastAsia="Arial" w:hAnsi="Arial"/>
                <w:sz w:val="11"/>
                <w:szCs w:val="11"/>
                <w:color w:val="auto"/>
              </w:rPr>
              <w:t>6,666,050</w:t>
            </w:r>
          </w:p>
        </w:tc>
        <w:tc>
          <w:tcPr>
            <w:tcW w:w="1800" w:type="dxa"/>
            <w:vAlign w:val="bottom"/>
          </w:tcPr>
          <w:p>
            <w:pPr>
              <w:jc w:val="right"/>
              <w:ind w:right="244"/>
              <w:spacing w:after="0"/>
              <w:rPr>
                <w:sz w:val="20"/>
                <w:szCs w:val="20"/>
                <w:color w:val="auto"/>
              </w:rPr>
            </w:pPr>
            <w:r>
              <w:rPr>
                <w:rFonts w:ascii="Arial" w:cs="Arial" w:eastAsia="Arial" w:hAnsi="Arial"/>
                <w:sz w:val="11"/>
                <w:szCs w:val="11"/>
                <w:color w:val="auto"/>
              </w:rPr>
              <w:t>6.2%</w:t>
            </w:r>
          </w:p>
        </w:tc>
        <w:tc>
          <w:tcPr>
            <w:tcW w:w="760" w:type="dxa"/>
            <w:vAlign w:val="bottom"/>
          </w:tcPr>
          <w:p>
            <w:pPr>
              <w:spacing w:after="0"/>
              <w:rPr>
                <w:sz w:val="11"/>
                <w:szCs w:val="11"/>
                <w:color w:val="auto"/>
              </w:rPr>
            </w:pPr>
          </w:p>
        </w:tc>
        <w:tc>
          <w:tcPr>
            <w:tcW w:w="1640" w:type="dxa"/>
            <w:vAlign w:val="bottom"/>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00" w:type="dxa"/>
            <w:vAlign w:val="bottom"/>
            <w:shd w:val="clear" w:color="auto" w:fill="D8D8D8"/>
          </w:tcPr>
          <w:p>
            <w:pPr>
              <w:spacing w:after="0" w:line="107" w:lineRule="exact"/>
              <w:rPr>
                <w:sz w:val="20"/>
                <w:szCs w:val="20"/>
                <w:color w:val="auto"/>
              </w:rPr>
            </w:pPr>
            <w:r>
              <w:rPr>
                <w:rFonts w:ascii="Arial" w:cs="Arial" w:eastAsia="Arial" w:hAnsi="Arial"/>
                <w:sz w:val="8"/>
                <w:szCs w:val="8"/>
                <w:color w:val="auto"/>
              </w:rPr>
              <w:t>Blue Ridge Capital, L.L.C.</w:t>
            </w:r>
            <w:r>
              <w:rPr>
                <w:rFonts w:ascii="Arial" w:cs="Arial" w:eastAsia="Arial" w:hAnsi="Arial"/>
                <w:sz w:val="12"/>
                <w:szCs w:val="12"/>
                <w:color w:val="auto"/>
                <w:vertAlign w:val="superscript"/>
              </w:rPr>
              <w:t>(8)</w:t>
            </w:r>
          </w:p>
        </w:tc>
        <w:tc>
          <w:tcPr>
            <w:tcW w:w="3180" w:type="dxa"/>
            <w:vAlign w:val="bottom"/>
            <w:shd w:val="clear" w:color="auto" w:fill="D8D8D8"/>
          </w:tcPr>
          <w:p>
            <w:pPr>
              <w:spacing w:after="0"/>
              <w:rPr>
                <w:sz w:val="9"/>
                <w:szCs w:val="9"/>
                <w:color w:val="auto"/>
              </w:rPr>
            </w:pPr>
          </w:p>
        </w:tc>
        <w:tc>
          <w:tcPr>
            <w:tcW w:w="1800" w:type="dxa"/>
            <w:vAlign w:val="bottom"/>
            <w:shd w:val="clear" w:color="auto" w:fill="D8D8D8"/>
          </w:tcPr>
          <w:p>
            <w:pPr>
              <w:spacing w:after="0"/>
              <w:rPr>
                <w:sz w:val="9"/>
                <w:szCs w:val="9"/>
                <w:color w:val="auto"/>
              </w:rPr>
            </w:pPr>
          </w:p>
        </w:tc>
        <w:tc>
          <w:tcPr>
            <w:tcW w:w="760" w:type="dxa"/>
            <w:vAlign w:val="bottom"/>
            <w:tcBorders>
              <w:right w:val="single" w:sz="8" w:color="D8D8D8"/>
            </w:tcBorders>
            <w:shd w:val="clear" w:color="auto" w:fill="D8D8D8"/>
          </w:tcPr>
          <w:p>
            <w:pPr>
              <w:spacing w:after="0"/>
              <w:rPr>
                <w:sz w:val="9"/>
                <w:szCs w:val="9"/>
                <w:color w:val="auto"/>
              </w:rPr>
            </w:pPr>
          </w:p>
        </w:tc>
        <w:tc>
          <w:tcPr>
            <w:tcW w:w="164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D8D8D8"/>
          </w:tcPr>
          <w:p>
            <w:pPr>
              <w:spacing w:after="0" w:line="141" w:lineRule="exact"/>
              <w:rPr>
                <w:sz w:val="20"/>
                <w:szCs w:val="20"/>
                <w:color w:val="auto"/>
              </w:rPr>
            </w:pPr>
            <w:r>
              <w:rPr>
                <w:rFonts w:ascii="Arial" w:cs="Arial" w:eastAsia="Arial" w:hAnsi="Arial"/>
                <w:sz w:val="10"/>
                <w:szCs w:val="10"/>
                <w:color w:val="auto"/>
              </w:rPr>
              <w:t>660 Madison Avenue, 20</w:t>
            </w:r>
            <w:r>
              <w:rPr>
                <w:rFonts w:ascii="Arial" w:cs="Arial" w:eastAsia="Arial" w:hAnsi="Arial"/>
                <w:sz w:val="16"/>
                <w:szCs w:val="16"/>
                <w:color w:val="auto"/>
                <w:vertAlign w:val="superscript"/>
              </w:rPr>
              <w:t>th</w:t>
            </w:r>
            <w:r>
              <w:rPr>
                <w:rFonts w:ascii="Arial" w:cs="Arial" w:eastAsia="Arial" w:hAnsi="Arial"/>
                <w:sz w:val="10"/>
                <w:szCs w:val="10"/>
                <w:color w:val="auto"/>
              </w:rPr>
              <w:t xml:space="preserve"> Floor</w:t>
            </w:r>
          </w:p>
        </w:tc>
        <w:tc>
          <w:tcPr>
            <w:tcW w:w="3180" w:type="dxa"/>
            <w:vAlign w:val="bottom"/>
            <w:shd w:val="clear" w:color="auto" w:fill="D8D8D8"/>
          </w:tcPr>
          <w:p>
            <w:pPr>
              <w:spacing w:after="0"/>
              <w:rPr>
                <w:sz w:val="12"/>
                <w:szCs w:val="12"/>
                <w:color w:val="auto"/>
              </w:rPr>
            </w:pPr>
          </w:p>
        </w:tc>
        <w:tc>
          <w:tcPr>
            <w:tcW w:w="1800" w:type="dxa"/>
            <w:vAlign w:val="bottom"/>
            <w:shd w:val="clear" w:color="auto" w:fill="D8D8D8"/>
          </w:tcPr>
          <w:p>
            <w:pPr>
              <w:spacing w:after="0"/>
              <w:rPr>
                <w:sz w:val="12"/>
                <w:szCs w:val="12"/>
                <w:color w:val="auto"/>
              </w:rPr>
            </w:pPr>
          </w:p>
        </w:tc>
        <w:tc>
          <w:tcPr>
            <w:tcW w:w="760" w:type="dxa"/>
            <w:vAlign w:val="bottom"/>
            <w:tcBorders>
              <w:right w:val="single" w:sz="8" w:color="D8D8D8"/>
            </w:tcBorders>
            <w:shd w:val="clear" w:color="auto" w:fill="D8D8D8"/>
          </w:tcPr>
          <w:p>
            <w:pPr>
              <w:spacing w:after="0"/>
              <w:rPr>
                <w:sz w:val="12"/>
                <w:szCs w:val="12"/>
                <w:color w:val="auto"/>
              </w:rPr>
            </w:pPr>
          </w:p>
        </w:tc>
        <w:tc>
          <w:tcPr>
            <w:tcW w:w="164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00" w:type="dxa"/>
            <w:vAlign w:val="bottom"/>
            <w:shd w:val="clear" w:color="auto" w:fill="D8D8D8"/>
          </w:tcPr>
          <w:p>
            <w:pPr>
              <w:spacing w:after="0"/>
              <w:rPr>
                <w:sz w:val="20"/>
                <w:szCs w:val="20"/>
                <w:color w:val="auto"/>
              </w:rPr>
            </w:pPr>
            <w:r>
              <w:rPr>
                <w:rFonts w:ascii="Arial" w:cs="Arial" w:eastAsia="Arial" w:hAnsi="Arial"/>
                <w:sz w:val="11"/>
                <w:szCs w:val="11"/>
                <w:color w:val="auto"/>
              </w:rPr>
              <w:t>New York, NY 10065-8405</w:t>
            </w:r>
          </w:p>
        </w:tc>
        <w:tc>
          <w:tcPr>
            <w:tcW w:w="3180" w:type="dxa"/>
            <w:vAlign w:val="bottom"/>
            <w:shd w:val="clear" w:color="auto" w:fill="D8D8D8"/>
          </w:tcPr>
          <w:p>
            <w:pPr>
              <w:jc w:val="right"/>
              <w:ind w:right="684"/>
              <w:spacing w:after="0"/>
              <w:rPr>
                <w:sz w:val="20"/>
                <w:szCs w:val="20"/>
                <w:color w:val="auto"/>
              </w:rPr>
            </w:pPr>
            <w:r>
              <w:rPr>
                <w:rFonts w:ascii="Arial" w:cs="Arial" w:eastAsia="Arial" w:hAnsi="Arial"/>
                <w:sz w:val="11"/>
                <w:szCs w:val="11"/>
                <w:color w:val="auto"/>
              </w:rPr>
              <w:t>6,650,000</w:t>
            </w:r>
          </w:p>
        </w:tc>
        <w:tc>
          <w:tcPr>
            <w:tcW w:w="180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6.2%</w:t>
            </w:r>
          </w:p>
        </w:tc>
        <w:tc>
          <w:tcPr>
            <w:tcW w:w="760" w:type="dxa"/>
            <w:vAlign w:val="bottom"/>
            <w:tcBorders>
              <w:right w:val="single" w:sz="8" w:color="D8D8D8"/>
            </w:tcBorders>
            <w:shd w:val="clear" w:color="auto" w:fill="D8D8D8"/>
          </w:tcPr>
          <w:p>
            <w:pPr>
              <w:spacing w:after="0"/>
              <w:rPr>
                <w:sz w:val="11"/>
                <w:szCs w:val="11"/>
                <w:color w:val="auto"/>
              </w:rPr>
            </w:pPr>
          </w:p>
        </w:tc>
        <w:tc>
          <w:tcPr>
            <w:tcW w:w="1640" w:type="dxa"/>
            <w:vAlign w:val="bottom"/>
            <w:shd w:val="clear" w:color="auto" w:fill="D8D8D8"/>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line="123" w:lineRule="exact"/>
              <w:rPr>
                <w:sz w:val="20"/>
                <w:szCs w:val="20"/>
                <w:color w:val="auto"/>
              </w:rPr>
            </w:pPr>
            <w:r>
              <w:rPr>
                <w:rFonts w:ascii="Arial" w:cs="Arial" w:eastAsia="Arial" w:hAnsi="Arial"/>
                <w:sz w:val="9"/>
                <w:szCs w:val="9"/>
                <w:color w:val="auto"/>
              </w:rPr>
              <w:t>Vanguard Group, Inc.</w:t>
            </w:r>
            <w:r>
              <w:rPr>
                <w:rFonts w:ascii="Arial" w:cs="Arial" w:eastAsia="Arial" w:hAnsi="Arial"/>
                <w:sz w:val="14"/>
                <w:szCs w:val="14"/>
                <w:color w:val="auto"/>
                <w:vertAlign w:val="superscript"/>
              </w:rPr>
              <w:t>(9)</w:t>
            </w: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100 Vanguard Blvd.</w:t>
            </w: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00" w:type="dxa"/>
            <w:vAlign w:val="bottom"/>
          </w:tcPr>
          <w:p>
            <w:pPr>
              <w:spacing w:after="0"/>
              <w:rPr>
                <w:sz w:val="20"/>
                <w:szCs w:val="20"/>
                <w:color w:val="auto"/>
              </w:rPr>
            </w:pPr>
            <w:r>
              <w:rPr>
                <w:rFonts w:ascii="Arial" w:cs="Arial" w:eastAsia="Arial" w:hAnsi="Arial"/>
                <w:sz w:val="11"/>
                <w:szCs w:val="11"/>
                <w:color w:val="auto"/>
              </w:rPr>
              <w:t>Malvern, PA 19355</w:t>
            </w:r>
          </w:p>
        </w:tc>
        <w:tc>
          <w:tcPr>
            <w:tcW w:w="3180" w:type="dxa"/>
            <w:vAlign w:val="bottom"/>
          </w:tcPr>
          <w:p>
            <w:pPr>
              <w:jc w:val="right"/>
              <w:ind w:right="684"/>
              <w:spacing w:after="0"/>
              <w:rPr>
                <w:sz w:val="20"/>
                <w:szCs w:val="20"/>
                <w:color w:val="auto"/>
              </w:rPr>
            </w:pPr>
            <w:r>
              <w:rPr>
                <w:rFonts w:ascii="Arial" w:cs="Arial" w:eastAsia="Arial" w:hAnsi="Arial"/>
                <w:sz w:val="11"/>
                <w:szCs w:val="11"/>
                <w:color w:val="auto"/>
              </w:rPr>
              <w:t>5,733,072</w:t>
            </w:r>
          </w:p>
        </w:tc>
        <w:tc>
          <w:tcPr>
            <w:tcW w:w="1800" w:type="dxa"/>
            <w:vAlign w:val="bottom"/>
          </w:tcPr>
          <w:p>
            <w:pPr>
              <w:jc w:val="right"/>
              <w:ind w:right="244"/>
              <w:spacing w:after="0"/>
              <w:rPr>
                <w:sz w:val="20"/>
                <w:szCs w:val="20"/>
                <w:color w:val="auto"/>
              </w:rPr>
            </w:pPr>
            <w:r>
              <w:rPr>
                <w:rFonts w:ascii="Arial" w:cs="Arial" w:eastAsia="Arial" w:hAnsi="Arial"/>
                <w:sz w:val="11"/>
                <w:szCs w:val="11"/>
                <w:color w:val="auto"/>
              </w:rPr>
              <w:t>5.4%</w:t>
            </w:r>
          </w:p>
        </w:tc>
        <w:tc>
          <w:tcPr>
            <w:tcW w:w="760" w:type="dxa"/>
            <w:vAlign w:val="bottom"/>
          </w:tcPr>
          <w:p>
            <w:pPr>
              <w:spacing w:after="0"/>
              <w:rPr>
                <w:sz w:val="11"/>
                <w:szCs w:val="11"/>
                <w:color w:val="auto"/>
              </w:rPr>
            </w:pPr>
          </w:p>
        </w:tc>
        <w:tc>
          <w:tcPr>
            <w:tcW w:w="1640" w:type="dxa"/>
            <w:vAlign w:val="bottom"/>
          </w:tcPr>
          <w:p>
            <w:pPr>
              <w:jc w:val="right"/>
              <w:ind w:right="222"/>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9"/>
                <w:szCs w:val="9"/>
                <w:color w:val="auto"/>
              </w:rPr>
              <w:t>Directors and Named Executive Officers</w:t>
            </w:r>
            <w:r>
              <w:rPr>
                <w:rFonts w:ascii="Arial" w:cs="Arial" w:eastAsia="Arial" w:hAnsi="Arial"/>
                <w:sz w:val="14"/>
                <w:szCs w:val="14"/>
                <w:color w:val="auto"/>
                <w:vertAlign w:val="superscript"/>
              </w:rPr>
              <w:t>(10)(11)</w:t>
            </w:r>
            <w:r>
              <w:rPr>
                <w:rFonts w:ascii="Arial" w:cs="Arial" w:eastAsia="Arial" w:hAnsi="Arial"/>
                <w:sz w:val="9"/>
                <w:szCs w:val="9"/>
                <w:color w:val="auto"/>
              </w:rPr>
              <w:t>:</w:t>
            </w:r>
          </w:p>
        </w:tc>
        <w:tc>
          <w:tcPr>
            <w:tcW w:w="3180" w:type="dxa"/>
            <w:vAlign w:val="bottom"/>
            <w:shd w:val="clear" w:color="auto" w:fill="D8D8D8"/>
          </w:tcPr>
          <w:p>
            <w:pPr>
              <w:spacing w:after="0"/>
              <w:rPr>
                <w:sz w:val="10"/>
                <w:szCs w:val="10"/>
                <w:color w:val="auto"/>
              </w:rPr>
            </w:pPr>
          </w:p>
        </w:tc>
        <w:tc>
          <w:tcPr>
            <w:tcW w:w="1800" w:type="dxa"/>
            <w:vAlign w:val="bottom"/>
            <w:shd w:val="clear" w:color="auto" w:fill="D8D8D8"/>
          </w:tcPr>
          <w:p>
            <w:pPr>
              <w:spacing w:after="0"/>
              <w:rPr>
                <w:sz w:val="10"/>
                <w:szCs w:val="10"/>
                <w:color w:val="auto"/>
              </w:rPr>
            </w:pPr>
          </w:p>
        </w:tc>
        <w:tc>
          <w:tcPr>
            <w:tcW w:w="760" w:type="dxa"/>
            <w:vAlign w:val="bottom"/>
            <w:tcBorders>
              <w:right w:val="single" w:sz="8" w:color="D8D8D8"/>
            </w:tcBorders>
            <w:shd w:val="clear" w:color="auto" w:fill="D8D8D8"/>
          </w:tcPr>
          <w:p>
            <w:pPr>
              <w:spacing w:after="0"/>
              <w:rPr>
                <w:sz w:val="10"/>
                <w:szCs w:val="10"/>
                <w:color w:val="auto"/>
              </w:rPr>
            </w:pPr>
          </w:p>
        </w:tc>
        <w:tc>
          <w:tcPr>
            <w:tcW w:w="1640" w:type="dxa"/>
            <w:vAlign w:val="bottom"/>
            <w:shd w:val="clear" w:color="auto" w:fill="D8D8D8"/>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Ronald L. Nelson</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1,249,931</w:t>
            </w:r>
          </w:p>
        </w:tc>
        <w:tc>
          <w:tcPr>
            <w:tcW w:w="1800" w:type="dxa"/>
            <w:vAlign w:val="bottom"/>
          </w:tcPr>
          <w:p>
            <w:pPr>
              <w:jc w:val="right"/>
              <w:ind w:right="244"/>
              <w:spacing w:after="0" w:line="124" w:lineRule="exact"/>
              <w:rPr>
                <w:sz w:val="20"/>
                <w:szCs w:val="20"/>
                <w:color w:val="auto"/>
              </w:rPr>
            </w:pPr>
            <w:r>
              <w:rPr>
                <w:rFonts w:ascii="Arial" w:cs="Arial" w:eastAsia="Arial" w:hAnsi="Arial"/>
                <w:sz w:val="11"/>
                <w:szCs w:val="11"/>
                <w:color w:val="auto"/>
              </w:rPr>
              <w:t>1.2%</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553,000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Alun Cathcart</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15,047</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15,047</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Mary C. Choksi</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53,829</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19,729</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Leonard S. Coleman</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48,853</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22,353</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Jeffrey Fox</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1,736</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1,736</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John D. Hardy, Jr.</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19,186</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19,186</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Lynn Krominga</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20,021</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15,967</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Eduardo Mestre</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26,919</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21,919</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F. Robert Salerno</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28,898</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9,181</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Stender E. Sweeney</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34,032</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34,032</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Larry D. De Shon</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150,806</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Thomas M. Gartland</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80,649</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0</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line="124" w:lineRule="exact"/>
              <w:rPr>
                <w:sz w:val="20"/>
                <w:szCs w:val="20"/>
                <w:color w:val="auto"/>
              </w:rPr>
            </w:pPr>
            <w:r>
              <w:rPr>
                <w:rFonts w:ascii="Arial" w:cs="Arial" w:eastAsia="Arial" w:hAnsi="Arial"/>
                <w:sz w:val="11"/>
                <w:szCs w:val="11"/>
                <w:color w:val="auto"/>
              </w:rPr>
              <w:t>Patric T. Siniscalchi</w:t>
            </w:r>
          </w:p>
        </w:tc>
        <w:tc>
          <w:tcPr>
            <w:tcW w:w="3180" w:type="dxa"/>
            <w:vAlign w:val="bottom"/>
          </w:tcPr>
          <w:p>
            <w:pPr>
              <w:jc w:val="right"/>
              <w:ind w:right="684"/>
              <w:spacing w:after="0" w:line="124" w:lineRule="exact"/>
              <w:rPr>
                <w:sz w:val="20"/>
                <w:szCs w:val="20"/>
                <w:color w:val="auto"/>
              </w:rPr>
            </w:pPr>
            <w:r>
              <w:rPr>
                <w:rFonts w:ascii="Arial" w:cs="Arial" w:eastAsia="Arial" w:hAnsi="Arial"/>
                <w:sz w:val="11"/>
                <w:szCs w:val="11"/>
                <w:color w:val="auto"/>
              </w:rPr>
              <w:t>81,881</w:t>
            </w:r>
          </w:p>
        </w:tc>
        <w:tc>
          <w:tcPr>
            <w:tcW w:w="180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right"/>
              <w:ind w:right="222"/>
              <w:spacing w:after="0" w:line="124" w:lineRule="exact"/>
              <w:rPr>
                <w:sz w:val="20"/>
                <w:szCs w:val="20"/>
                <w:color w:val="auto"/>
              </w:rPr>
            </w:pPr>
            <w:r>
              <w:rPr>
                <w:rFonts w:ascii="Arial" w:cs="Arial" w:eastAsia="Arial" w:hAnsi="Arial"/>
                <w:sz w:val="11"/>
                <w:szCs w:val="11"/>
                <w:color w:val="auto"/>
              </w:rPr>
              <w:t>6,700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David B. Wyshner</w:t>
            </w:r>
          </w:p>
        </w:tc>
        <w:tc>
          <w:tcPr>
            <w:tcW w:w="3180" w:type="dxa"/>
            <w:vAlign w:val="bottom"/>
            <w:shd w:val="clear" w:color="auto" w:fill="D8D8D8"/>
          </w:tcPr>
          <w:p>
            <w:pPr>
              <w:jc w:val="right"/>
              <w:ind w:right="684"/>
              <w:spacing w:after="0" w:line="124" w:lineRule="exact"/>
              <w:rPr>
                <w:sz w:val="20"/>
                <w:szCs w:val="20"/>
                <w:color w:val="auto"/>
              </w:rPr>
            </w:pPr>
            <w:r>
              <w:rPr>
                <w:rFonts w:ascii="Arial" w:cs="Arial" w:eastAsia="Arial" w:hAnsi="Arial"/>
                <w:sz w:val="11"/>
                <w:szCs w:val="11"/>
                <w:color w:val="auto"/>
              </w:rPr>
              <w:t>176,857</w:t>
            </w:r>
          </w:p>
        </w:tc>
        <w:tc>
          <w:tcPr>
            <w:tcW w:w="180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D8D8D8"/>
          </w:tcPr>
          <w:p>
            <w:pPr>
              <w:jc w:val="right"/>
              <w:ind w:right="222"/>
              <w:spacing w:after="0" w:line="124" w:lineRule="exact"/>
              <w:rPr>
                <w:sz w:val="20"/>
                <w:szCs w:val="20"/>
                <w:color w:val="auto"/>
              </w:rPr>
            </w:pPr>
            <w:r>
              <w:rPr>
                <w:rFonts w:ascii="Arial" w:cs="Arial" w:eastAsia="Arial" w:hAnsi="Arial"/>
                <w:sz w:val="11"/>
                <w:szCs w:val="11"/>
                <w:color w:val="auto"/>
              </w:rPr>
              <w:t>85,604</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700" w:type="dxa"/>
            <w:vAlign w:val="bottom"/>
          </w:tcPr>
          <w:p>
            <w:pPr>
              <w:spacing w:after="0" w:line="110" w:lineRule="exact"/>
              <w:rPr>
                <w:sz w:val="20"/>
                <w:szCs w:val="20"/>
                <w:color w:val="auto"/>
              </w:rPr>
            </w:pPr>
            <w:r>
              <w:rPr>
                <w:rFonts w:ascii="Arial" w:cs="Arial" w:eastAsia="Arial" w:hAnsi="Arial"/>
                <w:sz w:val="11"/>
                <w:szCs w:val="11"/>
                <w:b w:val="1"/>
                <w:bCs w:val="1"/>
                <w:color w:val="auto"/>
              </w:rPr>
              <w:t>All Directors and Executive Officers as a group</w:t>
            </w: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(18 persons)</w:t>
            </w:r>
          </w:p>
        </w:tc>
        <w:tc>
          <w:tcPr>
            <w:tcW w:w="3180" w:type="dxa"/>
            <w:vAlign w:val="bottom"/>
            <w:tcBorders>
              <w:bottom w:val="single" w:sz="8" w:color="auto"/>
            </w:tcBorders>
          </w:tcPr>
          <w:p>
            <w:pPr>
              <w:jc w:val="right"/>
              <w:ind w:right="504"/>
              <w:spacing w:after="0" w:line="150" w:lineRule="exact"/>
              <w:rPr>
                <w:sz w:val="20"/>
                <w:szCs w:val="20"/>
                <w:color w:val="auto"/>
              </w:rPr>
            </w:pPr>
            <w:r>
              <w:rPr>
                <w:rFonts w:ascii="Arial" w:cs="Arial" w:eastAsia="Arial" w:hAnsi="Arial"/>
                <w:sz w:val="11"/>
                <w:szCs w:val="11"/>
                <w:color w:val="auto"/>
              </w:rPr>
              <w:t>2,176,254</w:t>
            </w:r>
            <w:r>
              <w:rPr>
                <w:rFonts w:ascii="Arial" w:cs="Arial" w:eastAsia="Arial" w:hAnsi="Arial"/>
                <w:sz w:val="17"/>
                <w:szCs w:val="17"/>
                <w:color w:val="auto"/>
                <w:vertAlign w:val="superscript"/>
              </w:rPr>
              <w:t>(12)</w:t>
            </w:r>
          </w:p>
        </w:tc>
        <w:tc>
          <w:tcPr>
            <w:tcW w:w="180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2.0%</w:t>
            </w:r>
          </w:p>
        </w:tc>
        <w:tc>
          <w:tcPr>
            <w:tcW w:w="2400" w:type="dxa"/>
            <w:vAlign w:val="bottom"/>
            <w:tcBorders>
              <w:bottom w:val="single" w:sz="8" w:color="auto"/>
            </w:tcBorders>
            <w:gridSpan w:val="2"/>
          </w:tcPr>
          <w:p>
            <w:pPr>
              <w:jc w:val="right"/>
              <w:ind w:right="42"/>
              <w:spacing w:after="0" w:line="150" w:lineRule="exact"/>
              <w:rPr>
                <w:sz w:val="20"/>
                <w:szCs w:val="20"/>
                <w:color w:val="auto"/>
              </w:rPr>
            </w:pPr>
            <w:r>
              <w:rPr>
                <w:rFonts w:ascii="Arial" w:cs="Arial" w:eastAsia="Arial" w:hAnsi="Arial"/>
                <w:sz w:val="11"/>
                <w:szCs w:val="11"/>
                <w:color w:val="auto"/>
              </w:rPr>
              <w:t>895,954</w:t>
            </w:r>
            <w:r>
              <w:rPr>
                <w:rFonts w:ascii="Arial" w:cs="Arial" w:eastAsia="Arial" w:hAnsi="Arial"/>
                <w:sz w:val="17"/>
                <w:szCs w:val="17"/>
                <w:color w:val="auto"/>
                <w:vertAlign w:val="superscript"/>
              </w:rPr>
              <w:t>(13)</w:t>
            </w: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vMerge w:val="restart"/>
          </w:tcPr>
          <w:p>
            <w:pPr>
              <w:jc w:val="right"/>
              <w:ind w:right="82"/>
              <w:spacing w:after="0"/>
              <w:rPr>
                <w:sz w:val="20"/>
                <w:szCs w:val="20"/>
                <w:color w:val="auto"/>
              </w:rPr>
            </w:pPr>
            <w:r>
              <w:rPr>
                <w:rFonts w:ascii="Arial" w:cs="Arial" w:eastAsia="Arial" w:hAnsi="Arial"/>
                <w:sz w:val="15"/>
                <w:szCs w:val="15"/>
                <w:i w:val="1"/>
                <w:iCs w:val="1"/>
                <w:color w:val="auto"/>
                <w:w w:val="99"/>
              </w:rPr>
              <w:t>2014 Proxy Statement</w:t>
            </w:r>
          </w:p>
        </w:tc>
        <w:tc>
          <w:tcPr>
            <w:tcW w:w="36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6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-142240</wp:posOffset>
            </wp:positionV>
            <wp:extent cx="857885"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21" w:name="page22"/>
    <w:bookmarkEnd w:id="21"/>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SECURITY OWNERSHIP OF CERTAIN BENEFICIAL OWNERS</w:t>
      </w:r>
    </w:p>
    <w:p>
      <w:pPr>
        <w:spacing w:after="0" w:line="132" w:lineRule="exact"/>
        <w:rPr>
          <w:sz w:val="20"/>
          <w:szCs w:val="20"/>
          <w:color w:val="auto"/>
        </w:rPr>
      </w:pPr>
    </w:p>
    <w:p>
      <w:pPr>
        <w:ind w:left="330" w:hanging="330"/>
        <w:spacing w:after="0"/>
        <w:tabs>
          <w:tab w:leader="none" w:pos="330" w:val="left"/>
        </w:tabs>
        <w:numPr>
          <w:ilvl w:val="0"/>
          <w:numId w:val="37"/>
        </w:numPr>
        <w:rPr>
          <w:rFonts w:ascii="Arial" w:cs="Arial" w:eastAsia="Arial" w:hAnsi="Arial"/>
          <w:sz w:val="11"/>
          <w:szCs w:val="11"/>
          <w:color w:val="auto"/>
        </w:rPr>
      </w:pPr>
      <w:r>
        <w:rPr>
          <w:rFonts w:ascii="Arial" w:cs="Arial" w:eastAsia="Arial" w:hAnsi="Arial"/>
          <w:sz w:val="11"/>
          <w:szCs w:val="11"/>
          <w:color w:val="auto"/>
        </w:rPr>
        <w:t>Amount represents less than 1% of outstanding Common Stock.</w:t>
      </w:r>
    </w:p>
    <w:p>
      <w:pPr>
        <w:ind w:left="330" w:hanging="330"/>
        <w:spacing w:after="0" w:line="234" w:lineRule="auto"/>
        <w:tabs>
          <w:tab w:leader="none" w:pos="330" w:val="left"/>
        </w:tabs>
        <w:numPr>
          <w:ilvl w:val="0"/>
          <w:numId w:val="38"/>
        </w:numPr>
        <w:rPr>
          <w:rFonts w:ascii="Arial" w:cs="Arial" w:eastAsia="Arial" w:hAnsi="Arial"/>
          <w:sz w:val="11"/>
          <w:szCs w:val="11"/>
          <w:color w:val="auto"/>
        </w:rPr>
      </w:pPr>
      <w:r>
        <w:rPr>
          <w:rFonts w:ascii="Arial" w:cs="Arial" w:eastAsia="Arial" w:hAnsi="Arial"/>
          <w:sz w:val="11"/>
          <w:szCs w:val="11"/>
          <w:color w:val="auto"/>
        </w:rPr>
        <w:t>Information is based upon the assumption that there was no change in the beneficial ownership of such shares of Common Stock from the publicly filed information through March 1, 2014.</w:t>
      </w:r>
    </w:p>
    <w:p>
      <w:pPr>
        <w:spacing w:after="0" w:line="1" w:lineRule="exact"/>
        <w:rPr>
          <w:sz w:val="20"/>
          <w:szCs w:val="20"/>
          <w:color w:val="auto"/>
        </w:rPr>
      </w:pPr>
    </w:p>
    <w:p>
      <w:pPr>
        <w:ind w:left="330" w:right="24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Shares beneficially owned include (i) direct and indirect ownership of shares, (ii) vested stock option awards, and (iii) stock option awards that may become vested, and restricted stock units that may be settled, within 60 days of March 1, 2014.</w:t>
      </w:r>
    </w:p>
    <w:p>
      <w:pPr>
        <w:spacing w:after="0" w:line="1"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Based on 106,753,482 shares of Common Stock outstanding on March 1, 2014.</w:t>
      </w:r>
    </w:p>
    <w:p>
      <w:pPr>
        <w:ind w:left="33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(i) vested stock option awards and (ii) stock option awards that may become vested, and restricted stock units that may be settled, within 60 days of March 1, 2014.</w:t>
      </w:r>
    </w:p>
    <w:p>
      <w:pPr>
        <w:ind w:left="330" w:right="26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10,004,144 shares of Common Stock by Iridian Asset Management LLC, David L. Cohen and Harold J. Levy, as derived solely from information reported in a Schedule 13G under the Exchange Act, filed with the SEC on February 4, 2014. Such Schedule 13G indicates that Iridian Asset Management LLC, David L. Cohen and Harold J. Levy have shared voting and dispositive power over the shares of Common Stock.</w:t>
      </w:r>
    </w:p>
    <w:p>
      <w:pPr>
        <w:spacing w:after="0" w:line="1" w:lineRule="exact"/>
        <w:rPr>
          <w:rFonts w:ascii="Arial" w:cs="Arial" w:eastAsia="Arial" w:hAnsi="Arial"/>
          <w:sz w:val="11"/>
          <w:szCs w:val="11"/>
          <w:color w:val="auto"/>
        </w:rPr>
      </w:pPr>
    </w:p>
    <w:p>
      <w:pPr>
        <w:ind w:left="330" w:right="50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10,000,000 shares of Common Stock by SRS Investment Management, LLC (“SRS”) and Karthik R. Sarma, as derived solely from information reported in a Schedule 13G under the Exchange Act, filed with the SEC on February 14, 2013. Such Schedule 13G indicates that SRS and Mr. Sarma share voting and dispositive power over the shares of Common Stock.</w:t>
      </w:r>
    </w:p>
    <w:p>
      <w:pPr>
        <w:spacing w:after="0" w:line="1" w:lineRule="exact"/>
        <w:rPr>
          <w:rFonts w:ascii="Arial" w:cs="Arial" w:eastAsia="Arial" w:hAnsi="Arial"/>
          <w:sz w:val="11"/>
          <w:szCs w:val="11"/>
          <w:color w:val="auto"/>
        </w:rPr>
      </w:pPr>
    </w:p>
    <w:p>
      <w:pPr>
        <w:ind w:left="330" w:right="20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7,572,938 shares of Common Stock by Dimensional Fund Advisors LP, as derived solely from information reported in a Schedule 13G under the Exchange Act, filed with the SEC on February 10, 2014. Such Schedule 13G indicates that Dimensional Fund Advisors LP has sole voting power over 7,461,926 shares of Common Stock and sole dispositive power over 7,572,938 shares of Common Stock.</w:t>
      </w:r>
    </w:p>
    <w:p>
      <w:pPr>
        <w:spacing w:after="0" w:line="1" w:lineRule="exact"/>
        <w:rPr>
          <w:rFonts w:ascii="Arial" w:cs="Arial" w:eastAsia="Arial" w:hAnsi="Arial"/>
          <w:sz w:val="11"/>
          <w:szCs w:val="11"/>
          <w:color w:val="auto"/>
        </w:rPr>
      </w:pPr>
    </w:p>
    <w:p>
      <w:pPr>
        <w:ind w:left="330" w:right="16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6,666,050 shares of Common Stock by Columbia Wanger Asset Management, LLC (“CWAM”), as derived solely from information reported in a Schedule 13G under the Exchange Act, filed with the SEC on February 6, 2014. Such Schedule 13G indicates that CWAM has sole voting power over 6,348,050 and sole dispositive power over 6,666,050 shares of Common Stock.</w:t>
      </w:r>
    </w:p>
    <w:p>
      <w:pPr>
        <w:jc w:val="both"/>
        <w:ind w:left="330" w:right="280" w:hanging="330"/>
        <w:spacing w:after="0" w:line="234" w:lineRule="auto"/>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6,650,000 shares of Common Stock by Blue Ridge Capital, L.L.C. (“BRC”), as derived solely from information reported in a Schedule 13G under the Exchange Act, filed with the SEC on February 14, 2014. Such Schedule 13G indicates that BRC and John A. Griffin have shared voting and dispositive power over 6,650,000 shares of Common Stock, Blue Ridge Limited Partnership has shared voting and dispositive power over 4,313,700 shares of Common Stock, and Blue Ridge Offshore Master Limited Partnership has shared voting and dispositive power over 2,336,300 shares of Common Stock.</w:t>
      </w:r>
    </w:p>
    <w:p>
      <w:pPr>
        <w:spacing w:after="0" w:line="1" w:lineRule="exact"/>
        <w:rPr>
          <w:rFonts w:ascii="Arial" w:cs="Arial" w:eastAsia="Arial" w:hAnsi="Arial"/>
          <w:sz w:val="11"/>
          <w:szCs w:val="11"/>
          <w:color w:val="auto"/>
        </w:rPr>
      </w:pPr>
    </w:p>
    <w:p>
      <w:pPr>
        <w:ind w:left="330" w:right="140" w:hanging="330"/>
        <w:spacing w:after="0"/>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beneficial ownership of 5,733,072 shares of Common Stock by The Vanguard Group, Inc., as derived solely from information reported in a Schedule 13G under the Exchange Act, filed with the SEC on February 6, 2014. Such Schedule 13G indicates that The Vanguard Group, Inc. has sole voting power over 65,793 shares, sole dispositive power over 5,672,979 shares and shared dispositive power over 60,093 shares of Common Stock.</w:t>
      </w:r>
    </w:p>
    <w:p>
      <w:pPr>
        <w:spacing w:after="0" w:line="118" w:lineRule="exact"/>
        <w:rPr>
          <w:rFonts w:ascii="Arial" w:cs="Arial" w:eastAsia="Arial" w:hAnsi="Arial"/>
          <w:sz w:val="11"/>
          <w:szCs w:val="11"/>
          <w:color w:val="auto"/>
        </w:rPr>
      </w:pPr>
    </w:p>
    <w:p>
      <w:pPr>
        <w:ind w:left="330" w:hanging="330"/>
        <w:spacing w:after="0"/>
        <w:tabs>
          <w:tab w:leader="none" w:pos="330"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shares of Common Stock underlying fully vested but unexercised options, as follows: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49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NEO</w:t>
            </w:r>
          </w:p>
        </w:tc>
        <w:tc>
          <w:tcPr>
            <w:tcW w:w="6520" w:type="dxa"/>
            <w:vAlign w:val="bottom"/>
            <w:tcBorders>
              <w:bottom w:val="single" w:sz="8" w:color="auto"/>
            </w:tcBorders>
          </w:tcPr>
          <w:p>
            <w:pPr>
              <w:ind w:left="4220"/>
              <w:spacing w:after="0"/>
              <w:rPr>
                <w:sz w:val="20"/>
                <w:szCs w:val="20"/>
                <w:color w:val="auto"/>
              </w:rPr>
            </w:pPr>
            <w:r>
              <w:rPr>
                <w:rFonts w:ascii="Arial" w:cs="Arial" w:eastAsia="Arial" w:hAnsi="Arial"/>
                <w:sz w:val="11"/>
                <w:szCs w:val="11"/>
                <w:b w:val="1"/>
                <w:bCs w:val="1"/>
                <w:color w:val="auto"/>
              </w:rPr>
              <w:t>Shares of Stock Underlying Options</w:t>
            </w:r>
          </w:p>
        </w:tc>
      </w:tr>
      <w:tr>
        <w:trPr>
          <w:trHeight w:val="115"/>
        </w:trPr>
        <w:tc>
          <w:tcPr>
            <w:tcW w:w="492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Mr. Nelson</w:t>
            </w:r>
          </w:p>
        </w:tc>
        <w:tc>
          <w:tcPr>
            <w:tcW w:w="6520" w:type="dxa"/>
            <w:vAlign w:val="bottom"/>
            <w:shd w:val="clear" w:color="auto" w:fill="D8D8D8"/>
          </w:tcPr>
          <w:p>
            <w:pPr>
              <w:ind w:left="4220"/>
              <w:spacing w:after="0" w:line="115" w:lineRule="exact"/>
              <w:rPr>
                <w:sz w:val="20"/>
                <w:szCs w:val="20"/>
                <w:color w:val="auto"/>
              </w:rPr>
            </w:pPr>
            <w:r>
              <w:rPr>
                <w:rFonts w:ascii="Arial" w:cs="Arial" w:eastAsia="Arial" w:hAnsi="Arial"/>
                <w:sz w:val="11"/>
                <w:szCs w:val="11"/>
                <w:color w:val="auto"/>
              </w:rPr>
              <w:t>553,000</w:t>
            </w:r>
          </w:p>
        </w:tc>
      </w:tr>
      <w:tr>
        <w:trPr>
          <w:trHeight w:val="124"/>
        </w:trPr>
        <w:tc>
          <w:tcPr>
            <w:tcW w:w="4920" w:type="dxa"/>
            <w:vAlign w:val="bottom"/>
          </w:tcPr>
          <w:p>
            <w:pPr>
              <w:spacing w:after="0" w:line="124" w:lineRule="exact"/>
              <w:rPr>
                <w:sz w:val="20"/>
                <w:szCs w:val="20"/>
                <w:color w:val="auto"/>
              </w:rPr>
            </w:pPr>
            <w:r>
              <w:rPr>
                <w:rFonts w:ascii="Arial" w:cs="Arial" w:eastAsia="Arial" w:hAnsi="Arial"/>
                <w:sz w:val="11"/>
                <w:szCs w:val="11"/>
                <w:color w:val="auto"/>
              </w:rPr>
              <w:t>Mr. Siniscalchi</w:t>
            </w:r>
          </w:p>
        </w:tc>
        <w:tc>
          <w:tcPr>
            <w:tcW w:w="6520" w:type="dxa"/>
            <w:vAlign w:val="bottom"/>
          </w:tcPr>
          <w:p>
            <w:pPr>
              <w:ind w:left="4220"/>
              <w:spacing w:after="0" w:line="124" w:lineRule="exact"/>
              <w:rPr>
                <w:sz w:val="20"/>
                <w:szCs w:val="20"/>
                <w:color w:val="auto"/>
              </w:rPr>
            </w:pPr>
            <w:r>
              <w:rPr>
                <w:rFonts w:ascii="Arial" w:cs="Arial" w:eastAsia="Arial" w:hAnsi="Arial"/>
                <w:sz w:val="11"/>
                <w:szCs w:val="11"/>
                <w:color w:val="auto"/>
              </w:rPr>
              <w:t>6,700</w:t>
            </w:r>
          </w:p>
        </w:tc>
      </w:tr>
      <w:tr>
        <w:trPr>
          <w:trHeight w:val="124"/>
        </w:trPr>
        <w:tc>
          <w:tcPr>
            <w:tcW w:w="4920" w:type="dxa"/>
            <w:vAlign w:val="bottom"/>
            <w:tcBorders>
              <w:bottom w:val="single" w:sz="8" w:color="auto"/>
            </w:tcBorders>
            <w:shd w:val="clear" w:color="auto" w:fill="D8D8D8"/>
          </w:tcPr>
          <w:p>
            <w:pPr>
              <w:spacing w:after="0" w:line="124" w:lineRule="exact"/>
              <w:rPr>
                <w:sz w:val="20"/>
                <w:szCs w:val="20"/>
                <w:color w:val="auto"/>
              </w:rPr>
            </w:pPr>
            <w:r>
              <w:rPr>
                <w:rFonts w:ascii="Arial" w:cs="Arial" w:eastAsia="Arial" w:hAnsi="Arial"/>
                <w:sz w:val="11"/>
                <w:szCs w:val="11"/>
                <w:color w:val="auto"/>
              </w:rPr>
              <w:t>Mr. Wyshner</w:t>
            </w:r>
          </w:p>
        </w:tc>
        <w:tc>
          <w:tcPr>
            <w:tcW w:w="6520" w:type="dxa"/>
            <w:vAlign w:val="bottom"/>
            <w:tcBorders>
              <w:bottom w:val="single" w:sz="8" w:color="auto"/>
            </w:tcBorders>
            <w:shd w:val="clear" w:color="auto" w:fill="D8D8D8"/>
          </w:tcPr>
          <w:p>
            <w:pPr>
              <w:ind w:left="4220"/>
              <w:spacing w:after="0" w:line="124" w:lineRule="exact"/>
              <w:rPr>
                <w:sz w:val="20"/>
                <w:szCs w:val="20"/>
                <w:color w:val="auto"/>
              </w:rPr>
            </w:pPr>
            <w:r>
              <w:rPr>
                <w:rFonts w:ascii="Arial" w:cs="Arial" w:eastAsia="Arial" w:hAnsi="Arial"/>
                <w:sz w:val="11"/>
                <w:szCs w:val="11"/>
                <w:color w:val="auto"/>
              </w:rPr>
              <w:t>85,604</w:t>
            </w:r>
          </w:p>
        </w:tc>
      </w:tr>
    </w:tbl>
    <w:p>
      <w:pPr>
        <w:spacing w:after="0" w:line="67" w:lineRule="exact"/>
        <w:rPr>
          <w:sz w:val="20"/>
          <w:szCs w:val="20"/>
          <w:color w:val="auto"/>
        </w:rPr>
      </w:pPr>
    </w:p>
    <w:p>
      <w:pPr>
        <w:ind w:left="330" w:right="100" w:hanging="330"/>
        <w:spacing w:after="0"/>
        <w:tabs>
          <w:tab w:leader="none" w:pos="330" w:val="left"/>
        </w:tabs>
        <w:numPr>
          <w:ilvl w:val="0"/>
          <w:numId w:val="40"/>
        </w:numPr>
        <w:rPr>
          <w:rFonts w:ascii="Arial" w:cs="Arial" w:eastAsia="Arial" w:hAnsi="Arial"/>
          <w:sz w:val="11"/>
          <w:szCs w:val="11"/>
          <w:color w:val="auto"/>
        </w:rPr>
      </w:pPr>
      <w:r>
        <w:rPr>
          <w:rFonts w:ascii="Arial" w:cs="Arial" w:eastAsia="Arial" w:hAnsi="Arial"/>
          <w:sz w:val="11"/>
          <w:szCs w:val="11"/>
          <w:color w:val="auto"/>
        </w:rPr>
        <w:t>For each non-employee director, (1) includes deferred stock units held under the Non-Employee Directors Deferred Compensation Plan (the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1440" w:type="dxa"/>
            <w:vAlign w:val="bottom"/>
          </w:tcPr>
          <w:p>
            <w:pPr>
              <w:spacing w:after="0"/>
              <w:rPr>
                <w:sz w:val="10"/>
                <w:szCs w:val="10"/>
                <w:color w:val="auto"/>
              </w:rPr>
            </w:pPr>
          </w:p>
        </w:tc>
        <w:tc>
          <w:tcPr>
            <w:tcW w:w="1880" w:type="dxa"/>
            <w:vAlign w:val="bottom"/>
          </w:tcPr>
          <w:p>
            <w:pPr>
              <w:ind w:left="820"/>
              <w:spacing w:after="0"/>
              <w:rPr>
                <w:sz w:val="20"/>
                <w:szCs w:val="20"/>
                <w:color w:val="auto"/>
              </w:rPr>
            </w:pPr>
            <w:r>
              <w:rPr>
                <w:rFonts w:ascii="Arial" w:cs="Arial" w:eastAsia="Arial" w:hAnsi="Arial"/>
                <w:sz w:val="11"/>
                <w:szCs w:val="11"/>
                <w:b w:val="1"/>
                <w:bCs w:val="1"/>
                <w:color w:val="auto"/>
              </w:rPr>
              <w:t>Director</w:t>
            </w:r>
          </w:p>
        </w:tc>
        <w:tc>
          <w:tcPr>
            <w:tcW w:w="2180" w:type="dxa"/>
            <w:vAlign w:val="bottom"/>
          </w:tcPr>
          <w:p>
            <w:pPr>
              <w:ind w:left="620"/>
              <w:spacing w:after="0"/>
              <w:rPr>
                <w:sz w:val="20"/>
                <w:szCs w:val="20"/>
                <w:color w:val="auto"/>
              </w:rPr>
            </w:pPr>
            <w:r>
              <w:rPr>
                <w:rFonts w:ascii="Arial" w:cs="Arial" w:eastAsia="Arial" w:hAnsi="Arial"/>
                <w:sz w:val="11"/>
                <w:szCs w:val="11"/>
                <w:b w:val="1"/>
                <w:bCs w:val="1"/>
                <w:color w:val="auto"/>
              </w:rPr>
              <w:t>Director</w:t>
            </w:r>
          </w:p>
        </w:tc>
        <w:tc>
          <w:tcPr>
            <w:tcW w:w="2220" w:type="dxa"/>
            <w:vAlign w:val="bottom"/>
          </w:tcPr>
          <w:p>
            <w:pPr>
              <w:spacing w:after="0"/>
              <w:rPr>
                <w:sz w:val="10"/>
                <w:szCs w:val="10"/>
                <w:color w:val="auto"/>
              </w:rPr>
            </w:pPr>
          </w:p>
        </w:tc>
        <w:tc>
          <w:tcPr>
            <w:tcW w:w="1900" w:type="dxa"/>
            <w:vAlign w:val="bottom"/>
          </w:tcPr>
          <w:p>
            <w:pPr>
              <w:ind w:left="840"/>
              <w:spacing w:after="0"/>
              <w:rPr>
                <w:sz w:val="20"/>
                <w:szCs w:val="20"/>
                <w:color w:val="auto"/>
              </w:rPr>
            </w:pPr>
            <w:r>
              <w:rPr>
                <w:rFonts w:ascii="Arial" w:cs="Arial" w:eastAsia="Arial" w:hAnsi="Arial"/>
                <w:sz w:val="11"/>
                <w:szCs w:val="11"/>
                <w:b w:val="1"/>
                <w:bCs w:val="1"/>
                <w:color w:val="auto"/>
              </w:rPr>
              <w:t>Director</w:t>
            </w:r>
          </w:p>
        </w:tc>
        <w:tc>
          <w:tcPr>
            <w:tcW w:w="1820" w:type="dxa"/>
            <w:vAlign w:val="bottom"/>
          </w:tcPr>
          <w:p>
            <w:pPr>
              <w:ind w:left="640"/>
              <w:spacing w:after="0"/>
              <w:rPr>
                <w:sz w:val="20"/>
                <w:szCs w:val="20"/>
                <w:color w:val="auto"/>
              </w:rPr>
            </w:pPr>
            <w:r>
              <w:rPr>
                <w:rFonts w:ascii="Arial" w:cs="Arial" w:eastAsia="Arial" w:hAnsi="Arial"/>
                <w:sz w:val="11"/>
                <w:szCs w:val="11"/>
                <w:b w:val="1"/>
                <w:bCs w:val="1"/>
                <w:color w:val="auto"/>
              </w:rPr>
              <w:t>Director Deferred</w:t>
            </w:r>
          </w:p>
        </w:tc>
      </w:tr>
      <w:tr>
        <w:trPr>
          <w:trHeight w:val="138"/>
        </w:trPr>
        <w:tc>
          <w:tcPr>
            <w:tcW w:w="1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Director</w:t>
            </w:r>
          </w:p>
        </w:tc>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11"/>
                <w:szCs w:val="11"/>
                <w:b w:val="1"/>
                <w:bCs w:val="1"/>
                <w:color w:val="auto"/>
              </w:rPr>
              <w:t>Shares</w:t>
            </w: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Deferred Shares</w:t>
            </w:r>
          </w:p>
        </w:tc>
        <w:tc>
          <w:tcPr>
            <w:tcW w:w="222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Director</w:t>
            </w:r>
          </w:p>
        </w:tc>
        <w:tc>
          <w:tcPr>
            <w:tcW w:w="1900" w:type="dxa"/>
            <w:vAlign w:val="bottom"/>
            <w:tcBorders>
              <w:bottom w:val="single" w:sz="8" w:color="auto"/>
            </w:tcBorders>
          </w:tcPr>
          <w:p>
            <w:pPr>
              <w:ind w:left="840"/>
              <w:spacing w:after="0"/>
              <w:rPr>
                <w:sz w:val="20"/>
                <w:szCs w:val="20"/>
                <w:color w:val="auto"/>
              </w:rPr>
            </w:pPr>
            <w:r>
              <w:rPr>
                <w:rFonts w:ascii="Arial" w:cs="Arial" w:eastAsia="Arial" w:hAnsi="Arial"/>
                <w:sz w:val="11"/>
                <w:szCs w:val="11"/>
                <w:b w:val="1"/>
                <w:bCs w:val="1"/>
                <w:color w:val="auto"/>
              </w:rPr>
              <w:t>Shares</w:t>
            </w: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Shares</w:t>
            </w:r>
          </w:p>
        </w:tc>
      </w:tr>
      <w:tr>
        <w:trPr>
          <w:trHeight w:val="115"/>
        </w:trPr>
        <w:tc>
          <w:tcPr>
            <w:tcW w:w="144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Mr. Cathcart</w:t>
            </w:r>
          </w:p>
        </w:tc>
        <w:tc>
          <w:tcPr>
            <w:tcW w:w="1880" w:type="dxa"/>
            <w:vAlign w:val="bottom"/>
            <w:shd w:val="clear" w:color="auto" w:fill="D8D8D8"/>
          </w:tcPr>
          <w:p>
            <w:pPr>
              <w:ind w:left="820"/>
              <w:spacing w:after="0" w:line="115" w:lineRule="exact"/>
              <w:rPr>
                <w:sz w:val="20"/>
                <w:szCs w:val="20"/>
                <w:color w:val="auto"/>
              </w:rPr>
            </w:pPr>
            <w:r>
              <w:rPr>
                <w:rFonts w:ascii="Arial" w:cs="Arial" w:eastAsia="Arial" w:hAnsi="Arial"/>
                <w:sz w:val="11"/>
                <w:szCs w:val="11"/>
                <w:color w:val="auto"/>
              </w:rPr>
              <w:t>15,047</w:t>
            </w:r>
          </w:p>
        </w:tc>
        <w:tc>
          <w:tcPr>
            <w:tcW w:w="2180" w:type="dxa"/>
            <w:vAlign w:val="bottom"/>
            <w:shd w:val="clear" w:color="auto" w:fill="D8D8D8"/>
          </w:tcPr>
          <w:p>
            <w:pPr>
              <w:ind w:left="620"/>
              <w:spacing w:after="0" w:line="115" w:lineRule="exact"/>
              <w:rPr>
                <w:sz w:val="20"/>
                <w:szCs w:val="20"/>
                <w:color w:val="auto"/>
              </w:rPr>
            </w:pPr>
            <w:r>
              <w:rPr>
                <w:rFonts w:ascii="Arial" w:cs="Arial" w:eastAsia="Arial" w:hAnsi="Arial"/>
                <w:sz w:val="11"/>
                <w:szCs w:val="11"/>
                <w:color w:val="auto"/>
              </w:rPr>
              <w:t>—</w:t>
            </w:r>
          </w:p>
        </w:tc>
        <w:tc>
          <w:tcPr>
            <w:tcW w:w="2220" w:type="dxa"/>
            <w:vAlign w:val="bottom"/>
            <w:shd w:val="clear" w:color="auto" w:fill="D8D8D8"/>
          </w:tcPr>
          <w:p>
            <w:pPr>
              <w:ind w:left="680"/>
              <w:spacing w:after="0" w:line="115" w:lineRule="exact"/>
              <w:rPr>
                <w:sz w:val="20"/>
                <w:szCs w:val="20"/>
                <w:color w:val="auto"/>
              </w:rPr>
            </w:pPr>
            <w:r>
              <w:rPr>
                <w:rFonts w:ascii="Arial" w:cs="Arial" w:eastAsia="Arial" w:hAnsi="Arial"/>
                <w:sz w:val="11"/>
                <w:szCs w:val="11"/>
                <w:color w:val="auto"/>
              </w:rPr>
              <w:t>Ms. Krominga</w:t>
            </w:r>
          </w:p>
        </w:tc>
        <w:tc>
          <w:tcPr>
            <w:tcW w:w="1900" w:type="dxa"/>
            <w:vAlign w:val="bottom"/>
            <w:shd w:val="clear" w:color="auto" w:fill="D8D8D8"/>
          </w:tcPr>
          <w:p>
            <w:pPr>
              <w:ind w:left="840"/>
              <w:spacing w:after="0" w:line="115" w:lineRule="exact"/>
              <w:rPr>
                <w:sz w:val="20"/>
                <w:szCs w:val="20"/>
                <w:color w:val="auto"/>
              </w:rPr>
            </w:pPr>
            <w:r>
              <w:rPr>
                <w:rFonts w:ascii="Arial" w:cs="Arial" w:eastAsia="Arial" w:hAnsi="Arial"/>
                <w:sz w:val="11"/>
                <w:szCs w:val="11"/>
                <w:color w:val="auto"/>
              </w:rPr>
              <w:t>15,967</w:t>
            </w:r>
          </w:p>
        </w:tc>
        <w:tc>
          <w:tcPr>
            <w:tcW w:w="1820" w:type="dxa"/>
            <w:vAlign w:val="bottom"/>
            <w:shd w:val="clear" w:color="auto" w:fill="D8D8D8"/>
          </w:tcPr>
          <w:p>
            <w:pPr>
              <w:ind w:left="640"/>
              <w:spacing w:after="0" w:line="115" w:lineRule="exact"/>
              <w:rPr>
                <w:sz w:val="20"/>
                <w:szCs w:val="20"/>
                <w:color w:val="auto"/>
              </w:rPr>
            </w:pPr>
            <w:r>
              <w:rPr>
                <w:rFonts w:ascii="Arial" w:cs="Arial" w:eastAsia="Arial" w:hAnsi="Arial"/>
                <w:sz w:val="11"/>
                <w:szCs w:val="11"/>
                <w:color w:val="auto"/>
              </w:rPr>
              <w:t>37,939</w:t>
            </w:r>
          </w:p>
        </w:tc>
      </w:tr>
      <w:tr>
        <w:trPr>
          <w:trHeight w:val="124"/>
        </w:trPr>
        <w:tc>
          <w:tcPr>
            <w:tcW w:w="1440" w:type="dxa"/>
            <w:vAlign w:val="bottom"/>
          </w:tcPr>
          <w:p>
            <w:pPr>
              <w:spacing w:after="0" w:line="124" w:lineRule="exact"/>
              <w:rPr>
                <w:sz w:val="20"/>
                <w:szCs w:val="20"/>
                <w:color w:val="auto"/>
              </w:rPr>
            </w:pPr>
            <w:r>
              <w:rPr>
                <w:rFonts w:ascii="Arial" w:cs="Arial" w:eastAsia="Arial" w:hAnsi="Arial"/>
                <w:sz w:val="11"/>
                <w:szCs w:val="11"/>
                <w:color w:val="auto"/>
              </w:rPr>
              <w:t>Ms. Choksi</w:t>
            </w:r>
          </w:p>
        </w:tc>
        <w:tc>
          <w:tcPr>
            <w:tcW w:w="1880" w:type="dxa"/>
            <w:vAlign w:val="bottom"/>
          </w:tcPr>
          <w:p>
            <w:pPr>
              <w:ind w:left="820"/>
              <w:spacing w:after="0" w:line="124" w:lineRule="exact"/>
              <w:rPr>
                <w:sz w:val="20"/>
                <w:szCs w:val="20"/>
                <w:color w:val="auto"/>
              </w:rPr>
            </w:pPr>
            <w:r>
              <w:rPr>
                <w:rFonts w:ascii="Arial" w:cs="Arial" w:eastAsia="Arial" w:hAnsi="Arial"/>
                <w:sz w:val="11"/>
                <w:szCs w:val="11"/>
                <w:color w:val="auto"/>
              </w:rPr>
              <w:t>19,729</w:t>
            </w:r>
          </w:p>
        </w:tc>
        <w:tc>
          <w:tcPr>
            <w:tcW w:w="2180" w:type="dxa"/>
            <w:vAlign w:val="bottom"/>
          </w:tcPr>
          <w:p>
            <w:pPr>
              <w:ind w:left="620"/>
              <w:spacing w:after="0" w:line="124" w:lineRule="exact"/>
              <w:rPr>
                <w:sz w:val="20"/>
                <w:szCs w:val="20"/>
                <w:color w:val="auto"/>
              </w:rPr>
            </w:pPr>
            <w:r>
              <w:rPr>
                <w:rFonts w:ascii="Arial" w:cs="Arial" w:eastAsia="Arial" w:hAnsi="Arial"/>
                <w:sz w:val="11"/>
                <w:szCs w:val="11"/>
                <w:color w:val="auto"/>
              </w:rPr>
              <w:t>35,584</w:t>
            </w:r>
          </w:p>
        </w:tc>
        <w:tc>
          <w:tcPr>
            <w:tcW w:w="2220" w:type="dxa"/>
            <w:vAlign w:val="bottom"/>
          </w:tcPr>
          <w:p>
            <w:pPr>
              <w:ind w:left="680"/>
              <w:spacing w:after="0" w:line="124" w:lineRule="exact"/>
              <w:rPr>
                <w:sz w:val="20"/>
                <w:szCs w:val="20"/>
                <w:color w:val="auto"/>
              </w:rPr>
            </w:pPr>
            <w:r>
              <w:rPr>
                <w:rFonts w:ascii="Arial" w:cs="Arial" w:eastAsia="Arial" w:hAnsi="Arial"/>
                <w:sz w:val="11"/>
                <w:szCs w:val="11"/>
                <w:color w:val="auto"/>
              </w:rPr>
              <w:t>Mr. Mestre</w:t>
            </w:r>
          </w:p>
        </w:tc>
        <w:tc>
          <w:tcPr>
            <w:tcW w:w="1900" w:type="dxa"/>
            <w:vAlign w:val="bottom"/>
          </w:tcPr>
          <w:p>
            <w:pPr>
              <w:ind w:left="840"/>
              <w:spacing w:after="0" w:line="124" w:lineRule="exact"/>
              <w:rPr>
                <w:sz w:val="20"/>
                <w:szCs w:val="20"/>
                <w:color w:val="auto"/>
              </w:rPr>
            </w:pPr>
            <w:r>
              <w:rPr>
                <w:rFonts w:ascii="Arial" w:cs="Arial" w:eastAsia="Arial" w:hAnsi="Arial"/>
                <w:sz w:val="11"/>
                <w:szCs w:val="11"/>
                <w:color w:val="auto"/>
              </w:rPr>
              <w:t>21,919</w:t>
            </w:r>
          </w:p>
        </w:tc>
        <w:tc>
          <w:tcPr>
            <w:tcW w:w="1820" w:type="dxa"/>
            <w:vAlign w:val="bottom"/>
          </w:tcPr>
          <w:p>
            <w:pPr>
              <w:ind w:left="640"/>
              <w:spacing w:after="0" w:line="124" w:lineRule="exact"/>
              <w:rPr>
                <w:sz w:val="20"/>
                <w:szCs w:val="20"/>
                <w:color w:val="auto"/>
              </w:rPr>
            </w:pPr>
            <w:r>
              <w:rPr>
                <w:rFonts w:ascii="Arial" w:cs="Arial" w:eastAsia="Arial" w:hAnsi="Arial"/>
                <w:sz w:val="11"/>
                <w:szCs w:val="11"/>
                <w:color w:val="auto"/>
              </w:rPr>
              <w:t>32,979</w:t>
            </w:r>
          </w:p>
        </w:tc>
      </w:tr>
      <w:tr>
        <w:trPr>
          <w:trHeight w:val="124"/>
        </w:trPr>
        <w:tc>
          <w:tcPr>
            <w:tcW w:w="144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Coleman</w:t>
            </w:r>
          </w:p>
        </w:tc>
        <w:tc>
          <w:tcPr>
            <w:tcW w:w="1880" w:type="dxa"/>
            <w:vAlign w:val="bottom"/>
            <w:shd w:val="clear" w:color="auto" w:fill="D8D8D8"/>
          </w:tcPr>
          <w:p>
            <w:pPr>
              <w:ind w:left="820"/>
              <w:spacing w:after="0" w:line="124" w:lineRule="exact"/>
              <w:rPr>
                <w:sz w:val="20"/>
                <w:szCs w:val="20"/>
                <w:color w:val="auto"/>
              </w:rPr>
            </w:pPr>
            <w:r>
              <w:rPr>
                <w:rFonts w:ascii="Arial" w:cs="Arial" w:eastAsia="Arial" w:hAnsi="Arial"/>
                <w:sz w:val="11"/>
                <w:szCs w:val="11"/>
                <w:color w:val="auto"/>
              </w:rPr>
              <w:t>22,353</w:t>
            </w:r>
          </w:p>
        </w:tc>
        <w:tc>
          <w:tcPr>
            <w:tcW w:w="2180" w:type="dxa"/>
            <w:vAlign w:val="bottom"/>
            <w:shd w:val="clear" w:color="auto" w:fill="D8D8D8"/>
          </w:tcPr>
          <w:p>
            <w:pPr>
              <w:ind w:left="620"/>
              <w:spacing w:after="0" w:line="124" w:lineRule="exact"/>
              <w:rPr>
                <w:sz w:val="20"/>
                <w:szCs w:val="20"/>
                <w:color w:val="auto"/>
              </w:rPr>
            </w:pPr>
            <w:r>
              <w:rPr>
                <w:rFonts w:ascii="Arial" w:cs="Arial" w:eastAsia="Arial" w:hAnsi="Arial"/>
                <w:sz w:val="11"/>
                <w:szCs w:val="11"/>
                <w:color w:val="auto"/>
              </w:rPr>
              <w:t>45,301</w:t>
            </w:r>
          </w:p>
        </w:tc>
        <w:tc>
          <w:tcPr>
            <w:tcW w:w="2220" w:type="dxa"/>
            <w:vAlign w:val="bottom"/>
            <w:shd w:val="clear" w:color="auto" w:fill="D8D8D8"/>
          </w:tcPr>
          <w:p>
            <w:pPr>
              <w:ind w:left="680"/>
              <w:spacing w:after="0" w:line="124" w:lineRule="exact"/>
              <w:rPr>
                <w:sz w:val="20"/>
                <w:szCs w:val="20"/>
                <w:color w:val="auto"/>
              </w:rPr>
            </w:pPr>
            <w:r>
              <w:rPr>
                <w:rFonts w:ascii="Arial" w:cs="Arial" w:eastAsia="Arial" w:hAnsi="Arial"/>
                <w:sz w:val="11"/>
                <w:szCs w:val="11"/>
                <w:color w:val="auto"/>
              </w:rPr>
              <w:t>Mr. Salerno</w:t>
            </w:r>
          </w:p>
        </w:tc>
        <w:tc>
          <w:tcPr>
            <w:tcW w:w="1900" w:type="dxa"/>
            <w:vAlign w:val="bottom"/>
            <w:shd w:val="clear" w:color="auto" w:fill="D8D8D8"/>
          </w:tcPr>
          <w:p>
            <w:pPr>
              <w:ind w:left="840"/>
              <w:spacing w:after="0" w:line="124" w:lineRule="exact"/>
              <w:rPr>
                <w:sz w:val="20"/>
                <w:szCs w:val="20"/>
                <w:color w:val="auto"/>
              </w:rPr>
            </w:pPr>
            <w:r>
              <w:rPr>
                <w:rFonts w:ascii="Arial" w:cs="Arial" w:eastAsia="Arial" w:hAnsi="Arial"/>
                <w:sz w:val="11"/>
                <w:szCs w:val="11"/>
                <w:color w:val="auto"/>
              </w:rPr>
              <w:t>9,181</w:t>
            </w:r>
          </w:p>
        </w:tc>
        <w:tc>
          <w:tcPr>
            <w:tcW w:w="1820" w:type="dxa"/>
            <w:vAlign w:val="bottom"/>
            <w:shd w:val="clear" w:color="auto" w:fill="D8D8D8"/>
          </w:tcPr>
          <w:p>
            <w:pPr>
              <w:ind w:left="640"/>
              <w:spacing w:after="0" w:line="124" w:lineRule="exact"/>
              <w:rPr>
                <w:sz w:val="20"/>
                <w:szCs w:val="20"/>
                <w:color w:val="auto"/>
              </w:rPr>
            </w:pPr>
            <w:r>
              <w:rPr>
                <w:rFonts w:ascii="Arial" w:cs="Arial" w:eastAsia="Arial" w:hAnsi="Arial"/>
                <w:sz w:val="11"/>
                <w:szCs w:val="11"/>
                <w:color w:val="auto"/>
              </w:rPr>
              <w:t>—</w:t>
            </w:r>
          </w:p>
        </w:tc>
      </w:tr>
      <w:tr>
        <w:trPr>
          <w:trHeight w:val="124"/>
        </w:trPr>
        <w:tc>
          <w:tcPr>
            <w:tcW w:w="1440" w:type="dxa"/>
            <w:vAlign w:val="bottom"/>
          </w:tcPr>
          <w:p>
            <w:pPr>
              <w:spacing w:after="0" w:line="124" w:lineRule="exact"/>
              <w:rPr>
                <w:sz w:val="20"/>
                <w:szCs w:val="20"/>
                <w:color w:val="auto"/>
              </w:rPr>
            </w:pPr>
            <w:r>
              <w:rPr>
                <w:rFonts w:ascii="Arial" w:cs="Arial" w:eastAsia="Arial" w:hAnsi="Arial"/>
                <w:sz w:val="11"/>
                <w:szCs w:val="11"/>
                <w:color w:val="auto"/>
              </w:rPr>
              <w:t>Mr. Fox</w:t>
            </w:r>
          </w:p>
        </w:tc>
        <w:tc>
          <w:tcPr>
            <w:tcW w:w="1880" w:type="dxa"/>
            <w:vAlign w:val="bottom"/>
          </w:tcPr>
          <w:p>
            <w:pPr>
              <w:ind w:left="820"/>
              <w:spacing w:after="0" w:line="124" w:lineRule="exact"/>
              <w:rPr>
                <w:sz w:val="20"/>
                <w:szCs w:val="20"/>
                <w:color w:val="auto"/>
              </w:rPr>
            </w:pPr>
            <w:r>
              <w:rPr>
                <w:rFonts w:ascii="Arial" w:cs="Arial" w:eastAsia="Arial" w:hAnsi="Arial"/>
                <w:sz w:val="11"/>
                <w:szCs w:val="11"/>
                <w:color w:val="auto"/>
              </w:rPr>
              <w:t>1,736</w:t>
            </w:r>
          </w:p>
        </w:tc>
        <w:tc>
          <w:tcPr>
            <w:tcW w:w="2180" w:type="dxa"/>
            <w:vAlign w:val="bottom"/>
          </w:tcPr>
          <w:p>
            <w:pPr>
              <w:ind w:left="620"/>
              <w:spacing w:after="0" w:line="124" w:lineRule="exact"/>
              <w:rPr>
                <w:sz w:val="20"/>
                <w:szCs w:val="20"/>
                <w:color w:val="auto"/>
              </w:rPr>
            </w:pPr>
            <w:r>
              <w:rPr>
                <w:rFonts w:ascii="Arial" w:cs="Arial" w:eastAsia="Arial" w:hAnsi="Arial"/>
                <w:sz w:val="11"/>
                <w:szCs w:val="11"/>
                <w:color w:val="auto"/>
              </w:rPr>
              <w:t>—</w:t>
            </w:r>
          </w:p>
        </w:tc>
        <w:tc>
          <w:tcPr>
            <w:tcW w:w="2220" w:type="dxa"/>
            <w:vAlign w:val="bottom"/>
          </w:tcPr>
          <w:p>
            <w:pPr>
              <w:ind w:left="680"/>
              <w:spacing w:after="0" w:line="124" w:lineRule="exact"/>
              <w:rPr>
                <w:sz w:val="20"/>
                <w:szCs w:val="20"/>
                <w:color w:val="auto"/>
              </w:rPr>
            </w:pPr>
            <w:r>
              <w:rPr>
                <w:rFonts w:ascii="Arial" w:cs="Arial" w:eastAsia="Arial" w:hAnsi="Arial"/>
                <w:sz w:val="11"/>
                <w:szCs w:val="11"/>
                <w:color w:val="auto"/>
              </w:rPr>
              <w:t>Mr. Sweeney</w:t>
            </w:r>
          </w:p>
        </w:tc>
        <w:tc>
          <w:tcPr>
            <w:tcW w:w="1900" w:type="dxa"/>
            <w:vAlign w:val="bottom"/>
          </w:tcPr>
          <w:p>
            <w:pPr>
              <w:ind w:left="840"/>
              <w:spacing w:after="0" w:line="124" w:lineRule="exact"/>
              <w:rPr>
                <w:sz w:val="20"/>
                <w:szCs w:val="20"/>
                <w:color w:val="auto"/>
              </w:rPr>
            </w:pPr>
            <w:r>
              <w:rPr>
                <w:rFonts w:ascii="Arial" w:cs="Arial" w:eastAsia="Arial" w:hAnsi="Arial"/>
                <w:sz w:val="11"/>
                <w:szCs w:val="11"/>
                <w:color w:val="auto"/>
              </w:rPr>
              <w:t>34,032</w:t>
            </w:r>
          </w:p>
        </w:tc>
        <w:tc>
          <w:tcPr>
            <w:tcW w:w="1820" w:type="dxa"/>
            <w:vAlign w:val="bottom"/>
          </w:tcPr>
          <w:p>
            <w:pPr>
              <w:ind w:left="640"/>
              <w:spacing w:after="0" w:line="124" w:lineRule="exact"/>
              <w:rPr>
                <w:sz w:val="20"/>
                <w:szCs w:val="20"/>
                <w:color w:val="auto"/>
              </w:rPr>
            </w:pPr>
            <w:r>
              <w:rPr>
                <w:rFonts w:ascii="Arial" w:cs="Arial" w:eastAsia="Arial" w:hAnsi="Arial"/>
                <w:sz w:val="11"/>
                <w:szCs w:val="11"/>
                <w:color w:val="auto"/>
              </w:rPr>
              <w:t>32,679</w:t>
            </w:r>
          </w:p>
        </w:tc>
      </w:tr>
      <w:tr>
        <w:trPr>
          <w:trHeight w:val="124"/>
        </w:trPr>
        <w:tc>
          <w:tcPr>
            <w:tcW w:w="1440" w:type="dxa"/>
            <w:vAlign w:val="bottom"/>
            <w:tcBorders>
              <w:bottom w:val="single" w:sz="8" w:color="auto"/>
            </w:tcBorders>
            <w:shd w:val="clear" w:color="auto" w:fill="D8D8D8"/>
          </w:tcPr>
          <w:p>
            <w:pPr>
              <w:spacing w:after="0" w:line="124" w:lineRule="exact"/>
              <w:rPr>
                <w:sz w:val="20"/>
                <w:szCs w:val="20"/>
                <w:color w:val="auto"/>
              </w:rPr>
            </w:pPr>
            <w:r>
              <w:rPr>
                <w:rFonts w:ascii="Arial" w:cs="Arial" w:eastAsia="Arial" w:hAnsi="Arial"/>
                <w:sz w:val="11"/>
                <w:szCs w:val="11"/>
                <w:color w:val="auto"/>
              </w:rPr>
              <w:t>Mr. Hardy</w:t>
            </w:r>
          </w:p>
        </w:tc>
        <w:tc>
          <w:tcPr>
            <w:tcW w:w="1880" w:type="dxa"/>
            <w:vAlign w:val="bottom"/>
            <w:tcBorders>
              <w:bottom w:val="single" w:sz="8" w:color="auto"/>
            </w:tcBorders>
            <w:shd w:val="clear" w:color="auto" w:fill="D8D8D8"/>
          </w:tcPr>
          <w:p>
            <w:pPr>
              <w:ind w:left="820"/>
              <w:spacing w:after="0" w:line="124" w:lineRule="exact"/>
              <w:rPr>
                <w:sz w:val="20"/>
                <w:szCs w:val="20"/>
                <w:color w:val="auto"/>
              </w:rPr>
            </w:pPr>
            <w:r>
              <w:rPr>
                <w:rFonts w:ascii="Arial" w:cs="Arial" w:eastAsia="Arial" w:hAnsi="Arial"/>
                <w:sz w:val="11"/>
                <w:szCs w:val="11"/>
                <w:color w:val="auto"/>
              </w:rPr>
              <w:t>19,186</w:t>
            </w:r>
          </w:p>
        </w:tc>
        <w:tc>
          <w:tcPr>
            <w:tcW w:w="2180" w:type="dxa"/>
            <w:vAlign w:val="bottom"/>
            <w:tcBorders>
              <w:bottom w:val="single" w:sz="8" w:color="auto"/>
            </w:tcBorders>
            <w:shd w:val="clear" w:color="auto" w:fill="D8D8D8"/>
          </w:tcPr>
          <w:p>
            <w:pPr>
              <w:ind w:left="620"/>
              <w:spacing w:after="0" w:line="124" w:lineRule="exact"/>
              <w:rPr>
                <w:sz w:val="20"/>
                <w:szCs w:val="20"/>
                <w:color w:val="auto"/>
              </w:rPr>
            </w:pPr>
            <w:r>
              <w:rPr>
                <w:rFonts w:ascii="Arial" w:cs="Arial" w:eastAsia="Arial" w:hAnsi="Arial"/>
                <w:sz w:val="11"/>
                <w:szCs w:val="11"/>
                <w:color w:val="auto"/>
              </w:rPr>
              <w:t>34,889</w:t>
            </w:r>
          </w:p>
        </w:tc>
        <w:tc>
          <w:tcPr>
            <w:tcW w:w="2220" w:type="dxa"/>
            <w:vAlign w:val="bottom"/>
            <w:tcBorders>
              <w:bottom w:val="single" w:sz="8" w:color="auto"/>
            </w:tcBorders>
            <w:shd w:val="clear" w:color="auto" w:fill="D8D8D8"/>
          </w:tcPr>
          <w:p>
            <w:pPr>
              <w:spacing w:after="0"/>
              <w:rPr>
                <w:sz w:val="10"/>
                <w:szCs w:val="10"/>
                <w:color w:val="auto"/>
              </w:rPr>
            </w:pPr>
          </w:p>
        </w:tc>
        <w:tc>
          <w:tcPr>
            <w:tcW w:w="1900" w:type="dxa"/>
            <w:vAlign w:val="bottom"/>
            <w:tcBorders>
              <w:bottom w:val="single" w:sz="8" w:color="auto"/>
            </w:tcBorders>
            <w:shd w:val="clear" w:color="auto" w:fill="D8D8D8"/>
          </w:tcPr>
          <w:p>
            <w:pPr>
              <w:spacing w:after="0"/>
              <w:rPr>
                <w:sz w:val="10"/>
                <w:szCs w:val="10"/>
                <w:color w:val="auto"/>
              </w:rPr>
            </w:pPr>
          </w:p>
        </w:tc>
        <w:tc>
          <w:tcPr>
            <w:tcW w:w="1820" w:type="dxa"/>
            <w:vAlign w:val="bottom"/>
            <w:tcBorders>
              <w:bottom w:val="single" w:sz="8" w:color="auto"/>
            </w:tcBorders>
            <w:shd w:val="clear" w:color="auto" w:fill="D8D8D8"/>
          </w:tcPr>
          <w:p>
            <w:pPr>
              <w:spacing w:after="0"/>
              <w:rPr>
                <w:sz w:val="10"/>
                <w:szCs w:val="10"/>
                <w:color w:val="auto"/>
              </w:rPr>
            </w:pPr>
          </w:p>
        </w:tc>
      </w:tr>
    </w:tbl>
    <w:p>
      <w:pPr>
        <w:spacing w:after="0" w:line="64" w:lineRule="exact"/>
        <w:rPr>
          <w:sz w:val="20"/>
          <w:szCs w:val="20"/>
          <w:color w:val="auto"/>
        </w:rPr>
      </w:pPr>
    </w:p>
    <w:p>
      <w:pPr>
        <w:ind w:left="330" w:hanging="330"/>
        <w:spacing w:after="0"/>
        <w:tabs>
          <w:tab w:leader="none" w:pos="330" w:val="left"/>
        </w:tabs>
        <w:numPr>
          <w:ilvl w:val="0"/>
          <w:numId w:val="41"/>
        </w:numPr>
        <w:rPr>
          <w:rFonts w:ascii="Arial" w:cs="Arial" w:eastAsia="Arial" w:hAnsi="Arial"/>
          <w:sz w:val="11"/>
          <w:szCs w:val="11"/>
          <w:color w:val="auto"/>
        </w:rPr>
      </w:pPr>
      <w:r>
        <w:rPr>
          <w:rFonts w:ascii="Arial" w:cs="Arial" w:eastAsia="Arial" w:hAnsi="Arial"/>
          <w:sz w:val="11"/>
          <w:szCs w:val="11"/>
          <w:color w:val="auto"/>
        </w:rPr>
        <w:t>Excludes 219,371 Director Deferred Shares.</w:t>
      </w:r>
    </w:p>
    <w:p>
      <w:pPr>
        <w:ind w:left="330" w:right="540" w:hanging="330"/>
        <w:spacing w:after="0" w:line="248" w:lineRule="auto"/>
        <w:tabs>
          <w:tab w:leader="none" w:pos="33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Represents 159,150 Director Shares, 604,000 shares of Common Stock underlying fully vested but unexercised options with a strike price of $0.79 and 132,804 shares of Common Stock underlying fully vested but unexercised options with strike prices ranging from $11.53 to $30.04.</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16 </w:t>
      </w:r>
      <w:r>
        <w:rPr>
          <w:sz w:val="1"/>
          <w:szCs w:val="1"/>
          <w:color w:val="auto"/>
        </w:rPr>
        <w:drawing>
          <wp:inline distT="0" distB="0" distL="0" distR="0">
            <wp:extent cx="857885" cy="1143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SECTION 16(a) BENEFICIAL OWNERSHIP REPORTING COMPLIANCE</w:t>
      </w:r>
    </w:p>
    <w:p>
      <w:pPr>
        <w:spacing w:after="0" w:line="173"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assists its directors and executive officers by monitoring transactions and completing and filing Section 16 reports on their behalf. The Company believes that all filings required to be made under Section 16(a) of the Exchange Act during 2013 were timely made.</w:t>
      </w: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OFFICERS</w:t>
      </w:r>
    </w:p>
    <w:p>
      <w:pPr>
        <w:spacing w:after="0" w:line="10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970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Offices or Positions To be Held</w:t>
            </w:r>
          </w:p>
        </w:tc>
      </w:tr>
      <w:tr>
        <w:trPr>
          <w:trHeight w:val="160"/>
        </w:trPr>
        <w:tc>
          <w:tcPr>
            <w:tcW w:w="174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Ronald L. Nelson</w:t>
            </w:r>
          </w:p>
        </w:tc>
        <w:tc>
          <w:tcPr>
            <w:tcW w:w="9700" w:type="dxa"/>
            <w:vAlign w:val="bottom"/>
            <w:shd w:val="clear" w:color="auto" w:fill="D8D8D8"/>
          </w:tcPr>
          <w:p>
            <w:pPr>
              <w:ind w:left="440"/>
              <w:spacing w:after="0" w:line="160" w:lineRule="exact"/>
              <w:rPr>
                <w:sz w:val="20"/>
                <w:szCs w:val="20"/>
                <w:color w:val="auto"/>
              </w:rPr>
            </w:pPr>
            <w:r>
              <w:rPr>
                <w:rFonts w:ascii="Arial" w:cs="Arial" w:eastAsia="Arial" w:hAnsi="Arial"/>
                <w:sz w:val="15"/>
                <w:szCs w:val="15"/>
                <w:color w:val="auto"/>
              </w:rPr>
              <w:t>Chief Executive Officer, President and Chief Operating Officer</w:t>
            </w:r>
          </w:p>
        </w:tc>
      </w:tr>
      <w:tr>
        <w:trPr>
          <w:trHeight w:val="169"/>
        </w:trPr>
        <w:tc>
          <w:tcPr>
            <w:tcW w:w="1740" w:type="dxa"/>
            <w:vAlign w:val="bottom"/>
          </w:tcPr>
          <w:p>
            <w:pPr>
              <w:spacing w:after="0" w:line="169" w:lineRule="exact"/>
              <w:rPr>
                <w:sz w:val="20"/>
                <w:szCs w:val="20"/>
                <w:color w:val="auto"/>
              </w:rPr>
            </w:pPr>
            <w:r>
              <w:rPr>
                <w:rFonts w:ascii="Arial" w:cs="Arial" w:eastAsia="Arial" w:hAnsi="Arial"/>
                <w:sz w:val="15"/>
                <w:szCs w:val="15"/>
                <w:color w:val="auto"/>
              </w:rPr>
              <w:t>David B. Wyshner</w:t>
            </w:r>
          </w:p>
        </w:tc>
        <w:tc>
          <w:tcPr>
            <w:tcW w:w="9700" w:type="dxa"/>
            <w:vAlign w:val="bottom"/>
          </w:tcPr>
          <w:p>
            <w:pPr>
              <w:ind w:left="440"/>
              <w:spacing w:after="0" w:line="169" w:lineRule="exact"/>
              <w:rPr>
                <w:sz w:val="20"/>
                <w:szCs w:val="20"/>
                <w:color w:val="auto"/>
              </w:rPr>
            </w:pPr>
            <w:r>
              <w:rPr>
                <w:rFonts w:ascii="Arial" w:cs="Arial" w:eastAsia="Arial" w:hAnsi="Arial"/>
                <w:sz w:val="15"/>
                <w:szCs w:val="15"/>
                <w:color w:val="auto"/>
              </w:rPr>
              <w:t>Senior Executive Vice President and Chief Financial Officer</w:t>
            </w:r>
          </w:p>
        </w:tc>
      </w:tr>
      <w:tr>
        <w:trPr>
          <w:trHeight w:val="169"/>
        </w:trPr>
        <w:tc>
          <w:tcPr>
            <w:tcW w:w="1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W. Scott Deaver</w:t>
            </w:r>
          </w:p>
        </w:tc>
        <w:tc>
          <w:tcPr>
            <w:tcW w:w="9700" w:type="dxa"/>
            <w:vAlign w:val="bottom"/>
            <w:shd w:val="clear" w:color="auto" w:fill="D8D8D8"/>
          </w:tcPr>
          <w:p>
            <w:pPr>
              <w:ind w:left="440"/>
              <w:spacing w:after="0" w:line="169" w:lineRule="exact"/>
              <w:rPr>
                <w:sz w:val="20"/>
                <w:szCs w:val="20"/>
                <w:color w:val="auto"/>
              </w:rPr>
            </w:pPr>
            <w:r>
              <w:rPr>
                <w:rFonts w:ascii="Arial" w:cs="Arial" w:eastAsia="Arial" w:hAnsi="Arial"/>
                <w:sz w:val="15"/>
                <w:szCs w:val="15"/>
                <w:color w:val="auto"/>
              </w:rPr>
              <w:t>Executive Vice President, Chief Strategy and Development Officer</w:t>
            </w:r>
          </w:p>
        </w:tc>
      </w:tr>
      <w:tr>
        <w:trPr>
          <w:trHeight w:val="169"/>
        </w:trPr>
        <w:tc>
          <w:tcPr>
            <w:tcW w:w="1740" w:type="dxa"/>
            <w:vAlign w:val="bottom"/>
          </w:tcPr>
          <w:p>
            <w:pPr>
              <w:spacing w:after="0" w:line="169" w:lineRule="exact"/>
              <w:rPr>
                <w:sz w:val="20"/>
                <w:szCs w:val="20"/>
                <w:color w:val="auto"/>
              </w:rPr>
            </w:pPr>
            <w:r>
              <w:rPr>
                <w:rFonts w:ascii="Arial" w:cs="Arial" w:eastAsia="Arial" w:hAnsi="Arial"/>
                <w:sz w:val="15"/>
                <w:szCs w:val="15"/>
                <w:color w:val="auto"/>
              </w:rPr>
              <w:t>Larry D. De Shon</w:t>
            </w:r>
          </w:p>
        </w:tc>
        <w:tc>
          <w:tcPr>
            <w:tcW w:w="9700" w:type="dxa"/>
            <w:vAlign w:val="bottom"/>
          </w:tcPr>
          <w:p>
            <w:pPr>
              <w:ind w:left="440"/>
              <w:spacing w:after="0" w:line="169" w:lineRule="exact"/>
              <w:rPr>
                <w:sz w:val="20"/>
                <w:szCs w:val="20"/>
                <w:color w:val="auto"/>
              </w:rPr>
            </w:pPr>
            <w:r>
              <w:rPr>
                <w:rFonts w:ascii="Arial" w:cs="Arial" w:eastAsia="Arial" w:hAnsi="Arial"/>
                <w:sz w:val="15"/>
                <w:szCs w:val="15"/>
                <w:color w:val="auto"/>
              </w:rPr>
              <w:t>President, Europe, Middle East and Africa</w:t>
            </w:r>
          </w:p>
        </w:tc>
      </w:tr>
      <w:tr>
        <w:trPr>
          <w:trHeight w:val="169"/>
        </w:trPr>
        <w:tc>
          <w:tcPr>
            <w:tcW w:w="1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Thomas M. Gartland</w:t>
            </w:r>
          </w:p>
        </w:tc>
        <w:tc>
          <w:tcPr>
            <w:tcW w:w="9700" w:type="dxa"/>
            <w:vAlign w:val="bottom"/>
            <w:shd w:val="clear" w:color="auto" w:fill="D8D8D8"/>
          </w:tcPr>
          <w:p>
            <w:pPr>
              <w:ind w:left="440"/>
              <w:spacing w:after="0" w:line="169" w:lineRule="exact"/>
              <w:rPr>
                <w:sz w:val="20"/>
                <w:szCs w:val="20"/>
                <w:color w:val="auto"/>
              </w:rPr>
            </w:pPr>
            <w:r>
              <w:rPr>
                <w:rFonts w:ascii="Arial" w:cs="Arial" w:eastAsia="Arial" w:hAnsi="Arial"/>
                <w:sz w:val="15"/>
                <w:szCs w:val="15"/>
                <w:color w:val="auto"/>
              </w:rPr>
              <w:t>President, North America</w:t>
            </w:r>
          </w:p>
        </w:tc>
      </w:tr>
      <w:tr>
        <w:trPr>
          <w:trHeight w:val="169"/>
        </w:trPr>
        <w:tc>
          <w:tcPr>
            <w:tcW w:w="1740" w:type="dxa"/>
            <w:vAlign w:val="bottom"/>
          </w:tcPr>
          <w:p>
            <w:pPr>
              <w:spacing w:after="0" w:line="169" w:lineRule="exact"/>
              <w:rPr>
                <w:sz w:val="20"/>
                <w:szCs w:val="20"/>
                <w:color w:val="auto"/>
              </w:rPr>
            </w:pPr>
            <w:r>
              <w:rPr>
                <w:rFonts w:ascii="Arial" w:cs="Arial" w:eastAsia="Arial" w:hAnsi="Arial"/>
                <w:sz w:val="15"/>
                <w:szCs w:val="15"/>
                <w:color w:val="auto"/>
              </w:rPr>
              <w:t>Patric T. Siniscalchi</w:t>
            </w:r>
          </w:p>
        </w:tc>
        <w:tc>
          <w:tcPr>
            <w:tcW w:w="9700" w:type="dxa"/>
            <w:vAlign w:val="bottom"/>
          </w:tcPr>
          <w:p>
            <w:pPr>
              <w:ind w:left="440"/>
              <w:spacing w:after="0" w:line="169" w:lineRule="exact"/>
              <w:rPr>
                <w:sz w:val="20"/>
                <w:szCs w:val="20"/>
                <w:color w:val="auto"/>
              </w:rPr>
            </w:pPr>
            <w:r>
              <w:rPr>
                <w:rFonts w:ascii="Arial" w:cs="Arial" w:eastAsia="Arial" w:hAnsi="Arial"/>
                <w:sz w:val="15"/>
                <w:szCs w:val="15"/>
                <w:color w:val="auto"/>
              </w:rPr>
              <w:t>President, Latin America/Asia-Pacific</w:t>
            </w:r>
          </w:p>
        </w:tc>
      </w:tr>
      <w:tr>
        <w:trPr>
          <w:trHeight w:val="169"/>
        </w:trPr>
        <w:tc>
          <w:tcPr>
            <w:tcW w:w="1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Michael K. Tucker</w:t>
            </w:r>
          </w:p>
        </w:tc>
        <w:tc>
          <w:tcPr>
            <w:tcW w:w="9700" w:type="dxa"/>
            <w:vAlign w:val="bottom"/>
            <w:shd w:val="clear" w:color="auto" w:fill="D8D8D8"/>
          </w:tcPr>
          <w:p>
            <w:pPr>
              <w:ind w:left="440"/>
              <w:spacing w:after="0" w:line="169" w:lineRule="exact"/>
              <w:rPr>
                <w:sz w:val="20"/>
                <w:szCs w:val="20"/>
                <w:color w:val="auto"/>
              </w:rPr>
            </w:pPr>
            <w:r>
              <w:rPr>
                <w:rFonts w:ascii="Arial" w:cs="Arial" w:eastAsia="Arial" w:hAnsi="Arial"/>
                <w:sz w:val="15"/>
                <w:szCs w:val="15"/>
                <w:color w:val="auto"/>
              </w:rPr>
              <w:t>Executive Vice President, General Counsel and Chief Compliance Officer</w:t>
            </w:r>
          </w:p>
        </w:tc>
      </w:tr>
      <w:tr>
        <w:trPr>
          <w:trHeight w:val="169"/>
        </w:trPr>
        <w:tc>
          <w:tcPr>
            <w:tcW w:w="1740" w:type="dxa"/>
            <w:vAlign w:val="bottom"/>
          </w:tcPr>
          <w:p>
            <w:pPr>
              <w:spacing w:after="0" w:line="169" w:lineRule="exact"/>
              <w:rPr>
                <w:sz w:val="20"/>
                <w:szCs w:val="20"/>
                <w:color w:val="auto"/>
              </w:rPr>
            </w:pPr>
            <w:r>
              <w:rPr>
                <w:rFonts w:ascii="Arial" w:cs="Arial" w:eastAsia="Arial" w:hAnsi="Arial"/>
                <w:sz w:val="15"/>
                <w:szCs w:val="15"/>
                <w:color w:val="auto"/>
              </w:rPr>
              <w:t>Edward P. Linnen</w:t>
            </w:r>
          </w:p>
        </w:tc>
        <w:tc>
          <w:tcPr>
            <w:tcW w:w="9700" w:type="dxa"/>
            <w:vAlign w:val="bottom"/>
          </w:tcPr>
          <w:p>
            <w:pPr>
              <w:ind w:left="440"/>
              <w:spacing w:after="0" w:line="169" w:lineRule="exact"/>
              <w:rPr>
                <w:sz w:val="20"/>
                <w:szCs w:val="20"/>
                <w:color w:val="auto"/>
              </w:rPr>
            </w:pPr>
            <w:r>
              <w:rPr>
                <w:rFonts w:ascii="Arial" w:cs="Arial" w:eastAsia="Arial" w:hAnsi="Arial"/>
                <w:sz w:val="15"/>
                <w:szCs w:val="15"/>
                <w:color w:val="auto"/>
              </w:rPr>
              <w:t>Senior Vice President, Chief Human Resource Officer</w:t>
            </w:r>
          </w:p>
        </w:tc>
      </w:tr>
      <w:tr>
        <w:trPr>
          <w:trHeight w:val="169"/>
        </w:trPr>
        <w:tc>
          <w:tcPr>
            <w:tcW w:w="1740" w:type="dxa"/>
            <w:vAlign w:val="bottom"/>
            <w:tcBorders>
              <w:bottom w:val="single" w:sz="8" w:color="auto"/>
            </w:tcBorders>
            <w:shd w:val="clear" w:color="auto" w:fill="D8D8D8"/>
          </w:tcPr>
          <w:p>
            <w:pPr>
              <w:spacing w:after="0" w:line="169" w:lineRule="exact"/>
              <w:rPr>
                <w:sz w:val="20"/>
                <w:szCs w:val="20"/>
                <w:color w:val="auto"/>
              </w:rPr>
            </w:pPr>
            <w:r>
              <w:rPr>
                <w:rFonts w:ascii="Arial" w:cs="Arial" w:eastAsia="Arial" w:hAnsi="Arial"/>
                <w:sz w:val="15"/>
                <w:szCs w:val="15"/>
                <w:color w:val="auto"/>
              </w:rPr>
              <w:t>Izilda P. Martins</w:t>
            </w:r>
          </w:p>
        </w:tc>
        <w:tc>
          <w:tcPr>
            <w:tcW w:w="9700" w:type="dxa"/>
            <w:vAlign w:val="bottom"/>
            <w:tcBorders>
              <w:bottom w:val="single" w:sz="8" w:color="auto"/>
            </w:tcBorders>
            <w:shd w:val="clear" w:color="auto" w:fill="D8D8D8"/>
          </w:tcPr>
          <w:p>
            <w:pPr>
              <w:ind w:left="440"/>
              <w:spacing w:after="0" w:line="169" w:lineRule="exact"/>
              <w:rPr>
                <w:sz w:val="20"/>
                <w:szCs w:val="20"/>
                <w:color w:val="auto"/>
              </w:rPr>
            </w:pPr>
            <w:r>
              <w:rPr>
                <w:rFonts w:ascii="Arial" w:cs="Arial" w:eastAsia="Arial" w:hAnsi="Arial"/>
                <w:sz w:val="15"/>
                <w:szCs w:val="15"/>
                <w:color w:val="auto"/>
              </w:rPr>
              <w:t>Senior Vice President and Acting Chief Accounting Officer</w:t>
            </w:r>
          </w:p>
        </w:tc>
      </w:tr>
    </w:tbl>
    <w:p>
      <w:pPr>
        <w:spacing w:after="0" w:line="70" w:lineRule="exact"/>
        <w:rPr>
          <w:sz w:val="20"/>
          <w:szCs w:val="20"/>
          <w:color w:val="auto"/>
        </w:rPr>
      </w:pPr>
    </w:p>
    <w:p>
      <w:pPr>
        <w:ind w:right="320"/>
        <w:spacing w:after="0"/>
        <w:rPr>
          <w:sz w:val="20"/>
          <w:szCs w:val="20"/>
          <w:color w:val="auto"/>
        </w:rPr>
      </w:pPr>
      <w:r>
        <w:rPr>
          <w:rFonts w:ascii="Arial" w:cs="Arial" w:eastAsia="Arial" w:hAnsi="Arial"/>
          <w:sz w:val="15"/>
          <w:szCs w:val="15"/>
          <w:color w:val="auto"/>
        </w:rPr>
        <w:t>Biographical information for our Chief Executive Officer is set forth above under “Board of Directors—Biographical Information for Nominees.” Biographical information for all other present executive officers is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960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Biographical Information</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540" w:type="dxa"/>
            <w:vAlign w:val="bottom"/>
            <w:shd w:val="clear" w:color="auto" w:fill="D8D8D8"/>
          </w:tcPr>
          <w:p>
            <w:pPr>
              <w:spacing w:after="0" w:line="163" w:lineRule="exact"/>
              <w:rPr>
                <w:sz w:val="20"/>
                <w:szCs w:val="20"/>
                <w:color w:val="auto"/>
              </w:rPr>
            </w:pPr>
            <w:r>
              <w:rPr>
                <w:rFonts w:ascii="Arial" w:cs="Arial" w:eastAsia="Arial" w:hAnsi="Arial"/>
                <w:sz w:val="15"/>
                <w:szCs w:val="15"/>
                <w:color w:val="auto"/>
              </w:rPr>
              <w:t>David B. Wyshner</w:t>
            </w:r>
          </w:p>
        </w:tc>
        <w:tc>
          <w:tcPr>
            <w:tcW w:w="9900" w:type="dxa"/>
            <w:vAlign w:val="bottom"/>
            <w:gridSpan w:val="3"/>
            <w:shd w:val="clear" w:color="auto" w:fill="D8D8D8"/>
          </w:tcPr>
          <w:p>
            <w:pPr>
              <w:ind w:left="400"/>
              <w:spacing w:after="0" w:line="163" w:lineRule="exact"/>
              <w:rPr>
                <w:sz w:val="20"/>
                <w:szCs w:val="20"/>
                <w:color w:val="auto"/>
              </w:rPr>
            </w:pPr>
            <w:r>
              <w:rPr>
                <w:rFonts w:ascii="Arial" w:cs="Arial" w:eastAsia="Arial" w:hAnsi="Arial"/>
                <w:sz w:val="15"/>
                <w:szCs w:val="15"/>
                <w:color w:val="auto"/>
                <w:w w:val="99"/>
              </w:rPr>
              <w:t>Mr. Wyshner, age 46, has been Chief Financial Officer since August 2006. Mr. Wyshner also held the title of Executive Vice President and Chief</w:t>
            </w:r>
          </w:p>
        </w:tc>
        <w:tc>
          <w:tcPr>
            <w:tcW w:w="0" w:type="dxa"/>
            <w:vAlign w:val="bottom"/>
          </w:tcPr>
          <w:p>
            <w:pPr>
              <w:spacing w:after="0"/>
              <w:rPr>
                <w:sz w:val="1"/>
                <w:szCs w:val="1"/>
                <w:color w:val="auto"/>
              </w:rPr>
            </w:pPr>
          </w:p>
        </w:tc>
      </w:tr>
      <w:tr>
        <w:trPr>
          <w:trHeight w:val="169"/>
        </w:trPr>
        <w:tc>
          <w:tcPr>
            <w:tcW w:w="1540" w:type="dxa"/>
            <w:vAlign w:val="bottom"/>
            <w:shd w:val="clear" w:color="auto" w:fill="D8D8D8"/>
          </w:tcPr>
          <w:p>
            <w:pPr>
              <w:spacing w:after="0"/>
              <w:rPr>
                <w:sz w:val="14"/>
                <w:szCs w:val="14"/>
                <w:color w:val="auto"/>
              </w:rPr>
            </w:pPr>
          </w:p>
        </w:tc>
        <w:tc>
          <w:tcPr>
            <w:tcW w:w="9600" w:type="dxa"/>
            <w:vAlign w:val="bottom"/>
            <w:gridSpan w:val="2"/>
            <w:shd w:val="clear" w:color="auto" w:fill="D8D8D8"/>
          </w:tcPr>
          <w:p>
            <w:pPr>
              <w:ind w:left="400"/>
              <w:spacing w:after="0" w:line="169" w:lineRule="exact"/>
              <w:rPr>
                <w:sz w:val="20"/>
                <w:szCs w:val="20"/>
                <w:color w:val="auto"/>
              </w:rPr>
            </w:pPr>
            <w:r>
              <w:rPr>
                <w:rFonts w:ascii="Arial" w:cs="Arial" w:eastAsia="Arial" w:hAnsi="Arial"/>
                <w:sz w:val="15"/>
                <w:szCs w:val="15"/>
                <w:color w:val="auto"/>
              </w:rPr>
              <w:t>Financial Officer from August 2006 through October 2011, when he was promoted to Senior Executive Vice President, and also served as</w:t>
            </w:r>
          </w:p>
        </w:tc>
        <w:tc>
          <w:tcPr>
            <w:tcW w:w="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D8D8D8"/>
          </w:tcPr>
          <w:p>
            <w:pPr>
              <w:spacing w:after="0"/>
              <w:rPr>
                <w:sz w:val="14"/>
                <w:szCs w:val="14"/>
                <w:color w:val="auto"/>
              </w:rPr>
            </w:pPr>
          </w:p>
        </w:tc>
        <w:tc>
          <w:tcPr>
            <w:tcW w:w="9600" w:type="dxa"/>
            <w:vAlign w:val="bottom"/>
            <w:gridSpan w:val="2"/>
            <w:shd w:val="clear" w:color="auto" w:fill="D8D8D8"/>
          </w:tcPr>
          <w:p>
            <w:pPr>
              <w:ind w:left="400"/>
              <w:spacing w:after="0" w:line="169" w:lineRule="exact"/>
              <w:rPr>
                <w:sz w:val="20"/>
                <w:szCs w:val="20"/>
                <w:color w:val="auto"/>
              </w:rPr>
            </w:pPr>
            <w:r>
              <w:rPr>
                <w:rFonts w:ascii="Arial" w:cs="Arial" w:eastAsia="Arial" w:hAnsi="Arial"/>
                <w:sz w:val="15"/>
                <w:szCs w:val="15"/>
                <w:color w:val="auto"/>
              </w:rPr>
              <w:t>Treasurer from August 2006 to November 2007. Previously, Mr. Wyshner held several key roles within Cendant, starting in 1999, including</w:t>
            </w:r>
          </w:p>
        </w:tc>
        <w:tc>
          <w:tcPr>
            <w:tcW w:w="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D8D8D8"/>
          </w:tcPr>
          <w:p>
            <w:pPr>
              <w:spacing w:after="0"/>
              <w:rPr>
                <w:sz w:val="14"/>
                <w:szCs w:val="14"/>
                <w:color w:val="auto"/>
              </w:rPr>
            </w:pPr>
          </w:p>
        </w:tc>
        <w:tc>
          <w:tcPr>
            <w:tcW w:w="9900" w:type="dxa"/>
            <w:vAlign w:val="bottom"/>
            <w:gridSpan w:val="3"/>
            <w:shd w:val="clear" w:color="auto" w:fill="D8D8D8"/>
          </w:tcPr>
          <w:p>
            <w:pPr>
              <w:ind w:left="400"/>
              <w:spacing w:after="0" w:line="169" w:lineRule="exact"/>
              <w:rPr>
                <w:sz w:val="20"/>
                <w:szCs w:val="20"/>
                <w:color w:val="auto"/>
              </w:rPr>
            </w:pPr>
            <w:r>
              <w:rPr>
                <w:rFonts w:ascii="Arial" w:cs="Arial" w:eastAsia="Arial" w:hAnsi="Arial"/>
                <w:sz w:val="15"/>
                <w:szCs w:val="15"/>
                <w:color w:val="auto"/>
                <w:w w:val="99"/>
              </w:rPr>
              <w:t>Executive Vice President and Treasurer of the Company and Vice Chairman of the Travel Services Division, which included the Avis and Budget</w:t>
            </w:r>
          </w:p>
        </w:tc>
        <w:tc>
          <w:tcPr>
            <w:tcW w:w="0" w:type="dxa"/>
            <w:vAlign w:val="bottom"/>
          </w:tcPr>
          <w:p>
            <w:pPr>
              <w:spacing w:after="0"/>
              <w:rPr>
                <w:sz w:val="1"/>
                <w:szCs w:val="1"/>
                <w:color w:val="auto"/>
              </w:rPr>
            </w:pPr>
          </w:p>
        </w:tc>
      </w:tr>
      <w:tr>
        <w:trPr>
          <w:trHeight w:val="166"/>
        </w:trPr>
        <w:tc>
          <w:tcPr>
            <w:tcW w:w="1540" w:type="dxa"/>
            <w:vAlign w:val="bottom"/>
            <w:shd w:val="clear" w:color="auto" w:fill="D8D8D8"/>
          </w:tcPr>
          <w:p>
            <w:pPr>
              <w:spacing w:after="0"/>
              <w:rPr>
                <w:sz w:val="14"/>
                <w:szCs w:val="14"/>
                <w:color w:val="auto"/>
              </w:rPr>
            </w:pPr>
          </w:p>
        </w:tc>
        <w:tc>
          <w:tcPr>
            <w:tcW w:w="9900" w:type="dxa"/>
            <w:vAlign w:val="bottom"/>
            <w:gridSpan w:val="3"/>
            <w:shd w:val="clear" w:color="auto" w:fill="D8D8D8"/>
          </w:tcPr>
          <w:p>
            <w:pPr>
              <w:ind w:left="400"/>
              <w:spacing w:after="0" w:line="167" w:lineRule="exact"/>
              <w:rPr>
                <w:sz w:val="20"/>
                <w:szCs w:val="20"/>
                <w:color w:val="auto"/>
              </w:rPr>
            </w:pPr>
            <w:r>
              <w:rPr>
                <w:rFonts w:ascii="Arial" w:cs="Arial" w:eastAsia="Arial" w:hAnsi="Arial"/>
                <w:sz w:val="15"/>
                <w:szCs w:val="15"/>
                <w:color w:val="auto"/>
                <w:w w:val="99"/>
              </w:rPr>
              <w:t>vehicle rental businesses. Prior to joining the Company, Mr. Wyshner was a Vice President in Merrill Lynch &amp; Co.’s investment banking division.</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20"/>
                <w:szCs w:val="20"/>
                <w:color w:val="auto"/>
              </w:rPr>
            </w:pPr>
            <w:r>
              <w:rPr>
                <w:rFonts w:ascii="Arial" w:cs="Arial" w:eastAsia="Arial" w:hAnsi="Arial"/>
                <w:sz w:val="15"/>
                <w:szCs w:val="15"/>
                <w:color w:val="auto"/>
              </w:rPr>
              <w:t>W. Scott Deaver</w:t>
            </w:r>
          </w:p>
        </w:tc>
        <w:tc>
          <w:tcPr>
            <w:tcW w:w="9900" w:type="dxa"/>
            <w:vAlign w:val="bottom"/>
            <w:gridSpan w:val="3"/>
          </w:tcPr>
          <w:p>
            <w:pPr>
              <w:ind w:left="400"/>
              <w:spacing w:after="0"/>
              <w:rPr>
                <w:sz w:val="20"/>
                <w:szCs w:val="20"/>
                <w:color w:val="auto"/>
              </w:rPr>
            </w:pPr>
            <w:r>
              <w:rPr>
                <w:rFonts w:ascii="Arial" w:cs="Arial" w:eastAsia="Arial" w:hAnsi="Arial"/>
                <w:sz w:val="15"/>
                <w:szCs w:val="15"/>
                <w:color w:val="auto"/>
                <w:w w:val="99"/>
              </w:rPr>
              <w:t>Mr. Deaver, age 62, has been Executive Vice President, Chief Strategy and Development Officer since September 2012. Previously, Mr. Deaver</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9900" w:type="dxa"/>
            <w:vAlign w:val="bottom"/>
            <w:gridSpan w:val="3"/>
          </w:tcPr>
          <w:p>
            <w:pPr>
              <w:ind w:left="400"/>
              <w:spacing w:after="0" w:line="169" w:lineRule="exact"/>
              <w:rPr>
                <w:sz w:val="20"/>
                <w:szCs w:val="20"/>
                <w:color w:val="auto"/>
              </w:rPr>
            </w:pPr>
            <w:r>
              <w:rPr>
                <w:rFonts w:ascii="Arial" w:cs="Arial" w:eastAsia="Arial" w:hAnsi="Arial"/>
                <w:sz w:val="15"/>
                <w:szCs w:val="15"/>
                <w:color w:val="auto"/>
                <w:w w:val="97"/>
              </w:rPr>
              <w:t>held several positions with the Company, including as Executive Vice President, Strategy and Pricing and Executive Vice President, Marketing. Mr.</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9600" w:type="dxa"/>
            <w:vAlign w:val="bottom"/>
            <w:gridSpan w:val="2"/>
          </w:tcPr>
          <w:p>
            <w:pPr>
              <w:ind w:left="400"/>
              <w:spacing w:after="0" w:line="167" w:lineRule="exact"/>
              <w:rPr>
                <w:sz w:val="20"/>
                <w:szCs w:val="20"/>
                <w:color w:val="auto"/>
              </w:rPr>
            </w:pPr>
            <w:r>
              <w:rPr>
                <w:rFonts w:ascii="Arial" w:cs="Arial" w:eastAsia="Arial" w:hAnsi="Arial"/>
                <w:sz w:val="15"/>
                <w:szCs w:val="15"/>
                <w:color w:val="auto"/>
              </w:rPr>
              <w:t>Deaver started employment with one of the Company’s predecessor companies in 1989.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8D8D8"/>
          </w:tcPr>
          <w:p>
            <w:pPr>
              <w:spacing w:after="0"/>
              <w:rPr>
                <w:sz w:val="20"/>
                <w:szCs w:val="20"/>
                <w:color w:val="auto"/>
              </w:rPr>
            </w:pPr>
            <w:r>
              <w:rPr>
                <w:rFonts w:ascii="Arial" w:cs="Arial" w:eastAsia="Arial" w:hAnsi="Arial"/>
                <w:sz w:val="15"/>
                <w:szCs w:val="15"/>
                <w:color w:val="auto"/>
              </w:rPr>
              <w:t>Larry D. De Shon</w:t>
            </w:r>
          </w:p>
        </w:tc>
        <w:tc>
          <w:tcPr>
            <w:tcW w:w="9600" w:type="dxa"/>
            <w:vAlign w:val="bottom"/>
            <w:gridSpan w:val="2"/>
            <w:shd w:val="clear" w:color="auto" w:fill="D8D8D8"/>
          </w:tcPr>
          <w:p>
            <w:pPr>
              <w:ind w:left="400"/>
              <w:spacing w:after="0"/>
              <w:rPr>
                <w:sz w:val="20"/>
                <w:szCs w:val="20"/>
                <w:color w:val="auto"/>
              </w:rPr>
            </w:pPr>
            <w:r>
              <w:rPr>
                <w:rFonts w:ascii="Arial" w:cs="Arial" w:eastAsia="Arial" w:hAnsi="Arial"/>
                <w:sz w:val="15"/>
                <w:szCs w:val="15"/>
                <w:color w:val="auto"/>
                <w:w w:val="97"/>
              </w:rPr>
              <w:t>Mr. De Shon, age 54, has been President, EMEA since October 2011. Mr. De Shon held the title of Executive Vice President, Operations from</w:t>
            </w:r>
          </w:p>
        </w:tc>
        <w:tc>
          <w:tcPr>
            <w:tcW w:w="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D8D8D8"/>
          </w:tcPr>
          <w:p>
            <w:pPr>
              <w:spacing w:after="0"/>
              <w:rPr>
                <w:sz w:val="14"/>
                <w:szCs w:val="14"/>
                <w:color w:val="auto"/>
              </w:rPr>
            </w:pPr>
          </w:p>
        </w:tc>
        <w:tc>
          <w:tcPr>
            <w:tcW w:w="9900" w:type="dxa"/>
            <w:vAlign w:val="bottom"/>
            <w:gridSpan w:val="3"/>
            <w:shd w:val="clear" w:color="auto" w:fill="D8D8D8"/>
          </w:tcPr>
          <w:p>
            <w:pPr>
              <w:ind w:left="400"/>
              <w:spacing w:after="0" w:line="169" w:lineRule="exact"/>
              <w:rPr>
                <w:sz w:val="20"/>
                <w:szCs w:val="20"/>
                <w:color w:val="auto"/>
              </w:rPr>
            </w:pPr>
            <w:r>
              <w:rPr>
                <w:rFonts w:ascii="Arial" w:cs="Arial" w:eastAsia="Arial" w:hAnsi="Arial"/>
                <w:sz w:val="15"/>
                <w:szCs w:val="15"/>
                <w:color w:val="auto"/>
                <w:w w:val="98"/>
              </w:rPr>
              <w:t>October 2006 through October 2011. Prior to joining the Company, Mr. De Shon spent 28 years at United Airlines, starting as a customer service</w:t>
            </w:r>
          </w:p>
        </w:tc>
        <w:tc>
          <w:tcPr>
            <w:tcW w:w="0" w:type="dxa"/>
            <w:vAlign w:val="bottom"/>
          </w:tcPr>
          <w:p>
            <w:pPr>
              <w:spacing w:after="0"/>
              <w:rPr>
                <w:sz w:val="1"/>
                <w:szCs w:val="1"/>
                <w:color w:val="auto"/>
              </w:rPr>
            </w:pPr>
          </w:p>
        </w:tc>
      </w:tr>
      <w:tr>
        <w:trPr>
          <w:trHeight w:val="169"/>
        </w:trPr>
        <w:tc>
          <w:tcPr>
            <w:tcW w:w="1540" w:type="dxa"/>
            <w:vAlign w:val="bottom"/>
            <w:shd w:val="clear" w:color="auto" w:fill="D8D8D8"/>
          </w:tcPr>
          <w:p>
            <w:pPr>
              <w:spacing w:after="0"/>
              <w:rPr>
                <w:sz w:val="14"/>
                <w:szCs w:val="14"/>
                <w:color w:val="auto"/>
              </w:rPr>
            </w:pPr>
          </w:p>
        </w:tc>
        <w:tc>
          <w:tcPr>
            <w:tcW w:w="9600" w:type="dxa"/>
            <w:vAlign w:val="bottom"/>
            <w:gridSpan w:val="2"/>
            <w:shd w:val="clear" w:color="auto" w:fill="D8D8D8"/>
          </w:tcPr>
          <w:p>
            <w:pPr>
              <w:ind w:left="400"/>
              <w:spacing w:after="0" w:line="169" w:lineRule="exact"/>
              <w:rPr>
                <w:sz w:val="20"/>
                <w:szCs w:val="20"/>
                <w:color w:val="auto"/>
              </w:rPr>
            </w:pPr>
            <w:r>
              <w:rPr>
                <w:rFonts w:ascii="Arial" w:cs="Arial" w:eastAsia="Arial" w:hAnsi="Arial"/>
                <w:sz w:val="15"/>
                <w:szCs w:val="15"/>
                <w:color w:val="auto"/>
                <w:w w:val="99"/>
              </w:rPr>
              <w:t>representative and advancing to hold a number of positions of increasing responsibility during his tenure, including as Senior Vice President</w:t>
            </w:r>
          </w:p>
        </w:tc>
        <w:tc>
          <w:tcPr>
            <w:tcW w:w="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40" w:type="dxa"/>
            <w:vAlign w:val="bottom"/>
            <w:shd w:val="clear" w:color="auto" w:fill="D8D8D8"/>
          </w:tcPr>
          <w:p>
            <w:pPr>
              <w:spacing w:after="0"/>
              <w:rPr>
                <w:sz w:val="14"/>
                <w:szCs w:val="14"/>
                <w:color w:val="auto"/>
              </w:rPr>
            </w:pPr>
          </w:p>
        </w:tc>
        <w:tc>
          <w:tcPr>
            <w:tcW w:w="9600" w:type="dxa"/>
            <w:vAlign w:val="bottom"/>
            <w:gridSpan w:val="2"/>
            <w:shd w:val="clear" w:color="auto" w:fill="D8D8D8"/>
          </w:tcPr>
          <w:p>
            <w:pPr>
              <w:ind w:left="400"/>
              <w:spacing w:after="0" w:line="167" w:lineRule="exact"/>
              <w:rPr>
                <w:sz w:val="20"/>
                <w:szCs w:val="20"/>
                <w:color w:val="auto"/>
              </w:rPr>
            </w:pPr>
            <w:r>
              <w:rPr>
                <w:rFonts w:ascii="Arial" w:cs="Arial" w:eastAsia="Arial" w:hAnsi="Arial"/>
                <w:sz w:val="15"/>
                <w:szCs w:val="15"/>
                <w:color w:val="auto"/>
              </w:rPr>
              <w:t>positions in marketing, on-board service and airport operations.</w:t>
            </w:r>
          </w:p>
        </w:tc>
        <w:tc>
          <w:tcPr>
            <w:tcW w:w="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700" w:type="dxa"/>
            <w:vAlign w:val="bottom"/>
            <w:vMerge w:val="restart"/>
          </w:tcPr>
          <w:p>
            <w:pPr>
              <w:ind w:left="40"/>
              <w:spacing w:after="0"/>
              <w:rPr>
                <w:sz w:val="20"/>
                <w:szCs w:val="20"/>
                <w:color w:val="auto"/>
              </w:rPr>
            </w:pPr>
            <w:r>
              <w:rPr>
                <w:rFonts w:ascii="Arial" w:cs="Arial" w:eastAsia="Arial" w:hAnsi="Arial"/>
                <w:sz w:val="15"/>
                <w:szCs w:val="15"/>
                <w:i w:val="1"/>
                <w:iCs w:val="1"/>
                <w:color w:val="auto"/>
              </w:rPr>
              <w:t>2014 Proxy Statement</w:t>
            </w:r>
          </w:p>
        </w:tc>
        <w:tc>
          <w:tcPr>
            <w:tcW w:w="30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7900" w:type="dxa"/>
            <w:vAlign w:val="bottom"/>
            <w:tcBorders>
              <w:right w:val="single" w:sz="8" w:color="auto"/>
            </w:tcBorders>
          </w:tcPr>
          <w:p>
            <w:pPr>
              <w:spacing w:after="0"/>
              <w:rPr>
                <w:sz w:val="17"/>
                <w:szCs w:val="17"/>
                <w:color w:val="auto"/>
              </w:rPr>
            </w:pPr>
          </w:p>
        </w:tc>
        <w:tc>
          <w:tcPr>
            <w:tcW w:w="17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540" w:type="dxa"/>
            <w:vAlign w:val="bottom"/>
          </w:tcPr>
          <w:p>
            <w:pPr>
              <w:spacing w:after="0"/>
              <w:rPr>
                <w:sz w:val="2"/>
                <w:szCs w:val="2"/>
                <w:color w:val="auto"/>
              </w:rPr>
            </w:pPr>
          </w:p>
        </w:tc>
        <w:tc>
          <w:tcPr>
            <w:tcW w:w="7900" w:type="dxa"/>
            <w:vAlign w:val="bottom"/>
            <w:tcBorders>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-142240</wp:posOffset>
            </wp:positionV>
            <wp:extent cx="857885"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shd w:val="clear" w:color="auto" w:fill="000000"/>
          </w:tcPr>
          <w:p>
            <w:pPr>
              <w:ind w:left="60"/>
              <w:spacing w:after="0"/>
              <w:rPr>
                <w:sz w:val="20"/>
                <w:szCs w:val="20"/>
                <w:color w:val="auto"/>
              </w:rPr>
            </w:pPr>
            <w:r>
              <w:rPr>
                <w:rFonts w:ascii="Arial" w:cs="Arial" w:eastAsia="Arial" w:hAnsi="Arial"/>
                <w:sz w:val="11"/>
                <w:szCs w:val="11"/>
                <w:b w:val="1"/>
                <w:bCs w:val="1"/>
                <w:color w:val="auto"/>
                <w:highlight w:val="black"/>
              </w:rPr>
              <w:t>EXECUTIVE OFFICERS</w:t>
            </w:r>
          </w:p>
        </w:tc>
        <w:tc>
          <w:tcPr>
            <w:tcW w:w="360" w:type="dxa"/>
            <w:vAlign w:val="bottom"/>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Name</w:t>
            </w:r>
          </w:p>
        </w:tc>
        <w:tc>
          <w:tcPr>
            <w:tcW w:w="972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Biographical Information</w:t>
            </w:r>
          </w:p>
        </w:tc>
        <w:tc>
          <w:tcPr>
            <w:tcW w:w="0" w:type="dxa"/>
            <w:vAlign w:val="bottom"/>
          </w:tcPr>
          <w:p>
            <w:pPr>
              <w:spacing w:after="0"/>
              <w:rPr>
                <w:sz w:val="1"/>
                <w:szCs w:val="1"/>
                <w:color w:val="auto"/>
              </w:rPr>
            </w:pPr>
          </w:p>
        </w:tc>
      </w:tr>
      <w:tr>
        <w:trPr>
          <w:trHeight w:val="163"/>
        </w:trPr>
        <w:tc>
          <w:tcPr>
            <w:tcW w:w="1720" w:type="dxa"/>
            <w:vAlign w:val="bottom"/>
            <w:tcBorders>
              <w:right w:val="single" w:sz="8" w:color="D8D8D8"/>
            </w:tcBorders>
            <w:gridSpan w:val="2"/>
            <w:shd w:val="clear" w:color="auto" w:fill="D8D8D8"/>
          </w:tcPr>
          <w:p>
            <w:pPr>
              <w:spacing w:after="0" w:line="163" w:lineRule="exact"/>
              <w:rPr>
                <w:sz w:val="20"/>
                <w:szCs w:val="20"/>
                <w:color w:val="auto"/>
              </w:rPr>
            </w:pPr>
            <w:r>
              <w:rPr>
                <w:rFonts w:ascii="Arial" w:cs="Arial" w:eastAsia="Arial" w:hAnsi="Arial"/>
                <w:sz w:val="15"/>
                <w:szCs w:val="15"/>
                <w:color w:val="auto"/>
              </w:rPr>
              <w:t>Thomas M. Gartland</w:t>
            </w:r>
          </w:p>
        </w:tc>
        <w:tc>
          <w:tcPr>
            <w:tcW w:w="9720" w:type="dxa"/>
            <w:vAlign w:val="bottom"/>
            <w:shd w:val="clear" w:color="auto" w:fill="D8D8D8"/>
          </w:tcPr>
          <w:p>
            <w:pPr>
              <w:ind w:left="460"/>
              <w:spacing w:after="0" w:line="163" w:lineRule="exact"/>
              <w:rPr>
                <w:sz w:val="20"/>
                <w:szCs w:val="20"/>
                <w:color w:val="auto"/>
              </w:rPr>
            </w:pPr>
            <w:r>
              <w:rPr>
                <w:rFonts w:ascii="Arial" w:cs="Arial" w:eastAsia="Arial" w:hAnsi="Arial"/>
                <w:sz w:val="15"/>
                <w:szCs w:val="15"/>
                <w:color w:val="auto"/>
                <w:w w:val="98"/>
              </w:rPr>
              <w:t>Mr. Gartland, age 56, has been President, North America since October 2011. Mr. Gartland held the title of Executive Vice President of Sales,</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rPr>
              <w:t>Marketing &amp; Customer Care from April 2008 through October 2011. Prior to joining the Company, Mr. Gartland was President of</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w w:val="98"/>
              </w:rPr>
              <w:t>JohnsonDiversey, Inc.’s North American Region, where he worked for 14 years. Prior thereto, Mr. Gartland was Vice President and Director of</w:t>
            </w:r>
          </w:p>
        </w:tc>
        <w:tc>
          <w:tcPr>
            <w:tcW w:w="0" w:type="dxa"/>
            <w:vAlign w:val="bottom"/>
          </w:tcPr>
          <w:p>
            <w:pPr>
              <w:spacing w:after="0"/>
              <w:rPr>
                <w:sz w:val="1"/>
                <w:szCs w:val="1"/>
                <w:color w:val="auto"/>
              </w:rPr>
            </w:pPr>
          </w:p>
        </w:tc>
      </w:tr>
      <w:tr>
        <w:trPr>
          <w:trHeight w:val="166"/>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7" w:lineRule="exact"/>
              <w:rPr>
                <w:sz w:val="20"/>
                <w:szCs w:val="20"/>
                <w:color w:val="auto"/>
              </w:rPr>
            </w:pPr>
            <w:r>
              <w:rPr>
                <w:rFonts w:ascii="Arial" w:cs="Arial" w:eastAsia="Arial" w:hAnsi="Arial"/>
                <w:sz w:val="15"/>
                <w:szCs w:val="15"/>
                <w:color w:val="auto"/>
              </w:rPr>
              <w:t>National Accounts with Ecolab, Inc., where he also worked for 14 years.</w:t>
            </w: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9720" w:type="dxa"/>
            <w:vAlign w:val="bottom"/>
          </w:tcPr>
          <w:p>
            <w:pPr>
              <w:ind w:left="460"/>
              <w:spacing w:after="0"/>
              <w:rPr>
                <w:sz w:val="20"/>
                <w:szCs w:val="20"/>
                <w:color w:val="auto"/>
              </w:rPr>
            </w:pPr>
            <w:r>
              <w:rPr>
                <w:rFonts w:ascii="Arial" w:cs="Arial" w:eastAsia="Arial" w:hAnsi="Arial"/>
                <w:sz w:val="15"/>
                <w:szCs w:val="15"/>
                <w:color w:val="auto"/>
              </w:rPr>
              <w:t>Mr. Siniscalchi, age 64, has been President, Latin America/Asia-Pacific since October 2011. Mr. Siniscalchi held the title of Executive Vice</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9" w:lineRule="exact"/>
              <w:rPr>
                <w:sz w:val="20"/>
                <w:szCs w:val="20"/>
                <w:color w:val="auto"/>
              </w:rPr>
            </w:pPr>
            <w:r>
              <w:rPr>
                <w:rFonts w:ascii="Arial" w:cs="Arial" w:eastAsia="Arial" w:hAnsi="Arial"/>
                <w:sz w:val="15"/>
                <w:szCs w:val="15"/>
                <w:color w:val="auto"/>
              </w:rPr>
              <w:t>President, International Operations from August 2006 through October 2011. Mr. Siniscalchi joined Avis in 1971 and advanced to hold a</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9" w:lineRule="exact"/>
              <w:rPr>
                <w:sz w:val="20"/>
                <w:szCs w:val="20"/>
                <w:color w:val="auto"/>
              </w:rPr>
            </w:pPr>
            <w:r>
              <w:rPr>
                <w:rFonts w:ascii="Arial" w:cs="Arial" w:eastAsia="Arial" w:hAnsi="Arial"/>
                <w:sz w:val="15"/>
                <w:szCs w:val="15"/>
                <w:color w:val="auto"/>
              </w:rPr>
              <w:t>number of positions of increasing responsibility during his tenure, including Senior Vice President, International Operations of Cendant’s</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7" w:lineRule="exact"/>
              <w:rPr>
                <w:sz w:val="20"/>
                <w:szCs w:val="20"/>
                <w:color w:val="auto"/>
              </w:rPr>
            </w:pPr>
            <w:r>
              <w:rPr>
                <w:rFonts w:ascii="Arial" w:cs="Arial" w:eastAsia="Arial" w:hAnsi="Arial"/>
                <w:sz w:val="15"/>
                <w:szCs w:val="15"/>
                <w:color w:val="auto"/>
              </w:rPr>
              <w:t>vehicle rental business.</w:t>
            </w:r>
          </w:p>
        </w:tc>
        <w:tc>
          <w:tcPr>
            <w:tcW w:w="0" w:type="dxa"/>
            <w:vAlign w:val="bottom"/>
          </w:tcPr>
          <w:p>
            <w:pPr>
              <w:spacing w:after="0"/>
              <w:rPr>
                <w:sz w:val="1"/>
                <w:szCs w:val="1"/>
                <w:color w:val="auto"/>
              </w:rPr>
            </w:pPr>
          </w:p>
        </w:tc>
      </w:tr>
      <w:tr>
        <w:trPr>
          <w:trHeight w:val="171"/>
        </w:trPr>
        <w:tc>
          <w:tcPr>
            <w:tcW w:w="1720" w:type="dxa"/>
            <w:vAlign w:val="bottom"/>
            <w:tcBorders>
              <w:right w:val="single" w:sz="8" w:color="D8D8D8"/>
            </w:tcBorders>
            <w:gridSpan w:val="2"/>
            <w:shd w:val="clear" w:color="auto" w:fill="D8D8D8"/>
          </w:tcPr>
          <w:p>
            <w:pPr>
              <w:spacing w:after="0"/>
              <w:rPr>
                <w:sz w:val="20"/>
                <w:szCs w:val="20"/>
                <w:color w:val="auto"/>
              </w:rPr>
            </w:pPr>
            <w:r>
              <w:rPr>
                <w:rFonts w:ascii="Arial" w:cs="Arial" w:eastAsia="Arial" w:hAnsi="Arial"/>
                <w:sz w:val="15"/>
                <w:szCs w:val="15"/>
                <w:color w:val="auto"/>
              </w:rPr>
              <w:t>Michael K. Tucker</w:t>
            </w:r>
          </w:p>
        </w:tc>
        <w:tc>
          <w:tcPr>
            <w:tcW w:w="9720" w:type="dxa"/>
            <w:vAlign w:val="bottom"/>
            <w:shd w:val="clear" w:color="auto" w:fill="D8D8D8"/>
          </w:tcPr>
          <w:p>
            <w:pPr>
              <w:ind w:left="460"/>
              <w:spacing w:after="0"/>
              <w:rPr>
                <w:sz w:val="20"/>
                <w:szCs w:val="20"/>
                <w:color w:val="auto"/>
              </w:rPr>
            </w:pPr>
            <w:r>
              <w:rPr>
                <w:rFonts w:ascii="Arial" w:cs="Arial" w:eastAsia="Arial" w:hAnsi="Arial"/>
                <w:sz w:val="15"/>
                <w:szCs w:val="15"/>
                <w:color w:val="auto"/>
                <w:w w:val="99"/>
              </w:rPr>
              <w:t>Mr. Tucker, age 56, has been Executive Vice President, General Counsel and Chief Compliance Officer since April 2010. Prior to joining the</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w w:val="98"/>
              </w:rPr>
              <w:t>Company, Mr. Tucker was in private practice, serving as managing partner at the law firm of Tucker Associates and Of Counsel at the law firm</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rPr>
              <w:t>of Lowe &amp; Savage from 2007. Prior thereto, Mr. Tucker was Division General Counsel with Tyco International Ltd. Inc. from 2005. Prior to</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w w:val="97"/>
              </w:rPr>
              <w:t>joining Tyco, Mr. Tucker served in senior legal positions with General Electric Company, including division senior counsel of GE Transportation</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w w:val="97"/>
              </w:rPr>
              <w:t>and senior vice president and general counsel of GE Capital International Services. Prior to joining General Electric, Mr. Tucker was associated</w:t>
            </w:r>
          </w:p>
        </w:tc>
        <w:tc>
          <w:tcPr>
            <w:tcW w:w="0" w:type="dxa"/>
            <w:vAlign w:val="bottom"/>
          </w:tcPr>
          <w:p>
            <w:pPr>
              <w:spacing w:after="0"/>
              <w:rPr>
                <w:sz w:val="1"/>
                <w:szCs w:val="1"/>
                <w:color w:val="auto"/>
              </w:rPr>
            </w:pPr>
          </w:p>
        </w:tc>
      </w:tr>
      <w:tr>
        <w:trPr>
          <w:trHeight w:val="166"/>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7" w:lineRule="exact"/>
              <w:rPr>
                <w:sz w:val="20"/>
                <w:szCs w:val="20"/>
                <w:color w:val="auto"/>
              </w:rPr>
            </w:pPr>
            <w:r>
              <w:rPr>
                <w:rFonts w:ascii="Arial" w:cs="Arial" w:eastAsia="Arial" w:hAnsi="Arial"/>
                <w:sz w:val="15"/>
                <w:szCs w:val="15"/>
                <w:color w:val="auto"/>
              </w:rPr>
              <w:t>with the law firms of Ballard Spahr Andrews &amp; Ingersoll, Bingham Dana LLP, and Csaplar &amp; Bok.</w:t>
            </w: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Arial" w:cs="Arial" w:eastAsia="Arial" w:hAnsi="Arial"/>
                <w:sz w:val="15"/>
                <w:szCs w:val="15"/>
                <w:color w:val="auto"/>
              </w:rPr>
              <w:t>Edward P. Linnen</w:t>
            </w:r>
          </w:p>
        </w:tc>
        <w:tc>
          <w:tcPr>
            <w:tcW w:w="9720" w:type="dxa"/>
            <w:vAlign w:val="bottom"/>
          </w:tcPr>
          <w:p>
            <w:pPr>
              <w:ind w:left="460"/>
              <w:spacing w:after="0"/>
              <w:rPr>
                <w:sz w:val="20"/>
                <w:szCs w:val="20"/>
                <w:color w:val="auto"/>
              </w:rPr>
            </w:pPr>
            <w:r>
              <w:rPr>
                <w:rFonts w:ascii="Arial" w:cs="Arial" w:eastAsia="Arial" w:hAnsi="Arial"/>
                <w:sz w:val="15"/>
                <w:szCs w:val="15"/>
                <w:color w:val="auto"/>
                <w:w w:val="98"/>
              </w:rPr>
              <w:t>Mr. Linnen, age 44, has been Senior Vice President, Chief Human Resource Officer since February 2013. Previously, Mr. Linnen held the title</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9" w:lineRule="exact"/>
              <w:rPr>
                <w:sz w:val="20"/>
                <w:szCs w:val="20"/>
                <w:color w:val="auto"/>
              </w:rPr>
            </w:pPr>
            <w:r>
              <w:rPr>
                <w:rFonts w:ascii="Arial" w:cs="Arial" w:eastAsia="Arial" w:hAnsi="Arial"/>
                <w:sz w:val="15"/>
                <w:szCs w:val="15"/>
                <w:color w:val="auto"/>
                <w:w w:val="97"/>
              </w:rPr>
              <w:t>of Senior Vice President, HR for North America from October 2011 through February 2013. Mr. Linnen joined the Company in 2001, and served</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9" w:lineRule="exact"/>
              <w:rPr>
                <w:sz w:val="20"/>
                <w:szCs w:val="20"/>
                <w:color w:val="auto"/>
              </w:rPr>
            </w:pPr>
            <w:r>
              <w:rPr>
                <w:rFonts w:ascii="Arial" w:cs="Arial" w:eastAsia="Arial" w:hAnsi="Arial"/>
                <w:sz w:val="15"/>
                <w:szCs w:val="15"/>
                <w:color w:val="auto"/>
              </w:rPr>
              <w:t>in several positions in the Company’s human resources function, including as Vice President of Labor Relations &amp; International HR, Vice</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9" w:lineRule="exact"/>
              <w:rPr>
                <w:sz w:val="20"/>
                <w:szCs w:val="20"/>
                <w:color w:val="auto"/>
              </w:rPr>
            </w:pPr>
            <w:r>
              <w:rPr>
                <w:rFonts w:ascii="Arial" w:cs="Arial" w:eastAsia="Arial" w:hAnsi="Arial"/>
                <w:sz w:val="15"/>
                <w:szCs w:val="15"/>
                <w:color w:val="auto"/>
                <w:w w:val="97"/>
              </w:rPr>
              <w:t>President Domestic HR, and Field HR Director. Prior to joining the Company, Mr. Linnen served in various positions within human resources at</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Pr>
          <w:p>
            <w:pPr>
              <w:ind w:left="460"/>
              <w:spacing w:after="0" w:line="167" w:lineRule="exact"/>
              <w:rPr>
                <w:sz w:val="20"/>
                <w:szCs w:val="20"/>
                <w:color w:val="auto"/>
              </w:rPr>
            </w:pPr>
            <w:r>
              <w:rPr>
                <w:rFonts w:ascii="Arial" w:cs="Arial" w:eastAsia="Arial" w:hAnsi="Arial"/>
                <w:sz w:val="15"/>
                <w:szCs w:val="15"/>
                <w:color w:val="auto"/>
              </w:rPr>
              <w:t>Kraft Foods Inc. and Nabisco, Inc.</w:t>
            </w:r>
          </w:p>
        </w:tc>
        <w:tc>
          <w:tcPr>
            <w:tcW w:w="0" w:type="dxa"/>
            <w:vAlign w:val="bottom"/>
          </w:tcPr>
          <w:p>
            <w:pPr>
              <w:spacing w:after="0"/>
              <w:rPr>
                <w:sz w:val="1"/>
                <w:szCs w:val="1"/>
                <w:color w:val="auto"/>
              </w:rPr>
            </w:pPr>
          </w:p>
        </w:tc>
      </w:tr>
      <w:tr>
        <w:trPr>
          <w:trHeight w:val="171"/>
        </w:trPr>
        <w:tc>
          <w:tcPr>
            <w:tcW w:w="1720" w:type="dxa"/>
            <w:vAlign w:val="bottom"/>
            <w:tcBorders>
              <w:right w:val="single" w:sz="8" w:color="D8D8D8"/>
            </w:tcBorders>
            <w:gridSpan w:val="2"/>
            <w:shd w:val="clear" w:color="auto" w:fill="D8D8D8"/>
          </w:tcPr>
          <w:p>
            <w:pPr>
              <w:spacing w:after="0"/>
              <w:rPr>
                <w:sz w:val="20"/>
                <w:szCs w:val="20"/>
                <w:color w:val="auto"/>
              </w:rPr>
            </w:pPr>
            <w:r>
              <w:rPr>
                <w:rFonts w:ascii="Arial" w:cs="Arial" w:eastAsia="Arial" w:hAnsi="Arial"/>
                <w:sz w:val="15"/>
                <w:szCs w:val="15"/>
                <w:color w:val="auto"/>
              </w:rPr>
              <w:t>Izilda P. Martins</w:t>
            </w:r>
          </w:p>
        </w:tc>
        <w:tc>
          <w:tcPr>
            <w:tcW w:w="9720" w:type="dxa"/>
            <w:vAlign w:val="bottom"/>
            <w:shd w:val="clear" w:color="auto" w:fill="D8D8D8"/>
          </w:tcPr>
          <w:p>
            <w:pPr>
              <w:ind w:left="460"/>
              <w:spacing w:after="0"/>
              <w:rPr>
                <w:sz w:val="20"/>
                <w:szCs w:val="20"/>
                <w:color w:val="auto"/>
              </w:rPr>
            </w:pPr>
            <w:r>
              <w:rPr>
                <w:rFonts w:ascii="Arial" w:cs="Arial" w:eastAsia="Arial" w:hAnsi="Arial"/>
                <w:sz w:val="15"/>
                <w:szCs w:val="15"/>
                <w:color w:val="auto"/>
              </w:rPr>
              <w:t>Ms. Martins, age 42, has been Senior Vice President and Acting Chief Accounting Officer of the Company since February 2013. Previously,</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rPr>
              <w:t>she was Vice President and Acting Chief Accounting Officer of the Company since November 2010 and Vice President of Tax from August</w:t>
            </w:r>
          </w:p>
        </w:tc>
        <w:tc>
          <w:tcPr>
            <w:tcW w:w="0" w:type="dxa"/>
            <w:vAlign w:val="bottom"/>
          </w:tcPr>
          <w:p>
            <w:pPr>
              <w:spacing w:after="0"/>
              <w:rPr>
                <w:sz w:val="1"/>
                <w:szCs w:val="1"/>
                <w:color w:val="auto"/>
              </w:rPr>
            </w:pPr>
          </w:p>
        </w:tc>
      </w:tr>
      <w:tr>
        <w:trPr>
          <w:trHeight w:val="169"/>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9" w:lineRule="exact"/>
              <w:rPr>
                <w:sz w:val="20"/>
                <w:szCs w:val="20"/>
                <w:color w:val="auto"/>
              </w:rPr>
            </w:pPr>
            <w:r>
              <w:rPr>
                <w:rFonts w:ascii="Arial" w:cs="Arial" w:eastAsia="Arial" w:hAnsi="Arial"/>
                <w:sz w:val="15"/>
                <w:szCs w:val="15"/>
                <w:color w:val="auto"/>
              </w:rPr>
              <w:t>2006 to November 2010. Ms. Martins was Director of Tax Planning and Mergers &amp; Acquisitions of Cendant from November 2004 through</w:t>
            </w:r>
          </w:p>
        </w:tc>
        <w:tc>
          <w:tcPr>
            <w:tcW w:w="0" w:type="dxa"/>
            <w:vAlign w:val="bottom"/>
          </w:tcPr>
          <w:p>
            <w:pPr>
              <w:spacing w:after="0"/>
              <w:rPr>
                <w:sz w:val="1"/>
                <w:szCs w:val="1"/>
                <w:color w:val="auto"/>
              </w:rPr>
            </w:pPr>
          </w:p>
        </w:tc>
      </w:tr>
      <w:tr>
        <w:trPr>
          <w:trHeight w:val="166"/>
        </w:trPr>
        <w:tc>
          <w:tcPr>
            <w:tcW w:w="1360" w:type="dxa"/>
            <w:vAlign w:val="bottom"/>
            <w:shd w:val="clear" w:color="auto" w:fill="D8D8D8"/>
          </w:tcPr>
          <w:p>
            <w:pPr>
              <w:spacing w:after="0"/>
              <w:rPr>
                <w:sz w:val="14"/>
                <w:szCs w:val="14"/>
                <w:color w:val="auto"/>
              </w:rPr>
            </w:pPr>
          </w:p>
        </w:tc>
        <w:tc>
          <w:tcPr>
            <w:tcW w:w="360" w:type="dxa"/>
            <w:vAlign w:val="bottom"/>
            <w:tcBorders>
              <w:right w:val="single" w:sz="8" w:color="D8D8D8"/>
            </w:tcBorders>
            <w:shd w:val="clear" w:color="auto" w:fill="D8D8D8"/>
          </w:tcPr>
          <w:p>
            <w:pPr>
              <w:spacing w:after="0"/>
              <w:rPr>
                <w:sz w:val="14"/>
                <w:szCs w:val="14"/>
                <w:color w:val="auto"/>
              </w:rPr>
            </w:pPr>
          </w:p>
        </w:tc>
        <w:tc>
          <w:tcPr>
            <w:tcW w:w="9720" w:type="dxa"/>
            <w:vAlign w:val="bottom"/>
            <w:shd w:val="clear" w:color="auto" w:fill="D8D8D8"/>
          </w:tcPr>
          <w:p>
            <w:pPr>
              <w:ind w:left="460"/>
              <w:spacing w:after="0" w:line="167" w:lineRule="exact"/>
              <w:rPr>
                <w:sz w:val="20"/>
                <w:szCs w:val="20"/>
                <w:color w:val="auto"/>
              </w:rPr>
            </w:pPr>
            <w:r>
              <w:rPr>
                <w:rFonts w:ascii="Arial" w:cs="Arial" w:eastAsia="Arial" w:hAnsi="Arial"/>
                <w:sz w:val="15"/>
                <w:szCs w:val="15"/>
                <w:color w:val="auto"/>
              </w:rPr>
              <w:t>August 2006. Prior to joining the Company, Ms. Martins was associated with Deloitte &amp; Touche LLP for seven years.</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5"/>
                <w:szCs w:val="15"/>
                <w:b w:val="1"/>
                <w:bCs w:val="1"/>
                <w:color w:val="auto"/>
              </w:rPr>
              <w:t>18</w:t>
            </w:r>
          </w:p>
        </w:tc>
        <w:tc>
          <w:tcPr>
            <w:tcW w:w="360" w:type="dxa"/>
            <w:vAlign w:val="bottom"/>
          </w:tcPr>
          <w:p>
            <w:pPr>
              <w:spacing w:after="0"/>
              <w:rPr>
                <w:sz w:val="10"/>
                <w:szCs w:val="10"/>
                <w:color w:val="auto"/>
              </w:rPr>
            </w:pPr>
          </w:p>
        </w:tc>
        <w:tc>
          <w:tcPr>
            <w:tcW w:w="9720" w:type="dxa"/>
            <w:vAlign w:val="bottom"/>
            <w:vMerge w:val="restart"/>
          </w:tcPr>
          <w:p>
            <w:pPr>
              <w:ind w:left="120"/>
              <w:spacing w:after="0"/>
              <w:rPr>
                <w:sz w:val="20"/>
                <w:szCs w:val="20"/>
                <w:color w:val="auto"/>
              </w:rPr>
            </w:pPr>
            <w:r>
              <w:rPr>
                <w:rFonts w:ascii="Arial" w:cs="Arial" w:eastAsia="Arial" w:hAnsi="Arial"/>
                <w:sz w:val="15"/>
                <w:szCs w:val="15"/>
                <w:i w:val="1"/>
                <w:iCs w:val="1"/>
                <w:color w:val="auto"/>
              </w:rPr>
              <w:t>2014 Proxy Statement</w:t>
            </w:r>
          </w:p>
        </w:tc>
        <w:tc>
          <w:tcPr>
            <w:tcW w:w="0" w:type="dxa"/>
            <w:vAlign w:val="bottom"/>
          </w:tcPr>
          <w:p>
            <w:pPr>
              <w:spacing w:after="0"/>
              <w:rPr>
                <w:sz w:val="1"/>
                <w:szCs w:val="1"/>
                <w:color w:val="auto"/>
              </w:rPr>
            </w:pPr>
          </w:p>
        </w:tc>
      </w:tr>
      <w:tr>
        <w:trPr>
          <w:trHeight w:val="202"/>
        </w:trPr>
        <w:tc>
          <w:tcPr>
            <w:tcW w:w="1360" w:type="dxa"/>
            <w:vAlign w:val="bottom"/>
            <w:vMerge w:val="continue"/>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9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9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-142240</wp:posOffset>
            </wp:positionV>
            <wp:extent cx="857885"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24" w:name="page25"/>
    <w:bookmarkEnd w:id="2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ind w:left="10"/>
        <w:spacing w:after="0"/>
        <w:rPr>
          <w:sz w:val="20"/>
          <w:szCs w:val="20"/>
          <w:color w:val="auto"/>
        </w:rPr>
      </w:pPr>
      <w:r>
        <w:rPr>
          <w:rFonts w:ascii="Arial" w:cs="Arial" w:eastAsia="Arial" w:hAnsi="Arial"/>
          <w:sz w:val="27"/>
          <w:szCs w:val="27"/>
          <w:b w:val="1"/>
          <w:bCs w:val="1"/>
          <w:color w:val="auto"/>
        </w:rPr>
        <w:t>EXECUTIVE COMPENSATION</w:t>
      </w:r>
    </w:p>
    <w:p>
      <w:pPr>
        <w:spacing w:after="0" w:line="7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90" w:lineRule="exact"/>
        <w:rPr>
          <w:sz w:val="20"/>
          <w:szCs w:val="20"/>
          <w:color w:val="auto"/>
        </w:rPr>
      </w:pPr>
    </w:p>
    <w:p>
      <w:pPr>
        <w:ind w:left="10" w:right="160"/>
        <w:spacing w:after="0" w:line="239" w:lineRule="auto"/>
        <w:rPr>
          <w:sz w:val="20"/>
          <w:szCs w:val="20"/>
          <w:color w:val="auto"/>
        </w:rPr>
      </w:pPr>
      <w:r>
        <w:rPr>
          <w:rFonts w:ascii="Arial" w:cs="Arial" w:eastAsia="Arial" w:hAnsi="Arial"/>
          <w:sz w:val="15"/>
          <w:szCs w:val="15"/>
          <w:i w:val="1"/>
          <w:iCs w:val="1"/>
          <w:color w:val="auto"/>
        </w:rPr>
        <w:t>We refer you to our Annual Report on Form 10-K for the year ended December 31, 2013 for additional information regarding our financial results discussed below. In this proxy statement, we refer to Incentive Adjusted EBITDA, which we define as income from continuing operations before non-vehicle related depreciation and amortization, any impairment charge, early extinguishment of debt costs, non-vehicle related interest, transaction-related costs and income taxes, excluding certain items that we believe are not representative of the results of operations of our business, such as restructuring expense. This non-GAAP measure is a performance metric in our incentive programs and a reconciliation is provided under “Analysis of 2013 Pay Decisions.” When we refer to “the Committee” in this “Executive Compensation” section, we are referring to the Compensation Committee.</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Executive Summary</w:t>
      </w:r>
    </w:p>
    <w:p>
      <w:pPr>
        <w:spacing w:after="0" w:line="7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2013 Performance</w:t>
      </w:r>
    </w:p>
    <w:p>
      <w:pPr>
        <w:spacing w:after="0" w:line="82" w:lineRule="exact"/>
        <w:rPr>
          <w:sz w:val="20"/>
          <w:szCs w:val="20"/>
          <w:color w:val="auto"/>
        </w:rPr>
      </w:pPr>
    </w:p>
    <w:p>
      <w:pPr>
        <w:ind w:left="10" w:right="160"/>
        <w:spacing w:after="0" w:line="237" w:lineRule="auto"/>
        <w:rPr>
          <w:sz w:val="20"/>
          <w:szCs w:val="20"/>
          <w:color w:val="auto"/>
        </w:rPr>
      </w:pPr>
      <w:r>
        <w:rPr>
          <w:rFonts w:ascii="Arial" w:cs="Arial" w:eastAsia="Arial" w:hAnsi="Arial"/>
          <w:sz w:val="15"/>
          <w:szCs w:val="15"/>
          <w:color w:val="auto"/>
        </w:rPr>
        <w:t>Our strong 2013 results reflect continued progress on our strategic plan, an 8% increase in revenue and achievement of the second highest Incentive Adjusted EBITDA results since we became a pure-play vehicle rental company in 2006. Our 2013 Incentive Adjusted EBITDA of $769 million represents a decline of 8% compared to 2012 due to the normalization of the used car market, which resulted in, as anticipated, a significant increase in our fleet costs. Our stock price performance for the year reflects our significant 2013 achievements with an increase of 104%. Over a five-year period, we achieved robust stock price growth, representing a strong recovery from a low of $0.70 at year-end 2008 to $40.42 on December 31, 2013.</w:t>
      </w:r>
    </w:p>
    <w:p>
      <w:pPr>
        <w:spacing w:after="0" w:line="76" w:lineRule="exact"/>
        <w:rPr>
          <w:sz w:val="20"/>
          <w:szCs w:val="20"/>
          <w:color w:val="auto"/>
        </w:rPr>
      </w:pPr>
    </w:p>
    <w:p>
      <w:pPr>
        <w:ind w:left="1890"/>
        <w:spacing w:after="0"/>
        <w:tabs>
          <w:tab w:leader="none" w:pos="7910" w:val="left"/>
        </w:tabs>
        <w:rPr>
          <w:sz w:val="20"/>
          <w:szCs w:val="20"/>
          <w:color w:val="auto"/>
        </w:rPr>
      </w:pPr>
      <w:r>
        <w:rPr>
          <w:rFonts w:ascii="Arial" w:cs="Arial" w:eastAsia="Arial" w:hAnsi="Arial"/>
          <w:sz w:val="15"/>
          <w:szCs w:val="15"/>
          <w:b w:val="1"/>
          <w:bCs w:val="1"/>
          <w:color w:val="auto"/>
        </w:rPr>
        <w:t>Stock Price Performance</w:t>
      </w:r>
      <w:r>
        <w:rPr>
          <w:sz w:val="20"/>
          <w:szCs w:val="20"/>
          <w:color w:val="auto"/>
        </w:rPr>
        <w:tab/>
      </w:r>
      <w:r>
        <w:rPr>
          <w:rFonts w:ascii="Arial" w:cs="Arial" w:eastAsia="Arial" w:hAnsi="Arial"/>
          <w:sz w:val="14"/>
          <w:szCs w:val="14"/>
          <w:b w:val="1"/>
          <w:bCs w:val="1"/>
          <w:color w:val="auto"/>
        </w:rPr>
        <w:t>Stock Price Growth</w:t>
      </w:r>
    </w:p>
    <w:p>
      <w:pPr>
        <w:spacing w:after="0" w:line="14" w:lineRule="exact"/>
        <w:rPr>
          <w:sz w:val="20"/>
          <w:szCs w:val="20"/>
          <w:color w:val="auto"/>
        </w:rPr>
      </w:pPr>
    </w:p>
    <w:p>
      <w:pPr>
        <w:ind w:left="1830"/>
        <w:spacing w:after="0"/>
        <w:tabs>
          <w:tab w:leader="none" w:pos="7510" w:val="left"/>
        </w:tabs>
        <w:rPr>
          <w:sz w:val="20"/>
          <w:szCs w:val="20"/>
          <w:color w:val="auto"/>
        </w:rPr>
      </w:pPr>
      <w:r>
        <w:rPr>
          <w:rFonts w:ascii="Arial" w:cs="Arial" w:eastAsia="Arial" w:hAnsi="Arial"/>
          <w:sz w:val="15"/>
          <w:szCs w:val="15"/>
          <w:b w:val="1"/>
          <w:bCs w:val="1"/>
          <w:color w:val="auto"/>
        </w:rPr>
        <w:t>(One-Year and Three-Year)</w:t>
      </w:r>
      <w:r>
        <w:rPr>
          <w:sz w:val="20"/>
          <w:szCs w:val="20"/>
          <w:color w:val="auto"/>
        </w:rPr>
        <w:tab/>
      </w:r>
      <w:r>
        <w:rPr>
          <w:rFonts w:ascii="Arial" w:cs="Arial" w:eastAsia="Arial" w:hAnsi="Arial"/>
          <w:sz w:val="14"/>
          <w:szCs w:val="14"/>
          <w:b w:val="1"/>
          <w:bCs w:val="1"/>
          <w:color w:val="auto"/>
        </w:rPr>
        <w:t>(Year-End Closing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38735</wp:posOffset>
            </wp:positionV>
            <wp:extent cx="1494155" cy="986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4155" cy="986155"/>
                    </a:xfrm>
                    <a:prstGeom prst="rect">
                      <a:avLst/>
                    </a:prstGeom>
                    <a:noFill/>
                  </pic:spPr>
                </pic:pic>
              </a:graphicData>
            </a:graphic>
          </wp:anchor>
        </w:drawing>
        <w:drawing>
          <wp:anchor simplePos="0" relativeHeight="251657728" behindDoc="1" locked="0" layoutInCell="0" allowOverlap="1">
            <wp:simplePos x="0" y="0"/>
            <wp:positionH relativeFrom="column">
              <wp:posOffset>4453255</wp:posOffset>
            </wp:positionH>
            <wp:positionV relativeFrom="paragraph">
              <wp:posOffset>38735</wp:posOffset>
            </wp:positionV>
            <wp:extent cx="2015490" cy="993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15490" cy="993775"/>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2013 Strategic Accomplishments</w:t>
      </w:r>
    </w:p>
    <w:p>
      <w:pPr>
        <w:spacing w:after="0" w:line="116" w:lineRule="exact"/>
        <w:rPr>
          <w:sz w:val="20"/>
          <w:szCs w:val="20"/>
          <w:color w:val="auto"/>
        </w:rPr>
      </w:pPr>
    </w:p>
    <w:p>
      <w:pPr>
        <w:ind w:left="10"/>
        <w:spacing w:after="0"/>
        <w:rPr>
          <w:sz w:val="20"/>
          <w:szCs w:val="20"/>
          <w:color w:val="auto"/>
        </w:rPr>
      </w:pPr>
      <w:r>
        <w:rPr>
          <w:rFonts w:ascii="Arial" w:cs="Arial" w:eastAsia="Arial" w:hAnsi="Arial"/>
          <w:sz w:val="15"/>
          <w:szCs w:val="15"/>
          <w:color w:val="auto"/>
        </w:rPr>
        <w:t>In 2013, the Company achieved the following strategic accomplishments:</w:t>
      </w:r>
    </w:p>
    <w:p>
      <w:pPr>
        <w:spacing w:after="0" w:line="64" w:lineRule="exact"/>
        <w:rPr>
          <w:sz w:val="20"/>
          <w:szCs w:val="20"/>
          <w:color w:val="auto"/>
        </w:rPr>
      </w:pPr>
    </w:p>
    <w:p>
      <w:pPr>
        <w:ind w:left="210" w:right="20" w:hanging="210"/>
        <w:spacing w:after="0" w:line="274" w:lineRule="auto"/>
        <w:tabs>
          <w:tab w:leader="none" w:pos="21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Acquired Zipcar, Inc., making us the global leader in car sharing, and Payless, a leading car rental company in the deep-value segment of the car rental market</w:t>
      </w:r>
    </w:p>
    <w:p>
      <w:pPr>
        <w:spacing w:after="0" w:line="37" w:lineRule="exact"/>
        <w:rPr>
          <w:rFonts w:ascii="Arial" w:cs="Arial" w:eastAsia="Arial" w:hAnsi="Arial"/>
          <w:sz w:val="14"/>
          <w:szCs w:val="14"/>
          <w:color w:val="auto"/>
        </w:rPr>
      </w:pPr>
    </w:p>
    <w:p>
      <w:pPr>
        <w:ind w:left="210" w:hanging="210"/>
        <w:spacing w:after="0"/>
        <w:tabs>
          <w:tab w:leader="none" w:pos="21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Implemented a stock repurchase program, with approximately 1.6 million shares repurchased in 2013</w:t>
      </w:r>
    </w:p>
    <w:p>
      <w:pPr>
        <w:spacing w:after="0" w:line="60" w:lineRule="exact"/>
        <w:rPr>
          <w:rFonts w:ascii="Arial" w:cs="Arial" w:eastAsia="Arial" w:hAnsi="Arial"/>
          <w:sz w:val="15"/>
          <w:szCs w:val="15"/>
          <w:color w:val="auto"/>
        </w:rPr>
      </w:pPr>
    </w:p>
    <w:p>
      <w:pPr>
        <w:ind w:left="210" w:right="20" w:hanging="210"/>
        <w:spacing w:after="0"/>
        <w:tabs>
          <w:tab w:leader="none" w:pos="21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Delivered significant cost savings through our Performance Excellence process-improvement</w:t>
      </w:r>
    </w:p>
    <w:p>
      <w:pPr>
        <w:spacing w:after="0" w:line="23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2013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98"/>
        <w:spacing w:after="0"/>
        <w:rPr>
          <w:sz w:val="20"/>
          <w:szCs w:val="20"/>
          <w:color w:val="auto"/>
        </w:rPr>
      </w:pPr>
      <w:r>
        <w:rPr>
          <w:rFonts w:ascii="Arial" w:cs="Arial" w:eastAsia="Arial" w:hAnsi="Arial"/>
          <w:sz w:val="15"/>
          <w:szCs w:val="15"/>
          <w:color w:val="auto"/>
        </w:rPr>
        <w:t>initiative and other productivity enhancement initiatives throughout the world</w:t>
      </w:r>
    </w:p>
    <w:p>
      <w:pPr>
        <w:spacing w:after="0" w:line="64" w:lineRule="exact"/>
        <w:rPr>
          <w:sz w:val="20"/>
          <w:szCs w:val="20"/>
          <w:color w:val="auto"/>
        </w:rPr>
      </w:pPr>
    </w:p>
    <w:p>
      <w:pPr>
        <w:ind w:left="198" w:right="120" w:hanging="198"/>
        <w:spacing w:after="0"/>
        <w:tabs>
          <w:tab w:leader="none" w:pos="198"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Invested in developing our brands, our technologies and the customer experience we offer</w:t>
      </w:r>
    </w:p>
    <w:p>
      <w:pPr>
        <w:spacing w:after="0" w:line="60" w:lineRule="exact"/>
        <w:rPr>
          <w:rFonts w:ascii="Arial" w:cs="Arial" w:eastAsia="Arial" w:hAnsi="Arial"/>
          <w:sz w:val="15"/>
          <w:szCs w:val="15"/>
          <w:color w:val="auto"/>
        </w:rPr>
      </w:pPr>
    </w:p>
    <w:p>
      <w:pPr>
        <w:ind w:left="198" w:right="200" w:hanging="198"/>
        <w:spacing w:after="0"/>
        <w:tabs>
          <w:tab w:leader="none" w:pos="198"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Realized incremental synergies from the integration of our European operations, including substantial growth of the Budget brand in Europe</w:t>
      </w:r>
    </w:p>
    <w:p>
      <w:pPr>
        <w:spacing w:after="0" w:line="60" w:lineRule="exact"/>
        <w:rPr>
          <w:rFonts w:ascii="Arial" w:cs="Arial" w:eastAsia="Arial" w:hAnsi="Arial"/>
          <w:sz w:val="15"/>
          <w:szCs w:val="15"/>
          <w:color w:val="auto"/>
        </w:rPr>
      </w:pPr>
    </w:p>
    <w:p>
      <w:pPr>
        <w:ind w:left="198" w:right="180" w:hanging="198"/>
        <w:spacing w:after="0"/>
        <w:tabs>
          <w:tab w:leader="none" w:pos="198"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Invested in our Brazilian licensee, which will allow us to increase the presence of our brands in this fast growing economy</w:t>
      </w:r>
    </w:p>
    <w:p>
      <w:pPr>
        <w:spacing w:after="0" w:line="488" w:lineRule="exact"/>
        <w:rPr>
          <w:sz w:val="20"/>
          <w:szCs w:val="20"/>
          <w:color w:val="auto"/>
        </w:rPr>
      </w:pPr>
    </w:p>
    <w:p>
      <w:pPr>
        <w:sectPr>
          <w:pgSz w:w="11900" w:h="16838" w:orient="portrait"/>
          <w:cols w:equalWidth="0" w:num="2">
            <w:col w:w="5390" w:space="462"/>
            <w:col w:w="5598"/>
          </w:cols>
          <w:pgMar w:left="230" w:top="407" w:right="219" w:bottom="1440" w:gutter="0" w:footer="0" w:header="0"/>
          <w:type w:val="continuous"/>
        </w:sectPr>
      </w:pPr>
    </w:p>
    <w:p>
      <w:pPr>
        <w:ind w:left="10"/>
        <w:spacing w:after="0" w:line="274" w:lineRule="auto"/>
        <w:rPr>
          <w:sz w:val="20"/>
          <w:szCs w:val="20"/>
          <w:color w:val="auto"/>
        </w:rPr>
      </w:pPr>
      <w:r>
        <w:rPr>
          <w:rFonts w:ascii="Arial" w:cs="Arial" w:eastAsia="Arial" w:hAnsi="Arial"/>
          <w:sz w:val="14"/>
          <w:szCs w:val="14"/>
          <w:color w:val="auto"/>
        </w:rPr>
        <w:t>Compensation paid to our CEO in 2013 was consistent with 2012 levels reflecting strong performance in both years. The Committee approved increases to components of compensation paid to our other NEOs, including salary, based on a number of factors, including expanded responsibilities assumed by such officers following recent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57785</wp:posOffset>
            </wp:positionV>
            <wp:extent cx="950595" cy="142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78"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19</w:t>
            </w:r>
          </w:p>
        </w:tc>
      </w:tr>
    </w:tbl>
    <w:p>
      <w:pPr>
        <w:sectPr>
          <w:pgSz w:w="11900" w:h="16838" w:orient="portrait"/>
          <w:cols w:equalWidth="0" w:num="1">
            <w:col w:w="11450"/>
          </w:cols>
          <w:pgMar w:left="230" w:top="407" w:right="219" w:bottom="1440" w:gutter="0" w:footer="0" w:header="0"/>
          <w:type w:val="continuous"/>
        </w:sectPr>
      </w:pPr>
    </w:p>
    <w:bookmarkStart w:id="25" w:name="page26"/>
    <w:bookmarkEnd w:id="25"/>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38" w:lineRule="exact"/>
        <w:rPr>
          <w:sz w:val="20"/>
          <w:szCs w:val="20"/>
          <w:color w:val="auto"/>
        </w:rPr>
      </w:pPr>
    </w:p>
    <w:p>
      <w:pPr>
        <w:ind w:left="10" w:right="160"/>
        <w:spacing w:after="0"/>
        <w:rPr>
          <w:sz w:val="20"/>
          <w:szCs w:val="20"/>
          <w:color w:val="auto"/>
        </w:rPr>
      </w:pPr>
      <w:r>
        <w:rPr>
          <w:rFonts w:ascii="Arial" w:cs="Arial" w:eastAsia="Arial" w:hAnsi="Arial"/>
          <w:sz w:val="15"/>
          <w:szCs w:val="15"/>
          <w:color w:val="auto"/>
        </w:rPr>
        <w:t>Aggregate compensation, as presented in the Summary Compensation Table below, for all such officers, however, decreased due to special three-year performance incentive awards granted to such officers in 2012. Such awards are viewed by the Committee as part of compensation for 2012, 2013 and 2014.</w:t>
      </w:r>
    </w:p>
    <w:p>
      <w:pPr>
        <w:spacing w:after="0" w:line="114"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Base Salaries</w:t>
      </w:r>
    </w:p>
    <w:p>
      <w:pPr>
        <w:spacing w:after="0" w:line="78" w:lineRule="exact"/>
        <w:rPr>
          <w:sz w:val="20"/>
          <w:szCs w:val="20"/>
          <w:color w:val="auto"/>
        </w:rPr>
      </w:pPr>
    </w:p>
    <w:p>
      <w:pPr>
        <w:jc w:val="both"/>
        <w:ind w:left="10" w:right="20"/>
        <w:spacing w:after="0" w:line="238" w:lineRule="auto"/>
        <w:rPr>
          <w:sz w:val="20"/>
          <w:szCs w:val="20"/>
          <w:color w:val="auto"/>
        </w:rPr>
      </w:pPr>
      <w:r>
        <w:rPr>
          <w:rFonts w:ascii="Arial" w:cs="Arial" w:eastAsia="Arial" w:hAnsi="Arial"/>
          <w:sz w:val="15"/>
          <w:szCs w:val="15"/>
          <w:color w:val="auto"/>
        </w:rPr>
        <w:t>In recognition of the Company’s increased size and complexity following the acquisition of Avis Europe in October 2011, and continued expansion with the acquisition of Zipcar in 2013, our CFO and Regional Presidents received base salary increases ranging from 4% to 17%. In making this determination, the Committee focused on ensuring that base salaries were competitive and fostered retention, and sought to recognize the expanded role and deep expertise of each such officer.</w:t>
      </w:r>
    </w:p>
    <w:p>
      <w:pPr>
        <w:spacing w:after="0" w:line="114"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Annual Incentives</w:t>
      </w:r>
    </w:p>
    <w:p>
      <w:pPr>
        <w:spacing w:after="0" w:line="78" w:lineRule="exact"/>
        <w:rPr>
          <w:sz w:val="20"/>
          <w:szCs w:val="20"/>
          <w:color w:val="auto"/>
        </w:rPr>
      </w:pPr>
    </w:p>
    <w:p>
      <w:pPr>
        <w:jc w:val="both"/>
        <w:ind w:left="10" w:right="80"/>
        <w:spacing w:after="0" w:line="263" w:lineRule="auto"/>
        <w:rPr>
          <w:sz w:val="20"/>
          <w:szCs w:val="20"/>
          <w:color w:val="auto"/>
        </w:rPr>
      </w:pPr>
      <w:r>
        <w:rPr>
          <w:rFonts w:ascii="Arial" w:cs="Arial" w:eastAsia="Arial" w:hAnsi="Arial"/>
          <w:sz w:val="14"/>
          <w:szCs w:val="14"/>
          <w:color w:val="auto"/>
        </w:rPr>
        <w:t>For the 2013 annual incentive program, the global Incentive Adjusted EBITDA goal was set, excluding contributions from significant acquisitions, at $738 million. This goal was modestly exceeded and annual incentive payments are reflective of such achievement with a global payout at 105% of target. We considered the 2013 goal to be appropriately challenging, despite it being below 2012 results, given the unusually robust used car market in 2012, which normalized in 2013, as we expected, resulting in higher fleet costs.</w:t>
      </w:r>
    </w:p>
    <w:p>
      <w:pPr>
        <w:spacing w:after="0" w:line="98"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Long-Term Incentives</w:t>
      </w:r>
    </w:p>
    <w:p>
      <w:pPr>
        <w:spacing w:after="0" w:line="78"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Excluding the special performance long-term incentives awarded in 2012 referred to above, target grant date long-term incentive values were essentially unchanged year-over-year. However, for our CFO and Regional Presidents, an above-target opportunity was included following a review of long-term incentive program designs used by peer companies. The performance metric for our CEO’s performance award was relative total shareholder return, consistent with 2012. The performance metric selected for our other NEO awards was a combination of Incentive Adjusted EBITDA and relative total shareholder return goals.</w:t>
      </w:r>
    </w:p>
    <w:p>
      <w:pPr>
        <w:spacing w:after="0" w:line="62" w:lineRule="exact"/>
        <w:rPr>
          <w:sz w:val="20"/>
          <w:szCs w:val="20"/>
          <w:color w:val="auto"/>
        </w:rPr>
      </w:pPr>
    </w:p>
    <w:p>
      <w:pPr>
        <w:ind w:left="10"/>
        <w:spacing w:after="0"/>
        <w:rPr>
          <w:sz w:val="20"/>
          <w:szCs w:val="20"/>
          <w:color w:val="auto"/>
        </w:rPr>
      </w:pPr>
      <w:r>
        <w:rPr>
          <w:rFonts w:ascii="Arial" w:cs="Arial" w:eastAsia="Arial" w:hAnsi="Arial"/>
          <w:sz w:val="15"/>
          <w:szCs w:val="15"/>
          <w:color w:val="auto"/>
        </w:rPr>
        <w:t>As in prior years, compensation* for our NEOs in 2013 was significantly performance-based, as illustrated below:</w:t>
      </w:r>
    </w:p>
    <w:p>
      <w:pPr>
        <w:spacing w:after="0" w:line="80" w:lineRule="exact"/>
        <w:rPr>
          <w:sz w:val="20"/>
          <w:szCs w:val="20"/>
          <w:color w:val="auto"/>
        </w:rPr>
      </w:pPr>
    </w:p>
    <w:p>
      <w:pPr>
        <w:ind w:left="2590"/>
        <w:spacing w:after="0"/>
        <w:tabs>
          <w:tab w:leader="none" w:pos="7810" w:val="left"/>
        </w:tabs>
        <w:rPr>
          <w:sz w:val="20"/>
          <w:szCs w:val="20"/>
          <w:color w:val="auto"/>
        </w:rPr>
      </w:pPr>
      <w:r>
        <w:rPr>
          <w:rFonts w:ascii="Arial" w:cs="Arial" w:eastAsia="Arial" w:hAnsi="Arial"/>
          <w:sz w:val="15"/>
          <w:szCs w:val="15"/>
          <w:b w:val="1"/>
          <w:bCs w:val="1"/>
          <w:color w:val="auto"/>
        </w:rPr>
        <w:t>CEO</w:t>
      </w:r>
      <w:r>
        <w:rPr>
          <w:sz w:val="20"/>
          <w:szCs w:val="20"/>
          <w:color w:val="auto"/>
        </w:rPr>
        <w:tab/>
      </w:r>
      <w:r>
        <w:rPr>
          <w:rFonts w:ascii="Arial" w:cs="Arial" w:eastAsia="Arial" w:hAnsi="Arial"/>
          <w:sz w:val="15"/>
          <w:szCs w:val="15"/>
          <w:b w:val="1"/>
          <w:bCs w:val="1"/>
          <w:color w:val="auto"/>
        </w:rPr>
        <w:t>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114935</wp:posOffset>
            </wp:positionV>
            <wp:extent cx="1858645" cy="12153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58645" cy="12153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114935</wp:posOffset>
            </wp:positionV>
            <wp:extent cx="1887220" cy="1158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7220" cy="115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 w:hanging="330"/>
        <w:spacing w:after="0" w:line="248" w:lineRule="auto"/>
        <w:tabs>
          <w:tab w:leader="none" w:pos="330" w:val="left"/>
        </w:tabs>
        <w:numPr>
          <w:ilvl w:val="0"/>
          <w:numId w:val="44"/>
        </w:numPr>
        <w:rPr>
          <w:rFonts w:ascii="Arial" w:cs="Arial" w:eastAsia="Arial" w:hAnsi="Arial"/>
          <w:sz w:val="11"/>
          <w:szCs w:val="11"/>
          <w:color w:val="auto"/>
        </w:rPr>
      </w:pPr>
      <w:r>
        <w:rPr>
          <w:rFonts w:ascii="Arial" w:cs="Arial" w:eastAsia="Arial" w:hAnsi="Arial"/>
          <w:sz w:val="11"/>
          <w:szCs w:val="11"/>
          <w:color w:val="auto"/>
        </w:rPr>
        <w:t>Pay mix reflects values as disclosed in the Summary Compensation Table, excluding Other Compensation, which constituted 5% or less of total compensation for all our NEOs other than our President, EMEA, who received expatriate and relocation benefits in 2013, including expatriate tax reimbursement. LTI is defined as long-term incentive.</w:t>
      </w:r>
    </w:p>
    <w:p>
      <w:pPr>
        <w:sectPr>
          <w:pgSz w:w="11900" w:h="16838" w:orient="portrait"/>
          <w:cols w:equalWidth="0" w:num="1">
            <w:col w:w="11390"/>
          </w:cols>
          <w:pgMar w:left="230" w:top="407" w:right="279" w:bottom="1440" w:gutter="0" w:footer="0" w:header="0"/>
        </w:sectPr>
      </w:pPr>
    </w:p>
    <w:p>
      <w:pPr>
        <w:spacing w:after="0" w:line="17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Compensation Practices</w:t>
      </w:r>
    </w:p>
    <w:p>
      <w:pPr>
        <w:spacing w:after="0" w:line="82"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believe that our compensation programs reflect sound practices, such as:</w:t>
      </w:r>
    </w:p>
    <w:p>
      <w:pPr>
        <w:spacing w:after="0" w:line="64" w:lineRule="exact"/>
        <w:rPr>
          <w:sz w:val="20"/>
          <w:szCs w:val="20"/>
          <w:color w:val="auto"/>
        </w:rPr>
      </w:pPr>
    </w:p>
    <w:p>
      <w:pPr>
        <w:ind w:left="210" w:hanging="210"/>
        <w:spacing w:after="0"/>
        <w:tabs>
          <w:tab w:leader="none" w:pos="2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executive compensation recoupment (or “clawback”) policy with respect to incentive compensation;</w:t>
      </w:r>
    </w:p>
    <w:p>
      <w:pPr>
        <w:spacing w:after="0" w:line="60" w:lineRule="exact"/>
        <w:rPr>
          <w:rFonts w:ascii="Arial" w:cs="Arial" w:eastAsia="Arial" w:hAnsi="Arial"/>
          <w:sz w:val="15"/>
          <w:szCs w:val="15"/>
          <w:color w:val="auto"/>
        </w:rPr>
      </w:pPr>
    </w:p>
    <w:p>
      <w:pPr>
        <w:ind w:left="210" w:right="480" w:hanging="210"/>
        <w:spacing w:after="0"/>
        <w:tabs>
          <w:tab w:leader="none" w:pos="2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executive stock ownership guidelines with significant share ownership requirements;</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20 </w:t>
      </w:r>
      <w:r>
        <w:rPr>
          <w:sz w:val="1"/>
          <w:szCs w:val="1"/>
          <w:color w:val="auto"/>
        </w:rPr>
        <w:drawing>
          <wp:inline distT="0" distB="0" distL="0" distR="0">
            <wp:extent cx="857885" cy="1143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98" w:right="620" w:hanging="198"/>
        <w:spacing w:after="0"/>
        <w:tabs>
          <w:tab w:leader="none" w:pos="198"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policy prohibiting executives from entering into speculative (or hedging) transactions in our securities;</w:t>
      </w:r>
    </w:p>
    <w:p>
      <w:pPr>
        <w:spacing w:after="0" w:line="60" w:lineRule="exact"/>
        <w:rPr>
          <w:rFonts w:ascii="Arial" w:cs="Arial" w:eastAsia="Arial" w:hAnsi="Arial"/>
          <w:sz w:val="15"/>
          <w:szCs w:val="15"/>
          <w:color w:val="auto"/>
        </w:rPr>
      </w:pPr>
    </w:p>
    <w:p>
      <w:pPr>
        <w:ind w:left="198" w:hanging="198"/>
        <w:spacing w:after="0"/>
        <w:tabs>
          <w:tab w:leader="none" w:pos="198"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 excise tax gross-up or single-trigger change-in-control provisions;</w:t>
      </w:r>
    </w:p>
    <w:p>
      <w:pPr>
        <w:spacing w:after="0" w:line="63" w:lineRule="exact"/>
        <w:rPr>
          <w:rFonts w:ascii="Arial" w:cs="Arial" w:eastAsia="Arial" w:hAnsi="Arial"/>
          <w:sz w:val="15"/>
          <w:szCs w:val="15"/>
          <w:color w:val="auto"/>
        </w:rPr>
      </w:pPr>
    </w:p>
    <w:p>
      <w:pPr>
        <w:ind w:left="198" w:right="220" w:hanging="198"/>
        <w:spacing w:after="0"/>
        <w:tabs>
          <w:tab w:leader="none" w:pos="198"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 tax gross-ups on executive perquisites except with respect to relocation and expatriate benefits; and</w:t>
      </w:r>
    </w:p>
    <w:p>
      <w:pPr>
        <w:sectPr>
          <w:pgSz w:w="11900" w:h="16838" w:orient="portrait"/>
          <w:cols w:equalWidth="0" w:num="2">
            <w:col w:w="5190" w:space="662"/>
            <w:col w:w="5538"/>
          </w:cols>
          <w:pgMar w:left="230" w:top="407" w:right="279" w:bottom="1440" w:gutter="0" w:footer="0" w:header="0"/>
          <w:type w:val="continuous"/>
        </w:sectPr>
      </w:pPr>
    </w:p>
    <w:bookmarkStart w:id="26" w:name="page27"/>
    <w:bookmarkEnd w:id="26"/>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10" w:right="480" w:hanging="210"/>
        <w:spacing w:after="0"/>
        <w:tabs>
          <w:tab w:leader="none" w:pos="2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relative total shareholder return performance metric included in our performance-based long-term incentive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280"/>
        <w:spacing w:after="0"/>
        <w:rPr>
          <w:sz w:val="20"/>
          <w:szCs w:val="20"/>
          <w:color w:val="auto"/>
        </w:rPr>
      </w:pPr>
      <w:r>
        <w:rPr>
          <w:rFonts w:ascii="Arial" w:cs="Arial" w:eastAsia="Arial" w:hAnsi="Arial"/>
          <w:sz w:val="15"/>
          <w:szCs w:val="15"/>
          <w:color w:val="auto"/>
        </w:rPr>
        <w:t>Mr. De Shon, Mr. Gartland and Mr. Siniscalchi are sometimes referred to herein as our “Regional Presidents.”</w:t>
      </w:r>
    </w:p>
    <w:p>
      <w:pPr>
        <w:spacing w:after="0" w:line="98" w:lineRule="exact"/>
        <w:rPr>
          <w:sz w:val="20"/>
          <w:szCs w:val="20"/>
          <w:color w:val="auto"/>
        </w:rPr>
      </w:pPr>
    </w:p>
    <w:p>
      <w:pPr>
        <w:sectPr>
          <w:pgSz w:w="11900" w:h="16838" w:orient="portrait"/>
          <w:cols w:equalWidth="0" w:num="2">
            <w:col w:w="5130" w:space="720"/>
            <w:col w:w="5600"/>
          </w:cols>
          <w:pgMar w:left="230" w:top="407" w:right="219" w:bottom="1440" w:gutter="0" w:footer="0" w:header="0"/>
        </w:sectPr>
      </w:pPr>
    </w:p>
    <w:p>
      <w:pPr>
        <w:ind w:left="10"/>
        <w:spacing w:after="0"/>
        <w:rPr>
          <w:sz w:val="20"/>
          <w:szCs w:val="20"/>
          <w:color w:val="auto"/>
        </w:rPr>
      </w:pPr>
      <w:r>
        <w:rPr>
          <w:rFonts w:ascii="Arial" w:cs="Arial" w:eastAsia="Arial" w:hAnsi="Arial"/>
          <w:sz w:val="18"/>
          <w:szCs w:val="18"/>
          <w:b w:val="1"/>
          <w:bCs w:val="1"/>
          <w:color w:val="auto"/>
        </w:rPr>
        <w:t>Our Named Executive Officers</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This discussion addresses executive compensation in 2013 for our named executive officers, who are:</w:t>
      </w:r>
    </w:p>
    <w:p>
      <w:pPr>
        <w:spacing w:after="0" w:line="60" w:lineRule="exact"/>
        <w:rPr>
          <w:sz w:val="20"/>
          <w:szCs w:val="20"/>
          <w:color w:val="auto"/>
        </w:rPr>
      </w:pPr>
    </w:p>
    <w:p>
      <w:pPr>
        <w:ind w:left="210" w:hanging="210"/>
        <w:spacing w:after="0"/>
        <w:tabs>
          <w:tab w:leader="none" w:pos="2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Ronald L. Nelson—Chairman and Chief Executive Officer (our “CEO”);</w:t>
      </w:r>
    </w:p>
    <w:p>
      <w:pPr>
        <w:spacing w:after="0" w:line="63" w:lineRule="exact"/>
        <w:rPr>
          <w:rFonts w:ascii="Arial" w:cs="Arial" w:eastAsia="Arial" w:hAnsi="Arial"/>
          <w:sz w:val="15"/>
          <w:szCs w:val="15"/>
          <w:color w:val="auto"/>
        </w:rPr>
      </w:pPr>
    </w:p>
    <w:p>
      <w:pPr>
        <w:ind w:left="210" w:right="80" w:hanging="210"/>
        <w:spacing w:after="0"/>
        <w:tabs>
          <w:tab w:leader="none" w:pos="2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David B. Wyshner—Senior Executive Vice President and Chief Financial Officer (our “CFO”);</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Thomas M. Gartland—President, North America (our “President, NA”);</w:t>
      </w:r>
    </w:p>
    <w:p>
      <w:pPr>
        <w:spacing w:after="0" w:line="63" w:lineRule="exact"/>
        <w:rPr>
          <w:rFonts w:ascii="Arial" w:cs="Arial" w:eastAsia="Arial" w:hAnsi="Arial"/>
          <w:sz w:val="15"/>
          <w:szCs w:val="15"/>
          <w:color w:val="auto"/>
        </w:rPr>
      </w:pPr>
    </w:p>
    <w:p>
      <w:pPr>
        <w:ind w:left="210" w:right="200" w:hanging="210"/>
        <w:spacing w:after="0"/>
        <w:tabs>
          <w:tab w:leader="none" w:pos="2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Larry D. De Shon—President, Europe, Middle East and Africa (our “President, EMEA”); and</w:t>
      </w:r>
    </w:p>
    <w:p>
      <w:pPr>
        <w:spacing w:after="0" w:line="60" w:lineRule="exact"/>
        <w:rPr>
          <w:rFonts w:ascii="Arial" w:cs="Arial" w:eastAsia="Arial" w:hAnsi="Arial"/>
          <w:sz w:val="15"/>
          <w:szCs w:val="15"/>
          <w:color w:val="auto"/>
        </w:rPr>
      </w:pPr>
    </w:p>
    <w:p>
      <w:pPr>
        <w:ind w:left="210" w:right="400" w:hanging="210"/>
        <w:spacing w:after="0"/>
        <w:tabs>
          <w:tab w:leader="none" w:pos="2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Patric T. Siniscalchi—President, Latin America/Asia-Pacific (our “President, LA/AP”).</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Compensation for our NEOs is typically comprised of the following components: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Philosophy, Components and Mix of Executive Compensation</w:t>
      </w:r>
    </w:p>
    <w:p>
      <w:pPr>
        <w:spacing w:after="0" w:line="93" w:lineRule="exact"/>
        <w:rPr>
          <w:sz w:val="20"/>
          <w:szCs w:val="20"/>
          <w:color w:val="auto"/>
        </w:rPr>
      </w:pPr>
    </w:p>
    <w:p>
      <w:pPr>
        <w:ind w:right="180"/>
        <w:spacing w:after="0" w:line="254" w:lineRule="auto"/>
        <w:rPr>
          <w:sz w:val="20"/>
          <w:szCs w:val="20"/>
          <w:color w:val="auto"/>
        </w:rPr>
      </w:pPr>
      <w:r>
        <w:rPr>
          <w:rFonts w:ascii="Arial" w:cs="Arial" w:eastAsia="Arial" w:hAnsi="Arial"/>
          <w:sz w:val="14"/>
          <w:szCs w:val="14"/>
          <w:color w:val="auto"/>
        </w:rPr>
        <w:t>“Pay for performance” continues to be a fundamental tenet of our compensation philosophy, which includes the core principles of rewarding the attainment of appropriately challenging performance goals and aligning our executives’ objectives with our stockholders’ interests. The Committee also believes that it is imperative to the success of our business to ensure that our executive-level positions are held by persons possessing outstanding capabilities, strong commitment to our business and a drive to add value. At the same time, the Committee seeks to be mindful of competitive practices and competing alternatives for management talent.</w:t>
      </w:r>
    </w:p>
    <w:p>
      <w:pPr>
        <w:spacing w:after="0" w:line="1264" w:lineRule="exact"/>
        <w:rPr>
          <w:sz w:val="20"/>
          <w:szCs w:val="20"/>
          <w:color w:val="auto"/>
        </w:rPr>
      </w:pPr>
    </w:p>
    <w:p>
      <w:pPr>
        <w:sectPr>
          <w:pgSz w:w="11900" w:h="16838" w:orient="portrait"/>
          <w:cols w:equalWidth="0" w:num="2">
            <w:col w:w="5450" w:space="400"/>
            <w:col w:w="5600"/>
          </w:cols>
          <w:pgMar w:left="230" w:top="407" w:right="219" w:bottom="1440" w:gutter="0" w:footer="0" w:header="0"/>
          <w:type w:val="continuous"/>
        </w:sectPr>
      </w:pPr>
    </w:p>
    <w:tbl>
      <w:tblPr>
        <w:tblLayout w:type="fixed"/>
        <w:tblInd w:w="10" w:type="dxa"/>
        <w:tblCellMar>
          <w:top w:w="0" w:type="dxa"/>
          <w:left w:w="0" w:type="dxa"/>
          <w:bottom w:w="0" w:type="dxa"/>
          <w:right w:w="0" w:type="dxa"/>
        </w:tblCellMar>
      </w:tblPr>
      <w:tr>
        <w:trPr>
          <w:trHeight w:val="138"/>
        </w:trPr>
        <w:tc>
          <w:tcPr>
            <w:tcW w:w="22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Component</w:t>
            </w:r>
          </w:p>
        </w:tc>
        <w:tc>
          <w:tcPr>
            <w:tcW w:w="894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Function and Objective</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D8D8D8"/>
          </w:tcPr>
          <w:p>
            <w:pPr>
              <w:spacing w:after="0" w:line="163" w:lineRule="exact"/>
              <w:rPr>
                <w:sz w:val="20"/>
                <w:szCs w:val="20"/>
                <w:color w:val="auto"/>
              </w:rPr>
            </w:pPr>
            <w:r>
              <w:rPr>
                <w:rFonts w:ascii="Arial" w:cs="Arial" w:eastAsia="Arial" w:hAnsi="Arial"/>
                <w:sz w:val="15"/>
                <w:szCs w:val="15"/>
                <w:i w:val="1"/>
                <w:iCs w:val="1"/>
                <w:color w:val="auto"/>
              </w:rPr>
              <w:t>Base Salary</w:t>
            </w:r>
          </w:p>
        </w:tc>
        <w:tc>
          <w:tcPr>
            <w:tcW w:w="8940" w:type="dxa"/>
            <w:vAlign w:val="bottom"/>
            <w:gridSpan w:val="2"/>
            <w:shd w:val="clear" w:color="auto" w:fill="D8D8D8"/>
          </w:tcPr>
          <w:p>
            <w:pPr>
              <w:ind w:left="400"/>
              <w:spacing w:after="0" w:line="163" w:lineRule="exact"/>
              <w:rPr>
                <w:sz w:val="20"/>
                <w:szCs w:val="20"/>
                <w:color w:val="auto"/>
              </w:rPr>
            </w:pPr>
            <w:r>
              <w:rPr>
                <w:rFonts w:ascii="Arial" w:cs="Arial" w:eastAsia="Arial" w:hAnsi="Arial"/>
                <w:sz w:val="15"/>
                <w:szCs w:val="15"/>
                <w:color w:val="auto"/>
              </w:rPr>
              <w:t>Each of our NEOs receives a base salary in the form of cash. Base salaries provide a fixed and competitive form of annual</w:t>
            </w:r>
          </w:p>
        </w:tc>
        <w:tc>
          <w:tcPr>
            <w:tcW w:w="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D8D8D8"/>
          </w:tcPr>
          <w:p>
            <w:pPr>
              <w:spacing w:after="0"/>
              <w:rPr>
                <w:sz w:val="14"/>
                <w:szCs w:val="14"/>
                <w:color w:val="auto"/>
              </w:rPr>
            </w:pPr>
          </w:p>
        </w:tc>
        <w:tc>
          <w:tcPr>
            <w:tcW w:w="8940" w:type="dxa"/>
            <w:vAlign w:val="bottom"/>
            <w:gridSpan w:val="2"/>
            <w:shd w:val="clear" w:color="auto" w:fill="D8D8D8"/>
          </w:tcPr>
          <w:p>
            <w:pPr>
              <w:ind w:left="400"/>
              <w:spacing w:after="0" w:line="169" w:lineRule="exact"/>
              <w:rPr>
                <w:sz w:val="20"/>
                <w:szCs w:val="20"/>
                <w:color w:val="auto"/>
              </w:rPr>
            </w:pPr>
            <w:r>
              <w:rPr>
                <w:rFonts w:ascii="Arial" w:cs="Arial" w:eastAsia="Arial" w:hAnsi="Arial"/>
                <w:sz w:val="15"/>
                <w:szCs w:val="15"/>
                <w:color w:val="auto"/>
                <w:w w:val="98"/>
              </w:rPr>
              <w:t>compensation for the performance of primary responsibilities at a level consistent with each executive’s experience and role. Base</w:t>
            </w:r>
          </w:p>
        </w:tc>
        <w:tc>
          <w:tcPr>
            <w:tcW w:w="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D8D8D8"/>
          </w:tcPr>
          <w:p>
            <w:pPr>
              <w:spacing w:after="0"/>
              <w:rPr>
                <w:sz w:val="14"/>
                <w:szCs w:val="14"/>
                <w:color w:val="auto"/>
              </w:rPr>
            </w:pPr>
          </w:p>
        </w:tc>
        <w:tc>
          <w:tcPr>
            <w:tcW w:w="8940" w:type="dxa"/>
            <w:vAlign w:val="bottom"/>
            <w:gridSpan w:val="2"/>
            <w:shd w:val="clear" w:color="auto" w:fill="D8D8D8"/>
          </w:tcPr>
          <w:p>
            <w:pPr>
              <w:ind w:left="400"/>
              <w:spacing w:after="0" w:line="167" w:lineRule="exact"/>
              <w:rPr>
                <w:sz w:val="20"/>
                <w:szCs w:val="20"/>
                <w:color w:val="auto"/>
              </w:rPr>
            </w:pPr>
            <w:r>
              <w:rPr>
                <w:rFonts w:ascii="Arial" w:cs="Arial" w:eastAsia="Arial" w:hAnsi="Arial"/>
                <w:sz w:val="15"/>
                <w:szCs w:val="15"/>
                <w:color w:val="auto"/>
              </w:rPr>
              <w:t>salaries are designed to provide competitive compensation to attract and retain exceptional executive talent.</w:t>
            </w:r>
          </w:p>
        </w:tc>
        <w:tc>
          <w:tcPr>
            <w:tcW w:w="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5"/>
                <w:szCs w:val="15"/>
                <w:i w:val="1"/>
                <w:iCs w:val="1"/>
                <w:color w:val="auto"/>
              </w:rPr>
              <w:t>Annual Incentive Awards</w:t>
            </w:r>
          </w:p>
        </w:tc>
        <w:tc>
          <w:tcPr>
            <w:tcW w:w="8940" w:type="dxa"/>
            <w:vAlign w:val="bottom"/>
            <w:gridSpan w:val="2"/>
          </w:tcPr>
          <w:p>
            <w:pPr>
              <w:ind w:left="400"/>
              <w:spacing w:after="0"/>
              <w:rPr>
                <w:sz w:val="20"/>
                <w:szCs w:val="20"/>
                <w:color w:val="auto"/>
              </w:rPr>
            </w:pPr>
            <w:r>
              <w:rPr>
                <w:rFonts w:ascii="Arial" w:cs="Arial" w:eastAsia="Arial" w:hAnsi="Arial"/>
                <w:sz w:val="15"/>
                <w:szCs w:val="15"/>
                <w:color w:val="auto"/>
                <w:w w:val="97"/>
              </w:rPr>
              <w:t>Each of our NEOs receives an annual performance-based cash incentive opportunity. Annual incentives reward our executives upon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8940" w:type="dxa"/>
            <w:vAlign w:val="bottom"/>
            <w:gridSpan w:val="2"/>
          </w:tcPr>
          <w:p>
            <w:pPr>
              <w:ind w:left="400"/>
              <w:spacing w:after="0" w:line="169" w:lineRule="exact"/>
              <w:rPr>
                <w:sz w:val="20"/>
                <w:szCs w:val="20"/>
                <w:color w:val="auto"/>
              </w:rPr>
            </w:pPr>
            <w:r>
              <w:rPr>
                <w:rFonts w:ascii="Arial" w:cs="Arial" w:eastAsia="Arial" w:hAnsi="Arial"/>
                <w:sz w:val="15"/>
                <w:szCs w:val="15"/>
                <w:color w:val="auto"/>
              </w:rPr>
              <w:t>achieving or exceeding specific annual performance goals using performance metrics approved by the Committee and that the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8940" w:type="dxa"/>
            <w:vAlign w:val="bottom"/>
            <w:gridSpan w:val="2"/>
          </w:tcPr>
          <w:p>
            <w:pPr>
              <w:ind w:left="400"/>
              <w:spacing w:after="0" w:line="167" w:lineRule="exact"/>
              <w:rPr>
                <w:sz w:val="20"/>
                <w:szCs w:val="20"/>
                <w:color w:val="auto"/>
              </w:rPr>
            </w:pPr>
            <w:r>
              <w:rPr>
                <w:rFonts w:ascii="Arial" w:cs="Arial" w:eastAsia="Arial" w:hAnsi="Arial"/>
                <w:sz w:val="15"/>
                <w:szCs w:val="15"/>
                <w:color w:val="auto"/>
              </w:rPr>
              <w:t>Company believes are appropriate measures of operational and financial performance.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D8D8D8"/>
          </w:tcPr>
          <w:p>
            <w:pPr>
              <w:spacing w:after="0"/>
              <w:rPr>
                <w:sz w:val="20"/>
                <w:szCs w:val="20"/>
                <w:color w:val="auto"/>
              </w:rPr>
            </w:pPr>
            <w:r>
              <w:rPr>
                <w:rFonts w:ascii="Arial" w:cs="Arial" w:eastAsia="Arial" w:hAnsi="Arial"/>
                <w:sz w:val="15"/>
                <w:szCs w:val="15"/>
                <w:i w:val="1"/>
                <w:iCs w:val="1"/>
                <w:color w:val="auto"/>
              </w:rPr>
              <w:t>Long-Term Incentive Awards</w:t>
            </w:r>
          </w:p>
        </w:tc>
        <w:tc>
          <w:tcPr>
            <w:tcW w:w="8940" w:type="dxa"/>
            <w:vAlign w:val="bottom"/>
            <w:gridSpan w:val="2"/>
            <w:shd w:val="clear" w:color="auto" w:fill="D8D8D8"/>
          </w:tcPr>
          <w:p>
            <w:pPr>
              <w:ind w:left="400"/>
              <w:spacing w:after="0"/>
              <w:rPr>
                <w:sz w:val="20"/>
                <w:szCs w:val="20"/>
                <w:color w:val="auto"/>
              </w:rPr>
            </w:pPr>
            <w:r>
              <w:rPr>
                <w:rFonts w:ascii="Arial" w:cs="Arial" w:eastAsia="Arial" w:hAnsi="Arial"/>
                <w:sz w:val="15"/>
                <w:szCs w:val="15"/>
                <w:color w:val="auto"/>
              </w:rPr>
              <w:t>Long-term incentive awards are designed to attract and retain a highly qualified executive team, align executive rewards with</w:t>
            </w:r>
          </w:p>
        </w:tc>
        <w:tc>
          <w:tcPr>
            <w:tcW w:w="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D8D8D8"/>
          </w:tcPr>
          <w:p>
            <w:pPr>
              <w:spacing w:after="0"/>
              <w:rPr>
                <w:sz w:val="14"/>
                <w:szCs w:val="14"/>
                <w:color w:val="auto"/>
              </w:rPr>
            </w:pPr>
          </w:p>
        </w:tc>
        <w:tc>
          <w:tcPr>
            <w:tcW w:w="9200" w:type="dxa"/>
            <w:vAlign w:val="bottom"/>
            <w:gridSpan w:val="3"/>
            <w:shd w:val="clear" w:color="auto" w:fill="D8D8D8"/>
          </w:tcPr>
          <w:p>
            <w:pPr>
              <w:ind w:left="400"/>
              <w:spacing w:after="0" w:line="169" w:lineRule="exact"/>
              <w:rPr>
                <w:sz w:val="20"/>
                <w:szCs w:val="20"/>
                <w:color w:val="auto"/>
              </w:rPr>
            </w:pPr>
            <w:r>
              <w:rPr>
                <w:rFonts w:ascii="Arial" w:cs="Arial" w:eastAsia="Arial" w:hAnsi="Arial"/>
                <w:sz w:val="15"/>
                <w:szCs w:val="15"/>
                <w:color w:val="auto"/>
                <w:w w:val="99"/>
              </w:rPr>
              <w:t>stockholder interests, provide an incentive for our executives to achieve appropriately challenging long-range performance goals, and</w:t>
            </w:r>
          </w:p>
        </w:tc>
        <w:tc>
          <w:tcPr>
            <w:tcW w:w="0" w:type="dxa"/>
            <w:vAlign w:val="bottom"/>
          </w:tcPr>
          <w:p>
            <w:pPr>
              <w:spacing w:after="0"/>
              <w:rPr>
                <w:sz w:val="1"/>
                <w:szCs w:val="1"/>
                <w:color w:val="auto"/>
              </w:rPr>
            </w:pPr>
          </w:p>
        </w:tc>
      </w:tr>
      <w:tr>
        <w:trPr>
          <w:trHeight w:val="166"/>
        </w:trPr>
        <w:tc>
          <w:tcPr>
            <w:tcW w:w="2240" w:type="dxa"/>
            <w:vAlign w:val="bottom"/>
            <w:shd w:val="clear" w:color="auto" w:fill="D8D8D8"/>
          </w:tcPr>
          <w:p>
            <w:pPr>
              <w:spacing w:after="0"/>
              <w:rPr>
                <w:sz w:val="14"/>
                <w:szCs w:val="14"/>
                <w:color w:val="auto"/>
              </w:rPr>
            </w:pPr>
          </w:p>
        </w:tc>
        <w:tc>
          <w:tcPr>
            <w:tcW w:w="8940" w:type="dxa"/>
            <w:vAlign w:val="bottom"/>
            <w:gridSpan w:val="2"/>
            <w:shd w:val="clear" w:color="auto" w:fill="D8D8D8"/>
          </w:tcPr>
          <w:p>
            <w:pPr>
              <w:ind w:left="400"/>
              <w:spacing w:after="0" w:line="167" w:lineRule="exact"/>
              <w:rPr>
                <w:sz w:val="20"/>
                <w:szCs w:val="20"/>
                <w:color w:val="auto"/>
              </w:rPr>
            </w:pPr>
            <w:r>
              <w:rPr>
                <w:rFonts w:ascii="Arial" w:cs="Arial" w:eastAsia="Arial" w:hAnsi="Arial"/>
                <w:sz w:val="15"/>
                <w:szCs w:val="15"/>
                <w:color w:val="auto"/>
              </w:rPr>
              <w:t>allow our executives to share in the value created for the Company’s stockholders.</w:t>
            </w:r>
          </w:p>
        </w:tc>
        <w:tc>
          <w:tcPr>
            <w:tcW w:w="2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5"/>
                <w:szCs w:val="15"/>
                <w:i w:val="1"/>
                <w:iCs w:val="1"/>
                <w:color w:val="auto"/>
              </w:rPr>
              <w:t>Other Compensation</w:t>
            </w:r>
          </w:p>
        </w:tc>
        <w:tc>
          <w:tcPr>
            <w:tcW w:w="8940" w:type="dxa"/>
            <w:vAlign w:val="bottom"/>
            <w:gridSpan w:val="2"/>
          </w:tcPr>
          <w:p>
            <w:pPr>
              <w:ind w:left="400"/>
              <w:spacing w:after="0"/>
              <w:rPr>
                <w:sz w:val="20"/>
                <w:szCs w:val="20"/>
                <w:color w:val="auto"/>
              </w:rPr>
            </w:pPr>
            <w:r>
              <w:rPr>
                <w:rFonts w:ascii="Arial" w:cs="Arial" w:eastAsia="Arial" w:hAnsi="Arial"/>
                <w:sz w:val="15"/>
                <w:szCs w:val="15"/>
                <w:color w:val="auto"/>
              </w:rPr>
              <w:t>Each of our NEOs receives certain health, life insurance, disability and retirement benefits, which are all part of our broad-based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8940" w:type="dxa"/>
            <w:vAlign w:val="bottom"/>
            <w:gridSpan w:val="2"/>
          </w:tcPr>
          <w:p>
            <w:pPr>
              <w:ind w:left="400"/>
              <w:spacing w:after="0" w:line="169" w:lineRule="exact"/>
              <w:rPr>
                <w:sz w:val="20"/>
                <w:szCs w:val="20"/>
                <w:color w:val="auto"/>
              </w:rPr>
            </w:pPr>
            <w:r>
              <w:rPr>
                <w:rFonts w:ascii="Arial" w:cs="Arial" w:eastAsia="Arial" w:hAnsi="Arial"/>
                <w:sz w:val="15"/>
                <w:szCs w:val="15"/>
                <w:color w:val="auto"/>
              </w:rPr>
              <w:t>employee benefits program. Retirement benefits for NEOs (other than our President, LA/AP) are limited to (i) deferrals under the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9200" w:type="dxa"/>
            <w:vAlign w:val="bottom"/>
            <w:gridSpan w:val="3"/>
          </w:tcPr>
          <w:p>
            <w:pPr>
              <w:ind w:left="400"/>
              <w:spacing w:after="0" w:line="169" w:lineRule="exact"/>
              <w:rPr>
                <w:sz w:val="20"/>
                <w:szCs w:val="20"/>
                <w:color w:val="auto"/>
              </w:rPr>
            </w:pPr>
            <w:r>
              <w:rPr>
                <w:rFonts w:ascii="Arial" w:cs="Arial" w:eastAsia="Arial" w:hAnsi="Arial"/>
                <w:sz w:val="15"/>
                <w:szCs w:val="15"/>
                <w:color w:val="auto"/>
                <w:w w:val="97"/>
              </w:rPr>
              <w:t>Company’s deferred compensation plan for executives, which the Company matches up to a maximum of 6% of base salary and annual</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8940" w:type="dxa"/>
            <w:vAlign w:val="bottom"/>
            <w:gridSpan w:val="2"/>
          </w:tcPr>
          <w:p>
            <w:pPr>
              <w:ind w:left="400"/>
              <w:spacing w:after="0" w:line="169" w:lineRule="exact"/>
              <w:rPr>
                <w:sz w:val="20"/>
                <w:szCs w:val="20"/>
                <w:color w:val="auto"/>
              </w:rPr>
            </w:pPr>
            <w:r>
              <w:rPr>
                <w:rFonts w:ascii="Arial" w:cs="Arial" w:eastAsia="Arial" w:hAnsi="Arial"/>
                <w:sz w:val="15"/>
                <w:szCs w:val="15"/>
                <w:color w:val="auto"/>
                <w:w w:val="97"/>
              </w:rPr>
              <w:t>incentive, and/or (ii) participation in our 401(k) plan. Other executive benefits and perquisites include auto use and financial planning</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Borders>
              <w:bottom w:val="single" w:sz="8" w:color="auto"/>
            </w:tcBorders>
          </w:tcPr>
          <w:p>
            <w:pPr>
              <w:spacing w:after="0"/>
              <w:rPr>
                <w:sz w:val="14"/>
                <w:szCs w:val="14"/>
                <w:color w:val="auto"/>
              </w:rPr>
            </w:pPr>
          </w:p>
        </w:tc>
        <w:tc>
          <w:tcPr>
            <w:tcW w:w="8940" w:type="dxa"/>
            <w:vAlign w:val="bottom"/>
            <w:tcBorders>
              <w:bottom w:val="single" w:sz="8" w:color="auto"/>
            </w:tcBorders>
            <w:gridSpan w:val="2"/>
          </w:tcPr>
          <w:p>
            <w:pPr>
              <w:ind w:left="400"/>
              <w:spacing w:after="0" w:line="167" w:lineRule="exact"/>
              <w:rPr>
                <w:sz w:val="20"/>
                <w:szCs w:val="20"/>
                <w:color w:val="auto"/>
              </w:rPr>
            </w:pPr>
            <w:r>
              <w:rPr>
                <w:rFonts w:ascii="Arial" w:cs="Arial" w:eastAsia="Arial" w:hAnsi="Arial"/>
                <w:sz w:val="15"/>
                <w:szCs w:val="15"/>
                <w:color w:val="auto"/>
              </w:rPr>
              <w:t>services. Certain of our NEOs also are provided with limited personal use of Company aircraft services.</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740" w:type="dxa"/>
            <w:vAlign w:val="bottom"/>
            <w:vMerge w:val="restart"/>
          </w:tcPr>
          <w:p>
            <w:pPr>
              <w:ind w:left="40"/>
              <w:spacing w:after="0"/>
              <w:rPr>
                <w:sz w:val="20"/>
                <w:szCs w:val="20"/>
                <w:color w:val="auto"/>
              </w:rPr>
            </w:pPr>
            <w:r>
              <w:rPr>
                <w:rFonts w:ascii="Arial" w:cs="Arial" w:eastAsia="Arial" w:hAnsi="Arial"/>
                <w:sz w:val="15"/>
                <w:szCs w:val="15"/>
                <w:i w:val="1"/>
                <w:iCs w:val="1"/>
                <w:color w:val="auto"/>
              </w:rPr>
              <w:t>2014 Proxy Statement</w:t>
            </w:r>
          </w:p>
        </w:tc>
        <w:tc>
          <w:tcPr>
            <w:tcW w:w="26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w w:val="83"/>
              </w:rPr>
              <w:t>21</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7200" w:type="dxa"/>
            <w:vAlign w:val="bottom"/>
            <w:tcBorders>
              <w:right w:val="single" w:sz="8" w:color="auto"/>
            </w:tcBorders>
          </w:tcPr>
          <w:p>
            <w:pPr>
              <w:spacing w:after="0"/>
              <w:rPr>
                <w:sz w:val="17"/>
                <w:szCs w:val="17"/>
                <w:color w:val="auto"/>
              </w:rPr>
            </w:pPr>
          </w:p>
        </w:tc>
        <w:tc>
          <w:tcPr>
            <w:tcW w:w="1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720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-142240</wp:posOffset>
            </wp:positionV>
            <wp:extent cx="857885"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type w:val="continuous"/>
        </w:sectPr>
      </w:pPr>
    </w:p>
    <w:bookmarkStart w:id="27" w:name="page28"/>
    <w:bookmarkEnd w:id="2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2013 Pay Decisions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2013 Compensation for our CEO</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Consistent with 2012, for 2013, the Committee maintained for our CEO an annual base salary of $1.15 million and a target payout of 150% of base salary for the annual performance-based incentive, as further described under “Annual Incentive Program for all NEOs.” The Committee also awarded our CEO a long-term incentive opportunity, with a grant date target value of $3.5 million and with 70% of the award subject to the attainment of performance goals based on the relative total shareholder return of our Company’s stock compared to that of the companies comprising the Russell 2000 Index (“Relative TSR”). The 2013 long-term incentive was consistent with the long-term incentive awarded to our CEO in 2012 and was determined by the Committee in light of the Company’s strong 2012 performance.</w:t>
      </w:r>
    </w:p>
    <w:p>
      <w:pPr>
        <w:spacing w:after="0" w:line="5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Committee determined that a long-term incentive comprised of a mix of predominantly performance-based restricted stock (“PSUs”) and cash units (“PCUs”) was appropriate, considering our pay-for-performance philosophy. Cash units, which are payable in cash in an amount equal to the number of units that vest multiplied by the 90-day average closing price of our shares prior to the vesting date, were included as a component to limit the dilutive effect of the award.</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The target award consists of 57,783 PSUs and 57,783 PCUs, which are scheduled to vest at the end of the three-year performance period ending on January 23, 2016, based on the achievement of Relative TSR goals, using the average closing prices for the 90-day periods prior to the beginning and end of the performance period. The award also includes 24,764 time-based restricted stock units (“RSUs”) and 24,764 cash units (“RCUs”), which are scheduled to be settled on January 23, 2016. Each award component generally is also subject to continued employment through January 27, 2015 to coincide with the current termination date set forth in our agreement with our CEO. The Committee set a three-year performance period for the PSUs and PCUs, consistent with what the Committee believed to be peer and general market practices, understanding that payment of the RSUs and RCUs may not be made until one year following the end of the CEO’s employment.</w:t>
      </w:r>
    </w:p>
    <w:p>
      <w:pPr>
        <w:spacing w:after="0" w:line="57" w:lineRule="exact"/>
        <w:rPr>
          <w:sz w:val="20"/>
          <w:szCs w:val="20"/>
          <w:color w:val="auto"/>
        </w:rPr>
      </w:pPr>
    </w:p>
    <w:p>
      <w:pPr>
        <w:ind w:right="60"/>
        <w:spacing w:after="0"/>
        <w:rPr>
          <w:sz w:val="20"/>
          <w:szCs w:val="20"/>
          <w:color w:val="auto"/>
        </w:rPr>
      </w:pPr>
      <w:r>
        <w:rPr>
          <w:rFonts w:ascii="Arial" w:cs="Arial" w:eastAsia="Arial" w:hAnsi="Arial"/>
          <w:sz w:val="15"/>
          <w:szCs w:val="15"/>
          <w:color w:val="auto"/>
        </w:rPr>
        <w:t>The Committee selected Relative TSR as the performance metric as it believed that such metric would align our CEO’s compensation with stockholders’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22 </w:t>
      </w:r>
      <w:r>
        <w:rPr>
          <w:sz w:val="1"/>
          <w:szCs w:val="1"/>
          <w:color w:val="auto"/>
        </w:rPr>
        <w:drawing>
          <wp:inline distT="0" distB="0" distL="0" distR="0">
            <wp:extent cx="857885" cy="1143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focus on total shareholder return and was considered an emerging best practice in the compensation arena. The performance-based units vest at 25% to 150% of the target number of units granted based on the achievement of the following performance goals (with straight-line interpolation used for Relative TSR achieved between the specified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-1170940</wp:posOffset>
            </wp:positionV>
            <wp:extent cx="73088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jc w:val="center"/>
              <w:ind w:right="114"/>
              <w:spacing w:after="0"/>
              <w:rPr>
                <w:sz w:val="20"/>
                <w:szCs w:val="20"/>
                <w:color w:val="auto"/>
              </w:rPr>
            </w:pPr>
            <w:r>
              <w:rPr>
                <w:rFonts w:ascii="Arial" w:cs="Arial" w:eastAsia="Arial" w:hAnsi="Arial"/>
                <w:sz w:val="11"/>
                <w:szCs w:val="11"/>
                <w:b w:val="1"/>
                <w:bCs w:val="1"/>
                <w:color w:val="auto"/>
              </w:rPr>
              <w:t>Relative TSR (compared to</w:t>
            </w:r>
          </w:p>
        </w:tc>
        <w:tc>
          <w:tcPr>
            <w:tcW w:w="2520" w:type="dxa"/>
            <w:vAlign w:val="bottom"/>
          </w:tcPr>
          <w:p>
            <w:pPr>
              <w:spacing w:after="0"/>
              <w:rPr>
                <w:sz w:val="10"/>
                <w:szCs w:val="10"/>
                <w:color w:val="auto"/>
              </w:rPr>
            </w:pPr>
          </w:p>
        </w:tc>
      </w:tr>
      <w:tr>
        <w:trPr>
          <w:trHeight w:val="124"/>
        </w:trPr>
        <w:tc>
          <w:tcPr>
            <w:tcW w:w="2980" w:type="dxa"/>
            <w:vAlign w:val="bottom"/>
          </w:tcPr>
          <w:p>
            <w:pPr>
              <w:jc w:val="center"/>
              <w:ind w:right="114"/>
              <w:spacing w:after="0" w:line="124" w:lineRule="exact"/>
              <w:rPr>
                <w:sz w:val="20"/>
                <w:szCs w:val="20"/>
                <w:color w:val="auto"/>
              </w:rPr>
            </w:pPr>
            <w:r>
              <w:rPr>
                <w:rFonts w:ascii="Arial" w:cs="Arial" w:eastAsia="Arial" w:hAnsi="Arial"/>
                <w:sz w:val="11"/>
                <w:szCs w:val="11"/>
                <w:b w:val="1"/>
                <w:bCs w:val="1"/>
                <w:color w:val="auto"/>
              </w:rPr>
              <w:t>the Russell 2000 Index)</w:t>
            </w:r>
          </w:p>
        </w:tc>
        <w:tc>
          <w:tcPr>
            <w:tcW w:w="25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Achievement Level</w:t>
            </w:r>
          </w:p>
        </w:tc>
      </w:tr>
      <w:tr>
        <w:trPr>
          <w:trHeight w:val="124"/>
        </w:trPr>
        <w:tc>
          <w:tcPr>
            <w:tcW w:w="2980" w:type="dxa"/>
            <w:vAlign w:val="bottom"/>
          </w:tcPr>
          <w:p>
            <w:pPr>
              <w:jc w:val="center"/>
              <w:ind w:right="114"/>
              <w:spacing w:after="0" w:line="124" w:lineRule="exact"/>
              <w:rPr>
                <w:sz w:val="20"/>
                <w:szCs w:val="20"/>
                <w:color w:val="auto"/>
              </w:rPr>
            </w:pPr>
            <w:r>
              <w:rPr>
                <w:rFonts w:ascii="Arial" w:cs="Arial" w:eastAsia="Arial" w:hAnsi="Arial"/>
                <w:sz w:val="11"/>
                <w:szCs w:val="11"/>
                <w:b w:val="1"/>
                <w:bCs w:val="1"/>
                <w:color w:val="auto"/>
              </w:rPr>
              <w:t>over Three-Year</w:t>
            </w:r>
          </w:p>
        </w:tc>
        <w:tc>
          <w:tcPr>
            <w:tcW w:w="25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(as a % of target</w:t>
            </w:r>
          </w:p>
        </w:tc>
      </w:tr>
      <w:tr>
        <w:trPr>
          <w:trHeight w:val="149"/>
        </w:trPr>
        <w:tc>
          <w:tcPr>
            <w:tcW w:w="2980" w:type="dxa"/>
            <w:vAlign w:val="bottom"/>
            <w:tcBorders>
              <w:bottom w:val="single" w:sz="8" w:color="auto"/>
            </w:tcBorders>
          </w:tcPr>
          <w:p>
            <w:pPr>
              <w:jc w:val="center"/>
              <w:ind w:right="94"/>
              <w:spacing w:after="0"/>
              <w:rPr>
                <w:sz w:val="20"/>
                <w:szCs w:val="20"/>
                <w:color w:val="auto"/>
              </w:rPr>
            </w:pPr>
            <w:r>
              <w:rPr>
                <w:rFonts w:ascii="Arial" w:cs="Arial" w:eastAsia="Arial" w:hAnsi="Arial"/>
                <w:sz w:val="11"/>
                <w:szCs w:val="11"/>
                <w:b w:val="1"/>
                <w:bCs w:val="1"/>
                <w:color w:val="auto"/>
              </w:rPr>
              <w:t>Measurement Period</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units awarded)</w:t>
            </w:r>
          </w:p>
        </w:tc>
      </w:tr>
      <w:tr>
        <w:trPr>
          <w:trHeight w:val="161"/>
        </w:trPr>
        <w:tc>
          <w:tcPr>
            <w:tcW w:w="2980" w:type="dxa"/>
            <w:vAlign w:val="bottom"/>
            <w:shd w:val="clear" w:color="auto" w:fill="D8D8D8"/>
          </w:tcPr>
          <w:p>
            <w:pPr>
              <w:jc w:val="center"/>
              <w:ind w:right="94"/>
              <w:spacing w:after="0" w:line="161" w:lineRule="exact"/>
              <w:rPr>
                <w:sz w:val="20"/>
                <w:szCs w:val="20"/>
                <w:color w:val="auto"/>
              </w:rPr>
            </w:pPr>
            <w:r>
              <w:rPr>
                <w:rFonts w:ascii="Arial" w:cs="Arial" w:eastAsia="Arial" w:hAnsi="Arial"/>
                <w:sz w:val="15"/>
                <w:szCs w:val="15"/>
                <w:color w:val="auto"/>
                <w:w w:val="98"/>
              </w:rPr>
              <w:t>75</w:t>
            </w:r>
            <w:r>
              <w:rPr>
                <w:rFonts w:ascii="Arial" w:cs="Arial" w:eastAsia="Arial" w:hAnsi="Arial"/>
                <w:sz w:val="9"/>
                <w:szCs w:val="9"/>
                <w:color w:val="auto"/>
                <w:w w:val="98"/>
              </w:rPr>
              <w:t>th</w:t>
            </w:r>
            <w:r>
              <w:rPr>
                <w:rFonts w:ascii="Arial" w:cs="Arial" w:eastAsia="Arial" w:hAnsi="Arial"/>
                <w:sz w:val="15"/>
                <w:szCs w:val="15"/>
                <w:color w:val="auto"/>
                <w:w w:val="98"/>
              </w:rPr>
              <w:t xml:space="preserve"> Percentile or Higher</w:t>
            </w:r>
          </w:p>
        </w:tc>
        <w:tc>
          <w:tcPr>
            <w:tcW w:w="2520" w:type="dxa"/>
            <w:vAlign w:val="bottom"/>
            <w:shd w:val="clear" w:color="auto" w:fill="D8D8D8"/>
          </w:tcPr>
          <w:p>
            <w:pPr>
              <w:jc w:val="center"/>
              <w:spacing w:after="0" w:line="161" w:lineRule="exact"/>
              <w:rPr>
                <w:sz w:val="20"/>
                <w:szCs w:val="20"/>
                <w:color w:val="auto"/>
              </w:rPr>
            </w:pPr>
            <w:r>
              <w:rPr>
                <w:rFonts w:ascii="Arial" w:cs="Arial" w:eastAsia="Arial" w:hAnsi="Arial"/>
                <w:sz w:val="15"/>
                <w:szCs w:val="15"/>
                <w:color w:val="auto"/>
                <w:w w:val="98"/>
              </w:rPr>
              <w:t>150%</w:t>
            </w:r>
          </w:p>
        </w:tc>
      </w:tr>
      <w:tr>
        <w:trPr>
          <w:trHeight w:val="169"/>
        </w:trPr>
        <w:tc>
          <w:tcPr>
            <w:tcW w:w="2980" w:type="dxa"/>
            <w:vAlign w:val="bottom"/>
          </w:tcPr>
          <w:p>
            <w:pPr>
              <w:jc w:val="center"/>
              <w:ind w:right="114"/>
              <w:spacing w:after="0" w:line="169" w:lineRule="exact"/>
              <w:rPr>
                <w:sz w:val="20"/>
                <w:szCs w:val="20"/>
                <w:color w:val="auto"/>
              </w:rPr>
            </w:pPr>
            <w:r>
              <w:rPr>
                <w:rFonts w:ascii="Arial" w:cs="Arial" w:eastAsia="Arial" w:hAnsi="Arial"/>
                <w:sz w:val="15"/>
                <w:szCs w:val="15"/>
                <w:color w:val="auto"/>
                <w:w w:val="97"/>
              </w:rPr>
              <w:t>Median of Index</w:t>
            </w:r>
          </w:p>
        </w:tc>
        <w:tc>
          <w:tcPr>
            <w:tcW w:w="2520" w:type="dxa"/>
            <w:vAlign w:val="bottom"/>
          </w:tcPr>
          <w:p>
            <w:pPr>
              <w:jc w:val="center"/>
              <w:spacing w:after="0" w:line="169" w:lineRule="exact"/>
              <w:rPr>
                <w:sz w:val="20"/>
                <w:szCs w:val="20"/>
                <w:color w:val="auto"/>
              </w:rPr>
            </w:pPr>
            <w:r>
              <w:rPr>
                <w:rFonts w:ascii="Arial" w:cs="Arial" w:eastAsia="Arial" w:hAnsi="Arial"/>
                <w:sz w:val="15"/>
                <w:szCs w:val="15"/>
                <w:color w:val="auto"/>
                <w:w w:val="98"/>
              </w:rPr>
              <w:t>100%</w:t>
            </w:r>
          </w:p>
        </w:tc>
      </w:tr>
      <w:tr>
        <w:trPr>
          <w:trHeight w:val="169"/>
        </w:trPr>
        <w:tc>
          <w:tcPr>
            <w:tcW w:w="2980" w:type="dxa"/>
            <w:vAlign w:val="bottom"/>
            <w:shd w:val="clear" w:color="auto" w:fill="D8D8D8"/>
          </w:tcPr>
          <w:p>
            <w:pPr>
              <w:jc w:val="center"/>
              <w:ind w:right="94"/>
              <w:spacing w:after="0" w:line="169" w:lineRule="exact"/>
              <w:rPr>
                <w:sz w:val="20"/>
                <w:szCs w:val="20"/>
                <w:color w:val="auto"/>
              </w:rPr>
            </w:pPr>
            <w:r>
              <w:rPr>
                <w:rFonts w:ascii="Arial" w:cs="Arial" w:eastAsia="Arial" w:hAnsi="Arial"/>
                <w:sz w:val="15"/>
                <w:szCs w:val="15"/>
                <w:color w:val="auto"/>
                <w:w w:val="98"/>
              </w:rPr>
              <w:t>35</w:t>
            </w:r>
            <w:r>
              <w:rPr>
                <w:rFonts w:ascii="Arial" w:cs="Arial" w:eastAsia="Arial" w:hAnsi="Arial"/>
                <w:sz w:val="9"/>
                <w:szCs w:val="9"/>
                <w:color w:val="auto"/>
                <w:w w:val="98"/>
              </w:rPr>
              <w:t>th</w:t>
            </w:r>
            <w:r>
              <w:rPr>
                <w:rFonts w:ascii="Arial" w:cs="Arial" w:eastAsia="Arial" w:hAnsi="Arial"/>
                <w:sz w:val="15"/>
                <w:szCs w:val="15"/>
                <w:color w:val="auto"/>
                <w:w w:val="98"/>
              </w:rPr>
              <w:t xml:space="preserve"> Percentile</w:t>
            </w:r>
          </w:p>
        </w:tc>
        <w:tc>
          <w:tcPr>
            <w:tcW w:w="252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50%</w:t>
            </w:r>
          </w:p>
        </w:tc>
      </w:tr>
      <w:tr>
        <w:trPr>
          <w:trHeight w:val="169"/>
        </w:trPr>
        <w:tc>
          <w:tcPr>
            <w:tcW w:w="2980" w:type="dxa"/>
            <w:vAlign w:val="bottom"/>
          </w:tcPr>
          <w:p>
            <w:pPr>
              <w:jc w:val="center"/>
              <w:ind w:right="94"/>
              <w:spacing w:after="0" w:line="169" w:lineRule="exact"/>
              <w:rPr>
                <w:sz w:val="20"/>
                <w:szCs w:val="20"/>
                <w:color w:val="auto"/>
              </w:rPr>
            </w:pPr>
            <w:r>
              <w:rPr>
                <w:rFonts w:ascii="Arial" w:cs="Arial" w:eastAsia="Arial" w:hAnsi="Arial"/>
                <w:sz w:val="15"/>
                <w:szCs w:val="15"/>
                <w:color w:val="auto"/>
                <w:w w:val="98"/>
              </w:rPr>
              <w:t>25</w:t>
            </w:r>
            <w:r>
              <w:rPr>
                <w:rFonts w:ascii="Arial" w:cs="Arial" w:eastAsia="Arial" w:hAnsi="Arial"/>
                <w:sz w:val="9"/>
                <w:szCs w:val="9"/>
                <w:color w:val="auto"/>
                <w:w w:val="98"/>
              </w:rPr>
              <w:t>th</w:t>
            </w:r>
            <w:r>
              <w:rPr>
                <w:rFonts w:ascii="Arial" w:cs="Arial" w:eastAsia="Arial" w:hAnsi="Arial"/>
                <w:sz w:val="15"/>
                <w:szCs w:val="15"/>
                <w:color w:val="auto"/>
                <w:w w:val="98"/>
              </w:rPr>
              <w:t xml:space="preserve"> Percentile</w:t>
            </w:r>
          </w:p>
        </w:tc>
        <w:tc>
          <w:tcPr>
            <w:tcW w:w="2520" w:type="dxa"/>
            <w:vAlign w:val="bottom"/>
          </w:tcPr>
          <w:p>
            <w:pPr>
              <w:jc w:val="center"/>
              <w:spacing w:after="0" w:line="169" w:lineRule="exact"/>
              <w:rPr>
                <w:sz w:val="20"/>
                <w:szCs w:val="20"/>
                <w:color w:val="auto"/>
              </w:rPr>
            </w:pPr>
            <w:r>
              <w:rPr>
                <w:rFonts w:ascii="Arial" w:cs="Arial" w:eastAsia="Arial" w:hAnsi="Arial"/>
                <w:sz w:val="15"/>
                <w:szCs w:val="15"/>
                <w:color w:val="auto"/>
                <w:w w:val="93"/>
              </w:rPr>
              <w:t>25%</w:t>
            </w:r>
          </w:p>
        </w:tc>
      </w:tr>
      <w:tr>
        <w:trPr>
          <w:trHeight w:val="169"/>
        </w:trPr>
        <w:tc>
          <w:tcPr>
            <w:tcW w:w="2980" w:type="dxa"/>
            <w:vAlign w:val="bottom"/>
            <w:tcBorders>
              <w:bottom w:val="single" w:sz="8" w:color="auto"/>
            </w:tcBorders>
            <w:shd w:val="clear" w:color="auto" w:fill="D8D8D8"/>
          </w:tcPr>
          <w:p>
            <w:pPr>
              <w:jc w:val="center"/>
              <w:ind w:right="94"/>
              <w:spacing w:after="0" w:line="169" w:lineRule="exact"/>
              <w:rPr>
                <w:sz w:val="20"/>
                <w:szCs w:val="20"/>
                <w:color w:val="auto"/>
              </w:rPr>
            </w:pPr>
            <w:r>
              <w:rPr>
                <w:rFonts w:ascii="Arial" w:cs="Arial" w:eastAsia="Arial" w:hAnsi="Arial"/>
                <w:sz w:val="15"/>
                <w:szCs w:val="15"/>
                <w:color w:val="auto"/>
                <w:w w:val="98"/>
              </w:rPr>
              <w:t>&lt;25</w:t>
            </w:r>
            <w:r>
              <w:rPr>
                <w:rFonts w:ascii="Arial" w:cs="Arial" w:eastAsia="Arial" w:hAnsi="Arial"/>
                <w:sz w:val="9"/>
                <w:szCs w:val="9"/>
                <w:color w:val="auto"/>
                <w:w w:val="98"/>
              </w:rPr>
              <w:t>th</w:t>
            </w:r>
            <w:r>
              <w:rPr>
                <w:rFonts w:ascii="Arial" w:cs="Arial" w:eastAsia="Arial" w:hAnsi="Arial"/>
                <w:sz w:val="15"/>
                <w:szCs w:val="15"/>
                <w:color w:val="auto"/>
                <w:w w:val="98"/>
              </w:rPr>
              <w:t xml:space="preserve"> Percentile</w:t>
            </w:r>
          </w:p>
        </w:tc>
        <w:tc>
          <w:tcPr>
            <w:tcW w:w="2520" w:type="dxa"/>
            <w:vAlign w:val="bottom"/>
            <w:tcBorders>
              <w:bottom w:val="single" w:sz="8" w:color="auto"/>
            </w:tcBorders>
            <w:shd w:val="clear" w:color="auto" w:fill="D8D8D8"/>
          </w:tcPr>
          <w:p>
            <w:pPr>
              <w:jc w:val="center"/>
              <w:spacing w:after="0" w:line="169" w:lineRule="exact"/>
              <w:rPr>
                <w:sz w:val="20"/>
                <w:szCs w:val="20"/>
                <w:color w:val="auto"/>
              </w:rPr>
            </w:pPr>
            <w:r>
              <w:rPr>
                <w:rFonts w:ascii="Arial" w:cs="Arial" w:eastAsia="Arial" w:hAnsi="Arial"/>
                <w:sz w:val="15"/>
                <w:szCs w:val="15"/>
                <w:color w:val="auto"/>
                <w:w w:val="92"/>
              </w:rPr>
              <w:t>0%</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Salaries for our CFO and Regional Presidents</w:t>
      </w:r>
    </w:p>
    <w:p>
      <w:pPr>
        <w:spacing w:after="0" w:line="82" w:lineRule="exact"/>
        <w:rPr>
          <w:sz w:val="20"/>
          <w:szCs w:val="20"/>
          <w:color w:val="auto"/>
        </w:rPr>
      </w:pPr>
    </w:p>
    <w:p>
      <w:pPr>
        <w:ind w:right="140"/>
        <w:spacing w:after="0" w:line="235" w:lineRule="auto"/>
        <w:rPr>
          <w:sz w:val="20"/>
          <w:szCs w:val="20"/>
          <w:color w:val="auto"/>
        </w:rPr>
      </w:pPr>
      <w:r>
        <w:rPr>
          <w:rFonts w:ascii="Arial" w:cs="Arial" w:eastAsia="Arial" w:hAnsi="Arial"/>
          <w:sz w:val="15"/>
          <w:szCs w:val="15"/>
          <w:color w:val="auto"/>
        </w:rPr>
        <w:t>The Committee approved base salary increases ranging from 4% to 17% for our CFO and Regional Presidents, representing the first base salary increase for such officers since 2011 and resulting in a base salary of $700,000 for our CFO, President, NA and President, EMEA, and a base salary of $520,000 for our President, LA/AP, effective as of March 2013. Salaries for our NEOs are generally determined based on several factors, including past practice, reasonable comparability with Peer Group pay data and Survey Data (as described under “Consideration of Peer Groups and Survey Data”) and each NEO’s responsibilities, capabilities and skills, commitment to our business, leadership and drive to add value. For our CFO, the Committee also considers the size and complexity of our balance sheet and capital structure.</w:t>
      </w:r>
    </w:p>
    <w:p>
      <w:pPr>
        <w:spacing w:after="0" w:line="67"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The base salary increases for our CFO, President, NA and President, EMEA were approved based on the factors set forth above, and to recognize the significantly expanded roles and scope of responsibilities assumed by such officers in 2011, following our acquisition of Avis Europe. Such responsibilities continued to expand with the growth of our Company in 2013 when we acquired Zipcar (announced in early January 2013) and Payless. The Committee also focused on the importance of retaining the current management team in light of the Company’s recent expansion and the depth of experience each such officer possesses.</w:t>
      </w:r>
    </w:p>
    <w:p>
      <w:pPr>
        <w:sectPr>
          <w:pgSz w:w="11900" w:h="16838" w:orient="portrait"/>
          <w:cols w:equalWidth="0" w:num="2">
            <w:col w:w="5460" w:space="380"/>
            <w:col w:w="5500"/>
          </w:cols>
          <w:pgMar w:left="240" w:top="407" w:right="319" w:bottom="1440" w:gutter="0" w:footer="0" w:header="0"/>
        </w:sectPr>
      </w:pPr>
    </w:p>
    <w:bookmarkStart w:id="28" w:name="page29"/>
    <w:bookmarkEnd w:id="28"/>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right"/>
        <w:ind w:right="60"/>
        <w:spacing w:after="0"/>
        <w:rPr>
          <w:sz w:val="20"/>
          <w:szCs w:val="20"/>
          <w:color w:val="auto"/>
        </w:rPr>
      </w:pPr>
      <w:r>
        <w:rPr>
          <w:rFonts w:ascii="Arial" w:cs="Arial" w:eastAsia="Arial" w:hAnsi="Arial"/>
          <w:sz w:val="11"/>
          <w:szCs w:val="11"/>
          <w:b w:val="1"/>
          <w:bCs w:val="1"/>
          <w:color w:val="FFFFFF"/>
          <w:highlight w:val="black"/>
        </w:rPr>
        <w:t>EXECUTIVE COMPENSATION</w:t>
      </w:r>
    </w:p>
    <w:p>
      <w:pPr>
        <w:sectPr>
          <w:pgSz w:w="11900" w:h="16838" w:orient="portrait"/>
          <w:cols w:equalWidth="0" w:num="1">
            <w:col w:w="11450"/>
          </w:cols>
          <w:pgMar w:left="230" w:top="407" w:right="219" w:bottom="1440" w:gutter="0" w:footer="0" w:header="0"/>
        </w:sectPr>
      </w:pPr>
    </w:p>
    <w:p>
      <w:pPr>
        <w:spacing w:after="0" w:line="15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Annual Incentive Awards for all NEOs</w:t>
      </w:r>
    </w:p>
    <w:p>
      <w:pPr>
        <w:spacing w:after="0" w:line="82" w:lineRule="exact"/>
        <w:rPr>
          <w:sz w:val="20"/>
          <w:szCs w:val="20"/>
          <w:color w:val="auto"/>
        </w:rPr>
      </w:pPr>
    </w:p>
    <w:p>
      <w:pPr>
        <w:ind w:left="10" w:right="120"/>
        <w:spacing w:after="0" w:line="259" w:lineRule="auto"/>
        <w:rPr>
          <w:sz w:val="20"/>
          <w:szCs w:val="20"/>
          <w:color w:val="auto"/>
        </w:rPr>
      </w:pPr>
      <w:r>
        <w:rPr>
          <w:rFonts w:ascii="Arial" w:cs="Arial" w:eastAsia="Arial" w:hAnsi="Arial"/>
          <w:sz w:val="14"/>
          <w:szCs w:val="14"/>
          <w:color w:val="auto"/>
        </w:rPr>
        <w:t>In establishing the 2013 annual incentive program, the Committee determined that target payouts as a percentage of base salary should remain consistent with 2012 levels. Accordingly, such targets for 2013 were 150% for our CEO and 100% for all of our other NEOs, with payout opportunities ranging from 25% to 200% of target.</w:t>
      </w:r>
    </w:p>
    <w:p>
      <w:pPr>
        <w:spacing w:after="0" w:line="48" w:lineRule="exact"/>
        <w:rPr>
          <w:sz w:val="20"/>
          <w:szCs w:val="20"/>
          <w:color w:val="auto"/>
        </w:rPr>
      </w:pPr>
    </w:p>
    <w:p>
      <w:pPr>
        <w:ind w:left="10"/>
        <w:spacing w:after="0" w:line="263" w:lineRule="auto"/>
        <w:rPr>
          <w:sz w:val="20"/>
          <w:szCs w:val="20"/>
          <w:color w:val="auto"/>
        </w:rPr>
      </w:pPr>
      <w:r>
        <w:rPr>
          <w:rFonts w:ascii="Arial" w:cs="Arial" w:eastAsia="Arial" w:hAnsi="Arial"/>
          <w:sz w:val="14"/>
          <w:szCs w:val="14"/>
          <w:color w:val="auto"/>
        </w:rPr>
        <w:t>Consistent with past practice, the performance metric for our 2013 annual incentive program was Incentive Adjusted EBITDA, which is a key measure of operational and financial performance and is driven by profitable sales and our strategic plan. The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0"/>
        <w:spacing w:after="0" w:line="236" w:lineRule="auto"/>
        <w:rPr>
          <w:sz w:val="20"/>
          <w:szCs w:val="20"/>
          <w:color w:val="auto"/>
        </w:rPr>
      </w:pPr>
      <w:r>
        <w:rPr>
          <w:rFonts w:ascii="Arial" w:cs="Arial" w:eastAsia="Arial" w:hAnsi="Arial"/>
          <w:sz w:val="15"/>
          <w:szCs w:val="15"/>
          <w:color w:val="auto"/>
        </w:rPr>
        <w:t>performance goals, presented below, were set in January 2013 based on the Company’s 2013 business plan, which reflected an anticipated normalization of a used car market that was particularly strong in 2012. Accordingly, 2013 goals were lower than goals for 2012. Goals for 2012 were ultimately set to reflect anticipated substantial increases in Incentive Adjusted EBITDA compared to 2011 (37% for target payout) due to anticipated lower fleet costs for such year driven by the robust used car market. Interpolation is utilized to determine the payout percentage for performance achievement above threshold but below target or maximum achievement levels, as applicable.</w:t>
      </w:r>
    </w:p>
    <w:p>
      <w:pPr>
        <w:spacing w:after="0" w:line="200" w:lineRule="exact"/>
        <w:rPr>
          <w:sz w:val="20"/>
          <w:szCs w:val="20"/>
          <w:color w:val="auto"/>
        </w:rPr>
      </w:pPr>
    </w:p>
    <w:p>
      <w:pPr>
        <w:sectPr>
          <w:pgSz w:w="11900" w:h="16838" w:orient="portrait"/>
          <w:cols w:equalWidth="0" w:num="2">
            <w:col w:w="5470" w:space="380"/>
            <w:col w:w="5600"/>
          </w:cols>
          <w:pgMar w:left="230" w:top="407" w:right="219" w:bottom="1440" w:gutter="0" w:footer="0" w:header="0"/>
          <w:type w:val="continuous"/>
        </w:sectPr>
      </w:pP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80" w:type="dxa"/>
            <w:vAlign w:val="bottom"/>
            <w:gridSpan w:val="4"/>
          </w:tcPr>
          <w:p>
            <w:pPr>
              <w:ind w:left="380"/>
              <w:spacing w:after="0"/>
              <w:rPr>
                <w:sz w:val="20"/>
                <w:szCs w:val="20"/>
                <w:color w:val="auto"/>
              </w:rPr>
            </w:pPr>
            <w:r>
              <w:rPr>
                <w:rFonts w:ascii="Arial" w:cs="Arial" w:eastAsia="Arial" w:hAnsi="Arial"/>
                <w:sz w:val="11"/>
                <w:szCs w:val="11"/>
                <w:b w:val="1"/>
                <w:bCs w:val="1"/>
                <w:color w:val="auto"/>
              </w:rPr>
              <w:t>2013 Incentive Adjusted EBITDA Goals</w:t>
            </w: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8"/>
        </w:trPr>
        <w:tc>
          <w:tcPr>
            <w:tcW w:w="3080" w:type="dxa"/>
            <w:vAlign w:val="bottom"/>
          </w:tcPr>
          <w:p>
            <w:pPr>
              <w:spacing w:after="0"/>
              <w:rPr>
                <w:sz w:val="12"/>
                <w:szCs w:val="12"/>
                <w:color w:val="auto"/>
              </w:rPr>
            </w:pPr>
          </w:p>
        </w:tc>
        <w:tc>
          <w:tcPr>
            <w:tcW w:w="3080" w:type="dxa"/>
            <w:vAlign w:val="bottom"/>
          </w:tcPr>
          <w:p>
            <w:pPr>
              <w:jc w:val="center"/>
              <w:ind w:left="2355"/>
              <w:spacing w:after="0"/>
              <w:rPr>
                <w:sz w:val="20"/>
                <w:szCs w:val="20"/>
                <w:color w:val="auto"/>
              </w:rPr>
            </w:pPr>
            <w:r>
              <w:rPr>
                <w:rFonts w:ascii="Arial" w:cs="Arial" w:eastAsia="Arial" w:hAnsi="Arial"/>
                <w:sz w:val="11"/>
                <w:szCs w:val="11"/>
                <w:b w:val="1"/>
                <w:bCs w:val="1"/>
                <w:color w:val="auto"/>
              </w:rPr>
              <w:t>Payout</w:t>
            </w:r>
          </w:p>
        </w:tc>
        <w:tc>
          <w:tcPr>
            <w:tcW w:w="1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01"/>
        </w:trPr>
        <w:tc>
          <w:tcPr>
            <w:tcW w:w="3080" w:type="dxa"/>
            <w:vAlign w:val="bottom"/>
          </w:tcPr>
          <w:p>
            <w:pPr>
              <w:spacing w:after="0" w:line="101" w:lineRule="exact"/>
              <w:rPr>
                <w:sz w:val="20"/>
                <w:szCs w:val="20"/>
                <w:color w:val="auto"/>
              </w:rPr>
            </w:pPr>
            <w:r>
              <w:rPr>
                <w:rFonts w:ascii="Arial" w:cs="Arial" w:eastAsia="Arial" w:hAnsi="Arial"/>
                <w:sz w:val="11"/>
                <w:szCs w:val="11"/>
                <w:b w:val="1"/>
                <w:bCs w:val="1"/>
                <w:color w:val="auto"/>
              </w:rPr>
              <w:t>Achievement</w:t>
            </w:r>
          </w:p>
        </w:tc>
        <w:tc>
          <w:tcPr>
            <w:tcW w:w="3080" w:type="dxa"/>
            <w:vAlign w:val="bottom"/>
          </w:tcPr>
          <w:p>
            <w:pPr>
              <w:jc w:val="center"/>
              <w:ind w:left="2335"/>
              <w:spacing w:after="0" w:line="101" w:lineRule="exact"/>
              <w:rPr>
                <w:sz w:val="20"/>
                <w:szCs w:val="20"/>
                <w:color w:val="auto"/>
              </w:rPr>
            </w:pPr>
            <w:r>
              <w:rPr>
                <w:rFonts w:ascii="Arial" w:cs="Arial" w:eastAsia="Arial" w:hAnsi="Arial"/>
                <w:sz w:val="11"/>
                <w:szCs w:val="11"/>
                <w:b w:val="1"/>
                <w:bCs w:val="1"/>
                <w:color w:val="auto"/>
              </w:rPr>
              <w:t>Opportunity</w:t>
            </w: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President,</w:t>
            </w:r>
          </w:p>
        </w:tc>
        <w:tc>
          <w:tcPr>
            <w:tcW w:w="1040" w:type="dxa"/>
            <w:vAlign w:val="bottom"/>
            <w:gridSpan w:val="2"/>
          </w:tcPr>
          <w:p>
            <w:pPr>
              <w:ind w:left="280"/>
              <w:spacing w:after="0" w:line="101" w:lineRule="exact"/>
              <w:rPr>
                <w:sz w:val="20"/>
                <w:szCs w:val="20"/>
                <w:color w:val="auto"/>
              </w:rPr>
            </w:pPr>
            <w:r>
              <w:rPr>
                <w:rFonts w:ascii="Arial" w:cs="Arial" w:eastAsia="Arial" w:hAnsi="Arial"/>
                <w:sz w:val="11"/>
                <w:szCs w:val="11"/>
                <w:b w:val="1"/>
                <w:bCs w:val="1"/>
                <w:color w:val="auto"/>
              </w:rPr>
              <w:t>President,</w:t>
            </w:r>
          </w:p>
        </w:tc>
      </w:tr>
      <w:tr>
        <w:trPr>
          <w:trHeight w:val="138"/>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Level</w:t>
            </w:r>
          </w:p>
        </w:tc>
        <w:tc>
          <w:tcPr>
            <w:tcW w:w="3080" w:type="dxa"/>
            <w:vAlign w:val="bottom"/>
            <w:tcBorders>
              <w:bottom w:val="single" w:sz="8" w:color="auto"/>
            </w:tcBorders>
          </w:tcPr>
          <w:p>
            <w:pPr>
              <w:jc w:val="center"/>
              <w:ind w:left="2335"/>
              <w:spacing w:after="0"/>
              <w:rPr>
                <w:sz w:val="20"/>
                <w:szCs w:val="20"/>
                <w:color w:val="auto"/>
              </w:rPr>
            </w:pPr>
            <w:r>
              <w:rPr>
                <w:rFonts w:ascii="Arial" w:cs="Arial" w:eastAsia="Arial" w:hAnsi="Arial"/>
                <w:sz w:val="11"/>
                <w:szCs w:val="11"/>
                <w:b w:val="1"/>
                <w:bCs w:val="1"/>
                <w:color w:val="auto"/>
              </w:rPr>
              <w:t>(% of Target)</w:t>
            </w:r>
          </w:p>
        </w:tc>
        <w:tc>
          <w:tcPr>
            <w:tcW w:w="146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Global*</w:t>
            </w:r>
          </w:p>
        </w:tc>
        <w:tc>
          <w:tcPr>
            <w:tcW w:w="194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President, NA</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EMEA</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w w:val="96"/>
              </w:rPr>
              <w:t>LA/AP</w:t>
            </w:r>
          </w:p>
        </w:tc>
      </w:tr>
      <w:tr>
        <w:trPr>
          <w:trHeight w:val="160"/>
        </w:trPr>
        <w:tc>
          <w:tcPr>
            <w:tcW w:w="308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Maximum</w:t>
            </w:r>
          </w:p>
        </w:tc>
        <w:tc>
          <w:tcPr>
            <w:tcW w:w="3080" w:type="dxa"/>
            <w:vAlign w:val="bottom"/>
            <w:shd w:val="clear" w:color="auto" w:fill="D8D8D8"/>
          </w:tcPr>
          <w:p>
            <w:pPr>
              <w:jc w:val="center"/>
              <w:ind w:left="2355"/>
              <w:spacing w:after="0" w:line="160" w:lineRule="exact"/>
              <w:rPr>
                <w:sz w:val="20"/>
                <w:szCs w:val="20"/>
                <w:color w:val="auto"/>
              </w:rPr>
            </w:pPr>
            <w:r>
              <w:rPr>
                <w:rFonts w:ascii="Arial" w:cs="Arial" w:eastAsia="Arial" w:hAnsi="Arial"/>
                <w:sz w:val="15"/>
                <w:szCs w:val="15"/>
                <w:color w:val="auto"/>
                <w:w w:val="98"/>
              </w:rPr>
              <w:t>200%</w:t>
            </w:r>
          </w:p>
        </w:tc>
        <w:tc>
          <w:tcPr>
            <w:tcW w:w="1460" w:type="dxa"/>
            <w:vAlign w:val="bottom"/>
            <w:shd w:val="clear" w:color="auto" w:fill="D8D8D8"/>
          </w:tcPr>
          <w:p>
            <w:pPr>
              <w:ind w:left="680"/>
              <w:spacing w:after="0" w:line="160" w:lineRule="exact"/>
              <w:rPr>
                <w:sz w:val="20"/>
                <w:szCs w:val="20"/>
                <w:color w:val="auto"/>
              </w:rPr>
            </w:pPr>
            <w:r>
              <w:rPr>
                <w:rFonts w:ascii="Arial" w:cs="Arial" w:eastAsia="Arial" w:hAnsi="Arial"/>
                <w:sz w:val="15"/>
                <w:szCs w:val="15"/>
                <w:color w:val="auto"/>
              </w:rPr>
              <w:t>$ 886</w:t>
            </w:r>
          </w:p>
        </w:tc>
        <w:tc>
          <w:tcPr>
            <w:tcW w:w="680" w:type="dxa"/>
            <w:vAlign w:val="bottom"/>
            <w:shd w:val="clear" w:color="auto" w:fill="D8D8D8"/>
          </w:tcPr>
          <w:p>
            <w:pPr>
              <w:ind w:left="400"/>
              <w:spacing w:after="0" w:line="160" w:lineRule="exact"/>
              <w:rPr>
                <w:sz w:val="20"/>
                <w:szCs w:val="20"/>
                <w:color w:val="auto"/>
              </w:rPr>
            </w:pPr>
            <w:r>
              <w:rPr>
                <w:rFonts w:ascii="Arial" w:cs="Arial" w:eastAsia="Arial" w:hAnsi="Arial"/>
                <w:sz w:val="15"/>
                <w:szCs w:val="15"/>
                <w:color w:val="auto"/>
              </w:rPr>
              <w:t>$</w:t>
            </w:r>
          </w:p>
        </w:tc>
        <w:tc>
          <w:tcPr>
            <w:tcW w:w="1260" w:type="dxa"/>
            <w:vAlign w:val="bottom"/>
            <w:shd w:val="clear" w:color="auto" w:fill="D8D8D8"/>
          </w:tcPr>
          <w:p>
            <w:pPr>
              <w:jc w:val="right"/>
              <w:ind w:right="691"/>
              <w:spacing w:after="0" w:line="160" w:lineRule="exact"/>
              <w:rPr>
                <w:sz w:val="20"/>
                <w:szCs w:val="20"/>
                <w:color w:val="auto"/>
              </w:rPr>
            </w:pPr>
            <w:r>
              <w:rPr>
                <w:rFonts w:ascii="Arial" w:cs="Arial" w:eastAsia="Arial" w:hAnsi="Arial"/>
                <w:sz w:val="15"/>
                <w:szCs w:val="15"/>
                <w:color w:val="auto"/>
              </w:rPr>
              <w:t>610</w:t>
            </w:r>
          </w:p>
        </w:tc>
        <w:tc>
          <w:tcPr>
            <w:tcW w:w="1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w w:val="95"/>
              </w:rPr>
              <w:t>$</w:t>
            </w:r>
          </w:p>
        </w:tc>
        <w:tc>
          <w:tcPr>
            <w:tcW w:w="740" w:type="dxa"/>
            <w:vAlign w:val="bottom"/>
            <w:shd w:val="clear" w:color="auto" w:fill="D8D8D8"/>
          </w:tcPr>
          <w:p>
            <w:pPr>
              <w:jc w:val="right"/>
              <w:ind w:right="231"/>
              <w:spacing w:after="0" w:line="160" w:lineRule="exact"/>
              <w:rPr>
                <w:sz w:val="20"/>
                <w:szCs w:val="20"/>
                <w:color w:val="auto"/>
              </w:rPr>
            </w:pPr>
            <w:r>
              <w:rPr>
                <w:rFonts w:ascii="Arial" w:cs="Arial" w:eastAsia="Arial" w:hAnsi="Arial"/>
                <w:sz w:val="15"/>
                <w:szCs w:val="15"/>
                <w:color w:val="auto"/>
              </w:rPr>
              <w:t>151</w:t>
            </w:r>
          </w:p>
        </w:tc>
        <w:tc>
          <w:tcPr>
            <w:tcW w:w="380" w:type="dxa"/>
            <w:vAlign w:val="bottom"/>
            <w:shd w:val="clear" w:color="auto" w:fill="D8D8D8"/>
          </w:tcPr>
          <w:p>
            <w:pPr>
              <w:ind w:left="280"/>
              <w:spacing w:after="0" w:line="160"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D8D8D8"/>
          </w:tcPr>
          <w:p>
            <w:pPr>
              <w:jc w:val="right"/>
              <w:ind w:right="131"/>
              <w:spacing w:after="0" w:line="160" w:lineRule="exact"/>
              <w:rPr>
                <w:sz w:val="20"/>
                <w:szCs w:val="20"/>
                <w:color w:val="auto"/>
              </w:rPr>
            </w:pPr>
            <w:r>
              <w:rPr>
                <w:rFonts w:ascii="Arial" w:cs="Arial" w:eastAsia="Arial" w:hAnsi="Arial"/>
                <w:sz w:val="15"/>
                <w:szCs w:val="15"/>
                <w:color w:val="auto"/>
              </w:rPr>
              <w:t>175</w:t>
            </w:r>
          </w:p>
        </w:tc>
      </w:tr>
      <w:tr>
        <w:trPr>
          <w:trHeight w:val="169"/>
        </w:trPr>
        <w:tc>
          <w:tcPr>
            <w:tcW w:w="3080" w:type="dxa"/>
            <w:vAlign w:val="bottom"/>
          </w:tcPr>
          <w:p>
            <w:pPr>
              <w:spacing w:after="0" w:line="169" w:lineRule="exact"/>
              <w:rPr>
                <w:sz w:val="20"/>
                <w:szCs w:val="20"/>
                <w:color w:val="auto"/>
              </w:rPr>
            </w:pPr>
            <w:r>
              <w:rPr>
                <w:rFonts w:ascii="Arial" w:cs="Arial" w:eastAsia="Arial" w:hAnsi="Arial"/>
                <w:sz w:val="15"/>
                <w:szCs w:val="15"/>
                <w:color w:val="auto"/>
              </w:rPr>
              <w:t>Target</w:t>
            </w:r>
          </w:p>
        </w:tc>
        <w:tc>
          <w:tcPr>
            <w:tcW w:w="3080" w:type="dxa"/>
            <w:vAlign w:val="bottom"/>
          </w:tcPr>
          <w:p>
            <w:pPr>
              <w:jc w:val="center"/>
              <w:ind w:left="2355"/>
              <w:spacing w:after="0" w:line="169" w:lineRule="exact"/>
              <w:rPr>
                <w:sz w:val="20"/>
                <w:szCs w:val="20"/>
                <w:color w:val="auto"/>
              </w:rPr>
            </w:pPr>
            <w:r>
              <w:rPr>
                <w:rFonts w:ascii="Arial" w:cs="Arial" w:eastAsia="Arial" w:hAnsi="Arial"/>
                <w:sz w:val="15"/>
                <w:szCs w:val="15"/>
                <w:color w:val="auto"/>
                <w:w w:val="98"/>
              </w:rPr>
              <w:t>100%</w:t>
            </w:r>
          </w:p>
        </w:tc>
        <w:tc>
          <w:tcPr>
            <w:tcW w:w="1460" w:type="dxa"/>
            <w:vAlign w:val="bottom"/>
          </w:tcPr>
          <w:p>
            <w:pPr>
              <w:ind w:left="680"/>
              <w:spacing w:after="0" w:line="169" w:lineRule="exact"/>
              <w:rPr>
                <w:sz w:val="20"/>
                <w:szCs w:val="20"/>
                <w:color w:val="auto"/>
              </w:rPr>
            </w:pPr>
            <w:r>
              <w:rPr>
                <w:rFonts w:ascii="Arial" w:cs="Arial" w:eastAsia="Arial" w:hAnsi="Arial"/>
                <w:sz w:val="15"/>
                <w:szCs w:val="15"/>
                <w:color w:val="auto"/>
              </w:rPr>
              <w:t>$ 738</w:t>
            </w:r>
          </w:p>
        </w:tc>
        <w:tc>
          <w:tcPr>
            <w:tcW w:w="680" w:type="dxa"/>
            <w:vAlign w:val="bottom"/>
          </w:tcPr>
          <w:p>
            <w:pPr>
              <w:ind w:left="40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691"/>
              <w:spacing w:after="0" w:line="169" w:lineRule="exact"/>
              <w:rPr>
                <w:sz w:val="20"/>
                <w:szCs w:val="20"/>
                <w:color w:val="auto"/>
              </w:rPr>
            </w:pPr>
            <w:r>
              <w:rPr>
                <w:rFonts w:ascii="Arial" w:cs="Arial" w:eastAsia="Arial" w:hAnsi="Arial"/>
                <w:sz w:val="15"/>
                <w:szCs w:val="15"/>
                <w:color w:val="auto"/>
              </w:rPr>
              <w:t>508</w:t>
            </w: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1"/>
              <w:spacing w:after="0" w:line="169" w:lineRule="exact"/>
              <w:rPr>
                <w:sz w:val="20"/>
                <w:szCs w:val="20"/>
                <w:color w:val="auto"/>
              </w:rPr>
            </w:pPr>
            <w:r>
              <w:rPr>
                <w:rFonts w:ascii="Arial" w:cs="Arial" w:eastAsia="Arial" w:hAnsi="Arial"/>
                <w:sz w:val="15"/>
                <w:szCs w:val="15"/>
                <w:color w:val="auto"/>
              </w:rPr>
              <w:t>126</w:t>
            </w:r>
          </w:p>
        </w:tc>
        <w:tc>
          <w:tcPr>
            <w:tcW w:w="380" w:type="dxa"/>
            <w:vAlign w:val="bottom"/>
          </w:tcPr>
          <w:p>
            <w:pPr>
              <w:ind w:left="28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ind w:right="131"/>
              <w:spacing w:after="0" w:line="169" w:lineRule="exact"/>
              <w:rPr>
                <w:sz w:val="20"/>
                <w:szCs w:val="20"/>
                <w:color w:val="auto"/>
              </w:rPr>
            </w:pPr>
            <w:r>
              <w:rPr>
                <w:rFonts w:ascii="Arial" w:cs="Arial" w:eastAsia="Arial" w:hAnsi="Arial"/>
                <w:sz w:val="15"/>
                <w:szCs w:val="15"/>
                <w:color w:val="auto"/>
              </w:rPr>
              <w:t>146</w:t>
            </w:r>
          </w:p>
        </w:tc>
      </w:tr>
      <w:tr>
        <w:trPr>
          <w:trHeight w:val="169"/>
        </w:trPr>
        <w:tc>
          <w:tcPr>
            <w:tcW w:w="30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Threshold</w:t>
            </w:r>
          </w:p>
        </w:tc>
        <w:tc>
          <w:tcPr>
            <w:tcW w:w="3080" w:type="dxa"/>
            <w:vAlign w:val="bottom"/>
            <w:shd w:val="clear" w:color="auto" w:fill="D8D8D8"/>
          </w:tcPr>
          <w:p>
            <w:pPr>
              <w:jc w:val="center"/>
              <w:ind w:left="2355"/>
              <w:spacing w:after="0" w:line="169" w:lineRule="exact"/>
              <w:rPr>
                <w:sz w:val="20"/>
                <w:szCs w:val="20"/>
                <w:color w:val="auto"/>
              </w:rPr>
            </w:pPr>
            <w:r>
              <w:rPr>
                <w:rFonts w:ascii="Arial" w:cs="Arial" w:eastAsia="Arial" w:hAnsi="Arial"/>
                <w:sz w:val="15"/>
                <w:szCs w:val="15"/>
                <w:color w:val="auto"/>
                <w:w w:val="99"/>
              </w:rPr>
              <w:t>25%</w:t>
            </w:r>
          </w:p>
        </w:tc>
        <w:tc>
          <w:tcPr>
            <w:tcW w:w="1460" w:type="dxa"/>
            <w:vAlign w:val="bottom"/>
            <w:shd w:val="clear" w:color="auto" w:fill="D8D8D8"/>
          </w:tcPr>
          <w:p>
            <w:pPr>
              <w:ind w:left="680"/>
              <w:spacing w:after="0" w:line="169" w:lineRule="exact"/>
              <w:rPr>
                <w:sz w:val="20"/>
                <w:szCs w:val="20"/>
                <w:color w:val="auto"/>
              </w:rPr>
            </w:pPr>
            <w:r>
              <w:rPr>
                <w:rFonts w:ascii="Arial" w:cs="Arial" w:eastAsia="Arial" w:hAnsi="Arial"/>
                <w:sz w:val="15"/>
                <w:szCs w:val="15"/>
                <w:color w:val="auto"/>
              </w:rPr>
              <w:t>$ 664</w:t>
            </w:r>
          </w:p>
        </w:tc>
        <w:tc>
          <w:tcPr>
            <w:tcW w:w="680" w:type="dxa"/>
            <w:vAlign w:val="bottom"/>
            <w:shd w:val="clear" w:color="auto" w:fill="D8D8D8"/>
          </w:tcPr>
          <w:p>
            <w:pPr>
              <w:ind w:left="40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D8D8D8"/>
          </w:tcPr>
          <w:p>
            <w:pPr>
              <w:jc w:val="right"/>
              <w:ind w:right="691"/>
              <w:spacing w:after="0" w:line="169" w:lineRule="exact"/>
              <w:rPr>
                <w:sz w:val="20"/>
                <w:szCs w:val="20"/>
                <w:color w:val="auto"/>
              </w:rPr>
            </w:pPr>
            <w:r>
              <w:rPr>
                <w:rFonts w:ascii="Arial" w:cs="Arial" w:eastAsia="Arial" w:hAnsi="Arial"/>
                <w:sz w:val="15"/>
                <w:szCs w:val="15"/>
                <w:color w:val="auto"/>
              </w:rPr>
              <w:t>457</w:t>
            </w:r>
          </w:p>
        </w:tc>
        <w:tc>
          <w:tcPr>
            <w:tcW w:w="1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shd w:val="clear" w:color="auto" w:fill="D8D8D8"/>
          </w:tcPr>
          <w:p>
            <w:pPr>
              <w:jc w:val="right"/>
              <w:ind w:right="231"/>
              <w:spacing w:after="0" w:line="169" w:lineRule="exact"/>
              <w:rPr>
                <w:sz w:val="20"/>
                <w:szCs w:val="20"/>
                <w:color w:val="auto"/>
              </w:rPr>
            </w:pPr>
            <w:r>
              <w:rPr>
                <w:rFonts w:ascii="Arial" w:cs="Arial" w:eastAsia="Arial" w:hAnsi="Arial"/>
                <w:sz w:val="15"/>
                <w:szCs w:val="15"/>
                <w:color w:val="auto"/>
              </w:rPr>
              <w:t>113</w:t>
            </w:r>
          </w:p>
        </w:tc>
        <w:tc>
          <w:tcPr>
            <w:tcW w:w="380" w:type="dxa"/>
            <w:vAlign w:val="bottom"/>
            <w:shd w:val="clear" w:color="auto" w:fill="D8D8D8"/>
          </w:tcPr>
          <w:p>
            <w:pPr>
              <w:ind w:left="28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D8D8D8"/>
          </w:tcPr>
          <w:p>
            <w:pPr>
              <w:jc w:val="right"/>
              <w:ind w:right="131"/>
              <w:spacing w:after="0" w:line="169" w:lineRule="exact"/>
              <w:rPr>
                <w:sz w:val="20"/>
                <w:szCs w:val="20"/>
                <w:color w:val="auto"/>
              </w:rPr>
            </w:pPr>
            <w:r>
              <w:rPr>
                <w:rFonts w:ascii="Arial" w:cs="Arial" w:eastAsia="Arial" w:hAnsi="Arial"/>
                <w:sz w:val="15"/>
                <w:szCs w:val="15"/>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49"/>
        </w:numPr>
        <w:rPr>
          <w:rFonts w:ascii="Arial" w:cs="Arial" w:eastAsia="Arial" w:hAnsi="Arial"/>
          <w:sz w:val="11"/>
          <w:szCs w:val="11"/>
          <w:color w:val="auto"/>
        </w:rPr>
      </w:pPr>
      <w:r>
        <w:rPr>
          <w:rFonts w:ascii="Arial" w:cs="Arial" w:eastAsia="Arial" w:hAnsi="Arial"/>
          <w:sz w:val="11"/>
          <w:szCs w:val="11"/>
          <w:color w:val="auto"/>
        </w:rPr>
        <w:t>Includes results from our “Corporate and Other” segment, which includes unallocated corporate overhead.</w:t>
      </w:r>
    </w:p>
    <w:p>
      <w:pPr>
        <w:spacing w:after="0" w:line="68" w:lineRule="exact"/>
        <w:rPr>
          <w:sz w:val="20"/>
          <w:szCs w:val="20"/>
          <w:color w:val="auto"/>
        </w:rPr>
      </w:pPr>
    </w:p>
    <w:p>
      <w:pPr>
        <w:jc w:val="both"/>
        <w:ind w:left="10" w:right="200"/>
        <w:spacing w:after="0" w:line="238" w:lineRule="auto"/>
        <w:rPr>
          <w:sz w:val="20"/>
          <w:szCs w:val="20"/>
          <w:color w:val="auto"/>
        </w:rPr>
      </w:pPr>
      <w:r>
        <w:rPr>
          <w:rFonts w:ascii="Arial" w:cs="Arial" w:eastAsia="Arial" w:hAnsi="Arial"/>
          <w:sz w:val="15"/>
          <w:szCs w:val="15"/>
          <w:color w:val="auto"/>
        </w:rPr>
        <w:t>For the 2013 annual incentive, global Incentive Adjusted EBITDA was $746 million</w:t>
      </w:r>
      <w:r>
        <w:rPr>
          <w:rFonts w:ascii="Arial" w:cs="Arial" w:eastAsia="Arial" w:hAnsi="Arial"/>
          <w:sz w:val="9"/>
          <w:szCs w:val="9"/>
          <w:color w:val="auto"/>
        </w:rPr>
        <w:t>1</w:t>
      </w:r>
      <w:r>
        <w:rPr>
          <w:rFonts w:ascii="Arial" w:cs="Arial" w:eastAsia="Arial" w:hAnsi="Arial"/>
          <w:sz w:val="15"/>
          <w:szCs w:val="15"/>
          <w:color w:val="auto"/>
        </w:rPr>
        <w:t>, which reflects the exclusion of the Incentive Adjusted EBITDA contributed by Zipcar given that goals were set prior to the transaction closing and that our definition provides for adjustments for acquisitions with a total asset value exceeding $100 million. Accordingly, actual payouts as a percentage of target are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3380" w:type="dxa"/>
            <w:vAlign w:val="bottom"/>
          </w:tcPr>
          <w:p>
            <w:pPr>
              <w:jc w:val="center"/>
              <w:ind w:left="2572"/>
              <w:spacing w:after="0"/>
              <w:rPr>
                <w:sz w:val="20"/>
                <w:szCs w:val="20"/>
                <w:color w:val="auto"/>
              </w:rPr>
            </w:pPr>
            <w:r>
              <w:rPr>
                <w:rFonts w:ascii="Arial" w:cs="Arial" w:eastAsia="Arial" w:hAnsi="Arial"/>
                <w:sz w:val="11"/>
                <w:szCs w:val="11"/>
                <w:b w:val="1"/>
                <w:bCs w:val="1"/>
                <w:color w:val="auto"/>
              </w:rPr>
              <w:t>Actual Payout</w:t>
            </w:r>
          </w:p>
        </w:tc>
        <w:tc>
          <w:tcPr>
            <w:tcW w:w="1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Weighting</w:t>
            </w: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5"/>
        </w:trPr>
        <w:tc>
          <w:tcPr>
            <w:tcW w:w="376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NEO</w:t>
            </w:r>
          </w:p>
        </w:tc>
        <w:tc>
          <w:tcPr>
            <w:tcW w:w="3380" w:type="dxa"/>
            <w:vAlign w:val="bottom"/>
            <w:tcBorders>
              <w:bottom w:val="single" w:sz="8" w:color="auto"/>
            </w:tcBorders>
          </w:tcPr>
          <w:p>
            <w:pPr>
              <w:jc w:val="center"/>
              <w:ind w:left="2592"/>
              <w:spacing w:after="0" w:line="115" w:lineRule="exact"/>
              <w:rPr>
                <w:sz w:val="20"/>
                <w:szCs w:val="20"/>
                <w:color w:val="auto"/>
              </w:rPr>
            </w:pPr>
            <w:r>
              <w:rPr>
                <w:rFonts w:ascii="Arial" w:cs="Arial" w:eastAsia="Arial" w:hAnsi="Arial"/>
                <w:sz w:val="11"/>
                <w:szCs w:val="11"/>
                <w:b w:val="1"/>
                <w:bCs w:val="1"/>
                <w:color w:val="auto"/>
              </w:rPr>
              <w:t>(% of Target)</w:t>
            </w:r>
          </w:p>
        </w:tc>
        <w:tc>
          <w:tcPr>
            <w:tcW w:w="1420" w:type="dxa"/>
            <w:vAlign w:val="bottom"/>
            <w:tcBorders>
              <w:bottom w:val="single" w:sz="8" w:color="auto"/>
            </w:tcBorders>
          </w:tcPr>
          <w:p>
            <w:pPr>
              <w:ind w:left="560"/>
              <w:spacing w:after="0" w:line="115" w:lineRule="exact"/>
              <w:rPr>
                <w:sz w:val="20"/>
                <w:szCs w:val="20"/>
                <w:color w:val="auto"/>
              </w:rPr>
            </w:pPr>
            <w:r>
              <w:rPr>
                <w:rFonts w:ascii="Arial" w:cs="Arial" w:eastAsia="Arial" w:hAnsi="Arial"/>
                <w:sz w:val="11"/>
                <w:szCs w:val="11"/>
                <w:b w:val="1"/>
                <w:bCs w:val="1"/>
                <w:color w:val="auto"/>
              </w:rPr>
              <w:t>Global</w:t>
            </w:r>
          </w:p>
        </w:tc>
        <w:tc>
          <w:tcPr>
            <w:tcW w:w="1520" w:type="dxa"/>
            <w:vAlign w:val="bottom"/>
            <w:tcBorders>
              <w:bottom w:val="single" w:sz="8" w:color="auto"/>
            </w:tcBorders>
          </w:tcPr>
          <w:p>
            <w:pPr>
              <w:ind w:left="480"/>
              <w:spacing w:after="0" w:line="115" w:lineRule="exact"/>
              <w:rPr>
                <w:sz w:val="20"/>
                <w:szCs w:val="20"/>
                <w:color w:val="auto"/>
              </w:rPr>
            </w:pPr>
            <w:r>
              <w:rPr>
                <w:rFonts w:ascii="Arial" w:cs="Arial" w:eastAsia="Arial" w:hAnsi="Arial"/>
                <w:sz w:val="11"/>
                <w:szCs w:val="11"/>
                <w:b w:val="1"/>
                <w:bCs w:val="1"/>
                <w:color w:val="auto"/>
              </w:rPr>
              <w:t>North America</w:t>
            </w:r>
          </w:p>
        </w:tc>
        <w:tc>
          <w:tcPr>
            <w:tcW w:w="800" w:type="dxa"/>
            <w:vAlign w:val="bottom"/>
            <w:tcBorders>
              <w:bottom w:val="single" w:sz="8" w:color="auto"/>
            </w:tcBorders>
          </w:tcPr>
          <w:p>
            <w:pPr>
              <w:ind w:left="260"/>
              <w:spacing w:after="0" w:line="115" w:lineRule="exact"/>
              <w:rPr>
                <w:sz w:val="20"/>
                <w:szCs w:val="20"/>
                <w:color w:val="auto"/>
              </w:rPr>
            </w:pPr>
            <w:r>
              <w:rPr>
                <w:rFonts w:ascii="Arial" w:cs="Arial" w:eastAsia="Arial" w:hAnsi="Arial"/>
                <w:sz w:val="11"/>
                <w:szCs w:val="11"/>
                <w:b w:val="1"/>
                <w:bCs w:val="1"/>
                <w:color w:val="auto"/>
              </w:rPr>
              <w:t>EMEA</w:t>
            </w:r>
          </w:p>
        </w:tc>
        <w:tc>
          <w:tcPr>
            <w:tcW w:w="560" w:type="dxa"/>
            <w:vAlign w:val="bottom"/>
            <w:tcBorders>
              <w:bottom w:val="single" w:sz="8" w:color="auto"/>
            </w:tcBorders>
          </w:tcPr>
          <w:p>
            <w:pPr>
              <w:ind w:left="220"/>
              <w:spacing w:after="0" w:line="115" w:lineRule="exact"/>
              <w:rPr>
                <w:sz w:val="20"/>
                <w:szCs w:val="20"/>
                <w:color w:val="auto"/>
              </w:rPr>
            </w:pPr>
            <w:r>
              <w:rPr>
                <w:rFonts w:ascii="Arial" w:cs="Arial" w:eastAsia="Arial" w:hAnsi="Arial"/>
                <w:sz w:val="11"/>
                <w:szCs w:val="11"/>
                <w:b w:val="1"/>
                <w:bCs w:val="1"/>
                <w:color w:val="auto"/>
                <w:w w:val="96"/>
              </w:rPr>
              <w:t>LA/AP</w:t>
            </w:r>
          </w:p>
        </w:tc>
        <w:tc>
          <w:tcPr>
            <w:tcW w:w="20" w:type="dxa"/>
            <w:vAlign w:val="bottom"/>
          </w:tcPr>
          <w:p>
            <w:pPr>
              <w:spacing w:after="0"/>
              <w:rPr>
                <w:sz w:val="10"/>
                <w:szCs w:val="10"/>
                <w:color w:val="auto"/>
              </w:rPr>
            </w:pPr>
          </w:p>
        </w:tc>
      </w:tr>
      <w:tr>
        <w:trPr>
          <w:trHeight w:val="160"/>
        </w:trPr>
        <w:tc>
          <w:tcPr>
            <w:tcW w:w="376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CEO</w:t>
            </w:r>
          </w:p>
        </w:tc>
        <w:tc>
          <w:tcPr>
            <w:tcW w:w="3380" w:type="dxa"/>
            <w:vAlign w:val="bottom"/>
            <w:shd w:val="clear" w:color="auto" w:fill="D8D8D8"/>
          </w:tcPr>
          <w:p>
            <w:pPr>
              <w:jc w:val="center"/>
              <w:ind w:left="2572"/>
              <w:spacing w:after="0" w:line="160" w:lineRule="exact"/>
              <w:rPr>
                <w:sz w:val="20"/>
                <w:szCs w:val="20"/>
                <w:color w:val="auto"/>
              </w:rPr>
            </w:pPr>
            <w:r>
              <w:rPr>
                <w:rFonts w:ascii="Arial" w:cs="Arial" w:eastAsia="Arial" w:hAnsi="Arial"/>
                <w:sz w:val="15"/>
                <w:szCs w:val="15"/>
                <w:color w:val="auto"/>
                <w:w w:val="98"/>
              </w:rPr>
              <w:t>105%</w:t>
            </w:r>
          </w:p>
        </w:tc>
        <w:tc>
          <w:tcPr>
            <w:tcW w:w="1420" w:type="dxa"/>
            <w:vAlign w:val="bottom"/>
            <w:shd w:val="clear" w:color="auto" w:fill="D8D8D8"/>
          </w:tcPr>
          <w:p>
            <w:pPr>
              <w:jc w:val="center"/>
              <w:spacing w:after="0" w:line="160" w:lineRule="exact"/>
              <w:rPr>
                <w:sz w:val="20"/>
                <w:szCs w:val="20"/>
                <w:color w:val="auto"/>
              </w:rPr>
            </w:pPr>
            <w:r>
              <w:rPr>
                <w:rFonts w:ascii="Arial" w:cs="Arial" w:eastAsia="Arial" w:hAnsi="Arial"/>
                <w:sz w:val="15"/>
                <w:szCs w:val="15"/>
                <w:color w:val="auto"/>
                <w:w w:val="93"/>
              </w:rPr>
              <w:t>100%</w:t>
            </w:r>
          </w:p>
        </w:tc>
        <w:tc>
          <w:tcPr>
            <w:tcW w:w="1520" w:type="dxa"/>
            <w:vAlign w:val="bottom"/>
            <w:shd w:val="clear" w:color="auto" w:fill="D8D8D8"/>
          </w:tcPr>
          <w:p>
            <w:pPr>
              <w:jc w:val="center"/>
              <w:ind w:left="152"/>
              <w:spacing w:after="0" w:line="160" w:lineRule="exact"/>
              <w:rPr>
                <w:sz w:val="20"/>
                <w:szCs w:val="20"/>
                <w:color w:val="auto"/>
              </w:rPr>
            </w:pPr>
            <w:r>
              <w:rPr>
                <w:rFonts w:ascii="Arial" w:cs="Arial" w:eastAsia="Arial" w:hAnsi="Arial"/>
                <w:sz w:val="15"/>
                <w:szCs w:val="15"/>
                <w:color w:val="auto"/>
                <w:w w:val="93"/>
              </w:rPr>
              <w:t>—</w:t>
            </w:r>
          </w:p>
        </w:tc>
        <w:tc>
          <w:tcPr>
            <w:tcW w:w="800" w:type="dxa"/>
            <w:vAlign w:val="bottom"/>
            <w:shd w:val="clear" w:color="auto" w:fill="D8D8D8"/>
          </w:tcPr>
          <w:p>
            <w:pPr>
              <w:jc w:val="center"/>
              <w:spacing w:after="0" w:line="160" w:lineRule="exact"/>
              <w:rPr>
                <w:sz w:val="20"/>
                <w:szCs w:val="20"/>
                <w:color w:val="auto"/>
              </w:rPr>
            </w:pPr>
            <w:r>
              <w:rPr>
                <w:rFonts w:ascii="Arial" w:cs="Arial" w:eastAsia="Arial" w:hAnsi="Arial"/>
                <w:sz w:val="15"/>
                <w:szCs w:val="15"/>
                <w:color w:val="auto"/>
                <w:w w:val="93"/>
              </w:rPr>
              <w:t>—</w:t>
            </w:r>
          </w:p>
        </w:tc>
        <w:tc>
          <w:tcPr>
            <w:tcW w:w="560" w:type="dxa"/>
            <w:vAlign w:val="bottom"/>
            <w:shd w:val="clear" w:color="auto" w:fill="D8D8D8"/>
          </w:tcPr>
          <w:p>
            <w:pPr>
              <w:jc w:val="center"/>
              <w:ind w:left="150"/>
              <w:spacing w:after="0" w:line="160" w:lineRule="exact"/>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3"/>
                <w:szCs w:val="13"/>
                <w:color w:val="auto"/>
              </w:rPr>
            </w:pPr>
          </w:p>
        </w:tc>
      </w:tr>
      <w:tr>
        <w:trPr>
          <w:trHeight w:val="169"/>
        </w:trPr>
        <w:tc>
          <w:tcPr>
            <w:tcW w:w="3760" w:type="dxa"/>
            <w:vAlign w:val="bottom"/>
          </w:tcPr>
          <w:p>
            <w:pPr>
              <w:spacing w:after="0" w:line="169" w:lineRule="exact"/>
              <w:rPr>
                <w:sz w:val="20"/>
                <w:szCs w:val="20"/>
                <w:color w:val="auto"/>
              </w:rPr>
            </w:pPr>
            <w:r>
              <w:rPr>
                <w:rFonts w:ascii="Arial" w:cs="Arial" w:eastAsia="Arial" w:hAnsi="Arial"/>
                <w:sz w:val="15"/>
                <w:szCs w:val="15"/>
                <w:color w:val="auto"/>
              </w:rPr>
              <w:t>CFO</w:t>
            </w:r>
          </w:p>
        </w:tc>
        <w:tc>
          <w:tcPr>
            <w:tcW w:w="3380" w:type="dxa"/>
            <w:vAlign w:val="bottom"/>
          </w:tcPr>
          <w:p>
            <w:pPr>
              <w:jc w:val="center"/>
              <w:ind w:left="2572"/>
              <w:spacing w:after="0" w:line="169" w:lineRule="exact"/>
              <w:rPr>
                <w:sz w:val="20"/>
                <w:szCs w:val="20"/>
                <w:color w:val="auto"/>
              </w:rPr>
            </w:pPr>
            <w:r>
              <w:rPr>
                <w:rFonts w:ascii="Arial" w:cs="Arial" w:eastAsia="Arial" w:hAnsi="Arial"/>
                <w:sz w:val="15"/>
                <w:szCs w:val="15"/>
                <w:color w:val="auto"/>
                <w:w w:val="98"/>
              </w:rPr>
              <w:t>105%</w:t>
            </w:r>
          </w:p>
        </w:tc>
        <w:tc>
          <w:tcPr>
            <w:tcW w:w="1420" w:type="dxa"/>
            <w:vAlign w:val="bottom"/>
          </w:tcPr>
          <w:p>
            <w:pPr>
              <w:jc w:val="center"/>
              <w:spacing w:after="0" w:line="169" w:lineRule="exact"/>
              <w:rPr>
                <w:sz w:val="20"/>
                <w:szCs w:val="20"/>
                <w:color w:val="auto"/>
              </w:rPr>
            </w:pPr>
            <w:r>
              <w:rPr>
                <w:rFonts w:ascii="Arial" w:cs="Arial" w:eastAsia="Arial" w:hAnsi="Arial"/>
                <w:sz w:val="15"/>
                <w:szCs w:val="15"/>
                <w:color w:val="auto"/>
                <w:w w:val="93"/>
              </w:rPr>
              <w:t>100%</w:t>
            </w:r>
          </w:p>
        </w:tc>
        <w:tc>
          <w:tcPr>
            <w:tcW w:w="1520" w:type="dxa"/>
            <w:vAlign w:val="bottom"/>
          </w:tcPr>
          <w:p>
            <w:pPr>
              <w:jc w:val="center"/>
              <w:ind w:left="152"/>
              <w:spacing w:after="0" w:line="169" w:lineRule="exact"/>
              <w:rPr>
                <w:sz w:val="20"/>
                <w:szCs w:val="20"/>
                <w:color w:val="auto"/>
              </w:rPr>
            </w:pPr>
            <w:r>
              <w:rPr>
                <w:rFonts w:ascii="Arial" w:cs="Arial" w:eastAsia="Arial" w:hAnsi="Arial"/>
                <w:sz w:val="15"/>
                <w:szCs w:val="15"/>
                <w:color w:val="auto"/>
                <w:w w:val="93"/>
              </w:rPr>
              <w:t>—</w:t>
            </w:r>
          </w:p>
        </w:tc>
        <w:tc>
          <w:tcPr>
            <w:tcW w:w="80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580" w:type="dxa"/>
            <w:vAlign w:val="bottom"/>
            <w:gridSpan w:val="2"/>
          </w:tcPr>
          <w:p>
            <w:pPr>
              <w:jc w:val="center"/>
              <w:ind w:left="130"/>
              <w:spacing w:after="0" w:line="169" w:lineRule="exact"/>
              <w:rPr>
                <w:sz w:val="20"/>
                <w:szCs w:val="20"/>
                <w:color w:val="auto"/>
              </w:rPr>
            </w:pPr>
            <w:r>
              <w:rPr>
                <w:rFonts w:ascii="Arial" w:cs="Arial" w:eastAsia="Arial" w:hAnsi="Arial"/>
                <w:sz w:val="15"/>
                <w:szCs w:val="15"/>
                <w:color w:val="auto"/>
                <w:w w:val="93"/>
              </w:rPr>
              <w:t>—</w:t>
            </w:r>
          </w:p>
        </w:tc>
      </w:tr>
      <w:tr>
        <w:trPr>
          <w:trHeight w:val="169"/>
        </w:trPr>
        <w:tc>
          <w:tcPr>
            <w:tcW w:w="376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President, NA</w:t>
            </w:r>
          </w:p>
        </w:tc>
        <w:tc>
          <w:tcPr>
            <w:tcW w:w="3380" w:type="dxa"/>
            <w:vAlign w:val="bottom"/>
            <w:shd w:val="clear" w:color="auto" w:fill="D8D8D8"/>
          </w:tcPr>
          <w:p>
            <w:pPr>
              <w:jc w:val="center"/>
              <w:ind w:left="2572"/>
              <w:spacing w:after="0" w:line="169" w:lineRule="exact"/>
              <w:rPr>
                <w:sz w:val="20"/>
                <w:szCs w:val="20"/>
                <w:color w:val="auto"/>
              </w:rPr>
            </w:pPr>
            <w:r>
              <w:rPr>
                <w:rFonts w:ascii="Arial" w:cs="Arial" w:eastAsia="Arial" w:hAnsi="Arial"/>
                <w:sz w:val="15"/>
                <w:szCs w:val="15"/>
                <w:color w:val="auto"/>
                <w:w w:val="98"/>
              </w:rPr>
              <w:t>109%</w:t>
            </w:r>
          </w:p>
        </w:tc>
        <w:tc>
          <w:tcPr>
            <w:tcW w:w="142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25%</w:t>
            </w:r>
          </w:p>
        </w:tc>
        <w:tc>
          <w:tcPr>
            <w:tcW w:w="1520" w:type="dxa"/>
            <w:vAlign w:val="bottom"/>
            <w:shd w:val="clear" w:color="auto" w:fill="D8D8D8"/>
          </w:tcPr>
          <w:p>
            <w:pPr>
              <w:jc w:val="center"/>
              <w:ind w:left="152"/>
              <w:spacing w:after="0" w:line="169" w:lineRule="exact"/>
              <w:rPr>
                <w:sz w:val="20"/>
                <w:szCs w:val="20"/>
                <w:color w:val="auto"/>
              </w:rPr>
            </w:pPr>
            <w:r>
              <w:rPr>
                <w:rFonts w:ascii="Arial" w:cs="Arial" w:eastAsia="Arial" w:hAnsi="Arial"/>
                <w:sz w:val="15"/>
                <w:szCs w:val="15"/>
                <w:color w:val="auto"/>
                <w:w w:val="99"/>
              </w:rPr>
              <w:t>75%</w:t>
            </w:r>
          </w:p>
        </w:tc>
        <w:tc>
          <w:tcPr>
            <w:tcW w:w="80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560" w:type="dxa"/>
            <w:vAlign w:val="bottom"/>
            <w:shd w:val="clear" w:color="auto" w:fill="D8D8D8"/>
          </w:tcPr>
          <w:p>
            <w:pPr>
              <w:jc w:val="center"/>
              <w:ind w:left="150"/>
              <w:spacing w:after="0" w:line="169" w:lineRule="exact"/>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4"/>
                <w:szCs w:val="14"/>
                <w:color w:val="auto"/>
              </w:rPr>
            </w:pPr>
          </w:p>
        </w:tc>
      </w:tr>
      <w:tr>
        <w:trPr>
          <w:trHeight w:val="169"/>
        </w:trPr>
        <w:tc>
          <w:tcPr>
            <w:tcW w:w="3760" w:type="dxa"/>
            <w:vAlign w:val="bottom"/>
          </w:tcPr>
          <w:p>
            <w:pPr>
              <w:spacing w:after="0" w:line="169" w:lineRule="exact"/>
              <w:rPr>
                <w:sz w:val="20"/>
                <w:szCs w:val="20"/>
                <w:color w:val="auto"/>
              </w:rPr>
            </w:pPr>
            <w:r>
              <w:rPr>
                <w:rFonts w:ascii="Arial" w:cs="Arial" w:eastAsia="Arial" w:hAnsi="Arial"/>
                <w:sz w:val="15"/>
                <w:szCs w:val="15"/>
                <w:color w:val="auto"/>
              </w:rPr>
              <w:t>President, EMEA</w:t>
            </w:r>
          </w:p>
        </w:tc>
        <w:tc>
          <w:tcPr>
            <w:tcW w:w="3380" w:type="dxa"/>
            <w:vAlign w:val="bottom"/>
          </w:tcPr>
          <w:p>
            <w:pPr>
              <w:jc w:val="center"/>
              <w:ind w:left="2572"/>
              <w:spacing w:after="0" w:line="169" w:lineRule="exact"/>
              <w:rPr>
                <w:sz w:val="20"/>
                <w:szCs w:val="20"/>
                <w:color w:val="auto"/>
              </w:rPr>
            </w:pPr>
            <w:r>
              <w:rPr>
                <w:rFonts w:ascii="Arial" w:cs="Arial" w:eastAsia="Arial" w:hAnsi="Arial"/>
                <w:sz w:val="15"/>
                <w:szCs w:val="15"/>
                <w:color w:val="auto"/>
                <w:w w:val="98"/>
              </w:rPr>
              <w:t>120%</w:t>
            </w:r>
          </w:p>
        </w:tc>
        <w:tc>
          <w:tcPr>
            <w:tcW w:w="1420" w:type="dxa"/>
            <w:vAlign w:val="bottom"/>
          </w:tcPr>
          <w:p>
            <w:pPr>
              <w:jc w:val="center"/>
              <w:spacing w:after="0" w:line="169" w:lineRule="exact"/>
              <w:rPr>
                <w:sz w:val="20"/>
                <w:szCs w:val="20"/>
                <w:color w:val="auto"/>
              </w:rPr>
            </w:pPr>
            <w:r>
              <w:rPr>
                <w:rFonts w:ascii="Arial" w:cs="Arial" w:eastAsia="Arial" w:hAnsi="Arial"/>
                <w:sz w:val="15"/>
                <w:szCs w:val="15"/>
                <w:color w:val="auto"/>
                <w:w w:val="93"/>
              </w:rPr>
              <w:t>25%</w:t>
            </w:r>
          </w:p>
        </w:tc>
        <w:tc>
          <w:tcPr>
            <w:tcW w:w="1520" w:type="dxa"/>
            <w:vAlign w:val="bottom"/>
          </w:tcPr>
          <w:p>
            <w:pPr>
              <w:jc w:val="center"/>
              <w:ind w:left="152"/>
              <w:spacing w:after="0" w:line="169" w:lineRule="exact"/>
              <w:rPr>
                <w:sz w:val="20"/>
                <w:szCs w:val="20"/>
                <w:color w:val="auto"/>
              </w:rPr>
            </w:pPr>
            <w:r>
              <w:rPr>
                <w:rFonts w:ascii="Arial" w:cs="Arial" w:eastAsia="Arial" w:hAnsi="Arial"/>
                <w:sz w:val="15"/>
                <w:szCs w:val="15"/>
                <w:color w:val="auto"/>
                <w:w w:val="93"/>
              </w:rPr>
              <w:t>—</w:t>
            </w:r>
          </w:p>
        </w:tc>
        <w:tc>
          <w:tcPr>
            <w:tcW w:w="800" w:type="dxa"/>
            <w:vAlign w:val="bottom"/>
          </w:tcPr>
          <w:p>
            <w:pPr>
              <w:jc w:val="center"/>
              <w:spacing w:after="0" w:line="169" w:lineRule="exact"/>
              <w:rPr>
                <w:sz w:val="20"/>
                <w:szCs w:val="20"/>
                <w:color w:val="auto"/>
              </w:rPr>
            </w:pPr>
            <w:r>
              <w:rPr>
                <w:rFonts w:ascii="Arial" w:cs="Arial" w:eastAsia="Arial" w:hAnsi="Arial"/>
                <w:sz w:val="15"/>
                <w:szCs w:val="15"/>
                <w:color w:val="auto"/>
                <w:w w:val="99"/>
              </w:rPr>
              <w:t>75%</w:t>
            </w:r>
          </w:p>
        </w:tc>
        <w:tc>
          <w:tcPr>
            <w:tcW w:w="580" w:type="dxa"/>
            <w:vAlign w:val="bottom"/>
            <w:gridSpan w:val="2"/>
          </w:tcPr>
          <w:p>
            <w:pPr>
              <w:jc w:val="center"/>
              <w:ind w:left="130"/>
              <w:spacing w:after="0" w:line="169" w:lineRule="exact"/>
              <w:rPr>
                <w:sz w:val="20"/>
                <w:szCs w:val="20"/>
                <w:color w:val="auto"/>
              </w:rPr>
            </w:pPr>
            <w:r>
              <w:rPr>
                <w:rFonts w:ascii="Arial" w:cs="Arial" w:eastAsia="Arial" w:hAnsi="Arial"/>
                <w:sz w:val="15"/>
                <w:szCs w:val="15"/>
                <w:color w:val="auto"/>
                <w:w w:val="93"/>
              </w:rPr>
              <w:t>—</w:t>
            </w:r>
          </w:p>
        </w:tc>
      </w:tr>
      <w:tr>
        <w:trPr>
          <w:trHeight w:val="169"/>
        </w:trPr>
        <w:tc>
          <w:tcPr>
            <w:tcW w:w="3760" w:type="dxa"/>
            <w:vAlign w:val="bottom"/>
            <w:tcBorders>
              <w:bottom w:val="single" w:sz="8" w:color="auto"/>
            </w:tcBorders>
            <w:shd w:val="clear" w:color="auto" w:fill="D8D8D8"/>
          </w:tcPr>
          <w:p>
            <w:pPr>
              <w:spacing w:after="0" w:line="169" w:lineRule="exact"/>
              <w:rPr>
                <w:sz w:val="20"/>
                <w:szCs w:val="20"/>
                <w:color w:val="auto"/>
              </w:rPr>
            </w:pPr>
            <w:r>
              <w:rPr>
                <w:rFonts w:ascii="Arial" w:cs="Arial" w:eastAsia="Arial" w:hAnsi="Arial"/>
                <w:sz w:val="15"/>
                <w:szCs w:val="15"/>
                <w:color w:val="auto"/>
              </w:rPr>
              <w:t>President, LA/AP</w:t>
            </w:r>
          </w:p>
        </w:tc>
        <w:tc>
          <w:tcPr>
            <w:tcW w:w="3380" w:type="dxa"/>
            <w:vAlign w:val="bottom"/>
            <w:tcBorders>
              <w:bottom w:val="single" w:sz="8" w:color="auto"/>
            </w:tcBorders>
            <w:shd w:val="clear" w:color="auto" w:fill="D8D8D8"/>
          </w:tcPr>
          <w:p>
            <w:pPr>
              <w:jc w:val="center"/>
              <w:ind w:left="2572"/>
              <w:spacing w:after="0" w:line="169" w:lineRule="exact"/>
              <w:rPr>
                <w:sz w:val="20"/>
                <w:szCs w:val="20"/>
                <w:color w:val="auto"/>
              </w:rPr>
            </w:pPr>
            <w:r>
              <w:rPr>
                <w:rFonts w:ascii="Arial" w:cs="Arial" w:eastAsia="Arial" w:hAnsi="Arial"/>
                <w:sz w:val="15"/>
                <w:szCs w:val="15"/>
                <w:color w:val="auto"/>
                <w:w w:val="98"/>
              </w:rPr>
              <w:t>101%</w:t>
            </w:r>
          </w:p>
        </w:tc>
        <w:tc>
          <w:tcPr>
            <w:tcW w:w="1420" w:type="dxa"/>
            <w:vAlign w:val="bottom"/>
            <w:tcBorders>
              <w:bottom w:val="single" w:sz="8" w:color="auto"/>
            </w:tcBorders>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25%</w:t>
            </w:r>
          </w:p>
        </w:tc>
        <w:tc>
          <w:tcPr>
            <w:tcW w:w="1520" w:type="dxa"/>
            <w:vAlign w:val="bottom"/>
            <w:tcBorders>
              <w:bottom w:val="single" w:sz="8" w:color="auto"/>
            </w:tcBorders>
            <w:shd w:val="clear" w:color="auto" w:fill="D8D8D8"/>
          </w:tcPr>
          <w:p>
            <w:pPr>
              <w:jc w:val="center"/>
              <w:ind w:left="152"/>
              <w:spacing w:after="0" w:line="169" w:lineRule="exact"/>
              <w:rPr>
                <w:sz w:val="20"/>
                <w:szCs w:val="20"/>
                <w:color w:val="auto"/>
              </w:rPr>
            </w:pPr>
            <w:r>
              <w:rPr>
                <w:rFonts w:ascii="Arial" w:cs="Arial" w:eastAsia="Arial" w:hAnsi="Arial"/>
                <w:sz w:val="15"/>
                <w:szCs w:val="15"/>
                <w:color w:val="auto"/>
                <w:w w:val="93"/>
              </w:rPr>
              <w:t>—</w:t>
            </w:r>
          </w:p>
        </w:tc>
        <w:tc>
          <w:tcPr>
            <w:tcW w:w="800" w:type="dxa"/>
            <w:vAlign w:val="bottom"/>
            <w:tcBorders>
              <w:bottom w:val="single" w:sz="8" w:color="auto"/>
            </w:tcBorders>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560" w:type="dxa"/>
            <w:vAlign w:val="bottom"/>
            <w:tcBorders>
              <w:bottom w:val="single" w:sz="8" w:color="auto"/>
            </w:tcBorders>
            <w:shd w:val="clear" w:color="auto" w:fill="D8D8D8"/>
          </w:tcPr>
          <w:p>
            <w:pPr>
              <w:jc w:val="center"/>
              <w:ind w:left="150"/>
              <w:spacing w:after="0" w:line="169" w:lineRule="exact"/>
              <w:rPr>
                <w:sz w:val="20"/>
                <w:szCs w:val="20"/>
                <w:color w:val="auto"/>
              </w:rPr>
            </w:pPr>
            <w:r>
              <w:rPr>
                <w:rFonts w:ascii="Arial" w:cs="Arial" w:eastAsia="Arial" w:hAnsi="Arial"/>
                <w:sz w:val="15"/>
                <w:szCs w:val="15"/>
                <w:color w:val="auto"/>
                <w:w w:val="99"/>
              </w:rPr>
              <w:t>75%</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89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6985"/>
                    </a:xfrm>
                    <a:prstGeom prst="rect">
                      <a:avLst/>
                    </a:prstGeom>
                    <a:noFill/>
                  </pic:spPr>
                </pic:pic>
              </a:graphicData>
            </a:graphic>
          </wp:anchor>
        </w:drawing>
      </w:r>
    </w:p>
    <w:p>
      <w:pPr>
        <w:spacing w:after="0" w:line="101" w:lineRule="exact"/>
        <w:rPr>
          <w:sz w:val="20"/>
          <w:szCs w:val="20"/>
          <w:color w:val="auto"/>
        </w:rPr>
      </w:pPr>
    </w:p>
    <w:p>
      <w:pPr>
        <w:ind w:left="330" w:hanging="330"/>
        <w:spacing w:after="0"/>
        <w:tabs>
          <w:tab w:leader="none" w:pos="33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 reconciliation of global Incentive Adjusted EBITDA for the year ended December 31, 2013 to net income is set forth below (dollars are in millions):</w:t>
      </w:r>
    </w:p>
    <w:tbl>
      <w:tblPr>
        <w:tblLayout w:type="fixed"/>
        <w:tblInd w:w="1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9420" w:type="dxa"/>
            <w:vAlign w:val="bottom"/>
            <w:tcBorders>
              <w:right w:val="single" w:sz="8" w:color="D8D8D8"/>
            </w:tcBorders>
            <w:gridSpan w:val="2"/>
            <w:shd w:val="clear" w:color="auto" w:fill="D8D8D8"/>
          </w:tcPr>
          <w:p>
            <w:pPr>
              <w:spacing w:after="0" w:line="125" w:lineRule="exact"/>
              <w:rPr>
                <w:sz w:val="20"/>
                <w:szCs w:val="20"/>
                <w:color w:val="auto"/>
              </w:rPr>
            </w:pPr>
            <w:r>
              <w:rPr>
                <w:rFonts w:ascii="Arial" w:cs="Arial" w:eastAsia="Arial" w:hAnsi="Arial"/>
                <w:sz w:val="11"/>
                <w:szCs w:val="11"/>
                <w:color w:val="auto"/>
              </w:rPr>
              <w:t>Incentive Adjusted EBITDA (for 2013 annual incentive)</w:t>
            </w:r>
          </w:p>
        </w:tc>
        <w:tc>
          <w:tcPr>
            <w:tcW w:w="1180" w:type="dxa"/>
            <w:vAlign w:val="bottom"/>
            <w:gridSpan w:val="2"/>
            <w:shd w:val="clear" w:color="auto" w:fill="D8D8D8"/>
          </w:tcPr>
          <w:p>
            <w:pPr>
              <w:jc w:val="right"/>
              <w:ind w:right="109"/>
              <w:spacing w:after="0" w:line="125"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D8D8D8"/>
          </w:tcPr>
          <w:p>
            <w:pPr>
              <w:jc w:val="right"/>
              <w:ind w:right="120"/>
              <w:spacing w:after="0" w:line="125" w:lineRule="exact"/>
              <w:rPr>
                <w:sz w:val="20"/>
                <w:szCs w:val="20"/>
                <w:color w:val="auto"/>
              </w:rPr>
            </w:pPr>
            <w:r>
              <w:rPr>
                <w:rFonts w:ascii="Arial" w:cs="Arial" w:eastAsia="Arial" w:hAnsi="Arial"/>
                <w:sz w:val="11"/>
                <w:szCs w:val="11"/>
                <w:color w:val="auto"/>
              </w:rPr>
              <w:t>746</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0" w:type="dxa"/>
            <w:vAlign w:val="bottom"/>
            <w:gridSpan w:val="2"/>
          </w:tcPr>
          <w:p>
            <w:pPr>
              <w:spacing w:after="0"/>
              <w:rPr>
                <w:sz w:val="20"/>
                <w:szCs w:val="20"/>
                <w:color w:val="auto"/>
              </w:rPr>
            </w:pPr>
            <w:r>
              <w:rPr>
                <w:rFonts w:ascii="Arial" w:cs="Arial" w:eastAsia="Arial" w:hAnsi="Arial"/>
                <w:sz w:val="11"/>
                <w:szCs w:val="11"/>
                <w:color w:val="auto"/>
              </w:rPr>
              <w:t>Plus:</w:t>
            </w:r>
          </w:p>
        </w:tc>
        <w:tc>
          <w:tcPr>
            <w:tcW w:w="9120" w:type="dxa"/>
            <w:vAlign w:val="bottom"/>
          </w:tcPr>
          <w:p>
            <w:pPr>
              <w:ind w:left="40"/>
              <w:spacing w:after="0"/>
              <w:rPr>
                <w:sz w:val="20"/>
                <w:szCs w:val="20"/>
                <w:color w:val="auto"/>
              </w:rPr>
            </w:pPr>
            <w:r>
              <w:rPr>
                <w:rFonts w:ascii="Arial" w:cs="Arial" w:eastAsia="Arial" w:hAnsi="Arial"/>
                <w:sz w:val="11"/>
                <w:szCs w:val="11"/>
                <w:color w:val="auto"/>
              </w:rPr>
              <w:t>Incentive Adjusted EBITDA contribution from Zipcar</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25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shd w:val="clear" w:color="auto" w:fill="D8D8D8"/>
          </w:tcPr>
          <w:p>
            <w:pPr>
              <w:spacing w:after="0"/>
              <w:rPr>
                <w:sz w:val="10"/>
                <w:szCs w:val="10"/>
                <w:color w:val="auto"/>
              </w:rPr>
            </w:pPr>
          </w:p>
        </w:tc>
        <w:tc>
          <w:tcPr>
            <w:tcW w:w="9120" w:type="dxa"/>
            <w:vAlign w:val="bottom"/>
            <w:tcBorders>
              <w:right w:val="single" w:sz="8" w:color="D8D8D8"/>
            </w:tcBorders>
            <w:shd w:val="clear" w:color="auto" w:fill="D8D8D8"/>
          </w:tcPr>
          <w:p>
            <w:pPr>
              <w:ind w:left="500"/>
              <w:spacing w:after="0" w:line="124" w:lineRule="exact"/>
              <w:rPr>
                <w:sz w:val="20"/>
                <w:szCs w:val="20"/>
                <w:color w:val="auto"/>
              </w:rPr>
            </w:pPr>
            <w:r>
              <w:rPr>
                <w:rFonts w:ascii="Arial" w:cs="Arial" w:eastAsia="Arial" w:hAnsi="Arial"/>
                <w:sz w:val="11"/>
                <w:szCs w:val="11"/>
                <w:color w:val="auto"/>
              </w:rPr>
              <w:t>Incentive Adjusted EBITDA contribution from other significant transactions</w:t>
            </w:r>
          </w:p>
        </w:tc>
        <w:tc>
          <w:tcPr>
            <w:tcW w:w="96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46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(2)</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440" w:type="dxa"/>
            <w:vAlign w:val="bottom"/>
            <w:gridSpan w:val="3"/>
          </w:tcPr>
          <w:p>
            <w:pPr>
              <w:spacing w:after="0"/>
              <w:rPr>
                <w:sz w:val="20"/>
                <w:szCs w:val="20"/>
                <w:color w:val="auto"/>
              </w:rPr>
            </w:pPr>
            <w:r>
              <w:rPr>
                <w:rFonts w:ascii="Arial" w:cs="Arial" w:eastAsia="Arial" w:hAnsi="Arial"/>
                <w:sz w:val="11"/>
                <w:szCs w:val="11"/>
                <w:color w:val="auto"/>
              </w:rPr>
              <w:t>Incentive Adjusted EBITDA</w:t>
            </w:r>
          </w:p>
        </w:tc>
        <w:tc>
          <w:tcPr>
            <w:tcW w:w="960" w:type="dxa"/>
            <w:vAlign w:val="bottom"/>
          </w:tcPr>
          <w:p>
            <w:pPr>
              <w:spacing w:after="0"/>
              <w:rPr>
                <w:sz w:val="10"/>
                <w:szCs w:val="10"/>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769</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D8D8D8"/>
          </w:tcPr>
          <w:p>
            <w:pPr>
              <w:spacing w:after="0"/>
              <w:rPr>
                <w:sz w:val="20"/>
                <w:szCs w:val="20"/>
                <w:color w:val="auto"/>
              </w:rPr>
            </w:pPr>
            <w:r>
              <w:rPr>
                <w:rFonts w:ascii="Arial" w:cs="Arial" w:eastAsia="Arial" w:hAnsi="Arial"/>
                <w:sz w:val="11"/>
                <w:szCs w:val="11"/>
                <w:color w:val="auto"/>
              </w:rPr>
              <w:t>Less:</w:t>
            </w:r>
          </w:p>
        </w:tc>
        <w:tc>
          <w:tcPr>
            <w:tcW w:w="9120" w:type="dxa"/>
            <w:vAlign w:val="bottom"/>
            <w:tcBorders>
              <w:right w:val="single" w:sz="8" w:color="D8D8D8"/>
            </w:tcBorders>
            <w:shd w:val="clear" w:color="auto" w:fill="D8D8D8"/>
          </w:tcPr>
          <w:p>
            <w:pPr>
              <w:ind w:left="60"/>
              <w:spacing w:after="0"/>
              <w:rPr>
                <w:sz w:val="20"/>
                <w:szCs w:val="20"/>
                <w:color w:val="auto"/>
              </w:rPr>
            </w:pPr>
            <w:r>
              <w:rPr>
                <w:rFonts w:ascii="Arial" w:cs="Arial" w:eastAsia="Arial" w:hAnsi="Arial"/>
                <w:sz w:val="11"/>
                <w:szCs w:val="11"/>
                <w:color w:val="auto"/>
              </w:rPr>
              <w:t>Non-vehicle depreciation and amortization</w:t>
            </w:r>
          </w:p>
        </w:tc>
        <w:tc>
          <w:tcPr>
            <w:tcW w:w="96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460" w:type="dxa"/>
            <w:vAlign w:val="bottom"/>
            <w:gridSpan w:val="2"/>
            <w:shd w:val="clear" w:color="auto" w:fill="D8D8D8"/>
          </w:tcPr>
          <w:p>
            <w:pPr>
              <w:jc w:val="right"/>
              <w:ind w:right="120"/>
              <w:spacing w:after="0"/>
              <w:rPr>
                <w:sz w:val="20"/>
                <w:szCs w:val="20"/>
                <w:color w:val="auto"/>
              </w:rPr>
            </w:pPr>
            <w:r>
              <w:rPr>
                <w:rFonts w:ascii="Arial" w:cs="Arial" w:eastAsia="Arial" w:hAnsi="Arial"/>
                <w:sz w:val="11"/>
                <w:szCs w:val="11"/>
                <w:color w:val="auto"/>
              </w:rPr>
              <w:t>152</w:t>
            </w:r>
          </w:p>
        </w:tc>
        <w:tc>
          <w:tcPr>
            <w:tcW w:w="3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120" w:type="dxa"/>
            <w:vAlign w:val="bottom"/>
          </w:tcPr>
          <w:p>
            <w:pPr>
              <w:ind w:left="500"/>
              <w:spacing w:after="0" w:line="124" w:lineRule="exact"/>
              <w:rPr>
                <w:sz w:val="20"/>
                <w:szCs w:val="20"/>
                <w:color w:val="auto"/>
              </w:rPr>
            </w:pPr>
            <w:r>
              <w:rPr>
                <w:rFonts w:ascii="Arial" w:cs="Arial" w:eastAsia="Arial" w:hAnsi="Arial"/>
                <w:sz w:val="11"/>
                <w:szCs w:val="11"/>
                <w:color w:val="auto"/>
              </w:rPr>
              <w:t>Interest expense related to corporate debt, net</w:t>
            </w: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228</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shd w:val="clear" w:color="auto" w:fill="D8D8D8"/>
          </w:tcPr>
          <w:p>
            <w:pPr>
              <w:spacing w:after="0"/>
              <w:rPr>
                <w:sz w:val="10"/>
                <w:szCs w:val="10"/>
                <w:color w:val="auto"/>
              </w:rPr>
            </w:pPr>
          </w:p>
        </w:tc>
        <w:tc>
          <w:tcPr>
            <w:tcW w:w="9120" w:type="dxa"/>
            <w:vAlign w:val="bottom"/>
            <w:tcBorders>
              <w:right w:val="single" w:sz="8" w:color="D8D8D8"/>
            </w:tcBorders>
            <w:shd w:val="clear" w:color="auto" w:fill="D8D8D8"/>
          </w:tcPr>
          <w:p>
            <w:pPr>
              <w:ind w:left="500"/>
              <w:spacing w:after="0" w:line="124" w:lineRule="exact"/>
              <w:rPr>
                <w:sz w:val="20"/>
                <w:szCs w:val="20"/>
                <w:color w:val="auto"/>
              </w:rPr>
            </w:pPr>
            <w:r>
              <w:rPr>
                <w:rFonts w:ascii="Arial" w:cs="Arial" w:eastAsia="Arial" w:hAnsi="Arial"/>
                <w:sz w:val="11"/>
                <w:szCs w:val="11"/>
                <w:color w:val="auto"/>
              </w:rPr>
              <w:t>Early extinguishment of debt</w:t>
            </w:r>
          </w:p>
        </w:tc>
        <w:tc>
          <w:tcPr>
            <w:tcW w:w="96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46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147</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120" w:type="dxa"/>
            <w:vAlign w:val="bottom"/>
          </w:tcPr>
          <w:p>
            <w:pPr>
              <w:ind w:left="500"/>
              <w:spacing w:after="0" w:line="124" w:lineRule="exact"/>
              <w:rPr>
                <w:sz w:val="20"/>
                <w:szCs w:val="20"/>
                <w:color w:val="auto"/>
              </w:rPr>
            </w:pPr>
            <w:r>
              <w:rPr>
                <w:rFonts w:ascii="Arial" w:cs="Arial" w:eastAsia="Arial" w:hAnsi="Arial"/>
                <w:sz w:val="11"/>
                <w:szCs w:val="11"/>
                <w:color w:val="auto"/>
              </w:rPr>
              <w:t>Restructuring expense</w:t>
            </w: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61</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shd w:val="clear" w:color="auto" w:fill="D8D8D8"/>
          </w:tcPr>
          <w:p>
            <w:pPr>
              <w:spacing w:after="0"/>
              <w:rPr>
                <w:sz w:val="10"/>
                <w:szCs w:val="10"/>
                <w:color w:val="auto"/>
              </w:rPr>
            </w:pPr>
          </w:p>
        </w:tc>
        <w:tc>
          <w:tcPr>
            <w:tcW w:w="9120" w:type="dxa"/>
            <w:vAlign w:val="bottom"/>
            <w:tcBorders>
              <w:right w:val="single" w:sz="8" w:color="D8D8D8"/>
            </w:tcBorders>
            <w:shd w:val="clear" w:color="auto" w:fill="D8D8D8"/>
          </w:tcPr>
          <w:p>
            <w:pPr>
              <w:ind w:left="500"/>
              <w:spacing w:after="0" w:line="124" w:lineRule="exact"/>
              <w:rPr>
                <w:sz w:val="20"/>
                <w:szCs w:val="20"/>
                <w:color w:val="auto"/>
              </w:rPr>
            </w:pPr>
            <w:r>
              <w:rPr>
                <w:rFonts w:ascii="Arial" w:cs="Arial" w:eastAsia="Arial" w:hAnsi="Arial"/>
                <w:sz w:val="11"/>
                <w:szCs w:val="11"/>
                <w:color w:val="auto"/>
              </w:rPr>
              <w:t>Transaction-related costs</w:t>
            </w:r>
          </w:p>
        </w:tc>
        <w:tc>
          <w:tcPr>
            <w:tcW w:w="96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46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51</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120" w:type="dxa"/>
            <w:vAlign w:val="bottom"/>
          </w:tcPr>
          <w:p>
            <w:pPr>
              <w:ind w:left="500"/>
              <w:spacing w:after="0" w:line="124" w:lineRule="exact"/>
              <w:rPr>
                <w:sz w:val="20"/>
                <w:szCs w:val="20"/>
                <w:color w:val="auto"/>
              </w:rPr>
            </w:pPr>
            <w:r>
              <w:rPr>
                <w:rFonts w:ascii="Arial" w:cs="Arial" w:eastAsia="Arial" w:hAnsi="Arial"/>
                <w:sz w:val="11"/>
                <w:szCs w:val="11"/>
                <w:color w:val="auto"/>
              </w:rPr>
              <w:t>Impairment</w:t>
            </w:r>
          </w:p>
        </w:tc>
        <w:tc>
          <w:tcPr>
            <w:tcW w:w="9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33</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20" w:type="dxa"/>
            <w:vAlign w:val="bottom"/>
            <w:tcBorders>
              <w:right w:val="single" w:sz="8" w:color="D8D8D8"/>
            </w:tcBorders>
            <w:gridSpan w:val="2"/>
            <w:shd w:val="clear" w:color="auto" w:fill="D8D8D8"/>
          </w:tcPr>
          <w:p>
            <w:pPr>
              <w:spacing w:after="0" w:line="124" w:lineRule="exact"/>
              <w:rPr>
                <w:sz w:val="20"/>
                <w:szCs w:val="20"/>
                <w:color w:val="auto"/>
              </w:rPr>
            </w:pPr>
            <w:r>
              <w:rPr>
                <w:rFonts w:ascii="Arial" w:cs="Arial" w:eastAsia="Arial" w:hAnsi="Arial"/>
                <w:sz w:val="11"/>
                <w:szCs w:val="11"/>
                <w:color w:val="auto"/>
              </w:rPr>
              <w:t>Income before income taxes</w:t>
            </w:r>
          </w:p>
        </w:tc>
        <w:tc>
          <w:tcPr>
            <w:tcW w:w="1180" w:type="dxa"/>
            <w:vAlign w:val="bottom"/>
            <w:gridSpan w:val="2"/>
            <w:shd w:val="clear" w:color="auto" w:fill="D8D8D8"/>
          </w:tcPr>
          <w:p>
            <w:pPr>
              <w:jc w:val="right"/>
              <w:ind w:right="109"/>
              <w:spacing w:after="0" w:line="124"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97</w:t>
            </w: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rPr>
                <w:sz w:val="20"/>
                <w:szCs w:val="20"/>
                <w:color w:val="auto"/>
              </w:rPr>
            </w:pPr>
            <w:r>
              <w:rPr>
                <w:rFonts w:ascii="Arial" w:cs="Arial" w:eastAsia="Arial" w:hAnsi="Arial"/>
                <w:sz w:val="11"/>
                <w:szCs w:val="11"/>
                <w:color w:val="auto"/>
              </w:rPr>
              <w:t>Less:</w:t>
            </w:r>
          </w:p>
        </w:tc>
        <w:tc>
          <w:tcPr>
            <w:tcW w:w="9120" w:type="dxa"/>
            <w:vAlign w:val="bottom"/>
          </w:tcPr>
          <w:p>
            <w:pPr>
              <w:ind w:left="60"/>
              <w:spacing w:after="0"/>
              <w:rPr>
                <w:sz w:val="20"/>
                <w:szCs w:val="20"/>
                <w:color w:val="auto"/>
              </w:rPr>
            </w:pPr>
            <w:r>
              <w:rPr>
                <w:rFonts w:ascii="Arial" w:cs="Arial" w:eastAsia="Arial" w:hAnsi="Arial"/>
                <w:sz w:val="11"/>
                <w:szCs w:val="11"/>
                <w:color w:val="auto"/>
              </w:rPr>
              <w:t>Provision for income taxes</w:t>
            </w: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20" w:type="dxa"/>
            <w:vAlign w:val="bottom"/>
            <w:tcBorders>
              <w:right w:val="single" w:sz="8" w:color="D8D8D8"/>
            </w:tcBorders>
            <w:gridSpan w:val="2"/>
            <w:shd w:val="clear" w:color="auto" w:fill="D8D8D8"/>
          </w:tcPr>
          <w:p>
            <w:pPr>
              <w:spacing w:after="0" w:line="124" w:lineRule="exact"/>
              <w:rPr>
                <w:sz w:val="20"/>
                <w:szCs w:val="20"/>
                <w:color w:val="auto"/>
              </w:rPr>
            </w:pPr>
            <w:r>
              <w:rPr>
                <w:rFonts w:ascii="Arial" w:cs="Arial" w:eastAsia="Arial" w:hAnsi="Arial"/>
                <w:sz w:val="11"/>
                <w:szCs w:val="11"/>
                <w:color w:val="auto"/>
              </w:rPr>
              <w:t>Net income</w:t>
            </w:r>
          </w:p>
        </w:tc>
        <w:tc>
          <w:tcPr>
            <w:tcW w:w="960" w:type="dxa"/>
            <w:vAlign w:val="bottom"/>
            <w:shd w:val="clear" w:color="auto" w:fill="D8D8D8"/>
          </w:tcPr>
          <w:p>
            <w:pPr>
              <w:spacing w:after="0"/>
              <w:rPr>
                <w:sz w:val="10"/>
                <w:szCs w:val="10"/>
                <w:color w:val="auto"/>
              </w:rPr>
            </w:pPr>
          </w:p>
        </w:tc>
        <w:tc>
          <w:tcPr>
            <w:tcW w:w="220" w:type="dxa"/>
            <w:vAlign w:val="bottom"/>
            <w:tcBorders>
              <w:bottom w:val="single" w:sz="8" w:color="auto"/>
            </w:tcBorders>
            <w:shd w:val="clear" w:color="auto" w:fill="D8D8D8"/>
          </w:tcPr>
          <w:p>
            <w:pPr>
              <w:jc w:val="right"/>
              <w:ind w:right="109"/>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D8D8D8"/>
          </w:tcPr>
          <w:p>
            <w:pPr>
              <w:jc w:val="right"/>
              <w:spacing w:after="0" w:line="124" w:lineRule="exact"/>
              <w:rPr>
                <w:sz w:val="20"/>
                <w:szCs w:val="20"/>
                <w:color w:val="auto"/>
              </w:rPr>
            </w:pPr>
            <w:r>
              <w:rPr>
                <w:rFonts w:ascii="Arial" w:cs="Arial" w:eastAsia="Arial" w:hAnsi="Arial"/>
                <w:sz w:val="11"/>
                <w:szCs w:val="11"/>
                <w:color w:val="auto"/>
              </w:rPr>
              <w:t>16</w:t>
            </w:r>
          </w:p>
        </w:tc>
        <w:tc>
          <w:tcPr>
            <w:tcW w:w="120" w:type="dxa"/>
            <w:vAlign w:val="bottom"/>
            <w:shd w:val="clear" w:color="auto" w:fill="D8D8D8"/>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640" w:type="dxa"/>
            <w:vAlign w:val="bottom"/>
            <w:gridSpan w:val="4"/>
            <w:vMerge w:val="restart"/>
          </w:tcPr>
          <w:p>
            <w:pPr>
              <w:jc w:val="right"/>
              <w:ind w:right="140"/>
              <w:spacing w:after="0"/>
              <w:rPr>
                <w:sz w:val="20"/>
                <w:szCs w:val="20"/>
                <w:color w:val="auto"/>
              </w:rPr>
            </w:pPr>
            <w:r>
              <w:rPr>
                <w:rFonts w:ascii="Arial" w:cs="Arial" w:eastAsia="Arial" w:hAnsi="Arial"/>
                <w:sz w:val="15"/>
                <w:szCs w:val="15"/>
                <w:i w:val="1"/>
                <w:iCs w:val="1"/>
                <w:color w:val="auto"/>
                <w:w w:val="99"/>
              </w:rPr>
              <w:t>2014 Proxy Statement</w:t>
            </w: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20" w:type="dxa"/>
            <w:vAlign w:val="bottom"/>
            <w:tcBorders>
              <w:right w:val="single" w:sz="8" w:color="auto"/>
            </w:tcBorders>
          </w:tcPr>
          <w:p>
            <w:pPr>
              <w:spacing w:after="0"/>
              <w:rPr>
                <w:sz w:val="17"/>
                <w:szCs w:val="17"/>
                <w:color w:val="auto"/>
              </w:rPr>
            </w:pPr>
          </w:p>
        </w:tc>
        <w:tc>
          <w:tcPr>
            <w:tcW w:w="1640" w:type="dxa"/>
            <w:vAlign w:val="bottom"/>
            <w:gridSpan w:val="4"/>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-1149985</wp:posOffset>
            </wp:positionV>
            <wp:extent cx="215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-549910</wp:posOffset>
            </wp:positionV>
            <wp:extent cx="215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-342265</wp:posOffset>
            </wp:positionV>
            <wp:extent cx="215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-249555</wp:posOffset>
            </wp:positionV>
            <wp:extent cx="215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-234950</wp:posOffset>
            </wp:positionV>
            <wp:extent cx="215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-142240</wp:posOffset>
            </wp:positionV>
            <wp:extent cx="85788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type w:val="continuous"/>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EXECUTIVE COMPENSATION</w:t>
      </w:r>
    </w:p>
    <w:p>
      <w:pPr>
        <w:sectPr>
          <w:pgSz w:w="11900" w:h="16838" w:orient="portrait"/>
          <w:cols w:equalWidth="0" w:num="1">
            <w:col w:w="11440"/>
          </w:cols>
          <w:pgMar w:left="240" w:top="407" w:right="21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Incentive Awards for our CFO and Regional Presidents</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Awards granted to our CFO and our Regional Presidents under our 2013 long-term incentive program (the “2013 LTIP”) had grant date fair values ranging from $1.1 million to $1.3 million. Such values represented an overall reduction in long-term incentives compared to 2012, due to the grant of special three-year performance awards in 2012 to such officers. Excluding the impact of such special performance awards, grant date fair values increased compared to 2012 due to the introduction of an above-target opportunity. The Committee approved such incremental opportunity following a review of practices of the Peer Group (as described in “Consideration of Peer Groups and Survey Data”). Fifty percent of the target 2013 LTIP awards consisted of time-based RSUs, which are scheduled to vest one-third on each of the first three anniversaries of the date of grant, and fifty percent consisted of PSUs, which are scheduled to vest on the third anniversary of the date of grant based on achievement of Incentive Adjusted EBITDA and Relative TSR goals. Vesting of both the RSUs and PSUs generally is subject to continued employment.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factors were reviewed to determine the appropriate type of equity to be granted: perceived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value to award recipients to effect retention goals, a general review of peer practices, potential dilution and projected expense balanced with the value delivered to award recipients. Based on an analysis of these factors, the Committee determined that an equal mix, at target, of performance-based and time-based restricted stock units would:</w:t>
      </w:r>
    </w:p>
    <w:p>
      <w:pPr>
        <w:spacing w:after="0" w:line="60" w:lineRule="exact"/>
        <w:rPr>
          <w:sz w:val="20"/>
          <w:szCs w:val="20"/>
          <w:color w:val="auto"/>
        </w:rPr>
      </w:pPr>
    </w:p>
    <w:p>
      <w:pPr>
        <w:ind w:left="200" w:right="1000" w:hanging="197"/>
        <w:spacing w:after="0"/>
        <w:tabs>
          <w:tab w:leader="none" w:pos="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align incentives with stockholders’ focus on profitability and financial performance;</w:t>
      </w:r>
    </w:p>
    <w:p>
      <w:pPr>
        <w:spacing w:after="0" w:line="60" w:lineRule="exact"/>
        <w:rPr>
          <w:rFonts w:ascii="Arial" w:cs="Arial" w:eastAsia="Arial" w:hAnsi="Arial"/>
          <w:sz w:val="15"/>
          <w:szCs w:val="15"/>
          <w:color w:val="auto"/>
        </w:rPr>
      </w:pPr>
    </w:p>
    <w:p>
      <w:pPr>
        <w:ind w:left="200" w:right="400" w:hanging="197"/>
        <w:spacing w:after="0"/>
        <w:tabs>
          <w:tab w:leader="none" w:pos="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reflect the relevant decision-making impact of the individual and the impact of those decisions on the Company; and</w:t>
      </w:r>
    </w:p>
    <w:p>
      <w:pPr>
        <w:spacing w:after="0" w:line="60" w:lineRule="exact"/>
        <w:rPr>
          <w:rFonts w:ascii="Arial" w:cs="Arial" w:eastAsia="Arial" w:hAnsi="Arial"/>
          <w:sz w:val="15"/>
          <w:szCs w:val="15"/>
          <w:color w:val="auto"/>
        </w:rPr>
      </w:pPr>
    </w:p>
    <w:p>
      <w:pPr>
        <w:ind w:left="200" w:hanging="197"/>
        <w:spacing w:after="0"/>
        <w:tabs>
          <w:tab w:leader="none" w:pos="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maximize retention of key employees over the longer term.</w:t>
      </w:r>
    </w:p>
    <w:p>
      <w:pPr>
        <w:spacing w:after="0" w:line="64" w:lineRule="exact"/>
        <w:rPr>
          <w:sz w:val="20"/>
          <w:szCs w:val="20"/>
          <w:color w:val="auto"/>
        </w:rPr>
      </w:pPr>
    </w:p>
    <w:p>
      <w:pPr>
        <w:jc w:val="both"/>
        <w:ind w:right="120"/>
        <w:spacing w:after="0" w:line="236" w:lineRule="auto"/>
        <w:rPr>
          <w:sz w:val="20"/>
          <w:szCs w:val="20"/>
          <w:color w:val="auto"/>
        </w:rPr>
      </w:pPr>
      <w:r>
        <w:rPr>
          <w:rFonts w:ascii="Arial" w:cs="Arial" w:eastAsia="Arial" w:hAnsi="Arial"/>
          <w:sz w:val="15"/>
          <w:szCs w:val="15"/>
          <w:color w:val="auto"/>
        </w:rPr>
        <w:t>Incentive Adjusted EBITDA, with three-year cumulative goals, was selected as the primary performance metric for the 2013 LTIP awards due to the importance of this measure to our Company’s long-term profitable growth. Such goals were initially set in January 2013 based on the Company’s 2013 business plan, assuming a moderate three year growth rate; however, goals were later increased to reflect the Company’s acquisition of Zipcar. As a result, Zipcar’s contribution to Incentive Adjusted EBITDA will not be excluded from the three-year results for purposes of determining whether goals have been achieved.</w:t>
      </w:r>
    </w:p>
    <w:p>
      <w:pPr>
        <w:spacing w:after="0" w:line="152" w:lineRule="exact"/>
        <w:rPr>
          <w:sz w:val="20"/>
          <w:szCs w:val="20"/>
          <w:color w:val="auto"/>
        </w:rPr>
      </w:pPr>
    </w:p>
    <w:p>
      <w:pPr>
        <w:sectPr>
          <w:pgSz w:w="11900" w:h="16838" w:orient="portrait"/>
          <w:cols w:equalWidth="0" w:num="2">
            <w:col w:w="5480" w:space="360"/>
            <w:col w:w="5600"/>
          </w:cols>
          <w:pgMar w:left="240" w:top="407" w:right="219" w:bottom="1440" w:gutter="0" w:footer="0" w:header="0"/>
          <w:type w:val="continuous"/>
        </w:sectPr>
      </w:pPr>
    </w:p>
    <w:p>
      <w:pPr>
        <w:ind w:right="120"/>
        <w:spacing w:after="0"/>
        <w:rPr>
          <w:sz w:val="20"/>
          <w:szCs w:val="20"/>
          <w:color w:val="auto"/>
        </w:rPr>
      </w:pPr>
      <w:r>
        <w:rPr>
          <w:rFonts w:ascii="Arial" w:cs="Arial" w:eastAsia="Arial" w:hAnsi="Arial"/>
          <w:sz w:val="15"/>
          <w:szCs w:val="15"/>
          <w:color w:val="auto"/>
        </w:rPr>
        <w:t>Incentive Adjusted EBITDA goals for the 2013 LTIP are as follows (with straight-line interpolation used to determine the payout percentage for performance achievement above threshold but below target or maximum achievement levels, as applicable):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760" w:type="dxa"/>
            <w:vAlign w:val="bottom"/>
          </w:tcPr>
          <w:p>
            <w:pPr>
              <w:jc w:val="center"/>
              <w:ind w:left="1195"/>
              <w:spacing w:after="0"/>
              <w:rPr>
                <w:sz w:val="20"/>
                <w:szCs w:val="20"/>
                <w:color w:val="auto"/>
              </w:rPr>
            </w:pPr>
            <w:r>
              <w:rPr>
                <w:rFonts w:ascii="Arial" w:cs="Arial" w:eastAsia="Arial" w:hAnsi="Arial"/>
                <w:sz w:val="11"/>
                <w:szCs w:val="11"/>
                <w:b w:val="1"/>
                <w:bCs w:val="1"/>
                <w:color w:val="auto"/>
              </w:rPr>
              <w:t>Cumulative Three-Year Goal</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960" w:type="dxa"/>
            <w:vAlign w:val="bottom"/>
          </w:tcPr>
          <w:p>
            <w:pPr>
              <w:jc w:val="right"/>
              <w:ind w:right="1518"/>
              <w:spacing w:after="0" w:line="124" w:lineRule="exact"/>
              <w:rPr>
                <w:sz w:val="20"/>
                <w:szCs w:val="20"/>
                <w:color w:val="auto"/>
              </w:rPr>
            </w:pPr>
            <w:r>
              <w:rPr>
                <w:rFonts w:ascii="Arial" w:cs="Arial" w:eastAsia="Arial" w:hAnsi="Arial"/>
                <w:sz w:val="11"/>
                <w:szCs w:val="11"/>
                <w:b w:val="1"/>
                <w:bCs w:val="1"/>
                <w:color w:val="auto"/>
              </w:rPr>
              <w:t>Achievement Level</w:t>
            </w:r>
          </w:p>
        </w:tc>
        <w:tc>
          <w:tcPr>
            <w:tcW w:w="2760" w:type="dxa"/>
            <w:vAlign w:val="bottom"/>
          </w:tcPr>
          <w:p>
            <w:pPr>
              <w:jc w:val="center"/>
              <w:ind w:left="1175"/>
              <w:spacing w:after="0" w:line="124" w:lineRule="exact"/>
              <w:rPr>
                <w:sz w:val="20"/>
                <w:szCs w:val="20"/>
                <w:color w:val="auto"/>
              </w:rPr>
            </w:pPr>
            <w:r>
              <w:rPr>
                <w:rFonts w:ascii="Arial" w:cs="Arial" w:eastAsia="Arial" w:hAnsi="Arial"/>
                <w:sz w:val="11"/>
                <w:szCs w:val="11"/>
                <w:b w:val="1"/>
                <w:bCs w:val="1"/>
                <w:color w:val="auto"/>
              </w:rPr>
              <w:t>Incentive Adjusted EBITDA</w:t>
            </w:r>
          </w:p>
        </w:tc>
        <w:tc>
          <w:tcPr>
            <w:tcW w:w="0" w:type="dxa"/>
            <w:vAlign w:val="bottom"/>
          </w:tcPr>
          <w:p>
            <w:pPr>
              <w:spacing w:after="0"/>
              <w:rPr>
                <w:sz w:val="1"/>
                <w:szCs w:val="1"/>
                <w:color w:val="auto"/>
              </w:rPr>
            </w:pPr>
          </w:p>
        </w:tc>
      </w:tr>
      <w:tr>
        <w:trPr>
          <w:trHeight w:val="138"/>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Achievement Level</w:t>
            </w:r>
          </w:p>
        </w:tc>
        <w:tc>
          <w:tcPr>
            <w:tcW w:w="20" w:type="dxa"/>
            <w:vAlign w:val="bottom"/>
            <w:tcBorders>
              <w:bottom w:val="single" w:sz="8" w:color="auto"/>
            </w:tcBorders>
          </w:tcPr>
          <w:p>
            <w:pPr>
              <w:spacing w:after="0"/>
              <w:rPr>
                <w:sz w:val="12"/>
                <w:szCs w:val="12"/>
                <w:color w:val="auto"/>
              </w:rPr>
            </w:pPr>
          </w:p>
        </w:tc>
        <w:tc>
          <w:tcPr>
            <w:tcW w:w="6960" w:type="dxa"/>
            <w:vAlign w:val="bottom"/>
            <w:tcBorders>
              <w:bottom w:val="single" w:sz="8" w:color="auto"/>
            </w:tcBorders>
          </w:tcPr>
          <w:p>
            <w:pPr>
              <w:jc w:val="right"/>
              <w:ind w:right="1198"/>
              <w:spacing w:after="0"/>
              <w:rPr>
                <w:sz w:val="20"/>
                <w:szCs w:val="20"/>
                <w:color w:val="auto"/>
              </w:rPr>
            </w:pPr>
            <w:r>
              <w:rPr>
                <w:rFonts w:ascii="Arial" w:cs="Arial" w:eastAsia="Arial" w:hAnsi="Arial"/>
                <w:sz w:val="11"/>
                <w:szCs w:val="11"/>
                <w:b w:val="1"/>
                <w:bCs w:val="1"/>
                <w:color w:val="auto"/>
              </w:rPr>
              <w:t>(as a % of target units awarded)</w:t>
            </w:r>
          </w:p>
        </w:tc>
        <w:tc>
          <w:tcPr>
            <w:tcW w:w="2760" w:type="dxa"/>
            <w:vAlign w:val="bottom"/>
            <w:tcBorders>
              <w:bottom w:val="single" w:sz="8" w:color="auto"/>
            </w:tcBorders>
          </w:tcPr>
          <w:p>
            <w:pPr>
              <w:jc w:val="center"/>
              <w:ind w:left="1195"/>
              <w:spacing w:after="0"/>
              <w:rPr>
                <w:sz w:val="20"/>
                <w:szCs w:val="20"/>
                <w:color w:val="auto"/>
              </w:rPr>
            </w:pPr>
            <w:r>
              <w:rPr>
                <w:rFonts w:ascii="Arial" w:cs="Arial" w:eastAsia="Arial" w:hAnsi="Arial"/>
                <w:sz w:val="11"/>
                <w:szCs w:val="11"/>
                <w:b w:val="1"/>
                <w:bCs w:val="1"/>
                <w:color w:val="auto"/>
              </w:rPr>
              <w:t>(Dollars in billions)</w:t>
            </w:r>
          </w:p>
        </w:tc>
        <w:tc>
          <w:tcPr>
            <w:tcW w:w="0" w:type="dxa"/>
            <w:vAlign w:val="bottom"/>
          </w:tcPr>
          <w:p>
            <w:pPr>
              <w:spacing w:after="0"/>
              <w:rPr>
                <w:sz w:val="1"/>
                <w:szCs w:val="1"/>
                <w:color w:val="auto"/>
              </w:rPr>
            </w:pPr>
          </w:p>
        </w:tc>
      </w:tr>
      <w:tr>
        <w:trPr>
          <w:trHeight w:val="160"/>
        </w:trPr>
        <w:tc>
          <w:tcPr>
            <w:tcW w:w="17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Maximum</w:t>
            </w:r>
          </w:p>
        </w:tc>
        <w:tc>
          <w:tcPr>
            <w:tcW w:w="6980" w:type="dxa"/>
            <w:vAlign w:val="bottom"/>
            <w:gridSpan w:val="2"/>
            <w:shd w:val="clear" w:color="auto" w:fill="D8D8D8"/>
          </w:tcPr>
          <w:p>
            <w:pPr>
              <w:jc w:val="right"/>
              <w:ind w:right="1858"/>
              <w:spacing w:after="0" w:line="160" w:lineRule="exact"/>
              <w:rPr>
                <w:sz w:val="20"/>
                <w:szCs w:val="20"/>
                <w:color w:val="auto"/>
              </w:rPr>
            </w:pPr>
            <w:r>
              <w:rPr>
                <w:rFonts w:ascii="Arial" w:cs="Arial" w:eastAsia="Arial" w:hAnsi="Arial"/>
                <w:sz w:val="15"/>
                <w:szCs w:val="15"/>
                <w:color w:val="auto"/>
              </w:rPr>
              <w:t>125%</w:t>
            </w:r>
          </w:p>
        </w:tc>
        <w:tc>
          <w:tcPr>
            <w:tcW w:w="2760" w:type="dxa"/>
            <w:vAlign w:val="bottom"/>
            <w:shd w:val="clear" w:color="auto" w:fill="D8D8D8"/>
          </w:tcPr>
          <w:p>
            <w:pPr>
              <w:jc w:val="center"/>
              <w:ind w:left="1175"/>
              <w:spacing w:after="0" w:line="160" w:lineRule="exact"/>
              <w:rPr>
                <w:sz w:val="20"/>
                <w:szCs w:val="20"/>
                <w:color w:val="auto"/>
              </w:rPr>
            </w:pPr>
            <w:r>
              <w:rPr>
                <w:rFonts w:ascii="Arial" w:cs="Arial" w:eastAsia="Arial" w:hAnsi="Arial"/>
                <w:sz w:val="15"/>
                <w:szCs w:val="15"/>
                <w:color w:val="auto"/>
                <w:w w:val="95"/>
              </w:rPr>
              <w:t>$2.675</w:t>
            </w:r>
          </w:p>
        </w:tc>
        <w:tc>
          <w:tcPr>
            <w:tcW w:w="0" w:type="dxa"/>
            <w:vAlign w:val="bottom"/>
          </w:tcPr>
          <w:p>
            <w:pPr>
              <w:spacing w:after="0"/>
              <w:rPr>
                <w:sz w:val="1"/>
                <w:szCs w:val="1"/>
                <w:color w:val="auto"/>
              </w:rPr>
            </w:pP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Target</w:t>
            </w:r>
          </w:p>
        </w:tc>
        <w:tc>
          <w:tcPr>
            <w:tcW w:w="6980" w:type="dxa"/>
            <w:vAlign w:val="bottom"/>
            <w:gridSpan w:val="2"/>
          </w:tcPr>
          <w:p>
            <w:pPr>
              <w:jc w:val="right"/>
              <w:ind w:right="1858"/>
              <w:spacing w:after="0" w:line="169" w:lineRule="exact"/>
              <w:rPr>
                <w:sz w:val="20"/>
                <w:szCs w:val="20"/>
                <w:color w:val="auto"/>
              </w:rPr>
            </w:pPr>
            <w:r>
              <w:rPr>
                <w:rFonts w:ascii="Arial" w:cs="Arial" w:eastAsia="Arial" w:hAnsi="Arial"/>
                <w:sz w:val="15"/>
                <w:szCs w:val="15"/>
                <w:color w:val="auto"/>
              </w:rPr>
              <w:t>100%</w:t>
            </w:r>
          </w:p>
        </w:tc>
        <w:tc>
          <w:tcPr>
            <w:tcW w:w="2760" w:type="dxa"/>
            <w:vAlign w:val="bottom"/>
          </w:tcPr>
          <w:p>
            <w:pPr>
              <w:jc w:val="center"/>
              <w:ind w:left="1175"/>
              <w:spacing w:after="0" w:line="169" w:lineRule="exact"/>
              <w:rPr>
                <w:sz w:val="20"/>
                <w:szCs w:val="20"/>
                <w:color w:val="auto"/>
              </w:rPr>
            </w:pPr>
            <w:r>
              <w:rPr>
                <w:rFonts w:ascii="Arial" w:cs="Arial" w:eastAsia="Arial" w:hAnsi="Arial"/>
                <w:sz w:val="15"/>
                <w:szCs w:val="15"/>
                <w:color w:val="auto"/>
                <w:w w:val="95"/>
              </w:rPr>
              <w:t>$2.432</w:t>
            </w: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shd w:val="clear" w:color="auto" w:fill="D8D8D8"/>
          </w:tcPr>
          <w:p>
            <w:pPr>
              <w:spacing w:after="0" w:line="169" w:lineRule="exact"/>
              <w:rPr>
                <w:sz w:val="20"/>
                <w:szCs w:val="20"/>
                <w:color w:val="auto"/>
              </w:rPr>
            </w:pPr>
            <w:r>
              <w:rPr>
                <w:rFonts w:ascii="Arial" w:cs="Arial" w:eastAsia="Arial" w:hAnsi="Arial"/>
                <w:sz w:val="15"/>
                <w:szCs w:val="15"/>
                <w:color w:val="auto"/>
              </w:rPr>
              <w:t>Threshold</w:t>
            </w:r>
          </w:p>
        </w:tc>
        <w:tc>
          <w:tcPr>
            <w:tcW w:w="6980" w:type="dxa"/>
            <w:vAlign w:val="bottom"/>
            <w:tcBorders>
              <w:bottom w:val="single" w:sz="8" w:color="auto"/>
            </w:tcBorders>
            <w:gridSpan w:val="2"/>
            <w:shd w:val="clear" w:color="auto" w:fill="D8D8D8"/>
          </w:tcPr>
          <w:p>
            <w:pPr>
              <w:jc w:val="right"/>
              <w:ind w:right="1858"/>
              <w:spacing w:after="0" w:line="169" w:lineRule="exact"/>
              <w:rPr>
                <w:sz w:val="20"/>
                <w:szCs w:val="20"/>
                <w:color w:val="auto"/>
              </w:rPr>
            </w:pPr>
            <w:r>
              <w:rPr>
                <w:rFonts w:ascii="Arial" w:cs="Arial" w:eastAsia="Arial" w:hAnsi="Arial"/>
                <w:sz w:val="15"/>
                <w:szCs w:val="15"/>
                <w:color w:val="auto"/>
              </w:rPr>
              <w:t>50%</w:t>
            </w:r>
          </w:p>
        </w:tc>
        <w:tc>
          <w:tcPr>
            <w:tcW w:w="2760" w:type="dxa"/>
            <w:vAlign w:val="bottom"/>
            <w:tcBorders>
              <w:bottom w:val="single" w:sz="8" w:color="auto"/>
            </w:tcBorders>
            <w:shd w:val="clear" w:color="auto" w:fill="D8D8D8"/>
          </w:tcPr>
          <w:p>
            <w:pPr>
              <w:jc w:val="center"/>
              <w:ind w:left="1175"/>
              <w:spacing w:after="0" w:line="169" w:lineRule="exact"/>
              <w:rPr>
                <w:sz w:val="20"/>
                <w:szCs w:val="20"/>
                <w:color w:val="auto"/>
              </w:rPr>
            </w:pPr>
            <w:r>
              <w:rPr>
                <w:rFonts w:ascii="Arial" w:cs="Arial" w:eastAsia="Arial" w:hAnsi="Arial"/>
                <w:sz w:val="15"/>
                <w:szCs w:val="15"/>
                <w:color w:val="auto"/>
                <w:w w:val="95"/>
              </w:rPr>
              <w:t>$2.189</w:t>
            </w:r>
          </w:p>
        </w:tc>
        <w:tc>
          <w:tcPr>
            <w:tcW w:w="0" w:type="dxa"/>
            <w:vAlign w:val="bottom"/>
          </w:tcPr>
          <w:p>
            <w:pPr>
              <w:spacing w:after="0"/>
              <w:rPr>
                <w:sz w:val="1"/>
                <w:szCs w:val="1"/>
                <w:color w:val="auto"/>
              </w:rPr>
            </w:pPr>
          </w:p>
        </w:tc>
      </w:tr>
      <w:tr>
        <w:trPr>
          <w:trHeight w:val="115"/>
        </w:trPr>
        <w:tc>
          <w:tcPr>
            <w:tcW w:w="1700" w:type="dxa"/>
            <w:vAlign w:val="bottom"/>
            <w:vMerge w:val="restart"/>
          </w:tcPr>
          <w:p>
            <w:pPr>
              <w:spacing w:after="0"/>
              <w:rPr>
                <w:sz w:val="20"/>
                <w:szCs w:val="20"/>
                <w:color w:val="auto"/>
              </w:rPr>
            </w:pPr>
            <w:r>
              <w:rPr>
                <w:rFonts w:ascii="Arial" w:cs="Arial" w:eastAsia="Arial" w:hAnsi="Arial"/>
                <w:sz w:val="15"/>
                <w:szCs w:val="15"/>
                <w:b w:val="1"/>
                <w:bCs w:val="1"/>
                <w:color w:val="auto"/>
              </w:rPr>
              <w:t>24</w:t>
            </w:r>
          </w:p>
        </w:tc>
        <w:tc>
          <w:tcPr>
            <w:tcW w:w="20" w:type="dxa"/>
            <w:vAlign w:val="bottom"/>
          </w:tcPr>
          <w:p>
            <w:pPr>
              <w:spacing w:after="0"/>
              <w:rPr>
                <w:sz w:val="10"/>
                <w:szCs w:val="10"/>
                <w:color w:val="auto"/>
              </w:rPr>
            </w:pPr>
          </w:p>
        </w:tc>
        <w:tc>
          <w:tcPr>
            <w:tcW w:w="6960" w:type="dxa"/>
            <w:vAlign w:val="bottom"/>
            <w:vMerge w:val="restart"/>
          </w:tcPr>
          <w:p>
            <w:pPr>
              <w:jc w:val="right"/>
              <w:ind w:right="5338"/>
              <w:spacing w:after="0"/>
              <w:rPr>
                <w:sz w:val="20"/>
                <w:szCs w:val="20"/>
                <w:color w:val="auto"/>
              </w:rPr>
            </w:pPr>
            <w:r>
              <w:rPr>
                <w:rFonts w:ascii="Arial" w:cs="Arial" w:eastAsia="Arial" w:hAnsi="Arial"/>
                <w:sz w:val="15"/>
                <w:szCs w:val="15"/>
                <w:i w:val="1"/>
                <w:iCs w:val="1"/>
                <w:color w:val="auto"/>
              </w:rPr>
              <w:t>2014 Proxy Statement</w:t>
            </w: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7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960" w:type="dxa"/>
            <w:vAlign w:val="bottom"/>
            <w:vMerge w:val="continue"/>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-142240</wp:posOffset>
            </wp:positionV>
            <wp:extent cx="857885"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type w:val="continuous"/>
        </w:sectPr>
      </w:pPr>
    </w:p>
    <w:bookmarkStart w:id="30" w:name="page31"/>
    <w:bookmarkEnd w:id="3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right="240"/>
        <w:spacing w:after="0" w:line="237" w:lineRule="auto"/>
        <w:rPr>
          <w:sz w:val="20"/>
          <w:szCs w:val="20"/>
          <w:color w:val="auto"/>
        </w:rPr>
      </w:pPr>
      <w:r>
        <w:rPr>
          <w:rFonts w:ascii="Arial" w:cs="Arial" w:eastAsia="Arial" w:hAnsi="Arial"/>
          <w:sz w:val="15"/>
          <w:szCs w:val="15"/>
          <w:color w:val="auto"/>
        </w:rPr>
        <w:t>A Relative TSR component was also included to reflect the importance of total shareholder return to stockholders. So long as the threshold Incentive Adjusted EBITDA goal is achieved, vesting can be increased by up to 20% if the following Relative TSR goals are achieved (with straight-line interpolation used for Relative TSR achieved between the specified goals):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320" w:type="dxa"/>
            <w:vAlign w:val="bottom"/>
          </w:tcPr>
          <w:p>
            <w:pPr>
              <w:jc w:val="center"/>
              <w:ind w:right="135"/>
              <w:spacing w:after="0"/>
              <w:rPr>
                <w:sz w:val="20"/>
                <w:szCs w:val="20"/>
                <w:color w:val="auto"/>
              </w:rPr>
            </w:pPr>
            <w:r>
              <w:rPr>
                <w:rFonts w:ascii="Arial" w:cs="Arial" w:eastAsia="Arial" w:hAnsi="Arial"/>
                <w:sz w:val="11"/>
                <w:szCs w:val="11"/>
                <w:b w:val="1"/>
                <w:bCs w:val="1"/>
                <w:color w:val="auto"/>
              </w:rPr>
              <w:t>Relative TSR</w:t>
            </w:r>
          </w:p>
        </w:tc>
        <w:tc>
          <w:tcPr>
            <w:tcW w:w="1840" w:type="dxa"/>
            <w:vAlign w:val="bottom"/>
          </w:tcPr>
          <w:p>
            <w:pPr>
              <w:spacing w:after="0"/>
              <w:rPr>
                <w:sz w:val="10"/>
                <w:szCs w:val="10"/>
                <w:color w:val="auto"/>
              </w:rPr>
            </w:pPr>
          </w:p>
        </w:tc>
      </w:tr>
      <w:tr>
        <w:trPr>
          <w:trHeight w:val="124"/>
        </w:trPr>
        <w:tc>
          <w:tcPr>
            <w:tcW w:w="2320" w:type="dxa"/>
            <w:vAlign w:val="bottom"/>
          </w:tcPr>
          <w:p>
            <w:pPr>
              <w:jc w:val="center"/>
              <w:ind w:right="135"/>
              <w:spacing w:after="0" w:line="124" w:lineRule="exact"/>
              <w:rPr>
                <w:sz w:val="20"/>
                <w:szCs w:val="20"/>
                <w:color w:val="auto"/>
              </w:rPr>
            </w:pPr>
            <w:r>
              <w:rPr>
                <w:rFonts w:ascii="Arial" w:cs="Arial" w:eastAsia="Arial" w:hAnsi="Arial"/>
                <w:sz w:val="11"/>
                <w:szCs w:val="11"/>
                <w:b w:val="1"/>
                <w:bCs w:val="1"/>
                <w:color w:val="auto"/>
              </w:rPr>
              <w:t>Over Three-Year</w:t>
            </w:r>
          </w:p>
        </w:tc>
        <w:tc>
          <w:tcPr>
            <w:tcW w:w="1840" w:type="dxa"/>
            <w:vAlign w:val="bottom"/>
          </w:tcPr>
          <w:p>
            <w:pPr>
              <w:spacing w:after="0"/>
              <w:rPr>
                <w:sz w:val="10"/>
                <w:szCs w:val="10"/>
                <w:color w:val="auto"/>
              </w:rPr>
            </w:pPr>
          </w:p>
        </w:tc>
      </w:tr>
      <w:tr>
        <w:trPr>
          <w:trHeight w:val="138"/>
        </w:trPr>
        <w:tc>
          <w:tcPr>
            <w:tcW w:w="23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Measurement Period</w:t>
            </w:r>
          </w:p>
        </w:tc>
        <w:tc>
          <w:tcPr>
            <w:tcW w:w="184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Increase</w:t>
            </w:r>
          </w:p>
        </w:tc>
      </w:tr>
      <w:tr>
        <w:trPr>
          <w:trHeight w:val="171"/>
        </w:trPr>
        <w:tc>
          <w:tcPr>
            <w:tcW w:w="2320" w:type="dxa"/>
            <w:vAlign w:val="bottom"/>
            <w:shd w:val="clear" w:color="auto" w:fill="D8D8D8"/>
          </w:tcPr>
          <w:p>
            <w:pPr>
              <w:jc w:val="center"/>
              <w:ind w:right="135"/>
              <w:spacing w:after="0" w:line="172" w:lineRule="exact"/>
              <w:rPr>
                <w:sz w:val="20"/>
                <w:szCs w:val="20"/>
                <w:color w:val="auto"/>
              </w:rPr>
            </w:pPr>
            <w:r>
              <w:rPr>
                <w:rFonts w:ascii="Arial" w:cs="Arial" w:eastAsia="Arial" w:hAnsi="Arial"/>
                <w:sz w:val="15"/>
                <w:szCs w:val="15"/>
                <w:color w:val="auto"/>
                <w:w w:val="91"/>
              </w:rPr>
              <w:t>³60%</w:t>
            </w:r>
          </w:p>
        </w:tc>
        <w:tc>
          <w:tcPr>
            <w:tcW w:w="1840" w:type="dxa"/>
            <w:vAlign w:val="bottom"/>
            <w:shd w:val="clear" w:color="auto" w:fill="D8D8D8"/>
          </w:tcPr>
          <w:p>
            <w:pPr>
              <w:jc w:val="right"/>
              <w:ind w:right="671"/>
              <w:spacing w:after="0" w:line="172" w:lineRule="exact"/>
              <w:rPr>
                <w:sz w:val="20"/>
                <w:szCs w:val="20"/>
                <w:color w:val="auto"/>
              </w:rPr>
            </w:pPr>
            <w:r>
              <w:rPr>
                <w:rFonts w:ascii="Arial" w:cs="Arial" w:eastAsia="Arial" w:hAnsi="Arial"/>
                <w:sz w:val="15"/>
                <w:szCs w:val="15"/>
                <w:color w:val="auto"/>
              </w:rPr>
              <w:t>20%</w:t>
            </w:r>
          </w:p>
        </w:tc>
      </w:tr>
      <w:tr>
        <w:trPr>
          <w:trHeight w:val="169"/>
        </w:trPr>
        <w:tc>
          <w:tcPr>
            <w:tcW w:w="2320" w:type="dxa"/>
            <w:vAlign w:val="bottom"/>
          </w:tcPr>
          <w:p>
            <w:pPr>
              <w:jc w:val="center"/>
              <w:ind w:right="135"/>
              <w:spacing w:after="0" w:line="169" w:lineRule="exact"/>
              <w:rPr>
                <w:sz w:val="20"/>
                <w:szCs w:val="20"/>
                <w:color w:val="auto"/>
              </w:rPr>
            </w:pPr>
            <w:r>
              <w:rPr>
                <w:rFonts w:ascii="Arial" w:cs="Arial" w:eastAsia="Arial" w:hAnsi="Arial"/>
                <w:sz w:val="15"/>
                <w:szCs w:val="15"/>
                <w:color w:val="auto"/>
                <w:w w:val="93"/>
              </w:rPr>
              <w:t>55%</w:t>
            </w:r>
          </w:p>
        </w:tc>
        <w:tc>
          <w:tcPr>
            <w:tcW w:w="1840" w:type="dxa"/>
            <w:vAlign w:val="bottom"/>
          </w:tcPr>
          <w:p>
            <w:pPr>
              <w:jc w:val="right"/>
              <w:ind w:right="671"/>
              <w:spacing w:after="0" w:line="169" w:lineRule="exact"/>
              <w:rPr>
                <w:sz w:val="20"/>
                <w:szCs w:val="20"/>
                <w:color w:val="auto"/>
              </w:rPr>
            </w:pPr>
            <w:r>
              <w:rPr>
                <w:rFonts w:ascii="Arial" w:cs="Arial" w:eastAsia="Arial" w:hAnsi="Arial"/>
                <w:sz w:val="15"/>
                <w:szCs w:val="15"/>
                <w:color w:val="auto"/>
              </w:rPr>
              <w:t>10%</w:t>
            </w:r>
          </w:p>
        </w:tc>
      </w:tr>
      <w:tr>
        <w:trPr>
          <w:trHeight w:val="180"/>
        </w:trPr>
        <w:tc>
          <w:tcPr>
            <w:tcW w:w="2320" w:type="dxa"/>
            <w:vAlign w:val="bottom"/>
            <w:tcBorders>
              <w:bottom w:val="single" w:sz="8" w:color="auto"/>
            </w:tcBorders>
            <w:shd w:val="clear" w:color="auto" w:fill="D8D8D8"/>
          </w:tcPr>
          <w:p>
            <w:pPr>
              <w:jc w:val="center"/>
              <w:ind w:right="135"/>
              <w:spacing w:after="0"/>
              <w:rPr>
                <w:sz w:val="20"/>
                <w:szCs w:val="20"/>
                <w:color w:val="auto"/>
              </w:rPr>
            </w:pPr>
            <w:r>
              <w:rPr>
                <w:rFonts w:ascii="Arial" w:cs="Arial" w:eastAsia="Arial" w:hAnsi="Arial"/>
                <w:sz w:val="15"/>
                <w:szCs w:val="15"/>
                <w:color w:val="auto"/>
                <w:w w:val="93"/>
              </w:rPr>
              <w:t>£50%</w:t>
            </w:r>
          </w:p>
        </w:tc>
        <w:tc>
          <w:tcPr>
            <w:tcW w:w="1840" w:type="dxa"/>
            <w:vAlign w:val="bottom"/>
            <w:tcBorders>
              <w:bottom w:val="single" w:sz="8" w:color="auto"/>
            </w:tcBorders>
            <w:shd w:val="clear" w:color="auto" w:fill="D8D8D8"/>
          </w:tcPr>
          <w:p>
            <w:pPr>
              <w:jc w:val="right"/>
              <w:ind w:right="671"/>
              <w:spacing w:after="0"/>
              <w:rPr>
                <w:sz w:val="20"/>
                <w:szCs w:val="20"/>
                <w:color w:val="auto"/>
              </w:rPr>
            </w:pPr>
            <w:r>
              <w:rPr>
                <w:rFonts w:ascii="Arial" w:cs="Arial" w:eastAsia="Arial" w:hAnsi="Arial"/>
                <w:sz w:val="15"/>
                <w:szCs w:val="15"/>
                <w:color w:val="auto"/>
              </w:rPr>
              <w:t>0%</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Arrangements for Regional Presidents</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 2013, the Committee approved amendments to the severance arrangements for the Regional Presidents to more closely align the severance arrangements for such officers with severance arrangements applicable to our CEO and CFO and in order to recognize the impact of such individuals on our Company’s operations. Under the amended arrangements, if employment is terminated by the Company other than “for cause” and other than due to death, disability or resignation, then outstanding unvested stock-based awards that would have vested in accordance with their original vesting schedule by the two-year anniversary of such termination of employment will become vested on termination, except that, for awards intended to be performance-based compensation for purposes of Section 162(m) of the Code, such awards will remain outstanding following such termination and become vested or be forfeited based on actual achievement of the applicable performance goals during the two-year period following such termination. Prior to such amendments, in a similar termination, a cash payment equal to the value of stock-based awards that would have vested in accordance with their original vesting schedule by the one-year anniversary of such termination of employment would have been payable. A more detailed description of the terms of these arrangements can be found under “Employment Agreements and Other Arrangements” and “Termination, Severance and Change of Control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CEO and Other NEO Compensation</w:t>
      </w:r>
    </w:p>
    <w:p>
      <w:pPr>
        <w:spacing w:after="0" w:line="93"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Our Board has assigned to the Committee the responsibility to approve compensation for all NEOs, including our CEO. The roles of each individual and group who participate in the decision-making process for our executive program and their duties are summarized below.</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Independent Compensation Consultant</w:t>
      </w:r>
    </w:p>
    <w:p>
      <w:pPr>
        <w:spacing w:after="0" w:line="82"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As permitted by its charter, the Committee continued its engagement of Pay Governance LLC, a compensation consulting firm, to work with the Committee and the Company as an adviser on executive compensation matters in 2013. The compensation consultant reports to, and is directed by, the Committee, which retains the authority to retain or terminate compensation advisers. In early 2013, the Committee reviewed information regarding the independence and potential conflicts of interest of Pay Governance, taking into account, among other things, the factors set forth in the NASDAQ listing standards. Based on such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2013.</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Decisions</w:t>
      </w:r>
    </w:p>
    <w:p>
      <w:pPr>
        <w:spacing w:after="0" w:line="82"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In the case of named executive officers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2013 Pay Decisions” above. Performance criteria and goals are recommended by our Human Resources staff based on the Company’s business plan and goals, with input from the CFO and his staff. Recommendations related to the mix of compensation elements generally reflect a review of practices of our Peer Group (as defined below) and are typically designed to take into consideration past practice and our strategy to tie a greater portion of total target compensation to variable versus fixed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133985</wp:posOffset>
            </wp:positionV>
            <wp:extent cx="950595" cy="142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98"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25</w:t>
            </w:r>
          </w:p>
        </w:tc>
      </w:tr>
    </w:tbl>
    <w:p>
      <w:pPr>
        <w:sectPr>
          <w:pgSz w:w="11900" w:h="16838" w:orient="portrait"/>
          <w:cols w:equalWidth="0" w:num="2">
            <w:col w:w="5480" w:space="360"/>
            <w:col w:w="5540"/>
          </w:cols>
          <w:pgMar w:left="240" w:top="407" w:right="27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72" w:lineRule="exact"/>
        <w:rPr>
          <w:sz w:val="20"/>
          <w:szCs w:val="20"/>
          <w:color w:val="auto"/>
        </w:rPr>
      </w:pPr>
    </w:p>
    <w:p>
      <w:pPr>
        <w:ind w:right="220"/>
        <w:spacing w:after="0" w:line="236" w:lineRule="auto"/>
        <w:rPr>
          <w:sz w:val="20"/>
          <w:szCs w:val="20"/>
          <w:color w:val="auto"/>
        </w:rPr>
      </w:pPr>
      <w:r>
        <w:rPr>
          <w:rFonts w:ascii="Arial" w:cs="Arial" w:eastAsia="Arial" w:hAnsi="Arial"/>
          <w:sz w:val="15"/>
          <w:szCs w:val="15"/>
          <w:color w:val="auto"/>
        </w:rPr>
        <w:t>Each recommendation is then discussed with our CEO for feedback and final approval. Final recommendations are reviewed with the compensation consultant and the Chairman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62"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Assessment</w:t>
      </w:r>
    </w:p>
    <w:p>
      <w:pPr>
        <w:spacing w:after="0" w:line="82"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In approving annual and long-term incentive awards for our NEOs, the Committee assesses the risks associated with the adoption of these awards, including the performance measures and goals for the awards, and for 2013, concluded that the incentive awards approved would not be likely to encourage excessive risk-taking. Consistent with past practice, management also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For additional information, please see “Functions and Meetings of the Board of Directors—Risk Management and Risk Assessment.”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Consideration of Peer Groups and Survey Data</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Given that there is an insufficient number of public companies in the car rental sector to establish a sufficiently large peer group, peer companies are selected to supplement the one other U.S.-based publicly traded car rental company with additional companies from industry sectors that are viewed as most relevant to our business based on the following criteria: company size based on revenue as the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26 </w:t>
      </w:r>
      <w:r>
        <w:rPr>
          <w:sz w:val="1"/>
          <w:szCs w:val="1"/>
          <w:color w:val="auto"/>
        </w:rPr>
        <w:drawing>
          <wp:inline distT="0" distB="0" distL="0" distR="0">
            <wp:extent cx="857885" cy="1143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factor, headcount, market capitalization, enterprise value, and debt and assets. Given our capital structure, we place a greater emphasis on enterprise value than market capitalization when developing the peer group. For 2013 pay decisions, the Company’s peer group consisted of the following 16 companies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-1071245</wp:posOffset>
            </wp:positionV>
            <wp:extent cx="73088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AutoNation Inc.</w:t>
      </w:r>
    </w:p>
    <w:p>
      <w:pPr>
        <w:spacing w:after="0" w:line="234" w:lineRule="auto"/>
        <w:rPr>
          <w:sz w:val="20"/>
          <w:szCs w:val="20"/>
          <w:color w:val="auto"/>
        </w:rPr>
      </w:pPr>
      <w:r>
        <w:rPr>
          <w:rFonts w:ascii="Arial" w:cs="Arial" w:eastAsia="Arial" w:hAnsi="Arial"/>
          <w:sz w:val="15"/>
          <w:szCs w:val="15"/>
          <w:color w:val="auto"/>
        </w:rPr>
        <w:t>Carmax, Inc.</w:t>
      </w:r>
    </w:p>
    <w:p>
      <w:pPr>
        <w:spacing w:after="0" w:line="235" w:lineRule="auto"/>
        <w:rPr>
          <w:sz w:val="20"/>
          <w:szCs w:val="20"/>
          <w:color w:val="auto"/>
        </w:rPr>
      </w:pPr>
      <w:r>
        <w:rPr>
          <w:rFonts w:ascii="Arial" w:cs="Arial" w:eastAsia="Arial" w:hAnsi="Arial"/>
          <w:sz w:val="15"/>
          <w:szCs w:val="15"/>
          <w:color w:val="auto"/>
        </w:rPr>
        <w:t>Carnival Corporation</w:t>
      </w:r>
    </w:p>
    <w:p>
      <w:pPr>
        <w:spacing w:after="0" w:line="235" w:lineRule="auto"/>
        <w:rPr>
          <w:sz w:val="20"/>
          <w:szCs w:val="20"/>
          <w:color w:val="auto"/>
        </w:rPr>
      </w:pPr>
      <w:r>
        <w:rPr>
          <w:rFonts w:ascii="Arial" w:cs="Arial" w:eastAsia="Arial" w:hAnsi="Arial"/>
          <w:sz w:val="15"/>
          <w:szCs w:val="15"/>
          <w:color w:val="auto"/>
        </w:rPr>
        <w:t>Cintas Corporation</w:t>
      </w:r>
    </w:p>
    <w:p>
      <w:pPr>
        <w:spacing w:after="0" w:line="235" w:lineRule="auto"/>
        <w:rPr>
          <w:sz w:val="20"/>
          <w:szCs w:val="20"/>
          <w:color w:val="auto"/>
        </w:rPr>
      </w:pPr>
      <w:r>
        <w:rPr>
          <w:rFonts w:ascii="Arial" w:cs="Arial" w:eastAsia="Arial" w:hAnsi="Arial"/>
          <w:sz w:val="15"/>
          <w:szCs w:val="15"/>
          <w:color w:val="auto"/>
        </w:rPr>
        <w:t>Hertz Global Holdings, Inc.</w:t>
      </w:r>
    </w:p>
    <w:p>
      <w:pPr>
        <w:spacing w:after="0" w:line="235" w:lineRule="auto"/>
        <w:rPr>
          <w:sz w:val="20"/>
          <w:szCs w:val="20"/>
          <w:color w:val="auto"/>
        </w:rPr>
      </w:pPr>
      <w:r>
        <w:rPr>
          <w:rFonts w:ascii="Arial" w:cs="Arial" w:eastAsia="Arial" w:hAnsi="Arial"/>
          <w:sz w:val="15"/>
          <w:szCs w:val="15"/>
          <w:color w:val="auto"/>
        </w:rPr>
        <w:t>J.B. Hunt Transport Services, Inc.</w:t>
      </w:r>
    </w:p>
    <w:p>
      <w:pPr>
        <w:spacing w:after="0" w:line="235" w:lineRule="auto"/>
        <w:rPr>
          <w:sz w:val="20"/>
          <w:szCs w:val="20"/>
          <w:color w:val="auto"/>
        </w:rPr>
      </w:pPr>
      <w:r>
        <w:rPr>
          <w:rFonts w:ascii="Arial" w:cs="Arial" w:eastAsia="Arial" w:hAnsi="Arial"/>
          <w:sz w:val="15"/>
          <w:szCs w:val="15"/>
          <w:color w:val="auto"/>
        </w:rPr>
        <w:t>Marriott International, Inc.</w:t>
      </w:r>
    </w:p>
    <w:p>
      <w:pPr>
        <w:spacing w:after="0"/>
        <w:rPr>
          <w:sz w:val="20"/>
          <w:szCs w:val="20"/>
          <w:color w:val="auto"/>
        </w:rPr>
      </w:pPr>
      <w:r>
        <w:rPr>
          <w:rFonts w:ascii="Arial" w:cs="Arial" w:eastAsia="Arial" w:hAnsi="Arial"/>
          <w:sz w:val="15"/>
          <w:szCs w:val="15"/>
          <w:color w:val="auto"/>
        </w:rPr>
        <w:t>Norfolk Southern Corporation</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Officemax Incorporated</w:t>
      </w:r>
    </w:p>
    <w:p>
      <w:pPr>
        <w:spacing w:after="0" w:line="234" w:lineRule="auto"/>
        <w:rPr>
          <w:sz w:val="20"/>
          <w:szCs w:val="20"/>
          <w:color w:val="auto"/>
        </w:rPr>
      </w:pPr>
      <w:r>
        <w:rPr>
          <w:rFonts w:ascii="Arial" w:cs="Arial" w:eastAsia="Arial" w:hAnsi="Arial"/>
          <w:sz w:val="15"/>
          <w:szCs w:val="15"/>
          <w:color w:val="auto"/>
        </w:rPr>
        <w:t>Pitney Bowes Inc.</w:t>
      </w:r>
    </w:p>
    <w:p>
      <w:pPr>
        <w:spacing w:after="0" w:line="1" w:lineRule="exact"/>
        <w:rPr>
          <w:sz w:val="20"/>
          <w:szCs w:val="20"/>
          <w:color w:val="auto"/>
        </w:rPr>
      </w:pPr>
    </w:p>
    <w:p>
      <w:pPr>
        <w:ind w:right="3420" w:firstLine="3"/>
        <w:spacing w:after="0" w:line="251" w:lineRule="auto"/>
        <w:tabs>
          <w:tab w:leader="none" w:pos="251" w:val="left"/>
        </w:tabs>
        <w:numPr>
          <w:ilvl w:val="0"/>
          <w:numId w:val="52"/>
        </w:numPr>
        <w:rPr>
          <w:rFonts w:ascii="Arial" w:cs="Arial" w:eastAsia="Arial" w:hAnsi="Arial"/>
          <w:sz w:val="14"/>
          <w:szCs w:val="14"/>
          <w:color w:val="auto"/>
        </w:rPr>
      </w:pPr>
      <w:r>
        <w:rPr>
          <w:rFonts w:ascii="Arial" w:cs="Arial" w:eastAsia="Arial" w:hAnsi="Arial"/>
          <w:sz w:val="14"/>
          <w:szCs w:val="14"/>
          <w:color w:val="auto"/>
        </w:rPr>
        <w:t>Donnelley &amp; Sons Company Royal Caribbean Cruises Ltd. Ryder System, Inc.</w:t>
      </w:r>
    </w:p>
    <w:p>
      <w:pPr>
        <w:spacing w:after="0" w:line="1" w:lineRule="exact"/>
        <w:rPr>
          <w:rFonts w:ascii="Arial" w:cs="Arial" w:eastAsia="Arial" w:hAnsi="Arial"/>
          <w:sz w:val="14"/>
          <w:szCs w:val="14"/>
          <w:color w:val="auto"/>
        </w:rPr>
      </w:pPr>
    </w:p>
    <w:p>
      <w:pPr>
        <w:ind w:right="3020"/>
        <w:spacing w:after="0" w:line="234" w:lineRule="auto"/>
        <w:rPr>
          <w:rFonts w:ascii="Arial" w:cs="Arial" w:eastAsia="Arial" w:hAnsi="Arial"/>
          <w:sz w:val="14"/>
          <w:szCs w:val="14"/>
          <w:color w:val="auto"/>
        </w:rPr>
      </w:pPr>
      <w:r>
        <w:rPr>
          <w:rFonts w:ascii="Arial" w:cs="Arial" w:eastAsia="Arial" w:hAnsi="Arial"/>
          <w:sz w:val="15"/>
          <w:szCs w:val="15"/>
          <w:color w:val="auto"/>
        </w:rPr>
        <w:t>Starwood Hotels &amp; Resorts Worldwide Waste Management, Inc.</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Wyndham Worldwide Corporation</w:t>
      </w:r>
    </w:p>
    <w:p>
      <w:pPr>
        <w:spacing w:after="0" w:line="75"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The current Peer Group was initially approved in 2011, following the Company’s acquisition of Avis Europe and a comprehensive review by the Committee with input from the compensation consultant and management. The Peer Group was reviewed in 2012 and 2013 and updated to reflect the removal of Dollar Thrifty Automotive Group, Inc., which was acquired by Hertz. The Committee reviewed pay data of the Peer Group as previously discussed and in order to ensure reasonable comparability of the pay packages of our NEOs, but the Committee does not specifically target any percentile 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w:t>
      </w:r>
    </w:p>
    <w:p>
      <w:pPr>
        <w:spacing w:after="0" w:line="67"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w:t>
      </w:r>
    </w:p>
    <w:p>
      <w:pPr>
        <w:sectPr>
          <w:pgSz w:w="11900" w:h="16838" w:orient="portrait"/>
          <w:cols w:equalWidth="0" w:num="2">
            <w:col w:w="5460" w:space="380"/>
            <w:col w:w="5500"/>
          </w:cols>
          <w:pgMar w:left="240" w:top="407" w:right="319" w:bottom="1440" w:gutter="0" w:footer="0" w:header="0"/>
        </w:sectPr>
      </w:pPr>
    </w:p>
    <w:bookmarkStart w:id="32" w:name="page33"/>
    <w:bookmarkEnd w:id="32"/>
    <w:p>
      <w:pPr>
        <w:ind w:left="10"/>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30"/>
          </w:cols>
          <w:pgMar w:left="230" w:top="407"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0" w:right="20"/>
        <w:spacing w:after="0" w:line="237" w:lineRule="auto"/>
        <w:rPr>
          <w:sz w:val="20"/>
          <w:szCs w:val="20"/>
          <w:color w:val="auto"/>
        </w:rPr>
      </w:pPr>
      <w:r>
        <w:rPr>
          <w:rFonts w:ascii="Arial" w:cs="Arial" w:eastAsia="Arial" w:hAnsi="Arial"/>
          <w:sz w:val="15"/>
          <w:szCs w:val="15"/>
          <w:color w:val="auto"/>
        </w:rPr>
        <w:t>consulting firms such as Aon Hewitt and Towers Watson for companies that have revenue comparable to ours (the “Survey Data”) as another data point. The Survey Data</w:t>
      </w:r>
      <w:r>
        <w:rPr>
          <w:rFonts w:ascii="Arial" w:cs="Arial" w:eastAsia="Arial" w:hAnsi="Arial"/>
          <w:sz w:val="9"/>
          <w:szCs w:val="9"/>
          <w:color w:val="auto"/>
        </w:rPr>
        <w:t>2</w:t>
      </w:r>
      <w:r>
        <w:rPr>
          <w:rFonts w:ascii="Arial" w:cs="Arial" w:eastAsia="Arial" w:hAnsi="Arial"/>
          <w:sz w:val="15"/>
          <w:szCs w:val="15"/>
          <w:color w:val="auto"/>
        </w:rPr>
        <w:t xml:space="preserve"> represent data from over 1,000 companies sized according to revenue, assets and number of employees.</w:t>
      </w:r>
    </w:p>
    <w:p>
      <w:pPr>
        <w:spacing w:after="0" w:line="62" w:lineRule="exact"/>
        <w:rPr>
          <w:sz w:val="20"/>
          <w:szCs w:val="20"/>
          <w:color w:val="auto"/>
        </w:rPr>
      </w:pPr>
    </w:p>
    <w:p>
      <w:pPr>
        <w:ind w:left="10" w:right="60"/>
        <w:spacing w:after="0" w:line="236" w:lineRule="auto"/>
        <w:rPr>
          <w:sz w:val="20"/>
          <w:szCs w:val="20"/>
          <w:color w:val="auto"/>
        </w:rPr>
      </w:pPr>
      <w:r>
        <w:rPr>
          <w:rFonts w:ascii="Arial" w:cs="Arial" w:eastAsia="Arial" w:hAnsi="Arial"/>
          <w:sz w:val="15"/>
          <w:szCs w:val="15"/>
          <w:color w:val="auto"/>
        </w:rPr>
        <w:t>In 2013, the Committee considered the Survey Data for each element of the 2013 compensation and benefits package as a general check and to ensure reasonable comparability. Consideration of the Peer Group and the Survey Data represented just two factors considered in setting executive compensation for 2013. Please refer to “Analysis of 2013 Pay Decisions” for the other factors considered in setting executive compensation for 2013.</w:t>
      </w:r>
    </w:p>
    <w:p>
      <w:pPr>
        <w:spacing w:after="0" w:line="113" w:lineRule="exact"/>
        <w:rPr>
          <w:sz w:val="20"/>
          <w:szCs w:val="20"/>
          <w:color w:val="auto"/>
        </w:rPr>
      </w:pPr>
    </w:p>
    <w:p>
      <w:pPr>
        <w:ind w:left="10" w:right="600"/>
        <w:spacing w:after="0" w:line="265" w:lineRule="auto"/>
        <w:rPr>
          <w:sz w:val="20"/>
          <w:szCs w:val="20"/>
          <w:color w:val="auto"/>
        </w:rPr>
      </w:pPr>
      <w:r>
        <w:rPr>
          <w:rFonts w:ascii="Arial" w:cs="Arial" w:eastAsia="Arial" w:hAnsi="Arial"/>
          <w:sz w:val="15"/>
          <w:szCs w:val="15"/>
          <w:b w:val="1"/>
          <w:bCs w:val="1"/>
          <w:color w:val="auto"/>
        </w:rPr>
        <w:t>Committee Consideration of the Company’s 2013 Stockholder Vote on Executive Compensation</w:t>
      </w:r>
    </w:p>
    <w:p>
      <w:pPr>
        <w:spacing w:after="0" w:line="42" w:lineRule="exact"/>
        <w:rPr>
          <w:sz w:val="20"/>
          <w:szCs w:val="20"/>
          <w:color w:val="auto"/>
        </w:rPr>
      </w:pPr>
    </w:p>
    <w:p>
      <w:pPr>
        <w:ind w:left="10"/>
        <w:spacing w:after="0" w:line="254" w:lineRule="auto"/>
        <w:rPr>
          <w:sz w:val="20"/>
          <w:szCs w:val="20"/>
          <w:color w:val="auto"/>
        </w:rPr>
      </w:pPr>
      <w:r>
        <w:rPr>
          <w:rFonts w:ascii="Arial" w:cs="Arial" w:eastAsia="Arial" w:hAnsi="Arial"/>
          <w:sz w:val="14"/>
          <w:szCs w:val="14"/>
          <w:color w:val="auto"/>
        </w:rPr>
        <w:t>In determining 2013 and 2014 compensation for our NEOs, the Committee reviewed the results of the Company’s stockholder advisory vote on executive compensation (“Say on Pay”) in 2013. At the 2013 annual meeting of stockholders, over 99% of the votes cast were in support of the Company’s Say on Pay proposal. Based on the 2013 Say on Pay results and feedback from stockholders, the Committee concluded that the Company’s overall compensation program as it relates to its NEOs enjoys the support of the Company’s stockholders and does not require revision to address any broad stockholder concerns.</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Policy Related to Equity Awards</w:t>
      </w:r>
    </w:p>
    <w:p>
      <w:pPr>
        <w:spacing w:after="0" w:line="93" w:lineRule="exact"/>
        <w:rPr>
          <w:sz w:val="20"/>
          <w:szCs w:val="20"/>
          <w:color w:val="auto"/>
        </w:rPr>
      </w:pPr>
    </w:p>
    <w:p>
      <w:pPr>
        <w:ind w:left="10"/>
        <w:spacing w:after="0" w:line="235" w:lineRule="auto"/>
        <w:rPr>
          <w:sz w:val="20"/>
          <w:szCs w:val="20"/>
          <w:color w:val="auto"/>
        </w:rPr>
      </w:pPr>
      <w:r>
        <w:rPr>
          <w:rFonts w:ascii="Arial" w:cs="Arial" w:eastAsia="Arial" w:hAnsi="Arial"/>
          <w:sz w:val="15"/>
          <w:szCs w:val="15"/>
          <w:color w:val="auto"/>
        </w:rPr>
        <w:t>Our practice is to grant long-term incentive awards at pre-established meetings of the Committee. Annual long-term incentive awards, which typically include the awards to all of the NEOs, are usually approved on the date of the first regularly scheduled Committee meeting each year. However, the Committee retains the ability to determine, and has on occasions in the past determined, that another grant date may be appropriate in certain circumstances. Awards are also approved at each of the other pre-established Committee meetings typically for executives hired or promoted since the prior meeting. In connection with valuing the grants of equity awards, it is our policy generally to use, as the grant or strike price for 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2898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39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72"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vehicle, the closing price of our Common Stock on the date the Committee approves the equity grant. The Committee typically approves a dollar amount for each restricted stock-based unit award, which is then divided by the closing price of our Common Stock on the date of grant to arrive at the number of restricted stock-based unit awards to be granted.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Guidelines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until reaching the following specified ownership thresholds: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Officer(s)</w:t>
            </w:r>
          </w:p>
        </w:tc>
        <w:tc>
          <w:tcPr>
            <w:tcW w:w="3700" w:type="dxa"/>
            <w:vAlign w:val="bottom"/>
            <w:tcBorders>
              <w:bottom w:val="single" w:sz="8" w:color="auto"/>
            </w:tcBorders>
          </w:tcPr>
          <w:p>
            <w:pPr>
              <w:ind w:left="1000"/>
              <w:spacing w:after="0"/>
              <w:rPr>
                <w:sz w:val="20"/>
                <w:szCs w:val="20"/>
                <w:color w:val="auto"/>
              </w:rPr>
            </w:pPr>
            <w:r>
              <w:rPr>
                <w:rFonts w:ascii="Arial" w:cs="Arial" w:eastAsia="Arial" w:hAnsi="Arial"/>
                <w:sz w:val="11"/>
                <w:szCs w:val="11"/>
                <w:b w:val="1"/>
                <w:bCs w:val="1"/>
                <w:color w:val="auto"/>
              </w:rPr>
              <w:t>Threshold</w:t>
            </w:r>
          </w:p>
        </w:tc>
      </w:tr>
      <w:tr>
        <w:trPr>
          <w:trHeight w:val="160"/>
        </w:trPr>
        <w:tc>
          <w:tcPr>
            <w:tcW w:w="18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CEO</w:t>
            </w:r>
          </w:p>
        </w:tc>
        <w:tc>
          <w:tcPr>
            <w:tcW w:w="3700" w:type="dxa"/>
            <w:vAlign w:val="bottom"/>
            <w:shd w:val="clear" w:color="auto" w:fill="D8D8D8"/>
          </w:tcPr>
          <w:p>
            <w:pPr>
              <w:ind w:left="1000"/>
              <w:spacing w:after="0" w:line="160" w:lineRule="exact"/>
              <w:rPr>
                <w:sz w:val="20"/>
                <w:szCs w:val="20"/>
                <w:color w:val="auto"/>
              </w:rPr>
            </w:pPr>
            <w:r>
              <w:rPr>
                <w:rFonts w:ascii="Arial" w:cs="Arial" w:eastAsia="Arial" w:hAnsi="Arial"/>
                <w:sz w:val="15"/>
                <w:szCs w:val="15"/>
                <w:color w:val="auto"/>
              </w:rPr>
              <w:t>Five times base salary</w:t>
            </w:r>
          </w:p>
        </w:tc>
      </w:tr>
      <w:tr>
        <w:trPr>
          <w:trHeight w:val="179"/>
        </w:trPr>
        <w:tc>
          <w:tcPr>
            <w:tcW w:w="1800" w:type="dxa"/>
            <w:vAlign w:val="bottom"/>
          </w:tcPr>
          <w:p>
            <w:pPr>
              <w:spacing w:after="0"/>
              <w:rPr>
                <w:sz w:val="20"/>
                <w:szCs w:val="20"/>
                <w:color w:val="auto"/>
              </w:rPr>
            </w:pPr>
            <w:r>
              <w:rPr>
                <w:rFonts w:ascii="Arial" w:cs="Arial" w:eastAsia="Arial" w:hAnsi="Arial"/>
                <w:sz w:val="15"/>
                <w:szCs w:val="15"/>
                <w:color w:val="auto"/>
              </w:rPr>
              <w:t>Other NEOs</w:t>
            </w:r>
          </w:p>
        </w:tc>
        <w:tc>
          <w:tcPr>
            <w:tcW w:w="3700" w:type="dxa"/>
            <w:vAlign w:val="bottom"/>
          </w:tcPr>
          <w:p>
            <w:pPr>
              <w:ind w:left="1000"/>
              <w:spacing w:after="0"/>
              <w:rPr>
                <w:sz w:val="20"/>
                <w:szCs w:val="20"/>
                <w:color w:val="auto"/>
              </w:rPr>
            </w:pPr>
            <w:r>
              <w:rPr>
                <w:rFonts w:ascii="Arial" w:cs="Arial" w:eastAsia="Arial" w:hAnsi="Arial"/>
                <w:sz w:val="15"/>
                <w:szCs w:val="15"/>
                <w:color w:val="auto"/>
              </w:rPr>
              <w:t>Three times base salary</w:t>
            </w:r>
          </w:p>
        </w:tc>
      </w:tr>
    </w:tbl>
    <w:p>
      <w:pPr>
        <w:spacing w:after="0" w:line="60" w:lineRule="exact"/>
        <w:rPr>
          <w:sz w:val="20"/>
          <w:szCs w:val="20"/>
          <w:color w:val="auto"/>
        </w:rPr>
      </w:pPr>
    </w:p>
    <w:p>
      <w:pPr>
        <w:ind w:right="320"/>
        <w:spacing w:after="0" w:line="236" w:lineRule="auto"/>
        <w:rPr>
          <w:sz w:val="20"/>
          <w:szCs w:val="20"/>
          <w:color w:val="auto"/>
        </w:rPr>
      </w:pPr>
      <w:r>
        <w:rPr>
          <w:rFonts w:ascii="Arial" w:cs="Arial" w:eastAsia="Arial" w:hAnsi="Arial"/>
          <w:sz w:val="15"/>
          <w:szCs w:val="15"/>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and stock appreciation rights. Each of our NEOs has exceeded his specified ownership threshold.</w:t>
      </w:r>
    </w:p>
    <w:p>
      <w:pPr>
        <w:spacing w:after="0" w:line="62"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98"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34"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To foster the retention of our key management team particularly in light of the separation of our Company in 2006, we entered into an employment agreement with each of our CEO and CFO. These agreements allowed us, among other things, to obtain post-employment non-competition covenants from these executive officers. We consider it essential to the best interests of</w:t>
      </w:r>
    </w:p>
    <w:p>
      <w:pPr>
        <w:spacing w:after="0" w:line="200" w:lineRule="exact"/>
        <w:rPr>
          <w:sz w:val="20"/>
          <w:szCs w:val="20"/>
          <w:color w:val="auto"/>
        </w:rPr>
      </w:pPr>
    </w:p>
    <w:p>
      <w:pPr>
        <w:sectPr>
          <w:pgSz w:w="11900" w:h="16838" w:orient="portrait"/>
          <w:cols w:equalWidth="0" w:num="2">
            <w:col w:w="5470" w:space="380"/>
            <w:col w:w="5580"/>
          </w:cols>
          <w:pgMar w:left="230" w:top="407" w:right="239" w:bottom="1440" w:gutter="0" w:footer="0" w:header="0"/>
          <w:type w:val="continuous"/>
        </w:sectPr>
      </w:pPr>
    </w:p>
    <w:p>
      <w:pPr>
        <w:spacing w:after="0" w:line="3" w:lineRule="exact"/>
        <w:rPr>
          <w:sz w:val="20"/>
          <w:szCs w:val="20"/>
          <w:color w:val="auto"/>
        </w:rPr>
      </w:pPr>
    </w:p>
    <w:p>
      <w:pPr>
        <w:ind w:left="330" w:hanging="330"/>
        <w:spacing w:after="0" w:line="248" w:lineRule="auto"/>
        <w:tabs>
          <w:tab w:leader="none" w:pos="330" w:val="left"/>
        </w:tabs>
        <w:numPr>
          <w:ilvl w:val="0"/>
          <w:numId w:val="53"/>
        </w:numPr>
        <w:rPr>
          <w:rFonts w:ascii="Arial" w:cs="Arial" w:eastAsia="Arial" w:hAnsi="Arial"/>
          <w:sz w:val="11"/>
          <w:szCs w:val="11"/>
          <w:color w:val="auto"/>
        </w:rPr>
      </w:pPr>
      <w:r>
        <w:rPr>
          <w:rFonts w:ascii="Arial" w:cs="Arial" w:eastAsia="Arial" w:hAnsi="Arial"/>
          <w:sz w:val="11"/>
          <w:szCs w:val="11"/>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70485</wp:posOffset>
            </wp:positionV>
            <wp:extent cx="950595"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98"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27</w:t>
            </w:r>
          </w:p>
        </w:tc>
      </w:tr>
    </w:tbl>
    <w:p>
      <w:pPr>
        <w:sectPr>
          <w:pgSz w:w="11900" w:h="16838" w:orient="portrait"/>
          <w:cols w:equalWidth="0" w:num="1">
            <w:col w:w="11430"/>
          </w:cols>
          <w:pgMar w:left="230" w:top="407" w:right="239" w:bottom="1440" w:gutter="0" w:footer="0" w:header="0"/>
          <w:type w:val="continuous"/>
        </w:sectPr>
      </w:pPr>
    </w:p>
    <w:bookmarkStart w:id="33" w:name="page34"/>
    <w:bookmarkEnd w:id="3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our stockholders to foster the continued employment of key management personnel. Thus, we have also entered into severance agreements with our three NEOs who do not have written employment agreements. In these agreements, the Company seeks to provide appropriate protections to members of management that are consistent with prevailing market practices. A description of the Company’s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Avis Budget provides perquisites to its executives that are consistent with those provided by Peer Group companies. Our perquisites currently consist primarily of financial planning services, auto use or allowance, discounted auto insurance for up to four vehicles for our CEO and generally two vehicles for our other NEOs, auto leasing through the employee lease program and limited personal use of company aircraft services. In 2013, our President, EMEA was also provided with expatriate benefits associated with a Company-requested long-term assignment to the United Kingdom. The Company does not provide tax reimbursements on perquisites for any of our NEOs other than relocation and expatriate benefits.</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Company pays annual dues for a membership in a private, not-for-profit dining club for use by our CEO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93" w:lineRule="exact"/>
        <w:rPr>
          <w:sz w:val="20"/>
          <w:szCs w:val="20"/>
          <w:color w:val="auto"/>
        </w:rPr>
      </w:pPr>
    </w:p>
    <w:p>
      <w:pPr>
        <w:ind w:right="460"/>
        <w:spacing w:after="0"/>
        <w:rPr>
          <w:sz w:val="20"/>
          <w:szCs w:val="20"/>
          <w:color w:val="auto"/>
        </w:rPr>
      </w:pPr>
      <w:r>
        <w:rPr>
          <w:rFonts w:ascii="Arial" w:cs="Arial" w:eastAsia="Arial" w:hAnsi="Arial"/>
          <w:sz w:val="15"/>
          <w:szCs w:val="15"/>
          <w:color w:val="auto"/>
        </w:rPr>
        <w:t>The Company’s insider trading policy explicitly prohibits executive officers and directors from, among other</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28 </w:t>
      </w:r>
      <w:r>
        <w:rPr>
          <w:sz w:val="1"/>
          <w:szCs w:val="1"/>
          <w:color w:val="auto"/>
        </w:rPr>
        <w:drawing>
          <wp:inline distT="0" distB="0" distL="0" distR="0">
            <wp:extent cx="857885" cy="114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things, (i) engaging in hedging transactions with respect to Company securities, including through the use of financial instruments such as prepaid variable forwards, equity swaps, collars and exchange funds, without the prior approval of our applicable compliance officer, and (ii) holding Company securities in a margin account or otherwise pledging Company securities as collateral for a loan. Short sales of the Company’s securities are also prohibited under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-1276350</wp:posOffset>
            </wp:positionV>
            <wp:extent cx="73088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93"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Section 162(m) of the Code limits our ability to deduct certain compensation in excess of $1.0 million per year paid to our CEO and to certain of our other named executive officers (the “covered NEOs”). This limitation does not apply to compensation that qualifies under applicable regulations as “performance-based.” We aim to design the performance-based compensation we pay to our NEOs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ectPr>
          <w:pgSz w:w="11900" w:h="16838" w:orient="portrait"/>
          <w:cols w:equalWidth="0" w:num="2">
            <w:col w:w="5480" w:space="360"/>
            <w:col w:w="5480"/>
          </w:cols>
          <w:pgMar w:left="240" w:top="407" w:right="339" w:bottom="1440" w:gutter="0" w:footer="0" w:header="0"/>
        </w:sectPr>
      </w:pPr>
    </w:p>
    <w:bookmarkStart w:id="34" w:name="page35"/>
    <w:bookmarkEnd w:id="3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981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COMPENSATION COMMITTEE REPORT</w:t>
      </w:r>
    </w:p>
    <w:p>
      <w:pPr>
        <w:spacing w:after="0" w:line="93" w:lineRule="exact"/>
        <w:rPr>
          <w:sz w:val="20"/>
          <w:szCs w:val="20"/>
          <w:color w:val="auto"/>
        </w:rPr>
      </w:pPr>
    </w:p>
    <w:p>
      <w:pPr>
        <w:ind w:left="10" w:right="140"/>
        <w:spacing w:after="0" w:line="238" w:lineRule="auto"/>
        <w:rPr>
          <w:sz w:val="20"/>
          <w:szCs w:val="20"/>
          <w:color w:val="auto"/>
        </w:rPr>
      </w:pPr>
      <w:r>
        <w:rPr>
          <w:rFonts w:ascii="Arial" w:cs="Arial" w:eastAsia="Arial" w:hAnsi="Arial"/>
          <w:sz w:val="15"/>
          <w:szCs w:val="15"/>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43"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THE COMPENSATION COMMITTEE</w:t>
      </w:r>
    </w:p>
    <w:p>
      <w:pPr>
        <w:spacing w:after="0" w:line="11" w:lineRule="exact"/>
        <w:rPr>
          <w:sz w:val="20"/>
          <w:szCs w:val="20"/>
          <w:color w:val="auto"/>
        </w:rPr>
      </w:pPr>
    </w:p>
    <w:p>
      <w:pPr>
        <w:jc w:val="center"/>
        <w:ind w:right="-9"/>
        <w:spacing w:after="0"/>
        <w:rPr>
          <w:sz w:val="20"/>
          <w:szCs w:val="20"/>
          <w:color w:val="auto"/>
        </w:rPr>
      </w:pPr>
      <w:r>
        <w:rPr>
          <w:rFonts w:ascii="Arial" w:cs="Arial" w:eastAsia="Arial" w:hAnsi="Arial"/>
          <w:sz w:val="15"/>
          <w:szCs w:val="15"/>
          <w:i w:val="1"/>
          <w:iCs w:val="1"/>
          <w:color w:val="auto"/>
        </w:rPr>
        <w:t>John D. Hardy, Jr., Chairman</w:t>
      </w:r>
    </w:p>
    <w:p>
      <w:pPr>
        <w:jc w:val="center"/>
        <w:ind w:right="-9"/>
        <w:spacing w:after="0" w:line="234" w:lineRule="auto"/>
        <w:rPr>
          <w:sz w:val="20"/>
          <w:szCs w:val="20"/>
          <w:color w:val="auto"/>
        </w:rPr>
      </w:pPr>
      <w:r>
        <w:rPr>
          <w:rFonts w:ascii="Arial" w:cs="Arial" w:eastAsia="Arial" w:hAnsi="Arial"/>
          <w:sz w:val="15"/>
          <w:szCs w:val="15"/>
          <w:i w:val="1"/>
          <w:iCs w:val="1"/>
          <w:color w:val="auto"/>
        </w:rPr>
        <w:t>Leonard S. Coleman</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5"/>
          <w:szCs w:val="15"/>
          <w:i w:val="1"/>
          <w:iCs w:val="1"/>
          <w:color w:val="auto"/>
        </w:rPr>
        <w:t>Lynn Krominga</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Change in</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4"/>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Pension</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4"/>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Value and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4"/>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Nonqualified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4"/>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Non-Equity</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Deferred</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All</w:t>
            </w:r>
          </w:p>
        </w:tc>
        <w:tc>
          <w:tcPr>
            <w:tcW w:w="720" w:type="dxa"/>
            <w:vAlign w:val="bottom"/>
          </w:tcPr>
          <w:p>
            <w:pPr>
              <w:spacing w:after="0"/>
              <w:rPr>
                <w:sz w:val="10"/>
                <w:szCs w:val="10"/>
                <w:color w:val="auto"/>
              </w:rPr>
            </w:pPr>
          </w:p>
        </w:tc>
      </w:tr>
      <w:tr>
        <w:trPr>
          <w:trHeight w:val="124"/>
        </w:trPr>
        <w:tc>
          <w:tcPr>
            <w:tcW w:w="2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Stock</w:t>
            </w:r>
          </w:p>
        </w:tc>
        <w:tc>
          <w:tcPr>
            <w:tcW w:w="680" w:type="dxa"/>
            <w:vAlign w:val="bottom"/>
          </w:tcPr>
          <w:p>
            <w:pPr>
              <w:jc w:val="right"/>
              <w:ind w:right="104"/>
              <w:spacing w:after="0" w:line="124" w:lineRule="exact"/>
              <w:rPr>
                <w:sz w:val="20"/>
                <w:szCs w:val="20"/>
                <w:color w:val="auto"/>
              </w:rPr>
            </w:pPr>
            <w:r>
              <w:rPr>
                <w:rFonts w:ascii="Arial" w:cs="Arial" w:eastAsia="Arial" w:hAnsi="Arial"/>
                <w:sz w:val="11"/>
                <w:szCs w:val="11"/>
                <w:b w:val="1"/>
                <w:bCs w:val="1"/>
                <w:color w:val="auto"/>
              </w:rPr>
              <w:t>Option</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Incentive Plan</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Compensation</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Other</w:t>
            </w:r>
          </w:p>
        </w:tc>
        <w:tc>
          <w:tcPr>
            <w:tcW w:w="720" w:type="dxa"/>
            <w:vAlign w:val="bottom"/>
          </w:tcPr>
          <w:p>
            <w:pPr>
              <w:spacing w:after="0"/>
              <w:rPr>
                <w:sz w:val="10"/>
                <w:szCs w:val="10"/>
                <w:color w:val="auto"/>
              </w:rPr>
            </w:pPr>
          </w:p>
        </w:tc>
      </w:tr>
      <w:tr>
        <w:trPr>
          <w:trHeight w:val="124"/>
        </w:trPr>
        <w:tc>
          <w:tcPr>
            <w:tcW w:w="2700" w:type="dxa"/>
            <w:vAlign w:val="bottom"/>
          </w:tcPr>
          <w:p>
            <w:pPr>
              <w:spacing w:after="0" w:line="124" w:lineRule="exact"/>
              <w:rPr>
                <w:sz w:val="20"/>
                <w:szCs w:val="20"/>
                <w:color w:val="auto"/>
              </w:rPr>
            </w:pPr>
            <w:r>
              <w:rPr>
                <w:rFonts w:ascii="Arial" w:cs="Arial" w:eastAsia="Arial" w:hAnsi="Arial"/>
                <w:sz w:val="11"/>
                <w:szCs w:val="11"/>
                <w:b w:val="1"/>
                <w:bCs w:val="1"/>
                <w:color w:val="auto"/>
              </w:rPr>
              <w:t>Name and</w:t>
            </w:r>
          </w:p>
        </w:tc>
        <w:tc>
          <w:tcPr>
            <w:tcW w:w="2100" w:type="dxa"/>
            <w:vAlign w:val="bottom"/>
          </w:tcPr>
          <w:p>
            <w:pPr>
              <w:spacing w:after="0"/>
              <w:rPr>
                <w:sz w:val="10"/>
                <w:szCs w:val="10"/>
                <w:color w:val="auto"/>
              </w:rPr>
            </w:pPr>
          </w:p>
        </w:tc>
        <w:tc>
          <w:tcPr>
            <w:tcW w:w="800" w:type="dxa"/>
            <w:vAlign w:val="bottom"/>
          </w:tcPr>
          <w:p>
            <w:pPr>
              <w:jc w:val="right"/>
              <w:ind w:right="204"/>
              <w:spacing w:after="0" w:line="124" w:lineRule="exact"/>
              <w:rPr>
                <w:sz w:val="20"/>
                <w:szCs w:val="20"/>
                <w:color w:val="auto"/>
              </w:rPr>
            </w:pPr>
            <w:r>
              <w:rPr>
                <w:rFonts w:ascii="Arial" w:cs="Arial" w:eastAsia="Arial" w:hAnsi="Arial"/>
                <w:sz w:val="11"/>
                <w:szCs w:val="11"/>
                <w:b w:val="1"/>
                <w:bCs w:val="1"/>
                <w:color w:val="auto"/>
              </w:rPr>
              <w:t>Salary</w:t>
            </w:r>
          </w:p>
        </w:tc>
        <w:tc>
          <w:tcPr>
            <w:tcW w:w="720" w:type="dxa"/>
            <w:vAlign w:val="bottom"/>
          </w:tcPr>
          <w:p>
            <w:pPr>
              <w:jc w:val="right"/>
              <w:ind w:right="144"/>
              <w:spacing w:after="0" w:line="124" w:lineRule="exact"/>
              <w:rPr>
                <w:sz w:val="20"/>
                <w:szCs w:val="20"/>
                <w:color w:val="auto"/>
              </w:rPr>
            </w:pPr>
            <w:r>
              <w:rPr>
                <w:rFonts w:ascii="Arial" w:cs="Arial" w:eastAsia="Arial" w:hAnsi="Arial"/>
                <w:sz w:val="11"/>
                <w:szCs w:val="11"/>
                <w:b w:val="1"/>
                <w:bCs w:val="1"/>
                <w:color w:val="auto"/>
              </w:rPr>
              <w:t>Bonus</w:t>
            </w:r>
          </w:p>
        </w:tc>
        <w:tc>
          <w:tcPr>
            <w:tcW w:w="8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Awards</w:t>
            </w:r>
          </w:p>
        </w:tc>
        <w:tc>
          <w:tcPr>
            <w:tcW w:w="680" w:type="dxa"/>
            <w:vAlign w:val="bottom"/>
          </w:tcPr>
          <w:p>
            <w:pPr>
              <w:jc w:val="right"/>
              <w:ind w:right="84"/>
              <w:spacing w:after="0" w:line="124" w:lineRule="exact"/>
              <w:rPr>
                <w:sz w:val="20"/>
                <w:szCs w:val="20"/>
                <w:color w:val="auto"/>
              </w:rPr>
            </w:pPr>
            <w:r>
              <w:rPr>
                <w:rFonts w:ascii="Arial" w:cs="Arial" w:eastAsia="Arial" w:hAnsi="Arial"/>
                <w:sz w:val="11"/>
                <w:szCs w:val="11"/>
                <w:b w:val="1"/>
                <w:bCs w:val="1"/>
                <w:color w:val="auto"/>
              </w:rPr>
              <w:t>Awards</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Compensation</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Earnings</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Comp</w:t>
            </w:r>
          </w:p>
        </w:tc>
        <w:tc>
          <w:tcPr>
            <w:tcW w:w="720" w:type="dxa"/>
            <w:vAlign w:val="bottom"/>
          </w:tcPr>
          <w:p>
            <w:pPr>
              <w:jc w:val="right"/>
              <w:ind w:right="204"/>
              <w:spacing w:after="0" w:line="124" w:lineRule="exact"/>
              <w:rPr>
                <w:sz w:val="20"/>
                <w:szCs w:val="20"/>
                <w:color w:val="auto"/>
              </w:rPr>
            </w:pPr>
            <w:r>
              <w:rPr>
                <w:rFonts w:ascii="Arial" w:cs="Arial" w:eastAsia="Arial" w:hAnsi="Arial"/>
                <w:sz w:val="11"/>
                <w:szCs w:val="11"/>
                <w:b w:val="1"/>
                <w:bCs w:val="1"/>
                <w:color w:val="auto"/>
              </w:rPr>
              <w:t>Total</w:t>
            </w:r>
          </w:p>
        </w:tc>
      </w:tr>
      <w:tr>
        <w:trPr>
          <w:trHeight w:val="150"/>
        </w:trPr>
        <w:tc>
          <w:tcPr>
            <w:tcW w:w="2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Principal Position</w:t>
            </w:r>
          </w:p>
        </w:tc>
        <w:tc>
          <w:tcPr>
            <w:tcW w:w="2100" w:type="dxa"/>
            <w:vAlign w:val="bottom"/>
            <w:tcBorders>
              <w:bottom w:val="single" w:sz="8" w:color="auto"/>
            </w:tcBorders>
          </w:tcPr>
          <w:p>
            <w:pPr>
              <w:ind w:left="1680"/>
              <w:spacing w:after="0"/>
              <w:rPr>
                <w:sz w:val="20"/>
                <w:szCs w:val="20"/>
                <w:color w:val="auto"/>
              </w:rPr>
            </w:pPr>
            <w:r>
              <w:rPr>
                <w:rFonts w:ascii="Arial" w:cs="Arial" w:eastAsia="Arial" w:hAnsi="Arial"/>
                <w:sz w:val="11"/>
                <w:szCs w:val="11"/>
                <w:b w:val="1"/>
                <w:bCs w:val="1"/>
                <w:color w:val="auto"/>
              </w:rPr>
              <w:t>Year</w:t>
            </w:r>
          </w:p>
        </w:tc>
        <w:tc>
          <w:tcPr>
            <w:tcW w:w="80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($)(a)</w:t>
            </w: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72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w:t>
            </w:r>
          </w:p>
        </w:tc>
      </w:tr>
      <w:tr>
        <w:trPr>
          <w:trHeight w:val="115"/>
        </w:trPr>
        <w:tc>
          <w:tcPr>
            <w:tcW w:w="270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Nelson, Ronald L.</w:t>
            </w:r>
          </w:p>
        </w:tc>
        <w:tc>
          <w:tcPr>
            <w:tcW w:w="2100" w:type="dxa"/>
            <w:vAlign w:val="bottom"/>
            <w:shd w:val="clear" w:color="auto" w:fill="D8D8D8"/>
          </w:tcPr>
          <w:p>
            <w:pPr>
              <w:ind w:left="1680"/>
              <w:spacing w:after="0" w:line="115" w:lineRule="exact"/>
              <w:rPr>
                <w:sz w:val="20"/>
                <w:szCs w:val="20"/>
                <w:color w:val="auto"/>
              </w:rPr>
            </w:pPr>
            <w:r>
              <w:rPr>
                <w:rFonts w:ascii="Arial" w:cs="Arial" w:eastAsia="Arial" w:hAnsi="Arial"/>
                <w:sz w:val="11"/>
                <w:szCs w:val="11"/>
                <w:color w:val="auto"/>
              </w:rPr>
              <w:t>2013</w:t>
            </w:r>
          </w:p>
        </w:tc>
        <w:tc>
          <w:tcPr>
            <w:tcW w:w="800" w:type="dxa"/>
            <w:vAlign w:val="bottom"/>
            <w:shd w:val="clear" w:color="auto" w:fill="D8D8D8"/>
          </w:tcPr>
          <w:p>
            <w:pPr>
              <w:jc w:val="right"/>
              <w:ind w:right="104"/>
              <w:spacing w:after="0" w:line="115" w:lineRule="exact"/>
              <w:rPr>
                <w:sz w:val="20"/>
                <w:szCs w:val="20"/>
                <w:color w:val="auto"/>
              </w:rPr>
            </w:pPr>
            <w:r>
              <w:rPr>
                <w:rFonts w:ascii="Arial" w:cs="Arial" w:eastAsia="Arial" w:hAnsi="Arial"/>
                <w:sz w:val="11"/>
                <w:szCs w:val="11"/>
                <w:color w:val="auto"/>
              </w:rPr>
              <w:t>1,150,000</w:t>
            </w:r>
          </w:p>
        </w:tc>
        <w:tc>
          <w:tcPr>
            <w:tcW w:w="720" w:type="dxa"/>
            <w:vAlign w:val="bottom"/>
            <w:shd w:val="clear" w:color="auto" w:fill="D8D8D8"/>
          </w:tcPr>
          <w:p>
            <w:pPr>
              <w:jc w:val="right"/>
              <w:ind w:right="84"/>
              <w:spacing w:after="0" w:line="115" w:lineRule="exact"/>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line="115" w:lineRule="exact"/>
              <w:rPr>
                <w:sz w:val="20"/>
                <w:szCs w:val="20"/>
                <w:color w:val="auto"/>
              </w:rPr>
            </w:pPr>
            <w:r>
              <w:rPr>
                <w:rFonts w:ascii="Arial" w:cs="Arial" w:eastAsia="Arial" w:hAnsi="Arial"/>
                <w:sz w:val="11"/>
                <w:szCs w:val="11"/>
                <w:color w:val="auto"/>
              </w:rPr>
              <w:t>4,021,195</w:t>
            </w:r>
          </w:p>
        </w:tc>
        <w:tc>
          <w:tcPr>
            <w:tcW w:w="680" w:type="dxa"/>
            <w:vAlign w:val="bottom"/>
            <w:shd w:val="clear" w:color="auto" w:fill="D8D8D8"/>
          </w:tcPr>
          <w:p>
            <w:pPr>
              <w:jc w:val="right"/>
              <w:ind w:right="84"/>
              <w:spacing w:after="0" w:line="115" w:lineRule="exact"/>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line="115" w:lineRule="exact"/>
              <w:rPr>
                <w:sz w:val="20"/>
                <w:szCs w:val="20"/>
                <w:color w:val="auto"/>
              </w:rPr>
            </w:pPr>
            <w:r>
              <w:rPr>
                <w:rFonts w:ascii="Arial" w:cs="Arial" w:eastAsia="Arial" w:hAnsi="Arial"/>
                <w:sz w:val="11"/>
                <w:szCs w:val="11"/>
                <w:color w:val="auto"/>
              </w:rPr>
              <w:t>1,811,250</w:t>
            </w:r>
          </w:p>
        </w:tc>
        <w:tc>
          <w:tcPr>
            <w:tcW w:w="1080" w:type="dxa"/>
            <w:vAlign w:val="bottom"/>
            <w:shd w:val="clear" w:color="auto" w:fill="D8D8D8"/>
          </w:tcPr>
          <w:p>
            <w:pPr>
              <w:jc w:val="right"/>
              <w:ind w:right="104"/>
              <w:spacing w:after="0" w:line="115" w:lineRule="exact"/>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line="115" w:lineRule="exact"/>
              <w:rPr>
                <w:sz w:val="20"/>
                <w:szCs w:val="20"/>
                <w:color w:val="auto"/>
              </w:rPr>
            </w:pPr>
            <w:r>
              <w:rPr>
                <w:rFonts w:ascii="Arial" w:cs="Arial" w:eastAsia="Arial" w:hAnsi="Arial"/>
                <w:sz w:val="11"/>
                <w:szCs w:val="11"/>
                <w:color w:val="auto"/>
              </w:rPr>
              <w:t>293,252</w:t>
            </w:r>
          </w:p>
        </w:tc>
        <w:tc>
          <w:tcPr>
            <w:tcW w:w="720" w:type="dxa"/>
            <w:vAlign w:val="bottom"/>
            <w:shd w:val="clear" w:color="auto" w:fill="D8D8D8"/>
          </w:tcPr>
          <w:p>
            <w:pPr>
              <w:jc w:val="right"/>
              <w:ind w:right="64"/>
              <w:spacing w:after="0" w:line="115" w:lineRule="exact"/>
              <w:rPr>
                <w:sz w:val="20"/>
                <w:szCs w:val="20"/>
                <w:color w:val="auto"/>
              </w:rPr>
            </w:pPr>
            <w:r>
              <w:rPr>
                <w:rFonts w:ascii="Arial" w:cs="Arial" w:eastAsia="Arial" w:hAnsi="Arial"/>
                <w:sz w:val="11"/>
                <w:szCs w:val="11"/>
                <w:color w:val="auto"/>
              </w:rPr>
              <w:t>7,275,697</w:t>
            </w:r>
          </w:p>
        </w:tc>
      </w:tr>
      <w:tr>
        <w:trPr>
          <w:trHeight w:val="124"/>
        </w:trPr>
        <w:tc>
          <w:tcPr>
            <w:tcW w:w="2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Chairman &amp; CEO</w:t>
            </w:r>
          </w:p>
        </w:tc>
        <w:tc>
          <w:tcPr>
            <w:tcW w:w="2100" w:type="dxa"/>
            <w:vAlign w:val="bottom"/>
            <w:shd w:val="clear" w:color="auto" w:fill="D8D8D8"/>
          </w:tcPr>
          <w:p>
            <w:pPr>
              <w:ind w:left="1680"/>
              <w:spacing w:after="0" w:line="124" w:lineRule="exact"/>
              <w:rPr>
                <w:sz w:val="20"/>
                <w:szCs w:val="20"/>
                <w:color w:val="auto"/>
              </w:rPr>
            </w:pPr>
            <w:r>
              <w:rPr>
                <w:rFonts w:ascii="Arial" w:cs="Arial" w:eastAsia="Arial" w:hAnsi="Arial"/>
                <w:sz w:val="11"/>
                <w:szCs w:val="11"/>
                <w:color w:val="auto"/>
              </w:rPr>
              <w:t>2012</w:t>
            </w:r>
          </w:p>
        </w:tc>
        <w:tc>
          <w:tcPr>
            <w:tcW w:w="800" w:type="dxa"/>
            <w:vAlign w:val="bottom"/>
            <w:shd w:val="clear" w:color="auto" w:fill="D8D8D8"/>
          </w:tcPr>
          <w:p>
            <w:pPr>
              <w:jc w:val="right"/>
              <w:ind w:right="104"/>
              <w:spacing w:after="0" w:line="124" w:lineRule="exact"/>
              <w:rPr>
                <w:sz w:val="20"/>
                <w:szCs w:val="20"/>
                <w:color w:val="auto"/>
              </w:rPr>
            </w:pPr>
            <w:r>
              <w:rPr>
                <w:rFonts w:ascii="Arial" w:cs="Arial" w:eastAsia="Arial" w:hAnsi="Arial"/>
                <w:sz w:val="11"/>
                <w:szCs w:val="11"/>
                <w:color w:val="auto"/>
              </w:rPr>
              <w:t>1,150,000</w:t>
            </w:r>
          </w:p>
        </w:tc>
        <w:tc>
          <w:tcPr>
            <w:tcW w:w="72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3,939,278</w:t>
            </w:r>
          </w:p>
        </w:tc>
        <w:tc>
          <w:tcPr>
            <w:tcW w:w="68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1,828,500</w:t>
            </w:r>
          </w:p>
        </w:tc>
        <w:tc>
          <w:tcPr>
            <w:tcW w:w="1080" w:type="dxa"/>
            <w:vAlign w:val="bottom"/>
            <w:shd w:val="clear" w:color="auto" w:fill="D8D8D8"/>
          </w:tcPr>
          <w:p>
            <w:pPr>
              <w:jc w:val="right"/>
              <w:ind w:right="104"/>
              <w:spacing w:after="0" w:line="124" w:lineRule="exact"/>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328,862</w:t>
            </w:r>
          </w:p>
        </w:tc>
        <w:tc>
          <w:tcPr>
            <w:tcW w:w="72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7,246,640</w:t>
            </w:r>
          </w:p>
        </w:tc>
      </w:tr>
      <w:tr>
        <w:trPr>
          <w:trHeight w:val="136"/>
        </w:trPr>
        <w:tc>
          <w:tcPr>
            <w:tcW w:w="2700" w:type="dxa"/>
            <w:vAlign w:val="bottom"/>
            <w:shd w:val="clear" w:color="auto" w:fill="D8D8D8"/>
          </w:tcPr>
          <w:p>
            <w:pPr>
              <w:spacing w:after="0"/>
              <w:rPr>
                <w:sz w:val="11"/>
                <w:szCs w:val="11"/>
                <w:color w:val="auto"/>
              </w:rPr>
            </w:pPr>
          </w:p>
        </w:tc>
        <w:tc>
          <w:tcPr>
            <w:tcW w:w="2100" w:type="dxa"/>
            <w:vAlign w:val="bottom"/>
            <w:shd w:val="clear" w:color="auto" w:fill="D8D8D8"/>
          </w:tcPr>
          <w:p>
            <w:pPr>
              <w:ind w:left="1680"/>
              <w:spacing w:after="0"/>
              <w:rPr>
                <w:sz w:val="20"/>
                <w:szCs w:val="20"/>
                <w:color w:val="auto"/>
              </w:rPr>
            </w:pPr>
            <w:r>
              <w:rPr>
                <w:rFonts w:ascii="Arial" w:cs="Arial" w:eastAsia="Arial" w:hAnsi="Arial"/>
                <w:sz w:val="11"/>
                <w:szCs w:val="11"/>
                <w:color w:val="auto"/>
              </w:rPr>
              <w:t>2011</w:t>
            </w:r>
          </w:p>
        </w:tc>
        <w:tc>
          <w:tcPr>
            <w:tcW w:w="80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1,000,000</w:t>
            </w:r>
          </w:p>
        </w:tc>
        <w:tc>
          <w:tcPr>
            <w:tcW w:w="72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1,617,378</w:t>
            </w:r>
          </w:p>
        </w:tc>
        <w:tc>
          <w:tcPr>
            <w:tcW w:w="68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2,250,000</w:t>
            </w:r>
          </w:p>
        </w:tc>
        <w:tc>
          <w:tcPr>
            <w:tcW w:w="108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265,901</w:t>
            </w:r>
          </w:p>
        </w:tc>
        <w:tc>
          <w:tcPr>
            <w:tcW w:w="72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5,133,279</w:t>
            </w:r>
          </w:p>
        </w:tc>
      </w:tr>
      <w:tr>
        <w:trPr>
          <w:trHeight w:val="123"/>
        </w:trPr>
        <w:tc>
          <w:tcPr>
            <w:tcW w:w="2700" w:type="dxa"/>
            <w:vAlign w:val="bottom"/>
          </w:tcPr>
          <w:p>
            <w:pPr>
              <w:spacing w:after="0" w:line="123" w:lineRule="exact"/>
              <w:rPr>
                <w:sz w:val="20"/>
                <w:szCs w:val="20"/>
                <w:color w:val="auto"/>
              </w:rPr>
            </w:pPr>
            <w:r>
              <w:rPr>
                <w:rFonts w:ascii="Arial" w:cs="Arial" w:eastAsia="Arial" w:hAnsi="Arial"/>
                <w:sz w:val="11"/>
                <w:szCs w:val="11"/>
                <w:color w:val="auto"/>
              </w:rPr>
              <w:t>Wyshner, David B.</w:t>
            </w:r>
          </w:p>
        </w:tc>
        <w:tc>
          <w:tcPr>
            <w:tcW w:w="2100" w:type="dxa"/>
            <w:vAlign w:val="bottom"/>
          </w:tcPr>
          <w:p>
            <w:pPr>
              <w:ind w:left="1680"/>
              <w:spacing w:after="0" w:line="123" w:lineRule="exact"/>
              <w:rPr>
                <w:sz w:val="20"/>
                <w:szCs w:val="20"/>
                <w:color w:val="auto"/>
              </w:rPr>
            </w:pPr>
            <w:r>
              <w:rPr>
                <w:rFonts w:ascii="Arial" w:cs="Arial" w:eastAsia="Arial" w:hAnsi="Arial"/>
                <w:sz w:val="11"/>
                <w:szCs w:val="11"/>
                <w:color w:val="auto"/>
              </w:rPr>
              <w:t>2013</w:t>
            </w:r>
          </w:p>
        </w:tc>
        <w:tc>
          <w:tcPr>
            <w:tcW w:w="80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680,769</w:t>
            </w:r>
          </w:p>
        </w:tc>
        <w:tc>
          <w:tcPr>
            <w:tcW w:w="720" w:type="dxa"/>
            <w:vAlign w:val="bottom"/>
          </w:tcPr>
          <w:p>
            <w:pPr>
              <w:jc w:val="right"/>
              <w:ind w:right="84"/>
              <w:spacing w:after="0" w:line="123" w:lineRule="exact"/>
              <w:rPr>
                <w:sz w:val="20"/>
                <w:szCs w:val="20"/>
                <w:color w:val="auto"/>
              </w:rPr>
            </w:pPr>
            <w:r>
              <w:rPr>
                <w:rFonts w:ascii="Arial" w:cs="Arial" w:eastAsia="Arial" w:hAnsi="Arial"/>
                <w:sz w:val="11"/>
                <w:szCs w:val="11"/>
                <w:color w:val="auto"/>
              </w:rPr>
              <w:t>0</w:t>
            </w:r>
          </w:p>
        </w:tc>
        <w:tc>
          <w:tcPr>
            <w:tcW w:w="800" w:type="dxa"/>
            <w:vAlign w:val="bottom"/>
          </w:tcPr>
          <w:p>
            <w:pPr>
              <w:jc w:val="right"/>
              <w:ind w:right="84"/>
              <w:spacing w:after="0" w:line="123" w:lineRule="exact"/>
              <w:rPr>
                <w:sz w:val="20"/>
                <w:szCs w:val="20"/>
                <w:color w:val="auto"/>
              </w:rPr>
            </w:pPr>
            <w:r>
              <w:rPr>
                <w:rFonts w:ascii="Arial" w:cs="Arial" w:eastAsia="Arial" w:hAnsi="Arial"/>
                <w:sz w:val="11"/>
                <w:szCs w:val="11"/>
                <w:color w:val="auto"/>
              </w:rPr>
              <w:t>1,289,439</w:t>
            </w:r>
          </w:p>
        </w:tc>
        <w:tc>
          <w:tcPr>
            <w:tcW w:w="680" w:type="dxa"/>
            <w:vAlign w:val="bottom"/>
          </w:tcPr>
          <w:p>
            <w:pPr>
              <w:jc w:val="right"/>
              <w:ind w:right="84"/>
              <w:spacing w:after="0" w:line="123" w:lineRule="exact"/>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line="123" w:lineRule="exact"/>
              <w:rPr>
                <w:sz w:val="20"/>
                <w:szCs w:val="20"/>
                <w:color w:val="auto"/>
              </w:rPr>
            </w:pPr>
            <w:r>
              <w:rPr>
                <w:rFonts w:ascii="Arial" w:cs="Arial" w:eastAsia="Arial" w:hAnsi="Arial"/>
                <w:sz w:val="11"/>
                <w:szCs w:val="11"/>
                <w:color w:val="auto"/>
              </w:rPr>
              <w:t>714,808</w:t>
            </w:r>
          </w:p>
        </w:tc>
        <w:tc>
          <w:tcPr>
            <w:tcW w:w="10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142,283</w:t>
            </w:r>
          </w:p>
        </w:tc>
        <w:tc>
          <w:tcPr>
            <w:tcW w:w="720" w:type="dxa"/>
            <w:vAlign w:val="bottom"/>
          </w:tcPr>
          <w:p>
            <w:pPr>
              <w:jc w:val="right"/>
              <w:ind w:right="64"/>
              <w:spacing w:after="0" w:line="123" w:lineRule="exact"/>
              <w:rPr>
                <w:sz w:val="20"/>
                <w:szCs w:val="20"/>
                <w:color w:val="auto"/>
              </w:rPr>
            </w:pPr>
            <w:r>
              <w:rPr>
                <w:rFonts w:ascii="Arial" w:cs="Arial" w:eastAsia="Arial" w:hAnsi="Arial"/>
                <w:sz w:val="11"/>
                <w:szCs w:val="11"/>
                <w:color w:val="auto"/>
              </w:rPr>
              <w:t>2,827,299</w:t>
            </w:r>
          </w:p>
        </w:tc>
      </w:tr>
      <w:tr>
        <w:trPr>
          <w:trHeight w:val="124"/>
        </w:trPr>
        <w:tc>
          <w:tcPr>
            <w:tcW w:w="2700" w:type="dxa"/>
            <w:vAlign w:val="bottom"/>
          </w:tcPr>
          <w:p>
            <w:pPr>
              <w:spacing w:after="0" w:line="124" w:lineRule="exact"/>
              <w:rPr>
                <w:sz w:val="20"/>
                <w:szCs w:val="20"/>
                <w:color w:val="auto"/>
              </w:rPr>
            </w:pPr>
            <w:r>
              <w:rPr>
                <w:rFonts w:ascii="Arial" w:cs="Arial" w:eastAsia="Arial" w:hAnsi="Arial"/>
                <w:sz w:val="11"/>
                <w:szCs w:val="11"/>
                <w:color w:val="auto"/>
              </w:rPr>
              <w:t>CFO</w:t>
            </w:r>
          </w:p>
        </w:tc>
        <w:tc>
          <w:tcPr>
            <w:tcW w:w="2100" w:type="dxa"/>
            <w:vAlign w:val="bottom"/>
          </w:tcPr>
          <w:p>
            <w:pPr>
              <w:ind w:left="1680"/>
              <w:spacing w:after="0" w:line="124" w:lineRule="exact"/>
              <w:rPr>
                <w:sz w:val="20"/>
                <w:szCs w:val="20"/>
                <w:color w:val="auto"/>
              </w:rPr>
            </w:pPr>
            <w:r>
              <w:rPr>
                <w:rFonts w:ascii="Arial" w:cs="Arial" w:eastAsia="Arial" w:hAnsi="Arial"/>
                <w:sz w:val="11"/>
                <w:szCs w:val="11"/>
                <w:color w:val="auto"/>
              </w:rPr>
              <w:t>2012</w:t>
            </w:r>
          </w:p>
        </w:tc>
        <w:tc>
          <w:tcPr>
            <w:tcW w:w="800" w:type="dxa"/>
            <w:vAlign w:val="bottom"/>
          </w:tcPr>
          <w:p>
            <w:pPr>
              <w:jc w:val="right"/>
              <w:ind w:right="104"/>
              <w:spacing w:after="0" w:line="124" w:lineRule="exact"/>
              <w:rPr>
                <w:sz w:val="20"/>
                <w:szCs w:val="20"/>
                <w:color w:val="auto"/>
              </w:rPr>
            </w:pPr>
            <w:r>
              <w:rPr>
                <w:rFonts w:ascii="Arial" w:cs="Arial" w:eastAsia="Arial" w:hAnsi="Arial"/>
                <w:sz w:val="11"/>
                <w:szCs w:val="11"/>
                <w:color w:val="auto"/>
              </w:rPr>
              <w:t>600,000</w:t>
            </w:r>
          </w:p>
        </w:tc>
        <w:tc>
          <w:tcPr>
            <w:tcW w:w="720" w:type="dxa"/>
            <w:vAlign w:val="bottom"/>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800" w:type="dxa"/>
            <w:vAlign w:val="bottom"/>
          </w:tcPr>
          <w:p>
            <w:pPr>
              <w:jc w:val="right"/>
              <w:ind w:right="84"/>
              <w:spacing w:after="0" w:line="124" w:lineRule="exact"/>
              <w:rPr>
                <w:sz w:val="20"/>
                <w:szCs w:val="20"/>
                <w:color w:val="auto"/>
              </w:rPr>
            </w:pPr>
            <w:r>
              <w:rPr>
                <w:rFonts w:ascii="Arial" w:cs="Arial" w:eastAsia="Arial" w:hAnsi="Arial"/>
                <w:sz w:val="11"/>
                <w:szCs w:val="11"/>
                <w:color w:val="auto"/>
              </w:rPr>
              <w:t>3,042,210</w:t>
            </w:r>
          </w:p>
        </w:tc>
        <w:tc>
          <w:tcPr>
            <w:tcW w:w="680" w:type="dxa"/>
            <w:vAlign w:val="bottom"/>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636,000</w:t>
            </w:r>
          </w:p>
        </w:tc>
        <w:tc>
          <w:tcPr>
            <w:tcW w:w="1080" w:type="dxa"/>
            <w:vAlign w:val="bottom"/>
          </w:tcPr>
          <w:p>
            <w:pPr>
              <w:jc w:val="right"/>
              <w:ind w:right="104"/>
              <w:spacing w:after="0" w:line="124" w:lineRule="exact"/>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line="124" w:lineRule="exact"/>
              <w:rPr>
                <w:sz w:val="20"/>
                <w:szCs w:val="20"/>
                <w:color w:val="auto"/>
              </w:rPr>
            </w:pPr>
            <w:r>
              <w:rPr>
                <w:rFonts w:ascii="Arial" w:cs="Arial" w:eastAsia="Arial" w:hAnsi="Arial"/>
                <w:sz w:val="11"/>
                <w:szCs w:val="11"/>
                <w:color w:val="auto"/>
              </w:rPr>
              <w:t>116,051</w:t>
            </w:r>
          </w:p>
        </w:tc>
        <w:tc>
          <w:tcPr>
            <w:tcW w:w="720" w:type="dxa"/>
            <w:vAlign w:val="bottom"/>
          </w:tcPr>
          <w:p>
            <w:pPr>
              <w:jc w:val="right"/>
              <w:ind w:right="64"/>
              <w:spacing w:after="0" w:line="124" w:lineRule="exact"/>
              <w:rPr>
                <w:sz w:val="20"/>
                <w:szCs w:val="20"/>
                <w:color w:val="auto"/>
              </w:rPr>
            </w:pPr>
            <w:r>
              <w:rPr>
                <w:rFonts w:ascii="Arial" w:cs="Arial" w:eastAsia="Arial" w:hAnsi="Arial"/>
                <w:sz w:val="11"/>
                <w:szCs w:val="11"/>
                <w:color w:val="auto"/>
              </w:rPr>
              <w:t>4,394,261</w:t>
            </w:r>
          </w:p>
        </w:tc>
      </w:tr>
      <w:tr>
        <w:trPr>
          <w:trHeight w:val="134"/>
        </w:trPr>
        <w:tc>
          <w:tcPr>
            <w:tcW w:w="2700" w:type="dxa"/>
            <w:vAlign w:val="bottom"/>
          </w:tcPr>
          <w:p>
            <w:pPr>
              <w:spacing w:after="0"/>
              <w:rPr>
                <w:sz w:val="11"/>
                <w:szCs w:val="11"/>
                <w:color w:val="auto"/>
              </w:rPr>
            </w:pPr>
          </w:p>
        </w:tc>
        <w:tc>
          <w:tcPr>
            <w:tcW w:w="2100" w:type="dxa"/>
            <w:vAlign w:val="bottom"/>
          </w:tcPr>
          <w:p>
            <w:pPr>
              <w:ind w:left="1680"/>
              <w:spacing w:after="0"/>
              <w:rPr>
                <w:sz w:val="20"/>
                <w:szCs w:val="20"/>
                <w:color w:val="auto"/>
              </w:rPr>
            </w:pPr>
            <w:r>
              <w:rPr>
                <w:rFonts w:ascii="Arial" w:cs="Arial" w:eastAsia="Arial" w:hAnsi="Arial"/>
                <w:sz w:val="11"/>
                <w:szCs w:val="11"/>
                <w:color w:val="auto"/>
              </w:rPr>
              <w:t>2011</w:t>
            </w:r>
          </w:p>
        </w:tc>
        <w:tc>
          <w:tcPr>
            <w:tcW w:w="800" w:type="dxa"/>
            <w:vAlign w:val="bottom"/>
          </w:tcPr>
          <w:p>
            <w:pPr>
              <w:jc w:val="right"/>
              <w:ind w:right="104"/>
              <w:spacing w:after="0"/>
              <w:rPr>
                <w:sz w:val="20"/>
                <w:szCs w:val="20"/>
                <w:color w:val="auto"/>
              </w:rPr>
            </w:pPr>
            <w:r>
              <w:rPr>
                <w:rFonts w:ascii="Arial" w:cs="Arial" w:eastAsia="Arial" w:hAnsi="Arial"/>
                <w:sz w:val="11"/>
                <w:szCs w:val="11"/>
                <w:color w:val="auto"/>
              </w:rPr>
              <w:t>600,000</w:t>
            </w:r>
          </w:p>
        </w:tc>
        <w:tc>
          <w:tcPr>
            <w:tcW w:w="720" w:type="dxa"/>
            <w:vAlign w:val="bottom"/>
          </w:tcPr>
          <w:p>
            <w:pPr>
              <w:jc w:val="right"/>
              <w:ind w:right="104"/>
              <w:spacing w:after="0"/>
              <w:rPr>
                <w:sz w:val="20"/>
                <w:szCs w:val="20"/>
                <w:color w:val="auto"/>
              </w:rPr>
            </w:pPr>
            <w:r>
              <w:rPr>
                <w:rFonts w:ascii="Arial" w:cs="Arial" w:eastAsia="Arial" w:hAnsi="Arial"/>
                <w:sz w:val="11"/>
                <w:szCs w:val="11"/>
                <w:color w:val="auto"/>
              </w:rPr>
              <w:t>583,000</w:t>
            </w:r>
          </w:p>
        </w:tc>
        <w:tc>
          <w:tcPr>
            <w:tcW w:w="800" w:type="dxa"/>
            <w:vAlign w:val="bottom"/>
          </w:tcPr>
          <w:p>
            <w:pPr>
              <w:jc w:val="right"/>
              <w:ind w:right="84"/>
              <w:spacing w:after="0"/>
              <w:rPr>
                <w:sz w:val="20"/>
                <w:szCs w:val="20"/>
                <w:color w:val="auto"/>
              </w:rPr>
            </w:pPr>
            <w:r>
              <w:rPr>
                <w:rFonts w:ascii="Arial" w:cs="Arial" w:eastAsia="Arial" w:hAnsi="Arial"/>
                <w:sz w:val="11"/>
                <w:szCs w:val="11"/>
                <w:color w:val="auto"/>
              </w:rPr>
              <w:t>894,491</w:t>
            </w: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rPr>
                <w:sz w:val="20"/>
                <w:szCs w:val="20"/>
                <w:color w:val="auto"/>
              </w:rPr>
            </w:pPr>
            <w:r>
              <w:rPr>
                <w:rFonts w:ascii="Arial" w:cs="Arial" w:eastAsia="Arial" w:hAnsi="Arial"/>
                <w:sz w:val="11"/>
                <w:szCs w:val="11"/>
                <w:color w:val="auto"/>
              </w:rPr>
              <w:t>900,000</w:t>
            </w:r>
          </w:p>
        </w:tc>
        <w:tc>
          <w:tcPr>
            <w:tcW w:w="1080" w:type="dxa"/>
            <w:vAlign w:val="bottom"/>
          </w:tcPr>
          <w:p>
            <w:pPr>
              <w:jc w:val="right"/>
              <w:ind w:right="104"/>
              <w:spacing w:after="0"/>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139,077</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3,116,568</w:t>
            </w:r>
          </w:p>
        </w:tc>
      </w:tr>
      <w:tr>
        <w:trPr>
          <w:trHeight w:val="125"/>
        </w:trPr>
        <w:tc>
          <w:tcPr>
            <w:tcW w:w="270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Gartland, Thomas M.</w:t>
            </w:r>
          </w:p>
        </w:tc>
        <w:tc>
          <w:tcPr>
            <w:tcW w:w="2100" w:type="dxa"/>
            <w:vAlign w:val="bottom"/>
            <w:shd w:val="clear" w:color="auto" w:fill="D8D8D8"/>
          </w:tcPr>
          <w:p>
            <w:pPr>
              <w:ind w:left="1680"/>
              <w:spacing w:after="0" w:line="125" w:lineRule="exact"/>
              <w:rPr>
                <w:sz w:val="20"/>
                <w:szCs w:val="20"/>
                <w:color w:val="auto"/>
              </w:rPr>
            </w:pPr>
            <w:r>
              <w:rPr>
                <w:rFonts w:ascii="Arial" w:cs="Arial" w:eastAsia="Arial" w:hAnsi="Arial"/>
                <w:sz w:val="11"/>
                <w:szCs w:val="11"/>
                <w:color w:val="auto"/>
              </w:rPr>
              <w:t>2013</w:t>
            </w:r>
          </w:p>
        </w:tc>
        <w:tc>
          <w:tcPr>
            <w:tcW w:w="800" w:type="dxa"/>
            <w:vAlign w:val="bottom"/>
            <w:shd w:val="clear" w:color="auto" w:fill="D8D8D8"/>
          </w:tcPr>
          <w:p>
            <w:pPr>
              <w:jc w:val="right"/>
              <w:ind w:right="104"/>
              <w:spacing w:after="0" w:line="125" w:lineRule="exact"/>
              <w:rPr>
                <w:sz w:val="20"/>
                <w:szCs w:val="20"/>
                <w:color w:val="auto"/>
              </w:rPr>
            </w:pPr>
            <w:r>
              <w:rPr>
                <w:rFonts w:ascii="Arial" w:cs="Arial" w:eastAsia="Arial" w:hAnsi="Arial"/>
                <w:sz w:val="11"/>
                <w:szCs w:val="11"/>
                <w:color w:val="auto"/>
              </w:rPr>
              <w:t>680,769</w:t>
            </w:r>
          </w:p>
        </w:tc>
        <w:tc>
          <w:tcPr>
            <w:tcW w:w="72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1,289,439</w:t>
            </w:r>
          </w:p>
        </w:tc>
        <w:tc>
          <w:tcPr>
            <w:tcW w:w="68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740,337</w:t>
            </w:r>
          </w:p>
        </w:tc>
        <w:tc>
          <w:tcPr>
            <w:tcW w:w="1080" w:type="dxa"/>
            <w:vAlign w:val="bottom"/>
            <w:shd w:val="clear" w:color="auto" w:fill="D8D8D8"/>
          </w:tcPr>
          <w:p>
            <w:pPr>
              <w:jc w:val="right"/>
              <w:ind w:right="104"/>
              <w:spacing w:after="0" w:line="125" w:lineRule="exact"/>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144,306</w:t>
            </w:r>
          </w:p>
        </w:tc>
        <w:tc>
          <w:tcPr>
            <w:tcW w:w="72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2,854,851</w:t>
            </w:r>
          </w:p>
        </w:tc>
      </w:tr>
      <w:tr>
        <w:trPr>
          <w:trHeight w:val="124"/>
        </w:trPr>
        <w:tc>
          <w:tcPr>
            <w:tcW w:w="270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President, NA</w:t>
            </w:r>
          </w:p>
        </w:tc>
        <w:tc>
          <w:tcPr>
            <w:tcW w:w="2100" w:type="dxa"/>
            <w:vAlign w:val="bottom"/>
            <w:shd w:val="clear" w:color="auto" w:fill="D8D8D8"/>
          </w:tcPr>
          <w:p>
            <w:pPr>
              <w:ind w:left="1680"/>
              <w:spacing w:after="0" w:line="124" w:lineRule="exact"/>
              <w:rPr>
                <w:sz w:val="20"/>
                <w:szCs w:val="20"/>
                <w:color w:val="auto"/>
              </w:rPr>
            </w:pPr>
            <w:r>
              <w:rPr>
                <w:rFonts w:ascii="Arial" w:cs="Arial" w:eastAsia="Arial" w:hAnsi="Arial"/>
                <w:sz w:val="11"/>
                <w:szCs w:val="11"/>
                <w:color w:val="auto"/>
              </w:rPr>
              <w:t>2012</w:t>
            </w:r>
          </w:p>
        </w:tc>
        <w:tc>
          <w:tcPr>
            <w:tcW w:w="800" w:type="dxa"/>
            <w:vAlign w:val="bottom"/>
            <w:shd w:val="clear" w:color="auto" w:fill="D8D8D8"/>
          </w:tcPr>
          <w:p>
            <w:pPr>
              <w:jc w:val="right"/>
              <w:ind w:right="104"/>
              <w:spacing w:after="0" w:line="124" w:lineRule="exact"/>
              <w:rPr>
                <w:sz w:val="20"/>
                <w:szCs w:val="20"/>
                <w:color w:val="auto"/>
              </w:rPr>
            </w:pPr>
            <w:r>
              <w:rPr>
                <w:rFonts w:ascii="Arial" w:cs="Arial" w:eastAsia="Arial" w:hAnsi="Arial"/>
                <w:sz w:val="11"/>
                <w:szCs w:val="11"/>
                <w:color w:val="auto"/>
              </w:rPr>
              <w:t>600,000</w:t>
            </w:r>
          </w:p>
        </w:tc>
        <w:tc>
          <w:tcPr>
            <w:tcW w:w="72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3,042,210</w:t>
            </w:r>
          </w:p>
        </w:tc>
        <w:tc>
          <w:tcPr>
            <w:tcW w:w="68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715,200</w:t>
            </w:r>
          </w:p>
        </w:tc>
        <w:tc>
          <w:tcPr>
            <w:tcW w:w="1080" w:type="dxa"/>
            <w:vAlign w:val="bottom"/>
            <w:shd w:val="clear" w:color="auto" w:fill="D8D8D8"/>
          </w:tcPr>
          <w:p>
            <w:pPr>
              <w:jc w:val="right"/>
              <w:ind w:right="104"/>
              <w:spacing w:after="0" w:line="124" w:lineRule="exact"/>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167,228</w:t>
            </w:r>
          </w:p>
        </w:tc>
        <w:tc>
          <w:tcPr>
            <w:tcW w:w="72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4,524,638</w:t>
            </w:r>
          </w:p>
        </w:tc>
      </w:tr>
      <w:tr>
        <w:trPr>
          <w:trHeight w:val="136"/>
        </w:trPr>
        <w:tc>
          <w:tcPr>
            <w:tcW w:w="2700" w:type="dxa"/>
            <w:vAlign w:val="bottom"/>
            <w:shd w:val="clear" w:color="auto" w:fill="D8D8D8"/>
          </w:tcPr>
          <w:p>
            <w:pPr>
              <w:spacing w:after="0"/>
              <w:rPr>
                <w:sz w:val="11"/>
                <w:szCs w:val="11"/>
                <w:color w:val="auto"/>
              </w:rPr>
            </w:pPr>
          </w:p>
        </w:tc>
        <w:tc>
          <w:tcPr>
            <w:tcW w:w="2100" w:type="dxa"/>
            <w:vAlign w:val="bottom"/>
            <w:shd w:val="clear" w:color="auto" w:fill="D8D8D8"/>
          </w:tcPr>
          <w:p>
            <w:pPr>
              <w:ind w:left="1680"/>
              <w:spacing w:after="0"/>
              <w:rPr>
                <w:sz w:val="20"/>
                <w:szCs w:val="20"/>
                <w:color w:val="auto"/>
              </w:rPr>
            </w:pPr>
            <w:r>
              <w:rPr>
                <w:rFonts w:ascii="Arial" w:cs="Arial" w:eastAsia="Arial" w:hAnsi="Arial"/>
                <w:sz w:val="11"/>
                <w:szCs w:val="11"/>
                <w:color w:val="auto"/>
              </w:rPr>
              <w:t>2011</w:t>
            </w:r>
          </w:p>
        </w:tc>
        <w:tc>
          <w:tcPr>
            <w:tcW w:w="80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527,597</w:t>
            </w:r>
          </w:p>
        </w:tc>
        <w:tc>
          <w:tcPr>
            <w:tcW w:w="72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670,881</w:t>
            </w:r>
          </w:p>
        </w:tc>
        <w:tc>
          <w:tcPr>
            <w:tcW w:w="68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784,616</w:t>
            </w:r>
          </w:p>
        </w:tc>
        <w:tc>
          <w:tcPr>
            <w:tcW w:w="108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0</w:t>
            </w:r>
          </w:p>
        </w:tc>
        <w:tc>
          <w:tcPr>
            <w:tcW w:w="78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108,579</w:t>
            </w:r>
          </w:p>
        </w:tc>
        <w:tc>
          <w:tcPr>
            <w:tcW w:w="72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2,091,673</w:t>
            </w:r>
          </w:p>
        </w:tc>
      </w:tr>
      <w:tr>
        <w:trPr>
          <w:trHeight w:val="123"/>
        </w:trPr>
        <w:tc>
          <w:tcPr>
            <w:tcW w:w="2700" w:type="dxa"/>
            <w:vAlign w:val="bottom"/>
          </w:tcPr>
          <w:p>
            <w:pPr>
              <w:spacing w:after="0" w:line="123" w:lineRule="exact"/>
              <w:rPr>
                <w:sz w:val="20"/>
                <w:szCs w:val="20"/>
                <w:color w:val="auto"/>
              </w:rPr>
            </w:pPr>
            <w:r>
              <w:rPr>
                <w:rFonts w:ascii="Arial" w:cs="Arial" w:eastAsia="Arial" w:hAnsi="Arial"/>
                <w:sz w:val="11"/>
                <w:szCs w:val="11"/>
                <w:color w:val="auto"/>
              </w:rPr>
              <w:t>De Shon, Larry D.</w:t>
            </w:r>
          </w:p>
        </w:tc>
        <w:tc>
          <w:tcPr>
            <w:tcW w:w="2100" w:type="dxa"/>
            <w:vAlign w:val="bottom"/>
          </w:tcPr>
          <w:p>
            <w:pPr>
              <w:ind w:left="1680"/>
              <w:spacing w:after="0" w:line="123" w:lineRule="exact"/>
              <w:rPr>
                <w:sz w:val="20"/>
                <w:szCs w:val="20"/>
                <w:color w:val="auto"/>
              </w:rPr>
            </w:pPr>
            <w:r>
              <w:rPr>
                <w:rFonts w:ascii="Arial" w:cs="Arial" w:eastAsia="Arial" w:hAnsi="Arial"/>
                <w:sz w:val="11"/>
                <w:szCs w:val="11"/>
                <w:color w:val="auto"/>
              </w:rPr>
              <w:t>2013</w:t>
            </w:r>
          </w:p>
        </w:tc>
        <w:tc>
          <w:tcPr>
            <w:tcW w:w="80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680,769</w:t>
            </w:r>
          </w:p>
        </w:tc>
        <w:tc>
          <w:tcPr>
            <w:tcW w:w="720" w:type="dxa"/>
            <w:vAlign w:val="bottom"/>
          </w:tcPr>
          <w:p>
            <w:pPr>
              <w:jc w:val="right"/>
              <w:ind w:right="84"/>
              <w:spacing w:after="0" w:line="123" w:lineRule="exact"/>
              <w:rPr>
                <w:sz w:val="20"/>
                <w:szCs w:val="20"/>
                <w:color w:val="auto"/>
              </w:rPr>
            </w:pPr>
            <w:r>
              <w:rPr>
                <w:rFonts w:ascii="Arial" w:cs="Arial" w:eastAsia="Arial" w:hAnsi="Arial"/>
                <w:sz w:val="11"/>
                <w:szCs w:val="11"/>
                <w:color w:val="auto"/>
              </w:rPr>
              <w:t>0</w:t>
            </w:r>
          </w:p>
        </w:tc>
        <w:tc>
          <w:tcPr>
            <w:tcW w:w="800" w:type="dxa"/>
            <w:vAlign w:val="bottom"/>
          </w:tcPr>
          <w:p>
            <w:pPr>
              <w:jc w:val="right"/>
              <w:ind w:right="84"/>
              <w:spacing w:after="0" w:line="123" w:lineRule="exact"/>
              <w:rPr>
                <w:sz w:val="20"/>
                <w:szCs w:val="20"/>
                <w:color w:val="auto"/>
              </w:rPr>
            </w:pPr>
            <w:r>
              <w:rPr>
                <w:rFonts w:ascii="Arial" w:cs="Arial" w:eastAsia="Arial" w:hAnsi="Arial"/>
                <w:sz w:val="11"/>
                <w:szCs w:val="11"/>
                <w:color w:val="auto"/>
              </w:rPr>
              <w:t>1,289,439</w:t>
            </w:r>
          </w:p>
        </w:tc>
        <w:tc>
          <w:tcPr>
            <w:tcW w:w="680" w:type="dxa"/>
            <w:vAlign w:val="bottom"/>
          </w:tcPr>
          <w:p>
            <w:pPr>
              <w:jc w:val="right"/>
              <w:ind w:right="84"/>
              <w:spacing w:after="0" w:line="123" w:lineRule="exact"/>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line="123" w:lineRule="exact"/>
              <w:rPr>
                <w:sz w:val="20"/>
                <w:szCs w:val="20"/>
                <w:color w:val="auto"/>
              </w:rPr>
            </w:pPr>
            <w:r>
              <w:rPr>
                <w:rFonts w:ascii="Arial" w:cs="Arial" w:eastAsia="Arial" w:hAnsi="Arial"/>
                <w:sz w:val="11"/>
                <w:szCs w:val="11"/>
                <w:color w:val="auto"/>
              </w:rPr>
              <w:t>816,923</w:t>
            </w:r>
          </w:p>
        </w:tc>
        <w:tc>
          <w:tcPr>
            <w:tcW w:w="10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2,043,140</w:t>
            </w:r>
          </w:p>
        </w:tc>
        <w:tc>
          <w:tcPr>
            <w:tcW w:w="720" w:type="dxa"/>
            <w:vAlign w:val="bottom"/>
          </w:tcPr>
          <w:p>
            <w:pPr>
              <w:jc w:val="right"/>
              <w:ind w:right="64"/>
              <w:spacing w:after="0" w:line="123" w:lineRule="exact"/>
              <w:rPr>
                <w:sz w:val="20"/>
                <w:szCs w:val="20"/>
                <w:color w:val="auto"/>
              </w:rPr>
            </w:pPr>
            <w:r>
              <w:rPr>
                <w:rFonts w:ascii="Arial" w:cs="Arial" w:eastAsia="Arial" w:hAnsi="Arial"/>
                <w:sz w:val="11"/>
                <w:szCs w:val="11"/>
                <w:color w:val="auto"/>
              </w:rPr>
              <w:t>4,830,272</w:t>
            </w:r>
          </w:p>
        </w:tc>
      </w:tr>
      <w:tr>
        <w:trPr>
          <w:trHeight w:val="124"/>
        </w:trPr>
        <w:tc>
          <w:tcPr>
            <w:tcW w:w="2700" w:type="dxa"/>
            <w:vAlign w:val="bottom"/>
          </w:tcPr>
          <w:p>
            <w:pPr>
              <w:spacing w:after="0" w:line="124" w:lineRule="exact"/>
              <w:rPr>
                <w:sz w:val="20"/>
                <w:szCs w:val="20"/>
                <w:color w:val="auto"/>
              </w:rPr>
            </w:pPr>
            <w:r>
              <w:rPr>
                <w:rFonts w:ascii="Arial" w:cs="Arial" w:eastAsia="Arial" w:hAnsi="Arial"/>
                <w:sz w:val="11"/>
                <w:szCs w:val="11"/>
                <w:color w:val="auto"/>
              </w:rPr>
              <w:t>President, EMEA</w:t>
            </w:r>
          </w:p>
        </w:tc>
        <w:tc>
          <w:tcPr>
            <w:tcW w:w="2100" w:type="dxa"/>
            <w:vAlign w:val="bottom"/>
          </w:tcPr>
          <w:p>
            <w:pPr>
              <w:ind w:left="1680"/>
              <w:spacing w:after="0" w:line="124" w:lineRule="exact"/>
              <w:rPr>
                <w:sz w:val="20"/>
                <w:szCs w:val="20"/>
                <w:color w:val="auto"/>
              </w:rPr>
            </w:pPr>
            <w:r>
              <w:rPr>
                <w:rFonts w:ascii="Arial" w:cs="Arial" w:eastAsia="Arial" w:hAnsi="Arial"/>
                <w:sz w:val="11"/>
                <w:szCs w:val="11"/>
                <w:color w:val="auto"/>
              </w:rPr>
              <w:t>2012</w:t>
            </w:r>
          </w:p>
        </w:tc>
        <w:tc>
          <w:tcPr>
            <w:tcW w:w="800" w:type="dxa"/>
            <w:vAlign w:val="bottom"/>
          </w:tcPr>
          <w:p>
            <w:pPr>
              <w:jc w:val="right"/>
              <w:ind w:right="104"/>
              <w:spacing w:after="0" w:line="124" w:lineRule="exact"/>
              <w:rPr>
                <w:sz w:val="20"/>
                <w:szCs w:val="20"/>
                <w:color w:val="auto"/>
              </w:rPr>
            </w:pPr>
            <w:r>
              <w:rPr>
                <w:rFonts w:ascii="Arial" w:cs="Arial" w:eastAsia="Arial" w:hAnsi="Arial"/>
                <w:sz w:val="11"/>
                <w:szCs w:val="11"/>
                <w:color w:val="auto"/>
              </w:rPr>
              <w:t>600,000</w:t>
            </w:r>
          </w:p>
        </w:tc>
        <w:tc>
          <w:tcPr>
            <w:tcW w:w="720" w:type="dxa"/>
            <w:vAlign w:val="bottom"/>
          </w:tcPr>
          <w:p>
            <w:pPr>
              <w:jc w:val="right"/>
              <w:ind w:right="104"/>
              <w:spacing w:after="0" w:line="124" w:lineRule="exact"/>
              <w:rPr>
                <w:sz w:val="20"/>
                <w:szCs w:val="20"/>
                <w:color w:val="auto"/>
              </w:rPr>
            </w:pPr>
            <w:r>
              <w:rPr>
                <w:rFonts w:ascii="Arial" w:cs="Arial" w:eastAsia="Arial" w:hAnsi="Arial"/>
                <w:sz w:val="11"/>
                <w:szCs w:val="11"/>
                <w:color w:val="auto"/>
              </w:rPr>
              <w:t>200,000</w:t>
            </w:r>
          </w:p>
        </w:tc>
        <w:tc>
          <w:tcPr>
            <w:tcW w:w="800" w:type="dxa"/>
            <w:vAlign w:val="bottom"/>
          </w:tcPr>
          <w:p>
            <w:pPr>
              <w:jc w:val="right"/>
              <w:ind w:right="84"/>
              <w:spacing w:after="0" w:line="124" w:lineRule="exact"/>
              <w:rPr>
                <w:sz w:val="20"/>
                <w:szCs w:val="20"/>
                <w:color w:val="auto"/>
              </w:rPr>
            </w:pPr>
            <w:r>
              <w:rPr>
                <w:rFonts w:ascii="Arial" w:cs="Arial" w:eastAsia="Arial" w:hAnsi="Arial"/>
                <w:sz w:val="11"/>
                <w:szCs w:val="11"/>
                <w:color w:val="auto"/>
              </w:rPr>
              <w:t>3,042,210</w:t>
            </w:r>
          </w:p>
        </w:tc>
        <w:tc>
          <w:tcPr>
            <w:tcW w:w="680" w:type="dxa"/>
            <w:vAlign w:val="bottom"/>
          </w:tcPr>
          <w:p>
            <w:pPr>
              <w:jc w:val="right"/>
              <w:ind w:right="84"/>
              <w:spacing w:after="0" w:line="124" w:lineRule="exact"/>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254,400</w:t>
            </w:r>
          </w:p>
        </w:tc>
        <w:tc>
          <w:tcPr>
            <w:tcW w:w="1080" w:type="dxa"/>
            <w:vAlign w:val="bottom"/>
          </w:tcPr>
          <w:p>
            <w:pPr>
              <w:jc w:val="right"/>
              <w:ind w:right="104"/>
              <w:spacing w:after="0" w:line="124" w:lineRule="exact"/>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line="124" w:lineRule="exact"/>
              <w:rPr>
                <w:sz w:val="20"/>
                <w:szCs w:val="20"/>
                <w:color w:val="auto"/>
              </w:rPr>
            </w:pPr>
            <w:r>
              <w:rPr>
                <w:rFonts w:ascii="Arial" w:cs="Arial" w:eastAsia="Arial" w:hAnsi="Arial"/>
                <w:sz w:val="11"/>
                <w:szCs w:val="11"/>
                <w:color w:val="auto"/>
              </w:rPr>
              <w:t>414,721</w:t>
            </w:r>
          </w:p>
        </w:tc>
        <w:tc>
          <w:tcPr>
            <w:tcW w:w="720" w:type="dxa"/>
            <w:vAlign w:val="bottom"/>
          </w:tcPr>
          <w:p>
            <w:pPr>
              <w:jc w:val="right"/>
              <w:ind w:right="64"/>
              <w:spacing w:after="0" w:line="124" w:lineRule="exact"/>
              <w:rPr>
                <w:sz w:val="20"/>
                <w:szCs w:val="20"/>
                <w:color w:val="auto"/>
              </w:rPr>
            </w:pPr>
            <w:r>
              <w:rPr>
                <w:rFonts w:ascii="Arial" w:cs="Arial" w:eastAsia="Arial" w:hAnsi="Arial"/>
                <w:sz w:val="11"/>
                <w:szCs w:val="11"/>
                <w:color w:val="auto"/>
              </w:rPr>
              <w:t>4,511,331</w:t>
            </w:r>
          </w:p>
        </w:tc>
      </w:tr>
      <w:tr>
        <w:trPr>
          <w:trHeight w:val="134"/>
        </w:trPr>
        <w:tc>
          <w:tcPr>
            <w:tcW w:w="2700" w:type="dxa"/>
            <w:vAlign w:val="bottom"/>
          </w:tcPr>
          <w:p>
            <w:pPr>
              <w:spacing w:after="0"/>
              <w:rPr>
                <w:sz w:val="11"/>
                <w:szCs w:val="11"/>
                <w:color w:val="auto"/>
              </w:rPr>
            </w:pPr>
          </w:p>
        </w:tc>
        <w:tc>
          <w:tcPr>
            <w:tcW w:w="2100" w:type="dxa"/>
            <w:vAlign w:val="bottom"/>
          </w:tcPr>
          <w:p>
            <w:pPr>
              <w:ind w:left="1680"/>
              <w:spacing w:after="0"/>
              <w:rPr>
                <w:sz w:val="20"/>
                <w:szCs w:val="20"/>
                <w:color w:val="auto"/>
              </w:rPr>
            </w:pPr>
            <w:r>
              <w:rPr>
                <w:rFonts w:ascii="Arial" w:cs="Arial" w:eastAsia="Arial" w:hAnsi="Arial"/>
                <w:sz w:val="11"/>
                <w:szCs w:val="11"/>
                <w:color w:val="auto"/>
              </w:rPr>
              <w:t>2011</w:t>
            </w:r>
          </w:p>
        </w:tc>
        <w:tc>
          <w:tcPr>
            <w:tcW w:w="800" w:type="dxa"/>
            <w:vAlign w:val="bottom"/>
          </w:tcPr>
          <w:p>
            <w:pPr>
              <w:jc w:val="right"/>
              <w:ind w:right="104"/>
              <w:spacing w:after="0"/>
              <w:rPr>
                <w:sz w:val="20"/>
                <w:szCs w:val="20"/>
                <w:color w:val="auto"/>
              </w:rPr>
            </w:pPr>
            <w:r>
              <w:rPr>
                <w:rFonts w:ascii="Arial" w:cs="Arial" w:eastAsia="Arial" w:hAnsi="Arial"/>
                <w:sz w:val="11"/>
                <w:szCs w:val="11"/>
                <w:color w:val="auto"/>
              </w:rPr>
              <w:t>523,077</w:t>
            </w:r>
          </w:p>
        </w:tc>
        <w:tc>
          <w:tcPr>
            <w:tcW w:w="720" w:type="dxa"/>
            <w:vAlign w:val="bottom"/>
          </w:tcPr>
          <w:p>
            <w:pPr>
              <w:jc w:val="right"/>
              <w:ind w:right="104"/>
              <w:spacing w:after="0"/>
              <w:rPr>
                <w:sz w:val="20"/>
                <w:szCs w:val="20"/>
                <w:color w:val="auto"/>
              </w:rPr>
            </w:pPr>
            <w:r>
              <w:rPr>
                <w:rFonts w:ascii="Arial" w:cs="Arial" w:eastAsia="Arial" w:hAnsi="Arial"/>
                <w:sz w:val="11"/>
                <w:szCs w:val="11"/>
                <w:color w:val="auto"/>
              </w:rPr>
              <w:t>250,000</w:t>
            </w:r>
          </w:p>
        </w:tc>
        <w:tc>
          <w:tcPr>
            <w:tcW w:w="800" w:type="dxa"/>
            <w:vAlign w:val="bottom"/>
          </w:tcPr>
          <w:p>
            <w:pPr>
              <w:jc w:val="right"/>
              <w:ind w:right="84"/>
              <w:spacing w:after="0"/>
              <w:rPr>
                <w:sz w:val="20"/>
                <w:szCs w:val="20"/>
                <w:color w:val="auto"/>
              </w:rPr>
            </w:pPr>
            <w:r>
              <w:rPr>
                <w:rFonts w:ascii="Arial" w:cs="Arial" w:eastAsia="Arial" w:hAnsi="Arial"/>
                <w:sz w:val="11"/>
                <w:szCs w:val="11"/>
                <w:color w:val="auto"/>
              </w:rPr>
              <w:t>670,881</w:t>
            </w: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0</w:t>
            </w:r>
          </w:p>
        </w:tc>
        <w:tc>
          <w:tcPr>
            <w:tcW w:w="1060" w:type="dxa"/>
            <w:vAlign w:val="bottom"/>
          </w:tcPr>
          <w:p>
            <w:pPr>
              <w:jc w:val="right"/>
              <w:ind w:right="84"/>
              <w:spacing w:after="0"/>
              <w:rPr>
                <w:sz w:val="20"/>
                <w:szCs w:val="20"/>
                <w:color w:val="auto"/>
              </w:rPr>
            </w:pPr>
            <w:r>
              <w:rPr>
                <w:rFonts w:ascii="Arial" w:cs="Arial" w:eastAsia="Arial" w:hAnsi="Arial"/>
                <w:sz w:val="11"/>
                <w:szCs w:val="11"/>
                <w:color w:val="auto"/>
              </w:rPr>
              <w:t>784,616</w:t>
            </w:r>
          </w:p>
        </w:tc>
        <w:tc>
          <w:tcPr>
            <w:tcW w:w="1080" w:type="dxa"/>
            <w:vAlign w:val="bottom"/>
          </w:tcPr>
          <w:p>
            <w:pPr>
              <w:jc w:val="right"/>
              <w:ind w:right="104"/>
              <w:spacing w:after="0"/>
              <w:rPr>
                <w:sz w:val="20"/>
                <w:szCs w:val="20"/>
                <w:color w:val="auto"/>
              </w:rPr>
            </w:pPr>
            <w:r>
              <w:rPr>
                <w:rFonts w:ascii="Arial" w:cs="Arial" w:eastAsia="Arial" w:hAnsi="Arial"/>
                <w:sz w:val="11"/>
                <w:szCs w:val="11"/>
                <w:color w:val="auto"/>
              </w:rPr>
              <w:t>0</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110,247</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2,338,821</w:t>
            </w:r>
          </w:p>
        </w:tc>
      </w:tr>
      <w:tr>
        <w:trPr>
          <w:trHeight w:val="125"/>
        </w:trPr>
        <w:tc>
          <w:tcPr>
            <w:tcW w:w="270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Siniscalchi, Patric.</w:t>
            </w:r>
          </w:p>
        </w:tc>
        <w:tc>
          <w:tcPr>
            <w:tcW w:w="2100" w:type="dxa"/>
            <w:vAlign w:val="bottom"/>
            <w:shd w:val="clear" w:color="auto" w:fill="D8D8D8"/>
          </w:tcPr>
          <w:p>
            <w:pPr>
              <w:ind w:left="1680"/>
              <w:spacing w:after="0" w:line="125" w:lineRule="exact"/>
              <w:rPr>
                <w:sz w:val="20"/>
                <w:szCs w:val="20"/>
                <w:color w:val="auto"/>
              </w:rPr>
            </w:pPr>
            <w:r>
              <w:rPr>
                <w:rFonts w:ascii="Arial" w:cs="Arial" w:eastAsia="Arial" w:hAnsi="Arial"/>
                <w:sz w:val="11"/>
                <w:szCs w:val="11"/>
                <w:color w:val="auto"/>
              </w:rPr>
              <w:t>2013</w:t>
            </w:r>
          </w:p>
        </w:tc>
        <w:tc>
          <w:tcPr>
            <w:tcW w:w="800" w:type="dxa"/>
            <w:vAlign w:val="bottom"/>
            <w:shd w:val="clear" w:color="auto" w:fill="D8D8D8"/>
          </w:tcPr>
          <w:p>
            <w:pPr>
              <w:jc w:val="right"/>
              <w:ind w:right="104"/>
              <w:spacing w:after="0" w:line="125" w:lineRule="exact"/>
              <w:rPr>
                <w:sz w:val="20"/>
                <w:szCs w:val="20"/>
                <w:color w:val="auto"/>
              </w:rPr>
            </w:pPr>
            <w:r>
              <w:rPr>
                <w:rFonts w:ascii="Arial" w:cs="Arial" w:eastAsia="Arial" w:hAnsi="Arial"/>
                <w:sz w:val="11"/>
                <w:szCs w:val="11"/>
                <w:color w:val="auto"/>
              </w:rPr>
              <w:t>516,154</w:t>
            </w:r>
          </w:p>
        </w:tc>
        <w:tc>
          <w:tcPr>
            <w:tcW w:w="72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1,074,533</w:t>
            </w:r>
          </w:p>
        </w:tc>
        <w:tc>
          <w:tcPr>
            <w:tcW w:w="68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line="125" w:lineRule="exact"/>
              <w:rPr>
                <w:sz w:val="20"/>
                <w:szCs w:val="20"/>
                <w:color w:val="auto"/>
              </w:rPr>
            </w:pPr>
            <w:r>
              <w:rPr>
                <w:rFonts w:ascii="Arial" w:cs="Arial" w:eastAsia="Arial" w:hAnsi="Arial"/>
                <w:sz w:val="11"/>
                <w:szCs w:val="11"/>
                <w:color w:val="auto"/>
              </w:rPr>
              <w:t>522,606</w:t>
            </w:r>
          </w:p>
        </w:tc>
        <w:tc>
          <w:tcPr>
            <w:tcW w:w="1080" w:type="dxa"/>
            <w:vAlign w:val="bottom"/>
            <w:shd w:val="clear" w:color="auto" w:fill="D8D8D8"/>
          </w:tcPr>
          <w:p>
            <w:pPr>
              <w:jc w:val="right"/>
              <w:ind w:right="104"/>
              <w:spacing w:after="0" w:line="125" w:lineRule="exact"/>
              <w:rPr>
                <w:sz w:val="20"/>
                <w:szCs w:val="20"/>
                <w:color w:val="auto"/>
              </w:rPr>
            </w:pPr>
            <w:r>
              <w:rPr>
                <w:rFonts w:ascii="Arial" w:cs="Arial" w:eastAsia="Arial" w:hAnsi="Arial"/>
                <w:sz w:val="11"/>
                <w:szCs w:val="11"/>
                <w:color w:val="auto"/>
              </w:rPr>
              <w:t>—</w:t>
            </w:r>
          </w:p>
        </w:tc>
        <w:tc>
          <w:tcPr>
            <w:tcW w:w="78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75,998</w:t>
            </w:r>
          </w:p>
        </w:tc>
        <w:tc>
          <w:tcPr>
            <w:tcW w:w="72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2,189,291</w:t>
            </w:r>
          </w:p>
        </w:tc>
      </w:tr>
      <w:tr>
        <w:trPr>
          <w:trHeight w:val="136"/>
        </w:trPr>
        <w:tc>
          <w:tcPr>
            <w:tcW w:w="2700" w:type="dxa"/>
            <w:vAlign w:val="bottom"/>
            <w:shd w:val="clear" w:color="auto" w:fill="D8D8D8"/>
          </w:tcPr>
          <w:p>
            <w:pPr>
              <w:spacing w:after="0"/>
              <w:rPr>
                <w:sz w:val="20"/>
                <w:szCs w:val="20"/>
                <w:color w:val="auto"/>
              </w:rPr>
            </w:pPr>
            <w:r>
              <w:rPr>
                <w:rFonts w:ascii="Arial" w:cs="Arial" w:eastAsia="Arial" w:hAnsi="Arial"/>
                <w:sz w:val="11"/>
                <w:szCs w:val="11"/>
                <w:color w:val="auto"/>
              </w:rPr>
              <w:t>President, LA/AP</w:t>
            </w:r>
          </w:p>
        </w:tc>
        <w:tc>
          <w:tcPr>
            <w:tcW w:w="2100" w:type="dxa"/>
            <w:vAlign w:val="bottom"/>
            <w:shd w:val="clear" w:color="auto" w:fill="D8D8D8"/>
          </w:tcPr>
          <w:p>
            <w:pPr>
              <w:ind w:left="1680"/>
              <w:spacing w:after="0"/>
              <w:rPr>
                <w:sz w:val="20"/>
                <w:szCs w:val="20"/>
                <w:color w:val="auto"/>
              </w:rPr>
            </w:pPr>
            <w:r>
              <w:rPr>
                <w:rFonts w:ascii="Arial" w:cs="Arial" w:eastAsia="Arial" w:hAnsi="Arial"/>
                <w:sz w:val="11"/>
                <w:szCs w:val="11"/>
                <w:color w:val="auto"/>
              </w:rPr>
              <w:t>2012</w:t>
            </w:r>
          </w:p>
        </w:tc>
        <w:tc>
          <w:tcPr>
            <w:tcW w:w="80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500,000</w:t>
            </w:r>
          </w:p>
        </w:tc>
        <w:tc>
          <w:tcPr>
            <w:tcW w:w="72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80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1,868,488</w:t>
            </w:r>
          </w:p>
        </w:tc>
        <w:tc>
          <w:tcPr>
            <w:tcW w:w="68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671,000</w:t>
            </w:r>
          </w:p>
        </w:tc>
        <w:tc>
          <w:tcPr>
            <w:tcW w:w="1080" w:type="dxa"/>
            <w:vAlign w:val="bottom"/>
            <w:shd w:val="clear" w:color="auto" w:fill="D8D8D8"/>
          </w:tcPr>
          <w:p>
            <w:pPr>
              <w:jc w:val="right"/>
              <w:ind w:right="104"/>
              <w:spacing w:after="0"/>
              <w:rPr>
                <w:sz w:val="20"/>
                <w:szCs w:val="20"/>
                <w:color w:val="auto"/>
              </w:rPr>
            </w:pPr>
            <w:r>
              <w:rPr>
                <w:rFonts w:ascii="Arial" w:cs="Arial" w:eastAsia="Arial" w:hAnsi="Arial"/>
                <w:sz w:val="11"/>
                <w:szCs w:val="11"/>
                <w:color w:val="auto"/>
              </w:rPr>
              <w:t>78,220</w:t>
            </w:r>
          </w:p>
        </w:tc>
        <w:tc>
          <w:tcPr>
            <w:tcW w:w="78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83,529</w:t>
            </w:r>
          </w:p>
        </w:tc>
        <w:tc>
          <w:tcPr>
            <w:tcW w:w="72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3,201,237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54"/>
        </w:numPr>
        <w:rPr>
          <w:rFonts w:ascii="Arial" w:cs="Arial" w:eastAsia="Arial" w:hAnsi="Arial"/>
          <w:sz w:val="11"/>
          <w:szCs w:val="11"/>
          <w:color w:val="auto"/>
        </w:rPr>
      </w:pPr>
      <w:r>
        <w:rPr>
          <w:rFonts w:ascii="Arial" w:cs="Arial" w:eastAsia="Arial" w:hAnsi="Arial"/>
          <w:sz w:val="11"/>
          <w:szCs w:val="11"/>
          <w:color w:val="auto"/>
        </w:rPr>
        <w:t>Salary includes amounts deferred under the Company’s Deferred Compensation Plan or 401(k) Plan.</w:t>
      </w:r>
    </w:p>
    <w:p>
      <w:pPr>
        <w:ind w:left="330" w:right="20" w:hanging="330"/>
        <w:spacing w:after="0" w:line="234" w:lineRule="auto"/>
        <w:tabs>
          <w:tab w:leader="none" w:pos="33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2013 stock awards are included in Note 2 to our audited financial statements for the fiscal year ended December 31, 2013, included in our 2013 Form 10-K. Stock awards granted in 2013 for Mr. Nelson include both restricted stock units and restricted cash units. To the extent that the restricted cash units become earned, the value will be based on the 90-trading day average stock price prior to vesting. The grant date value of the 2013 stock awards assuming achievement of the highest level of performance conditions are: for Mr. Nelson, $4,725,014; Mr. Wyshner, $1,500,006; Mr. Gartland, $1,500,006; Mr. De Shon, $1,500,006; and Mr. Siniscalchi, $1,249,994. Awards granted in 2013 are further discussed under “Long-Term Incentive Awards.”</w:t>
      </w:r>
    </w:p>
    <w:p>
      <w:pPr>
        <w:spacing w:after="0" w:line="2" w:lineRule="exact"/>
        <w:rPr>
          <w:rFonts w:ascii="Arial" w:cs="Arial" w:eastAsia="Arial" w:hAnsi="Arial"/>
          <w:sz w:val="11"/>
          <w:szCs w:val="11"/>
          <w:color w:val="auto"/>
        </w:rPr>
      </w:pPr>
    </w:p>
    <w:p>
      <w:pPr>
        <w:ind w:left="330" w:right="440" w:hanging="330"/>
        <w:spacing w:after="0" w:line="234" w:lineRule="auto"/>
        <w:tabs>
          <w:tab w:leader="none" w:pos="330" w:val="left"/>
        </w:tabs>
        <w:numPr>
          <w:ilvl w:val="0"/>
          <w:numId w:val="54"/>
        </w:numPr>
        <w:rPr>
          <w:rFonts w:ascii="Arial" w:cs="Arial" w:eastAsia="Arial" w:hAnsi="Arial"/>
          <w:sz w:val="11"/>
          <w:szCs w:val="11"/>
          <w:color w:val="auto"/>
        </w:rPr>
      </w:pPr>
      <w:r>
        <w:rPr>
          <w:rFonts w:ascii="Arial" w:cs="Arial" w:eastAsia="Arial" w:hAnsi="Arial"/>
          <w:sz w:val="11"/>
          <w:szCs w:val="11"/>
          <w:color w:val="auto"/>
        </w:rPr>
        <w:t>Amounts reflected were earned based on achievement of annual performance goals established for each year, pursuant to the 2007 Amended and Restated Equity and Incentive Plan and include deferrals under the Company’s Deferred Compensation Plan.</w:t>
      </w:r>
    </w:p>
    <w:p>
      <w:pPr>
        <w:spacing w:after="0" w:line="1" w:lineRule="exact"/>
        <w:rPr>
          <w:rFonts w:ascii="Arial" w:cs="Arial" w:eastAsia="Arial" w:hAnsi="Arial"/>
          <w:sz w:val="11"/>
          <w:szCs w:val="11"/>
          <w:color w:val="auto"/>
        </w:rPr>
      </w:pPr>
    </w:p>
    <w:p>
      <w:pPr>
        <w:ind w:left="330" w:right="280" w:hanging="330"/>
        <w:spacing w:after="0" w:line="234" w:lineRule="auto"/>
        <w:tabs>
          <w:tab w:leader="none" w:pos="330" w:val="left"/>
        </w:tabs>
        <w:numPr>
          <w:ilvl w:val="0"/>
          <w:numId w:val="54"/>
        </w:numPr>
        <w:rPr>
          <w:rFonts w:ascii="Arial" w:cs="Arial" w:eastAsia="Arial" w:hAnsi="Arial"/>
          <w:sz w:val="11"/>
          <w:szCs w:val="11"/>
          <w:color w:val="auto"/>
        </w:rPr>
      </w:pPr>
      <w:r>
        <w:rPr>
          <w:rFonts w:ascii="Arial" w:cs="Arial" w:eastAsia="Arial" w:hAnsi="Arial"/>
          <w:sz w:val="11"/>
          <w:szCs w:val="11"/>
          <w:color w:val="auto"/>
        </w:rPr>
        <w:t>For Mr. Siniscalchi, the reported change in pension value during the year represents the sum of the increased value accumulated in the Avis Rent A Car System, LLC Pension Plan and the Avis Rent A Car System, LLC Retirement Equalization Benefit Plan. During 2013, such value decreased by $40,538, primarily driven by a change in the discount rate. Avis froze its qualified and non-qualified defined benefit pension plans to new participation and future benefit accruals as of December 31, 1998. Please see the “Pension Benefits Table” below for further information regarding these plans.</w:t>
      </w:r>
    </w:p>
    <w:p>
      <w:pPr>
        <w:spacing w:after="0" w:line="1" w:lineRule="exact"/>
        <w:rPr>
          <w:rFonts w:ascii="Arial" w:cs="Arial" w:eastAsia="Arial" w:hAnsi="Arial"/>
          <w:sz w:val="11"/>
          <w:szCs w:val="11"/>
          <w:color w:val="auto"/>
        </w:rPr>
      </w:pPr>
    </w:p>
    <w:p>
      <w:pPr>
        <w:ind w:left="330" w:hanging="330"/>
        <w:spacing w:after="0"/>
        <w:tabs>
          <w:tab w:leader="none" w:pos="330" w:val="left"/>
        </w:tabs>
        <w:numPr>
          <w:ilvl w:val="0"/>
          <w:numId w:val="54"/>
        </w:numPr>
        <w:rPr>
          <w:rFonts w:ascii="Arial" w:cs="Arial" w:eastAsia="Arial" w:hAnsi="Arial"/>
          <w:sz w:val="11"/>
          <w:szCs w:val="11"/>
          <w:color w:val="auto"/>
        </w:rPr>
      </w:pPr>
      <w:r>
        <w:rPr>
          <w:rFonts w:ascii="Arial" w:cs="Arial" w:eastAsia="Arial" w:hAnsi="Arial"/>
          <w:sz w:val="11"/>
          <w:szCs w:val="11"/>
          <w:color w:val="auto"/>
        </w:rPr>
        <w:t>All Other Compensation includes the personal benefits and perquisites presented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77470</wp:posOffset>
            </wp:positionV>
            <wp:extent cx="950595" cy="142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9"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29</w:t>
            </w:r>
          </w:p>
        </w:tc>
      </w:tr>
    </w:tbl>
    <w:p>
      <w:pPr>
        <w:sectPr>
          <w:pgSz w:w="11900" w:h="16838" w:orient="portrait"/>
          <w:cols w:equalWidth="0" w:num="1">
            <w:col w:w="11450"/>
          </w:cols>
          <w:pgMar w:left="230" w:top="407" w:right="219" w:bottom="1440" w:gutter="0" w:footer="0" w:header="0"/>
        </w:sectPr>
      </w:pPr>
    </w:p>
    <w:bookmarkStart w:id="35" w:name="page36"/>
    <w:bookmarkEnd w:id="35"/>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All Other Compensation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rPr>
              <w:t>Company</w:t>
            </w: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4"/>
        </w:trPr>
        <w:tc>
          <w:tcPr>
            <w:tcW w:w="28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3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Contributions</w:t>
            </w:r>
          </w:p>
        </w:tc>
        <w:tc>
          <w:tcPr>
            <w:tcW w:w="114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Expatriate,</w:t>
            </w:r>
          </w:p>
        </w:tc>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7"/>
        </w:trPr>
        <w:tc>
          <w:tcPr>
            <w:tcW w:w="28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rPr>
              <w:t>To Deferred</w:t>
            </w:r>
          </w:p>
        </w:tc>
        <w:tc>
          <w:tcPr>
            <w:tcW w:w="11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Relocation</w:t>
            </w:r>
          </w:p>
        </w:tc>
        <w:tc>
          <w:tcPr>
            <w:tcW w:w="1320" w:type="dxa"/>
            <w:vAlign w:val="bottom"/>
          </w:tcPr>
          <w:p>
            <w:pPr>
              <w:jc w:val="center"/>
              <w:ind w:left="4"/>
              <w:spacing w:after="0"/>
              <w:rPr>
                <w:sz w:val="20"/>
                <w:szCs w:val="20"/>
                <w:color w:val="auto"/>
              </w:rPr>
            </w:pPr>
            <w:r>
              <w:rPr>
                <w:rFonts w:ascii="Arial" w:cs="Arial" w:eastAsia="Arial" w:hAnsi="Arial"/>
                <w:sz w:val="11"/>
                <w:szCs w:val="11"/>
                <w:b w:val="1"/>
                <w:bCs w:val="1"/>
                <w:color w:val="auto"/>
              </w:rPr>
              <w:t>Expatriate</w:t>
            </w:r>
          </w:p>
        </w:tc>
        <w:tc>
          <w:tcPr>
            <w:tcW w:w="1100" w:type="dxa"/>
            <w:vAlign w:val="bottom"/>
          </w:tcPr>
          <w:p>
            <w:pPr>
              <w:spacing w:after="0"/>
              <w:rPr>
                <w:sz w:val="11"/>
                <w:szCs w:val="11"/>
                <w:color w:val="auto"/>
              </w:rPr>
            </w:pPr>
          </w:p>
        </w:tc>
      </w:tr>
      <w:tr>
        <w:trPr>
          <w:trHeight w:val="124"/>
        </w:trPr>
        <w:tc>
          <w:tcPr>
            <w:tcW w:w="28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3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Compensation</w:t>
            </w:r>
          </w:p>
        </w:tc>
        <w:tc>
          <w:tcPr>
            <w:tcW w:w="1140" w:type="dxa"/>
            <w:vAlign w:val="bottom"/>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and Other</w:t>
            </w:r>
          </w:p>
        </w:tc>
        <w:tc>
          <w:tcPr>
            <w:tcW w:w="132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auto"/>
                <w:w w:val="94"/>
              </w:rPr>
              <w:t>Tax</w:t>
            </w:r>
          </w:p>
        </w:tc>
        <w:tc>
          <w:tcPr>
            <w:tcW w:w="11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Total All Other</w:t>
            </w:r>
          </w:p>
        </w:tc>
      </w:tr>
      <w:tr>
        <w:trPr>
          <w:trHeight w:val="124"/>
        </w:trPr>
        <w:tc>
          <w:tcPr>
            <w:tcW w:w="28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3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Plans</w:t>
            </w:r>
          </w:p>
        </w:tc>
        <w:tc>
          <w:tcPr>
            <w:tcW w:w="1140" w:type="dxa"/>
            <w:vAlign w:val="bottom"/>
          </w:tcPr>
          <w:p>
            <w:pPr>
              <w:jc w:val="right"/>
              <w:ind w:right="204"/>
              <w:spacing w:after="0" w:line="124" w:lineRule="exact"/>
              <w:rPr>
                <w:sz w:val="20"/>
                <w:szCs w:val="20"/>
                <w:color w:val="auto"/>
              </w:rPr>
            </w:pPr>
            <w:r>
              <w:rPr>
                <w:rFonts w:ascii="Arial" w:cs="Arial" w:eastAsia="Arial" w:hAnsi="Arial"/>
                <w:sz w:val="11"/>
                <w:szCs w:val="11"/>
                <w:b w:val="1"/>
                <w:bCs w:val="1"/>
                <w:color w:val="auto"/>
              </w:rPr>
              <w:t>Perquisites</w:t>
            </w:r>
          </w:p>
        </w:tc>
        <w:tc>
          <w:tcPr>
            <w:tcW w:w="11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Benefits</w:t>
            </w:r>
          </w:p>
        </w:tc>
        <w:tc>
          <w:tcPr>
            <w:tcW w:w="1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Reimbursement</w:t>
            </w:r>
          </w:p>
        </w:tc>
        <w:tc>
          <w:tcPr>
            <w:tcW w:w="11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Compensation</w:t>
            </w:r>
          </w:p>
        </w:tc>
      </w:tr>
      <w:tr>
        <w:trPr>
          <w:trHeight w:val="146"/>
        </w:trPr>
        <w:tc>
          <w:tcPr>
            <w:tcW w:w="2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640" w:type="dxa"/>
            <w:vAlign w:val="bottom"/>
            <w:tcBorders>
              <w:bottom w:val="single" w:sz="8" w:color="auto"/>
            </w:tcBorders>
          </w:tcPr>
          <w:p>
            <w:pPr>
              <w:ind w:left="2120"/>
              <w:spacing w:after="0"/>
              <w:rPr>
                <w:sz w:val="20"/>
                <w:szCs w:val="20"/>
                <w:color w:val="auto"/>
              </w:rPr>
            </w:pPr>
            <w:r>
              <w:rPr>
                <w:rFonts w:ascii="Arial" w:cs="Arial" w:eastAsia="Arial" w:hAnsi="Arial"/>
                <w:sz w:val="11"/>
                <w:szCs w:val="11"/>
                <w:b w:val="1"/>
                <w:bCs w:val="1"/>
                <w:color w:val="auto"/>
              </w:rPr>
              <w:t>Year</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($)(b)</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1100" w:type="dxa"/>
            <w:vAlign w:val="bottom"/>
            <w:tcBorders>
              <w:bottom w:val="single" w:sz="8" w:color="auto"/>
            </w:tcBorders>
          </w:tcPr>
          <w:p>
            <w:pPr>
              <w:jc w:val="center"/>
              <w:ind w:left="24"/>
              <w:spacing w:after="0"/>
              <w:rPr>
                <w:sz w:val="20"/>
                <w:szCs w:val="20"/>
                <w:color w:val="auto"/>
              </w:rPr>
            </w:pPr>
            <w:r>
              <w:rPr>
                <w:rFonts w:ascii="Arial" w:cs="Arial" w:eastAsia="Arial" w:hAnsi="Arial"/>
                <w:sz w:val="11"/>
                <w:szCs w:val="11"/>
                <w:b w:val="1"/>
                <w:bCs w:val="1"/>
                <w:color w:val="auto"/>
              </w:rPr>
              <w:t>($)</w:t>
            </w:r>
          </w:p>
        </w:tc>
      </w:tr>
      <w:tr>
        <w:trPr>
          <w:trHeight w:val="115"/>
        </w:trPr>
        <w:tc>
          <w:tcPr>
            <w:tcW w:w="284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Mr. Nelson</w:t>
            </w:r>
          </w:p>
        </w:tc>
        <w:tc>
          <w:tcPr>
            <w:tcW w:w="2640" w:type="dxa"/>
            <w:vAlign w:val="bottom"/>
            <w:shd w:val="clear" w:color="auto" w:fill="D8D8D8"/>
          </w:tcPr>
          <w:p>
            <w:pPr>
              <w:ind w:left="2140"/>
              <w:spacing w:after="0" w:line="115" w:lineRule="exact"/>
              <w:rPr>
                <w:sz w:val="20"/>
                <w:szCs w:val="20"/>
                <w:color w:val="auto"/>
              </w:rPr>
            </w:pPr>
            <w:r>
              <w:rPr>
                <w:rFonts w:ascii="Arial" w:cs="Arial" w:eastAsia="Arial" w:hAnsi="Arial"/>
                <w:sz w:val="11"/>
                <w:szCs w:val="11"/>
                <w:color w:val="auto"/>
              </w:rPr>
              <w:t>2013</w:t>
            </w:r>
          </w:p>
        </w:tc>
        <w:tc>
          <w:tcPr>
            <w:tcW w:w="1300" w:type="dxa"/>
            <w:vAlign w:val="bottom"/>
            <w:shd w:val="clear" w:color="auto" w:fill="D8D8D8"/>
          </w:tcPr>
          <w:p>
            <w:pPr>
              <w:jc w:val="right"/>
              <w:ind w:right="184"/>
              <w:spacing w:after="0" w:line="115" w:lineRule="exact"/>
              <w:rPr>
                <w:sz w:val="20"/>
                <w:szCs w:val="20"/>
                <w:color w:val="auto"/>
              </w:rPr>
            </w:pPr>
            <w:r>
              <w:rPr>
                <w:rFonts w:ascii="Arial" w:cs="Arial" w:eastAsia="Arial" w:hAnsi="Arial"/>
                <w:sz w:val="11"/>
                <w:szCs w:val="11"/>
                <w:color w:val="auto"/>
              </w:rPr>
              <w:t>177,675</w:t>
            </w:r>
          </w:p>
        </w:tc>
        <w:tc>
          <w:tcPr>
            <w:tcW w:w="1140" w:type="dxa"/>
            <w:vAlign w:val="bottom"/>
            <w:shd w:val="clear" w:color="auto" w:fill="D8D8D8"/>
          </w:tcPr>
          <w:p>
            <w:pPr>
              <w:jc w:val="right"/>
              <w:ind w:right="204"/>
              <w:spacing w:after="0" w:line="115" w:lineRule="exact"/>
              <w:rPr>
                <w:sz w:val="20"/>
                <w:szCs w:val="20"/>
                <w:color w:val="auto"/>
              </w:rPr>
            </w:pPr>
            <w:r>
              <w:rPr>
                <w:rFonts w:ascii="Arial" w:cs="Arial" w:eastAsia="Arial" w:hAnsi="Arial"/>
                <w:sz w:val="11"/>
                <w:szCs w:val="11"/>
                <w:color w:val="auto"/>
              </w:rPr>
              <w:t>114,701</w:t>
            </w:r>
          </w:p>
        </w:tc>
        <w:tc>
          <w:tcPr>
            <w:tcW w:w="1100" w:type="dxa"/>
            <w:vAlign w:val="bottom"/>
            <w:shd w:val="clear" w:color="auto" w:fill="D8D8D8"/>
          </w:tcPr>
          <w:p>
            <w:pPr>
              <w:jc w:val="right"/>
              <w:ind w:right="204"/>
              <w:spacing w:after="0" w:line="115" w:lineRule="exact"/>
              <w:rPr>
                <w:sz w:val="20"/>
                <w:szCs w:val="20"/>
                <w:color w:val="auto"/>
              </w:rPr>
            </w:pPr>
            <w:r>
              <w:rPr>
                <w:rFonts w:ascii="Arial" w:cs="Arial" w:eastAsia="Arial" w:hAnsi="Arial"/>
                <w:sz w:val="11"/>
                <w:szCs w:val="11"/>
                <w:color w:val="auto"/>
              </w:rPr>
              <w:t>876</w:t>
            </w:r>
          </w:p>
        </w:tc>
        <w:tc>
          <w:tcPr>
            <w:tcW w:w="1320" w:type="dxa"/>
            <w:vAlign w:val="bottom"/>
            <w:shd w:val="clear" w:color="auto" w:fill="D8D8D8"/>
          </w:tcPr>
          <w:p>
            <w:pPr>
              <w:jc w:val="right"/>
              <w:ind w:right="144"/>
              <w:spacing w:after="0" w:line="115" w:lineRule="exact"/>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line="115" w:lineRule="exact"/>
              <w:rPr>
                <w:sz w:val="20"/>
                <w:szCs w:val="20"/>
                <w:color w:val="auto"/>
              </w:rPr>
            </w:pPr>
            <w:r>
              <w:rPr>
                <w:rFonts w:ascii="Arial" w:cs="Arial" w:eastAsia="Arial" w:hAnsi="Arial"/>
                <w:sz w:val="11"/>
                <w:szCs w:val="11"/>
                <w:color w:val="auto"/>
              </w:rPr>
              <w:t>293,252</w:t>
            </w:r>
          </w:p>
        </w:tc>
      </w:tr>
      <w:tr>
        <w:trPr>
          <w:trHeight w:val="124"/>
        </w:trPr>
        <w:tc>
          <w:tcPr>
            <w:tcW w:w="2840" w:type="dxa"/>
            <w:vAlign w:val="bottom"/>
            <w:shd w:val="clear" w:color="auto" w:fill="D8D8D8"/>
          </w:tcPr>
          <w:p>
            <w:pPr>
              <w:spacing w:after="0"/>
              <w:rPr>
                <w:sz w:val="10"/>
                <w:szCs w:val="10"/>
                <w:color w:val="auto"/>
              </w:rPr>
            </w:pPr>
          </w:p>
        </w:tc>
        <w:tc>
          <w:tcPr>
            <w:tcW w:w="2640" w:type="dxa"/>
            <w:vAlign w:val="bottom"/>
            <w:shd w:val="clear" w:color="auto" w:fill="D8D8D8"/>
          </w:tcPr>
          <w:p>
            <w:pPr>
              <w:ind w:left="2140"/>
              <w:spacing w:after="0" w:line="124" w:lineRule="exact"/>
              <w:rPr>
                <w:sz w:val="20"/>
                <w:szCs w:val="20"/>
                <w:color w:val="auto"/>
              </w:rPr>
            </w:pPr>
            <w:r>
              <w:rPr>
                <w:rFonts w:ascii="Arial" w:cs="Arial" w:eastAsia="Arial" w:hAnsi="Arial"/>
                <w:sz w:val="11"/>
                <w:szCs w:val="11"/>
                <w:color w:val="auto"/>
              </w:rPr>
              <w:t>2012</w:t>
            </w:r>
          </w:p>
        </w:tc>
        <w:tc>
          <w:tcPr>
            <w:tcW w:w="1300" w:type="dxa"/>
            <w:vAlign w:val="bottom"/>
            <w:shd w:val="clear" w:color="auto" w:fill="D8D8D8"/>
          </w:tcPr>
          <w:p>
            <w:pPr>
              <w:jc w:val="right"/>
              <w:ind w:right="184"/>
              <w:spacing w:after="0" w:line="124" w:lineRule="exact"/>
              <w:rPr>
                <w:sz w:val="20"/>
                <w:szCs w:val="20"/>
                <w:color w:val="auto"/>
              </w:rPr>
            </w:pPr>
            <w:r>
              <w:rPr>
                <w:rFonts w:ascii="Arial" w:cs="Arial" w:eastAsia="Arial" w:hAnsi="Arial"/>
                <w:sz w:val="11"/>
                <w:szCs w:val="11"/>
                <w:color w:val="auto"/>
              </w:rPr>
              <w:t>178,710</w:t>
            </w:r>
          </w:p>
        </w:tc>
        <w:tc>
          <w:tcPr>
            <w:tcW w:w="114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149,276</w:t>
            </w:r>
          </w:p>
        </w:tc>
        <w:tc>
          <w:tcPr>
            <w:tcW w:w="110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876</w:t>
            </w:r>
          </w:p>
        </w:tc>
        <w:tc>
          <w:tcPr>
            <w:tcW w:w="1320" w:type="dxa"/>
            <w:vAlign w:val="bottom"/>
            <w:shd w:val="clear" w:color="auto" w:fill="D8D8D8"/>
          </w:tcPr>
          <w:p>
            <w:pPr>
              <w:jc w:val="right"/>
              <w:ind w:right="144"/>
              <w:spacing w:after="0" w:line="124" w:lineRule="exact"/>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328,862</w:t>
            </w:r>
          </w:p>
        </w:tc>
      </w:tr>
      <w:tr>
        <w:trPr>
          <w:trHeight w:val="136"/>
        </w:trPr>
        <w:tc>
          <w:tcPr>
            <w:tcW w:w="2840" w:type="dxa"/>
            <w:vAlign w:val="bottom"/>
            <w:shd w:val="clear" w:color="auto" w:fill="D8D8D8"/>
          </w:tcPr>
          <w:p>
            <w:pPr>
              <w:spacing w:after="0"/>
              <w:rPr>
                <w:sz w:val="11"/>
                <w:szCs w:val="11"/>
                <w:color w:val="auto"/>
              </w:rPr>
            </w:pPr>
          </w:p>
        </w:tc>
        <w:tc>
          <w:tcPr>
            <w:tcW w:w="2640" w:type="dxa"/>
            <w:vAlign w:val="bottom"/>
            <w:shd w:val="clear" w:color="auto" w:fill="D8D8D8"/>
          </w:tcPr>
          <w:p>
            <w:pPr>
              <w:ind w:left="2140"/>
              <w:spacing w:after="0"/>
              <w:rPr>
                <w:sz w:val="20"/>
                <w:szCs w:val="20"/>
                <w:color w:val="auto"/>
              </w:rPr>
            </w:pPr>
            <w:r>
              <w:rPr>
                <w:rFonts w:ascii="Arial" w:cs="Arial" w:eastAsia="Arial" w:hAnsi="Arial"/>
                <w:sz w:val="11"/>
                <w:szCs w:val="11"/>
                <w:color w:val="auto"/>
              </w:rPr>
              <w:t>2011</w:t>
            </w:r>
          </w:p>
        </w:tc>
        <w:tc>
          <w:tcPr>
            <w:tcW w:w="1300" w:type="dxa"/>
            <w:vAlign w:val="bottom"/>
            <w:shd w:val="clear" w:color="auto" w:fill="D8D8D8"/>
          </w:tcPr>
          <w:p>
            <w:pPr>
              <w:jc w:val="right"/>
              <w:ind w:right="184"/>
              <w:spacing w:after="0"/>
              <w:rPr>
                <w:sz w:val="20"/>
                <w:szCs w:val="20"/>
                <w:color w:val="auto"/>
              </w:rPr>
            </w:pPr>
            <w:r>
              <w:rPr>
                <w:rFonts w:ascii="Arial" w:cs="Arial" w:eastAsia="Arial" w:hAnsi="Arial"/>
                <w:sz w:val="11"/>
                <w:szCs w:val="11"/>
                <w:color w:val="auto"/>
              </w:rPr>
              <w:t>195,000</w:t>
            </w:r>
          </w:p>
        </w:tc>
        <w:tc>
          <w:tcPr>
            <w:tcW w:w="114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70,025</w:t>
            </w:r>
          </w:p>
        </w:tc>
        <w:tc>
          <w:tcPr>
            <w:tcW w:w="110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876</w:t>
            </w:r>
          </w:p>
        </w:tc>
        <w:tc>
          <w:tcPr>
            <w:tcW w:w="1320" w:type="dxa"/>
            <w:vAlign w:val="bottom"/>
            <w:shd w:val="clear" w:color="auto" w:fill="D8D8D8"/>
          </w:tcPr>
          <w:p>
            <w:pPr>
              <w:jc w:val="right"/>
              <w:ind w:right="144"/>
              <w:spacing w:after="0"/>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265,901</w:t>
            </w:r>
          </w:p>
        </w:tc>
      </w:tr>
      <w:tr>
        <w:trPr>
          <w:trHeight w:val="123"/>
        </w:trPr>
        <w:tc>
          <w:tcPr>
            <w:tcW w:w="2840" w:type="dxa"/>
            <w:vAlign w:val="bottom"/>
          </w:tcPr>
          <w:p>
            <w:pPr>
              <w:spacing w:after="0" w:line="123" w:lineRule="exact"/>
              <w:rPr>
                <w:sz w:val="20"/>
                <w:szCs w:val="20"/>
                <w:color w:val="auto"/>
              </w:rPr>
            </w:pPr>
            <w:r>
              <w:rPr>
                <w:rFonts w:ascii="Arial" w:cs="Arial" w:eastAsia="Arial" w:hAnsi="Arial"/>
                <w:sz w:val="11"/>
                <w:szCs w:val="11"/>
                <w:color w:val="auto"/>
              </w:rPr>
              <w:t>Mr. Wyshner</w:t>
            </w:r>
          </w:p>
        </w:tc>
        <w:tc>
          <w:tcPr>
            <w:tcW w:w="2640" w:type="dxa"/>
            <w:vAlign w:val="bottom"/>
          </w:tcPr>
          <w:p>
            <w:pPr>
              <w:ind w:left="2140"/>
              <w:spacing w:after="0" w:line="123" w:lineRule="exact"/>
              <w:rPr>
                <w:sz w:val="20"/>
                <w:szCs w:val="20"/>
                <w:color w:val="auto"/>
              </w:rPr>
            </w:pPr>
            <w:r>
              <w:rPr>
                <w:rFonts w:ascii="Arial" w:cs="Arial" w:eastAsia="Arial" w:hAnsi="Arial"/>
                <w:sz w:val="11"/>
                <w:szCs w:val="11"/>
                <w:color w:val="auto"/>
              </w:rPr>
              <w:t>2013</w:t>
            </w:r>
          </w:p>
        </w:tc>
        <w:tc>
          <w:tcPr>
            <w:tcW w:w="1300" w:type="dxa"/>
            <w:vAlign w:val="bottom"/>
          </w:tcPr>
          <w:p>
            <w:pPr>
              <w:jc w:val="right"/>
              <w:ind w:right="184"/>
              <w:spacing w:after="0" w:line="123" w:lineRule="exact"/>
              <w:rPr>
                <w:sz w:val="20"/>
                <w:szCs w:val="20"/>
                <w:color w:val="auto"/>
              </w:rPr>
            </w:pPr>
            <w:r>
              <w:rPr>
                <w:rFonts w:ascii="Arial" w:cs="Arial" w:eastAsia="Arial" w:hAnsi="Arial"/>
                <w:sz w:val="11"/>
                <w:szCs w:val="11"/>
                <w:color w:val="auto"/>
              </w:rPr>
              <w:t>83,735</w:t>
            </w:r>
          </w:p>
        </w:tc>
        <w:tc>
          <w:tcPr>
            <w:tcW w:w="1140" w:type="dxa"/>
            <w:vAlign w:val="bottom"/>
          </w:tcPr>
          <w:p>
            <w:pPr>
              <w:jc w:val="right"/>
              <w:ind w:right="204"/>
              <w:spacing w:after="0" w:line="123" w:lineRule="exact"/>
              <w:rPr>
                <w:sz w:val="20"/>
                <w:szCs w:val="20"/>
                <w:color w:val="auto"/>
              </w:rPr>
            </w:pPr>
            <w:r>
              <w:rPr>
                <w:rFonts w:ascii="Arial" w:cs="Arial" w:eastAsia="Arial" w:hAnsi="Arial"/>
                <w:sz w:val="11"/>
                <w:szCs w:val="11"/>
                <w:color w:val="auto"/>
              </w:rPr>
              <w:t>57,672</w:t>
            </w:r>
          </w:p>
        </w:tc>
        <w:tc>
          <w:tcPr>
            <w:tcW w:w="1100" w:type="dxa"/>
            <w:vAlign w:val="bottom"/>
          </w:tcPr>
          <w:p>
            <w:pPr>
              <w:jc w:val="right"/>
              <w:ind w:right="204"/>
              <w:spacing w:after="0" w:line="123" w:lineRule="exact"/>
              <w:rPr>
                <w:sz w:val="20"/>
                <w:szCs w:val="20"/>
                <w:color w:val="auto"/>
              </w:rPr>
            </w:pPr>
            <w:r>
              <w:rPr>
                <w:rFonts w:ascii="Arial" w:cs="Arial" w:eastAsia="Arial" w:hAnsi="Arial"/>
                <w:sz w:val="11"/>
                <w:szCs w:val="11"/>
                <w:color w:val="auto"/>
              </w:rPr>
              <w:t>876</w:t>
            </w:r>
          </w:p>
        </w:tc>
        <w:tc>
          <w:tcPr>
            <w:tcW w:w="1320" w:type="dxa"/>
            <w:vAlign w:val="bottom"/>
          </w:tcPr>
          <w:p>
            <w:pPr>
              <w:jc w:val="right"/>
              <w:ind w:right="144"/>
              <w:spacing w:after="0" w:line="123"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64"/>
              <w:spacing w:after="0" w:line="123" w:lineRule="exact"/>
              <w:rPr>
                <w:sz w:val="20"/>
                <w:szCs w:val="20"/>
                <w:color w:val="auto"/>
              </w:rPr>
            </w:pPr>
            <w:r>
              <w:rPr>
                <w:rFonts w:ascii="Arial" w:cs="Arial" w:eastAsia="Arial" w:hAnsi="Arial"/>
                <w:sz w:val="11"/>
                <w:szCs w:val="11"/>
                <w:color w:val="auto"/>
              </w:rPr>
              <w:t>142,283</w:t>
            </w:r>
          </w:p>
        </w:tc>
      </w:tr>
      <w:tr>
        <w:trPr>
          <w:trHeight w:val="124"/>
        </w:trPr>
        <w:tc>
          <w:tcPr>
            <w:tcW w:w="2840" w:type="dxa"/>
            <w:vAlign w:val="bottom"/>
          </w:tcPr>
          <w:p>
            <w:pPr>
              <w:spacing w:after="0"/>
              <w:rPr>
                <w:sz w:val="10"/>
                <w:szCs w:val="10"/>
                <w:color w:val="auto"/>
              </w:rPr>
            </w:pPr>
          </w:p>
        </w:tc>
        <w:tc>
          <w:tcPr>
            <w:tcW w:w="2640" w:type="dxa"/>
            <w:vAlign w:val="bottom"/>
          </w:tcPr>
          <w:p>
            <w:pPr>
              <w:ind w:left="2140"/>
              <w:spacing w:after="0" w:line="124" w:lineRule="exact"/>
              <w:rPr>
                <w:sz w:val="20"/>
                <w:szCs w:val="20"/>
                <w:color w:val="auto"/>
              </w:rPr>
            </w:pPr>
            <w:r>
              <w:rPr>
                <w:rFonts w:ascii="Arial" w:cs="Arial" w:eastAsia="Arial" w:hAnsi="Arial"/>
                <w:sz w:val="11"/>
                <w:szCs w:val="11"/>
                <w:color w:val="auto"/>
              </w:rPr>
              <w:t>2012</w:t>
            </w:r>
          </w:p>
        </w:tc>
        <w:tc>
          <w:tcPr>
            <w:tcW w:w="1300" w:type="dxa"/>
            <w:vAlign w:val="bottom"/>
          </w:tcPr>
          <w:p>
            <w:pPr>
              <w:jc w:val="right"/>
              <w:ind w:right="184"/>
              <w:spacing w:after="0" w:line="124" w:lineRule="exact"/>
              <w:rPr>
                <w:sz w:val="20"/>
                <w:szCs w:val="20"/>
                <w:color w:val="auto"/>
              </w:rPr>
            </w:pPr>
            <w:r>
              <w:rPr>
                <w:rFonts w:ascii="Arial" w:cs="Arial" w:eastAsia="Arial" w:hAnsi="Arial"/>
                <w:sz w:val="11"/>
                <w:szCs w:val="11"/>
                <w:color w:val="auto"/>
              </w:rPr>
              <w:t>74,160</w:t>
            </w:r>
          </w:p>
        </w:tc>
        <w:tc>
          <w:tcPr>
            <w:tcW w:w="114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41,103</w:t>
            </w:r>
          </w:p>
        </w:tc>
        <w:tc>
          <w:tcPr>
            <w:tcW w:w="110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788</w:t>
            </w:r>
          </w:p>
        </w:tc>
        <w:tc>
          <w:tcPr>
            <w:tcW w:w="1320" w:type="dxa"/>
            <w:vAlign w:val="bottom"/>
          </w:tcPr>
          <w:p>
            <w:pPr>
              <w:jc w:val="right"/>
              <w:ind w:right="144"/>
              <w:spacing w:after="0" w:line="124"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64"/>
              <w:spacing w:after="0" w:line="124" w:lineRule="exact"/>
              <w:rPr>
                <w:sz w:val="20"/>
                <w:szCs w:val="20"/>
                <w:color w:val="auto"/>
              </w:rPr>
            </w:pPr>
            <w:r>
              <w:rPr>
                <w:rFonts w:ascii="Arial" w:cs="Arial" w:eastAsia="Arial" w:hAnsi="Arial"/>
                <w:sz w:val="11"/>
                <w:szCs w:val="11"/>
                <w:color w:val="auto"/>
              </w:rPr>
              <w:t>116,051</w:t>
            </w:r>
          </w:p>
        </w:tc>
      </w:tr>
      <w:tr>
        <w:trPr>
          <w:trHeight w:val="134"/>
        </w:trPr>
        <w:tc>
          <w:tcPr>
            <w:tcW w:w="2840" w:type="dxa"/>
            <w:vAlign w:val="bottom"/>
          </w:tcPr>
          <w:p>
            <w:pPr>
              <w:spacing w:after="0"/>
              <w:rPr>
                <w:sz w:val="11"/>
                <w:szCs w:val="11"/>
                <w:color w:val="auto"/>
              </w:rPr>
            </w:pPr>
          </w:p>
        </w:tc>
        <w:tc>
          <w:tcPr>
            <w:tcW w:w="2640" w:type="dxa"/>
            <w:vAlign w:val="bottom"/>
          </w:tcPr>
          <w:p>
            <w:pPr>
              <w:ind w:left="2140"/>
              <w:spacing w:after="0"/>
              <w:rPr>
                <w:sz w:val="20"/>
                <w:szCs w:val="20"/>
                <w:color w:val="auto"/>
              </w:rPr>
            </w:pPr>
            <w:r>
              <w:rPr>
                <w:rFonts w:ascii="Arial" w:cs="Arial" w:eastAsia="Arial" w:hAnsi="Arial"/>
                <w:sz w:val="11"/>
                <w:szCs w:val="11"/>
                <w:color w:val="auto"/>
              </w:rPr>
              <w:t>2011</w:t>
            </w:r>
          </w:p>
        </w:tc>
        <w:tc>
          <w:tcPr>
            <w:tcW w:w="1300" w:type="dxa"/>
            <w:vAlign w:val="bottom"/>
          </w:tcPr>
          <w:p>
            <w:pPr>
              <w:jc w:val="right"/>
              <w:ind w:right="184"/>
              <w:spacing w:after="0"/>
              <w:rPr>
                <w:sz w:val="20"/>
                <w:szCs w:val="20"/>
                <w:color w:val="auto"/>
              </w:rPr>
            </w:pPr>
            <w:r>
              <w:rPr>
                <w:rFonts w:ascii="Arial" w:cs="Arial" w:eastAsia="Arial" w:hAnsi="Arial"/>
                <w:sz w:val="11"/>
                <w:szCs w:val="11"/>
                <w:color w:val="auto"/>
              </w:rPr>
              <w:t>90,000</w:t>
            </w:r>
          </w:p>
        </w:tc>
        <w:tc>
          <w:tcPr>
            <w:tcW w:w="1140" w:type="dxa"/>
            <w:vAlign w:val="bottom"/>
          </w:tcPr>
          <w:p>
            <w:pPr>
              <w:jc w:val="right"/>
              <w:ind w:right="204"/>
              <w:spacing w:after="0"/>
              <w:rPr>
                <w:sz w:val="20"/>
                <w:szCs w:val="20"/>
                <w:color w:val="auto"/>
              </w:rPr>
            </w:pPr>
            <w:r>
              <w:rPr>
                <w:rFonts w:ascii="Arial" w:cs="Arial" w:eastAsia="Arial" w:hAnsi="Arial"/>
                <w:sz w:val="11"/>
                <w:szCs w:val="11"/>
                <w:color w:val="auto"/>
              </w:rPr>
              <w:t>48,289</w:t>
            </w:r>
          </w:p>
        </w:tc>
        <w:tc>
          <w:tcPr>
            <w:tcW w:w="1100" w:type="dxa"/>
            <w:vAlign w:val="bottom"/>
          </w:tcPr>
          <w:p>
            <w:pPr>
              <w:jc w:val="right"/>
              <w:ind w:right="204"/>
              <w:spacing w:after="0"/>
              <w:rPr>
                <w:sz w:val="20"/>
                <w:szCs w:val="20"/>
                <w:color w:val="auto"/>
              </w:rPr>
            </w:pPr>
            <w:r>
              <w:rPr>
                <w:rFonts w:ascii="Arial" w:cs="Arial" w:eastAsia="Arial" w:hAnsi="Arial"/>
                <w:sz w:val="11"/>
                <w:szCs w:val="11"/>
                <w:color w:val="auto"/>
              </w:rPr>
              <w:t>788</w:t>
            </w:r>
          </w:p>
        </w:tc>
        <w:tc>
          <w:tcPr>
            <w:tcW w:w="1320" w:type="dxa"/>
            <w:vAlign w:val="bottom"/>
          </w:tcPr>
          <w:p>
            <w:pPr>
              <w:jc w:val="right"/>
              <w:ind w:right="144"/>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139,077</w:t>
            </w:r>
          </w:p>
        </w:tc>
      </w:tr>
      <w:tr>
        <w:trPr>
          <w:trHeight w:val="125"/>
        </w:trPr>
        <w:tc>
          <w:tcPr>
            <w:tcW w:w="284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Mr. Gartland</w:t>
            </w:r>
          </w:p>
        </w:tc>
        <w:tc>
          <w:tcPr>
            <w:tcW w:w="2640" w:type="dxa"/>
            <w:vAlign w:val="bottom"/>
            <w:shd w:val="clear" w:color="auto" w:fill="D8D8D8"/>
          </w:tcPr>
          <w:p>
            <w:pPr>
              <w:ind w:left="2140"/>
              <w:spacing w:after="0" w:line="125" w:lineRule="exact"/>
              <w:rPr>
                <w:sz w:val="20"/>
                <w:szCs w:val="20"/>
                <w:color w:val="auto"/>
              </w:rPr>
            </w:pPr>
            <w:r>
              <w:rPr>
                <w:rFonts w:ascii="Arial" w:cs="Arial" w:eastAsia="Arial" w:hAnsi="Arial"/>
                <w:sz w:val="11"/>
                <w:szCs w:val="11"/>
                <w:color w:val="auto"/>
              </w:rPr>
              <w:t>2013</w:t>
            </w:r>
          </w:p>
        </w:tc>
        <w:tc>
          <w:tcPr>
            <w:tcW w:w="1300" w:type="dxa"/>
            <w:vAlign w:val="bottom"/>
            <w:shd w:val="clear" w:color="auto" w:fill="D8D8D8"/>
          </w:tcPr>
          <w:p>
            <w:pPr>
              <w:jc w:val="right"/>
              <w:ind w:right="184"/>
              <w:spacing w:after="0" w:line="125" w:lineRule="exact"/>
              <w:rPr>
                <w:sz w:val="20"/>
                <w:szCs w:val="20"/>
                <w:color w:val="auto"/>
              </w:rPr>
            </w:pPr>
            <w:r>
              <w:rPr>
                <w:rFonts w:ascii="Arial" w:cs="Arial" w:eastAsia="Arial" w:hAnsi="Arial"/>
                <w:sz w:val="11"/>
                <w:szCs w:val="11"/>
                <w:color w:val="auto"/>
              </w:rPr>
              <w:t>85,266</w:t>
            </w:r>
          </w:p>
        </w:tc>
        <w:tc>
          <w:tcPr>
            <w:tcW w:w="1140" w:type="dxa"/>
            <w:vAlign w:val="bottom"/>
            <w:shd w:val="clear" w:color="auto" w:fill="D8D8D8"/>
          </w:tcPr>
          <w:p>
            <w:pPr>
              <w:jc w:val="right"/>
              <w:ind w:right="204"/>
              <w:spacing w:after="0" w:line="125" w:lineRule="exact"/>
              <w:rPr>
                <w:sz w:val="20"/>
                <w:szCs w:val="20"/>
                <w:color w:val="auto"/>
              </w:rPr>
            </w:pPr>
            <w:r>
              <w:rPr>
                <w:rFonts w:ascii="Arial" w:cs="Arial" w:eastAsia="Arial" w:hAnsi="Arial"/>
                <w:sz w:val="11"/>
                <w:szCs w:val="11"/>
                <w:color w:val="auto"/>
              </w:rPr>
              <w:t>58,164</w:t>
            </w:r>
          </w:p>
        </w:tc>
        <w:tc>
          <w:tcPr>
            <w:tcW w:w="1100" w:type="dxa"/>
            <w:vAlign w:val="bottom"/>
            <w:shd w:val="clear" w:color="auto" w:fill="D8D8D8"/>
          </w:tcPr>
          <w:p>
            <w:pPr>
              <w:jc w:val="right"/>
              <w:ind w:right="204"/>
              <w:spacing w:after="0" w:line="125" w:lineRule="exact"/>
              <w:rPr>
                <w:sz w:val="20"/>
                <w:szCs w:val="20"/>
                <w:color w:val="auto"/>
              </w:rPr>
            </w:pPr>
            <w:r>
              <w:rPr>
                <w:rFonts w:ascii="Arial" w:cs="Arial" w:eastAsia="Arial" w:hAnsi="Arial"/>
                <w:sz w:val="11"/>
                <w:szCs w:val="11"/>
                <w:color w:val="auto"/>
              </w:rPr>
              <w:t>876</w:t>
            </w:r>
          </w:p>
        </w:tc>
        <w:tc>
          <w:tcPr>
            <w:tcW w:w="1320" w:type="dxa"/>
            <w:vAlign w:val="bottom"/>
            <w:shd w:val="clear" w:color="auto" w:fill="D8D8D8"/>
          </w:tcPr>
          <w:p>
            <w:pPr>
              <w:jc w:val="right"/>
              <w:ind w:right="144"/>
              <w:spacing w:after="0" w:line="125" w:lineRule="exact"/>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144,306</w:t>
            </w:r>
          </w:p>
        </w:tc>
      </w:tr>
      <w:tr>
        <w:trPr>
          <w:trHeight w:val="124"/>
        </w:trPr>
        <w:tc>
          <w:tcPr>
            <w:tcW w:w="2840" w:type="dxa"/>
            <w:vAlign w:val="bottom"/>
            <w:shd w:val="clear" w:color="auto" w:fill="D8D8D8"/>
          </w:tcPr>
          <w:p>
            <w:pPr>
              <w:spacing w:after="0"/>
              <w:rPr>
                <w:sz w:val="10"/>
                <w:szCs w:val="10"/>
                <w:color w:val="auto"/>
              </w:rPr>
            </w:pPr>
          </w:p>
        </w:tc>
        <w:tc>
          <w:tcPr>
            <w:tcW w:w="2640" w:type="dxa"/>
            <w:vAlign w:val="bottom"/>
            <w:shd w:val="clear" w:color="auto" w:fill="D8D8D8"/>
          </w:tcPr>
          <w:p>
            <w:pPr>
              <w:ind w:left="2140"/>
              <w:spacing w:after="0" w:line="124" w:lineRule="exact"/>
              <w:rPr>
                <w:sz w:val="20"/>
                <w:szCs w:val="20"/>
                <w:color w:val="auto"/>
              </w:rPr>
            </w:pPr>
            <w:r>
              <w:rPr>
                <w:rFonts w:ascii="Arial" w:cs="Arial" w:eastAsia="Arial" w:hAnsi="Arial"/>
                <w:sz w:val="11"/>
                <w:szCs w:val="11"/>
                <w:color w:val="auto"/>
              </w:rPr>
              <w:t>2012</w:t>
            </w:r>
          </w:p>
        </w:tc>
        <w:tc>
          <w:tcPr>
            <w:tcW w:w="1300" w:type="dxa"/>
            <w:vAlign w:val="bottom"/>
            <w:shd w:val="clear" w:color="auto" w:fill="D8D8D8"/>
          </w:tcPr>
          <w:p>
            <w:pPr>
              <w:jc w:val="right"/>
              <w:ind w:right="184"/>
              <w:spacing w:after="0" w:line="124" w:lineRule="exact"/>
              <w:rPr>
                <w:sz w:val="20"/>
                <w:szCs w:val="20"/>
                <w:color w:val="auto"/>
              </w:rPr>
            </w:pPr>
            <w:r>
              <w:rPr>
                <w:rFonts w:ascii="Arial" w:cs="Arial" w:eastAsia="Arial" w:hAnsi="Arial"/>
                <w:sz w:val="11"/>
                <w:szCs w:val="11"/>
                <w:color w:val="auto"/>
              </w:rPr>
              <w:t>78,912</w:t>
            </w:r>
          </w:p>
        </w:tc>
        <w:tc>
          <w:tcPr>
            <w:tcW w:w="114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87,528</w:t>
            </w:r>
          </w:p>
        </w:tc>
        <w:tc>
          <w:tcPr>
            <w:tcW w:w="110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788</w:t>
            </w:r>
          </w:p>
        </w:tc>
        <w:tc>
          <w:tcPr>
            <w:tcW w:w="1320" w:type="dxa"/>
            <w:vAlign w:val="bottom"/>
            <w:shd w:val="clear" w:color="auto" w:fill="D8D8D8"/>
          </w:tcPr>
          <w:p>
            <w:pPr>
              <w:jc w:val="right"/>
              <w:ind w:right="144"/>
              <w:spacing w:after="0" w:line="124" w:lineRule="exact"/>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167,228</w:t>
            </w:r>
          </w:p>
        </w:tc>
      </w:tr>
      <w:tr>
        <w:trPr>
          <w:trHeight w:val="136"/>
        </w:trPr>
        <w:tc>
          <w:tcPr>
            <w:tcW w:w="2840" w:type="dxa"/>
            <w:vAlign w:val="bottom"/>
            <w:shd w:val="clear" w:color="auto" w:fill="D8D8D8"/>
          </w:tcPr>
          <w:p>
            <w:pPr>
              <w:spacing w:after="0"/>
              <w:rPr>
                <w:sz w:val="11"/>
                <w:szCs w:val="11"/>
                <w:color w:val="auto"/>
              </w:rPr>
            </w:pPr>
          </w:p>
        </w:tc>
        <w:tc>
          <w:tcPr>
            <w:tcW w:w="2640" w:type="dxa"/>
            <w:vAlign w:val="bottom"/>
            <w:shd w:val="clear" w:color="auto" w:fill="D8D8D8"/>
          </w:tcPr>
          <w:p>
            <w:pPr>
              <w:ind w:left="2140"/>
              <w:spacing w:after="0"/>
              <w:rPr>
                <w:sz w:val="20"/>
                <w:szCs w:val="20"/>
                <w:color w:val="auto"/>
              </w:rPr>
            </w:pPr>
            <w:r>
              <w:rPr>
                <w:rFonts w:ascii="Arial" w:cs="Arial" w:eastAsia="Arial" w:hAnsi="Arial"/>
                <w:sz w:val="11"/>
                <w:szCs w:val="11"/>
                <w:color w:val="auto"/>
              </w:rPr>
              <w:t>2011</w:t>
            </w:r>
          </w:p>
        </w:tc>
        <w:tc>
          <w:tcPr>
            <w:tcW w:w="1300" w:type="dxa"/>
            <w:vAlign w:val="bottom"/>
            <w:shd w:val="clear" w:color="auto" w:fill="D8D8D8"/>
          </w:tcPr>
          <w:p>
            <w:pPr>
              <w:jc w:val="right"/>
              <w:ind w:right="184"/>
              <w:spacing w:after="0"/>
              <w:rPr>
                <w:sz w:val="20"/>
                <w:szCs w:val="20"/>
                <w:color w:val="auto"/>
              </w:rPr>
            </w:pPr>
            <w:r>
              <w:rPr>
                <w:rFonts w:ascii="Arial" w:cs="Arial" w:eastAsia="Arial" w:hAnsi="Arial"/>
                <w:sz w:val="11"/>
                <w:szCs w:val="11"/>
                <w:color w:val="auto"/>
              </w:rPr>
              <w:t>61,535</w:t>
            </w:r>
          </w:p>
        </w:tc>
        <w:tc>
          <w:tcPr>
            <w:tcW w:w="114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46,387</w:t>
            </w:r>
          </w:p>
        </w:tc>
        <w:tc>
          <w:tcPr>
            <w:tcW w:w="110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657</w:t>
            </w:r>
          </w:p>
        </w:tc>
        <w:tc>
          <w:tcPr>
            <w:tcW w:w="1320" w:type="dxa"/>
            <w:vAlign w:val="bottom"/>
            <w:shd w:val="clear" w:color="auto" w:fill="D8D8D8"/>
          </w:tcPr>
          <w:p>
            <w:pPr>
              <w:jc w:val="right"/>
              <w:ind w:right="144"/>
              <w:spacing w:after="0"/>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108,579</w:t>
            </w:r>
          </w:p>
        </w:tc>
      </w:tr>
      <w:tr>
        <w:trPr>
          <w:trHeight w:val="123"/>
        </w:trPr>
        <w:tc>
          <w:tcPr>
            <w:tcW w:w="2840" w:type="dxa"/>
            <w:vAlign w:val="bottom"/>
          </w:tcPr>
          <w:p>
            <w:pPr>
              <w:spacing w:after="0" w:line="123" w:lineRule="exact"/>
              <w:rPr>
                <w:sz w:val="20"/>
                <w:szCs w:val="20"/>
                <w:color w:val="auto"/>
              </w:rPr>
            </w:pPr>
            <w:r>
              <w:rPr>
                <w:rFonts w:ascii="Arial" w:cs="Arial" w:eastAsia="Arial" w:hAnsi="Arial"/>
                <w:sz w:val="11"/>
                <w:szCs w:val="11"/>
                <w:color w:val="auto"/>
              </w:rPr>
              <w:t>Mr. De Shon</w:t>
            </w:r>
          </w:p>
        </w:tc>
        <w:tc>
          <w:tcPr>
            <w:tcW w:w="2640" w:type="dxa"/>
            <w:vAlign w:val="bottom"/>
          </w:tcPr>
          <w:p>
            <w:pPr>
              <w:ind w:left="2140"/>
              <w:spacing w:after="0" w:line="123" w:lineRule="exact"/>
              <w:rPr>
                <w:sz w:val="20"/>
                <w:szCs w:val="20"/>
                <w:color w:val="auto"/>
              </w:rPr>
            </w:pPr>
            <w:r>
              <w:rPr>
                <w:rFonts w:ascii="Arial" w:cs="Arial" w:eastAsia="Arial" w:hAnsi="Arial"/>
                <w:sz w:val="11"/>
                <w:szCs w:val="11"/>
                <w:color w:val="auto"/>
              </w:rPr>
              <w:t>2013</w:t>
            </w:r>
          </w:p>
        </w:tc>
        <w:tc>
          <w:tcPr>
            <w:tcW w:w="1300" w:type="dxa"/>
            <w:vAlign w:val="bottom"/>
          </w:tcPr>
          <w:p>
            <w:pPr>
              <w:jc w:val="right"/>
              <w:ind w:right="184"/>
              <w:spacing w:after="0" w:line="123" w:lineRule="exact"/>
              <w:rPr>
                <w:sz w:val="20"/>
                <w:szCs w:val="20"/>
                <w:color w:val="auto"/>
              </w:rPr>
            </w:pPr>
            <w:r>
              <w:rPr>
                <w:rFonts w:ascii="Arial" w:cs="Arial" w:eastAsia="Arial" w:hAnsi="Arial"/>
                <w:sz w:val="11"/>
                <w:szCs w:val="11"/>
                <w:color w:val="auto"/>
              </w:rPr>
              <w:t>64,015</w:t>
            </w:r>
          </w:p>
        </w:tc>
        <w:tc>
          <w:tcPr>
            <w:tcW w:w="1140" w:type="dxa"/>
            <w:vAlign w:val="bottom"/>
          </w:tcPr>
          <w:p>
            <w:pPr>
              <w:jc w:val="right"/>
              <w:ind w:right="204"/>
              <w:spacing w:after="0" w:line="123" w:lineRule="exact"/>
              <w:rPr>
                <w:sz w:val="20"/>
                <w:szCs w:val="20"/>
                <w:color w:val="auto"/>
              </w:rPr>
            </w:pPr>
            <w:r>
              <w:rPr>
                <w:rFonts w:ascii="Arial" w:cs="Arial" w:eastAsia="Arial" w:hAnsi="Arial"/>
                <w:sz w:val="11"/>
                <w:szCs w:val="11"/>
                <w:color w:val="auto"/>
              </w:rPr>
              <w:t>36,327</w:t>
            </w:r>
          </w:p>
        </w:tc>
        <w:tc>
          <w:tcPr>
            <w:tcW w:w="1100" w:type="dxa"/>
            <w:vAlign w:val="bottom"/>
          </w:tcPr>
          <w:p>
            <w:pPr>
              <w:jc w:val="right"/>
              <w:ind w:right="204"/>
              <w:spacing w:after="0" w:line="123" w:lineRule="exact"/>
              <w:rPr>
                <w:sz w:val="20"/>
                <w:szCs w:val="20"/>
                <w:color w:val="auto"/>
              </w:rPr>
            </w:pPr>
            <w:r>
              <w:rPr>
                <w:rFonts w:ascii="Arial" w:cs="Arial" w:eastAsia="Arial" w:hAnsi="Arial"/>
                <w:sz w:val="11"/>
                <w:szCs w:val="11"/>
                <w:color w:val="auto"/>
              </w:rPr>
              <w:t>299,558</w:t>
            </w:r>
          </w:p>
        </w:tc>
        <w:tc>
          <w:tcPr>
            <w:tcW w:w="1320" w:type="dxa"/>
            <w:vAlign w:val="bottom"/>
          </w:tcPr>
          <w:p>
            <w:pPr>
              <w:jc w:val="right"/>
              <w:ind w:right="144"/>
              <w:spacing w:after="0" w:line="123" w:lineRule="exact"/>
              <w:rPr>
                <w:sz w:val="20"/>
                <w:szCs w:val="20"/>
                <w:color w:val="auto"/>
              </w:rPr>
            </w:pPr>
            <w:r>
              <w:rPr>
                <w:rFonts w:ascii="Arial" w:cs="Arial" w:eastAsia="Arial" w:hAnsi="Arial"/>
                <w:sz w:val="11"/>
                <w:szCs w:val="11"/>
                <w:color w:val="auto"/>
              </w:rPr>
              <w:t>1,643,240</w:t>
            </w:r>
          </w:p>
        </w:tc>
        <w:tc>
          <w:tcPr>
            <w:tcW w:w="1100" w:type="dxa"/>
            <w:vAlign w:val="bottom"/>
          </w:tcPr>
          <w:p>
            <w:pPr>
              <w:jc w:val="right"/>
              <w:ind w:right="64"/>
              <w:spacing w:after="0" w:line="123" w:lineRule="exact"/>
              <w:rPr>
                <w:sz w:val="20"/>
                <w:szCs w:val="20"/>
                <w:color w:val="auto"/>
              </w:rPr>
            </w:pPr>
            <w:r>
              <w:rPr>
                <w:rFonts w:ascii="Arial" w:cs="Arial" w:eastAsia="Arial" w:hAnsi="Arial"/>
                <w:sz w:val="11"/>
                <w:szCs w:val="11"/>
                <w:color w:val="auto"/>
              </w:rPr>
              <w:t>2,043,140</w:t>
            </w:r>
          </w:p>
        </w:tc>
      </w:tr>
      <w:tr>
        <w:trPr>
          <w:trHeight w:val="124"/>
        </w:trPr>
        <w:tc>
          <w:tcPr>
            <w:tcW w:w="2840" w:type="dxa"/>
            <w:vAlign w:val="bottom"/>
          </w:tcPr>
          <w:p>
            <w:pPr>
              <w:spacing w:after="0"/>
              <w:rPr>
                <w:sz w:val="10"/>
                <w:szCs w:val="10"/>
                <w:color w:val="auto"/>
              </w:rPr>
            </w:pPr>
          </w:p>
        </w:tc>
        <w:tc>
          <w:tcPr>
            <w:tcW w:w="2640" w:type="dxa"/>
            <w:vAlign w:val="bottom"/>
          </w:tcPr>
          <w:p>
            <w:pPr>
              <w:ind w:left="2140"/>
              <w:spacing w:after="0" w:line="124" w:lineRule="exact"/>
              <w:rPr>
                <w:sz w:val="20"/>
                <w:szCs w:val="20"/>
                <w:color w:val="auto"/>
              </w:rPr>
            </w:pPr>
            <w:r>
              <w:rPr>
                <w:rFonts w:ascii="Arial" w:cs="Arial" w:eastAsia="Arial" w:hAnsi="Arial"/>
                <w:sz w:val="11"/>
                <w:szCs w:val="11"/>
                <w:color w:val="auto"/>
              </w:rPr>
              <w:t>2012</w:t>
            </w:r>
          </w:p>
        </w:tc>
        <w:tc>
          <w:tcPr>
            <w:tcW w:w="1300" w:type="dxa"/>
            <w:vAlign w:val="bottom"/>
          </w:tcPr>
          <w:p>
            <w:pPr>
              <w:jc w:val="right"/>
              <w:ind w:right="184"/>
              <w:spacing w:after="0" w:line="124" w:lineRule="exact"/>
              <w:rPr>
                <w:sz w:val="20"/>
                <w:szCs w:val="20"/>
                <w:color w:val="auto"/>
              </w:rPr>
            </w:pPr>
            <w:r>
              <w:rPr>
                <w:rFonts w:ascii="Arial" w:cs="Arial" w:eastAsia="Arial" w:hAnsi="Arial"/>
                <w:sz w:val="11"/>
                <w:szCs w:val="11"/>
                <w:color w:val="auto"/>
              </w:rPr>
              <w:t>29,956</w:t>
            </w:r>
          </w:p>
        </w:tc>
        <w:tc>
          <w:tcPr>
            <w:tcW w:w="114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41,332</w:t>
            </w:r>
          </w:p>
        </w:tc>
        <w:tc>
          <w:tcPr>
            <w:tcW w:w="110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331,384</w:t>
            </w:r>
          </w:p>
        </w:tc>
        <w:tc>
          <w:tcPr>
            <w:tcW w:w="1320" w:type="dxa"/>
            <w:vAlign w:val="bottom"/>
          </w:tcPr>
          <w:p>
            <w:pPr>
              <w:jc w:val="right"/>
              <w:ind w:right="144"/>
              <w:spacing w:after="0" w:line="124" w:lineRule="exact"/>
              <w:rPr>
                <w:sz w:val="20"/>
                <w:szCs w:val="20"/>
                <w:color w:val="auto"/>
              </w:rPr>
            </w:pPr>
            <w:r>
              <w:rPr>
                <w:rFonts w:ascii="Arial" w:cs="Arial" w:eastAsia="Arial" w:hAnsi="Arial"/>
                <w:sz w:val="11"/>
                <w:szCs w:val="11"/>
                <w:color w:val="auto"/>
              </w:rPr>
              <w:t>12,049</w:t>
            </w:r>
          </w:p>
        </w:tc>
        <w:tc>
          <w:tcPr>
            <w:tcW w:w="1100" w:type="dxa"/>
            <w:vAlign w:val="bottom"/>
          </w:tcPr>
          <w:p>
            <w:pPr>
              <w:jc w:val="right"/>
              <w:ind w:right="64"/>
              <w:spacing w:after="0" w:line="124" w:lineRule="exact"/>
              <w:rPr>
                <w:sz w:val="20"/>
                <w:szCs w:val="20"/>
                <w:color w:val="auto"/>
              </w:rPr>
            </w:pPr>
            <w:r>
              <w:rPr>
                <w:rFonts w:ascii="Arial" w:cs="Arial" w:eastAsia="Arial" w:hAnsi="Arial"/>
                <w:sz w:val="11"/>
                <w:szCs w:val="11"/>
                <w:color w:val="auto"/>
              </w:rPr>
              <w:t>414,721</w:t>
            </w:r>
          </w:p>
        </w:tc>
      </w:tr>
      <w:tr>
        <w:trPr>
          <w:trHeight w:val="134"/>
        </w:trPr>
        <w:tc>
          <w:tcPr>
            <w:tcW w:w="2840" w:type="dxa"/>
            <w:vAlign w:val="bottom"/>
          </w:tcPr>
          <w:p>
            <w:pPr>
              <w:spacing w:after="0"/>
              <w:rPr>
                <w:sz w:val="11"/>
                <w:szCs w:val="11"/>
                <w:color w:val="auto"/>
              </w:rPr>
            </w:pPr>
          </w:p>
        </w:tc>
        <w:tc>
          <w:tcPr>
            <w:tcW w:w="2640" w:type="dxa"/>
            <w:vAlign w:val="bottom"/>
          </w:tcPr>
          <w:p>
            <w:pPr>
              <w:ind w:left="2140"/>
              <w:spacing w:after="0"/>
              <w:rPr>
                <w:sz w:val="20"/>
                <w:szCs w:val="20"/>
                <w:color w:val="auto"/>
              </w:rPr>
            </w:pPr>
            <w:r>
              <w:rPr>
                <w:rFonts w:ascii="Arial" w:cs="Arial" w:eastAsia="Arial" w:hAnsi="Arial"/>
                <w:sz w:val="11"/>
                <w:szCs w:val="11"/>
                <w:color w:val="auto"/>
              </w:rPr>
              <w:t>2011</w:t>
            </w:r>
          </w:p>
        </w:tc>
        <w:tc>
          <w:tcPr>
            <w:tcW w:w="1300" w:type="dxa"/>
            <w:vAlign w:val="bottom"/>
          </w:tcPr>
          <w:p>
            <w:pPr>
              <w:jc w:val="right"/>
              <w:ind w:right="184"/>
              <w:spacing w:after="0"/>
              <w:rPr>
                <w:sz w:val="20"/>
                <w:szCs w:val="20"/>
                <w:color w:val="auto"/>
              </w:rPr>
            </w:pPr>
            <w:r>
              <w:rPr>
                <w:rFonts w:ascii="Arial" w:cs="Arial" w:eastAsia="Arial" w:hAnsi="Arial"/>
                <w:sz w:val="11"/>
                <w:szCs w:val="11"/>
                <w:color w:val="auto"/>
              </w:rPr>
              <w:t>61,269</w:t>
            </w:r>
          </w:p>
        </w:tc>
        <w:tc>
          <w:tcPr>
            <w:tcW w:w="1140" w:type="dxa"/>
            <w:vAlign w:val="bottom"/>
          </w:tcPr>
          <w:p>
            <w:pPr>
              <w:jc w:val="right"/>
              <w:ind w:right="204"/>
              <w:spacing w:after="0"/>
              <w:rPr>
                <w:sz w:val="20"/>
                <w:szCs w:val="20"/>
                <w:color w:val="auto"/>
              </w:rPr>
            </w:pPr>
            <w:r>
              <w:rPr>
                <w:rFonts w:ascii="Arial" w:cs="Arial" w:eastAsia="Arial" w:hAnsi="Arial"/>
                <w:sz w:val="11"/>
                <w:szCs w:val="11"/>
                <w:color w:val="auto"/>
              </w:rPr>
              <w:t>29,320</w:t>
            </w:r>
          </w:p>
        </w:tc>
        <w:tc>
          <w:tcPr>
            <w:tcW w:w="1100" w:type="dxa"/>
            <w:vAlign w:val="bottom"/>
          </w:tcPr>
          <w:p>
            <w:pPr>
              <w:jc w:val="right"/>
              <w:ind w:right="204"/>
              <w:spacing w:after="0"/>
              <w:rPr>
                <w:sz w:val="20"/>
                <w:szCs w:val="20"/>
                <w:color w:val="auto"/>
              </w:rPr>
            </w:pPr>
            <w:r>
              <w:rPr>
                <w:rFonts w:ascii="Arial" w:cs="Arial" w:eastAsia="Arial" w:hAnsi="Arial"/>
                <w:sz w:val="11"/>
                <w:szCs w:val="11"/>
                <w:color w:val="auto"/>
              </w:rPr>
              <w:t>14,347</w:t>
            </w:r>
          </w:p>
        </w:tc>
        <w:tc>
          <w:tcPr>
            <w:tcW w:w="1320" w:type="dxa"/>
            <w:vAlign w:val="bottom"/>
          </w:tcPr>
          <w:p>
            <w:pPr>
              <w:jc w:val="right"/>
              <w:ind w:right="144"/>
              <w:spacing w:after="0"/>
              <w:rPr>
                <w:sz w:val="20"/>
                <w:szCs w:val="20"/>
                <w:color w:val="auto"/>
              </w:rPr>
            </w:pPr>
            <w:r>
              <w:rPr>
                <w:rFonts w:ascii="Arial" w:cs="Arial" w:eastAsia="Arial" w:hAnsi="Arial"/>
                <w:sz w:val="11"/>
                <w:szCs w:val="11"/>
                <w:color w:val="auto"/>
              </w:rPr>
              <w:t>5,311</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110,247</w:t>
            </w:r>
          </w:p>
        </w:tc>
      </w:tr>
      <w:tr>
        <w:trPr>
          <w:trHeight w:val="125"/>
        </w:trPr>
        <w:tc>
          <w:tcPr>
            <w:tcW w:w="284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Mr. Siniscalchi</w:t>
            </w:r>
          </w:p>
        </w:tc>
        <w:tc>
          <w:tcPr>
            <w:tcW w:w="2640" w:type="dxa"/>
            <w:vAlign w:val="bottom"/>
            <w:shd w:val="clear" w:color="auto" w:fill="D8D8D8"/>
          </w:tcPr>
          <w:p>
            <w:pPr>
              <w:ind w:left="2140"/>
              <w:spacing w:after="0" w:line="125" w:lineRule="exact"/>
              <w:rPr>
                <w:sz w:val="20"/>
                <w:szCs w:val="20"/>
                <w:color w:val="auto"/>
              </w:rPr>
            </w:pPr>
            <w:r>
              <w:rPr>
                <w:rFonts w:ascii="Arial" w:cs="Arial" w:eastAsia="Arial" w:hAnsi="Arial"/>
                <w:sz w:val="11"/>
                <w:szCs w:val="11"/>
                <w:color w:val="auto"/>
              </w:rPr>
              <w:t>2013</w:t>
            </w:r>
          </w:p>
        </w:tc>
        <w:tc>
          <w:tcPr>
            <w:tcW w:w="1300" w:type="dxa"/>
            <w:vAlign w:val="bottom"/>
            <w:shd w:val="clear" w:color="auto" w:fill="D8D8D8"/>
          </w:tcPr>
          <w:p>
            <w:pPr>
              <w:jc w:val="right"/>
              <w:ind w:right="184"/>
              <w:spacing w:after="0" w:line="125" w:lineRule="exact"/>
              <w:rPr>
                <w:sz w:val="20"/>
                <w:szCs w:val="20"/>
                <w:color w:val="auto"/>
              </w:rPr>
            </w:pPr>
            <w:r>
              <w:rPr>
                <w:rFonts w:ascii="Arial" w:cs="Arial" w:eastAsia="Arial" w:hAnsi="Arial"/>
                <w:sz w:val="11"/>
                <w:szCs w:val="11"/>
                <w:color w:val="auto"/>
              </w:rPr>
              <w:t>46,356</w:t>
            </w:r>
          </w:p>
        </w:tc>
        <w:tc>
          <w:tcPr>
            <w:tcW w:w="1140" w:type="dxa"/>
            <w:vAlign w:val="bottom"/>
            <w:shd w:val="clear" w:color="auto" w:fill="D8D8D8"/>
          </w:tcPr>
          <w:p>
            <w:pPr>
              <w:jc w:val="right"/>
              <w:ind w:right="204"/>
              <w:spacing w:after="0" w:line="125" w:lineRule="exact"/>
              <w:rPr>
                <w:sz w:val="20"/>
                <w:szCs w:val="20"/>
                <w:color w:val="auto"/>
              </w:rPr>
            </w:pPr>
            <w:r>
              <w:rPr>
                <w:rFonts w:ascii="Arial" w:cs="Arial" w:eastAsia="Arial" w:hAnsi="Arial"/>
                <w:sz w:val="11"/>
                <w:szCs w:val="11"/>
                <w:color w:val="auto"/>
              </w:rPr>
              <w:t>28,959</w:t>
            </w:r>
          </w:p>
        </w:tc>
        <w:tc>
          <w:tcPr>
            <w:tcW w:w="1100" w:type="dxa"/>
            <w:vAlign w:val="bottom"/>
            <w:shd w:val="clear" w:color="auto" w:fill="D8D8D8"/>
          </w:tcPr>
          <w:p>
            <w:pPr>
              <w:jc w:val="right"/>
              <w:ind w:right="204"/>
              <w:spacing w:after="0" w:line="125" w:lineRule="exact"/>
              <w:rPr>
                <w:sz w:val="20"/>
                <w:szCs w:val="20"/>
                <w:color w:val="auto"/>
              </w:rPr>
            </w:pPr>
            <w:r>
              <w:rPr>
                <w:rFonts w:ascii="Arial" w:cs="Arial" w:eastAsia="Arial" w:hAnsi="Arial"/>
                <w:sz w:val="11"/>
                <w:szCs w:val="11"/>
                <w:color w:val="auto"/>
              </w:rPr>
              <w:t>683</w:t>
            </w:r>
          </w:p>
        </w:tc>
        <w:tc>
          <w:tcPr>
            <w:tcW w:w="1320" w:type="dxa"/>
            <w:vAlign w:val="bottom"/>
            <w:shd w:val="clear" w:color="auto" w:fill="D8D8D8"/>
          </w:tcPr>
          <w:p>
            <w:pPr>
              <w:jc w:val="right"/>
              <w:ind w:right="144"/>
              <w:spacing w:after="0" w:line="125" w:lineRule="exact"/>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line="125" w:lineRule="exact"/>
              <w:rPr>
                <w:sz w:val="20"/>
                <w:szCs w:val="20"/>
                <w:color w:val="auto"/>
              </w:rPr>
            </w:pPr>
            <w:r>
              <w:rPr>
                <w:rFonts w:ascii="Arial" w:cs="Arial" w:eastAsia="Arial" w:hAnsi="Arial"/>
                <w:sz w:val="11"/>
                <w:szCs w:val="11"/>
                <w:color w:val="auto"/>
              </w:rPr>
              <w:t>75,998</w:t>
            </w:r>
          </w:p>
        </w:tc>
      </w:tr>
      <w:tr>
        <w:trPr>
          <w:trHeight w:val="136"/>
        </w:trPr>
        <w:tc>
          <w:tcPr>
            <w:tcW w:w="2840" w:type="dxa"/>
            <w:vAlign w:val="bottom"/>
            <w:shd w:val="clear" w:color="auto" w:fill="D8D8D8"/>
          </w:tcPr>
          <w:p>
            <w:pPr>
              <w:spacing w:after="0"/>
              <w:rPr>
                <w:sz w:val="11"/>
                <w:szCs w:val="11"/>
                <w:color w:val="auto"/>
              </w:rPr>
            </w:pPr>
          </w:p>
        </w:tc>
        <w:tc>
          <w:tcPr>
            <w:tcW w:w="2640" w:type="dxa"/>
            <w:vAlign w:val="bottom"/>
            <w:shd w:val="clear" w:color="auto" w:fill="D8D8D8"/>
          </w:tcPr>
          <w:p>
            <w:pPr>
              <w:ind w:left="2140"/>
              <w:spacing w:after="0"/>
              <w:rPr>
                <w:sz w:val="20"/>
                <w:szCs w:val="20"/>
                <w:color w:val="auto"/>
              </w:rPr>
            </w:pPr>
            <w:r>
              <w:rPr>
                <w:rFonts w:ascii="Arial" w:cs="Arial" w:eastAsia="Arial" w:hAnsi="Arial"/>
                <w:sz w:val="11"/>
                <w:szCs w:val="11"/>
                <w:color w:val="auto"/>
              </w:rPr>
              <w:t>2012</w:t>
            </w:r>
          </w:p>
        </w:tc>
        <w:tc>
          <w:tcPr>
            <w:tcW w:w="1300" w:type="dxa"/>
            <w:vAlign w:val="bottom"/>
            <w:shd w:val="clear" w:color="auto" w:fill="D8D8D8"/>
          </w:tcPr>
          <w:p>
            <w:pPr>
              <w:jc w:val="right"/>
              <w:ind w:right="184"/>
              <w:spacing w:after="0"/>
              <w:rPr>
                <w:sz w:val="20"/>
                <w:szCs w:val="20"/>
                <w:color w:val="auto"/>
              </w:rPr>
            </w:pPr>
            <w:r>
              <w:rPr>
                <w:rFonts w:ascii="Arial" w:cs="Arial" w:eastAsia="Arial" w:hAnsi="Arial"/>
                <w:sz w:val="11"/>
                <w:szCs w:val="11"/>
                <w:color w:val="auto"/>
              </w:rPr>
              <w:t>54,952</w:t>
            </w:r>
          </w:p>
        </w:tc>
        <w:tc>
          <w:tcPr>
            <w:tcW w:w="114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27,920</w:t>
            </w:r>
          </w:p>
        </w:tc>
        <w:tc>
          <w:tcPr>
            <w:tcW w:w="110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657</w:t>
            </w:r>
          </w:p>
        </w:tc>
        <w:tc>
          <w:tcPr>
            <w:tcW w:w="1320" w:type="dxa"/>
            <w:vAlign w:val="bottom"/>
            <w:shd w:val="clear" w:color="auto" w:fill="D8D8D8"/>
          </w:tcPr>
          <w:p>
            <w:pPr>
              <w:jc w:val="right"/>
              <w:ind w:right="144"/>
              <w:spacing w:after="0"/>
              <w:rPr>
                <w:sz w:val="20"/>
                <w:szCs w:val="20"/>
                <w:color w:val="auto"/>
              </w:rPr>
            </w:pPr>
            <w:r>
              <w:rPr>
                <w:rFonts w:ascii="Arial" w:cs="Arial" w:eastAsia="Arial" w:hAnsi="Arial"/>
                <w:sz w:val="11"/>
                <w:szCs w:val="11"/>
                <w:color w:val="auto"/>
              </w:rPr>
              <w:t>—</w:t>
            </w:r>
          </w:p>
        </w:tc>
        <w:tc>
          <w:tcPr>
            <w:tcW w:w="11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83,529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right="60" w:hanging="330"/>
        <w:spacing w:after="0" w:line="234" w:lineRule="auto"/>
        <w:tabs>
          <w:tab w:leader="none" w:pos="33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Represents Company matching contributions to a non-qualified deferred compensation plan maintained by the Company for the benefit of certain of our executive officers. Under this plan, participants are permitted to defer compensation, with the company matching contributions up to a 6% cap under the terms of the plan. For Mr. De Shon and Mr. Siniscalchi, amounts for 2013 and 2012 include $15,000 and $14,692, respectively, in respect of a Company match under the Company’s 401(K) plan. For Mr. De Shon and Mr. Gartland, amounts for 2011 include $14,192 and $14,458, respectively, in respect of a Company match under the Company’s 401(K) plan.</w:t>
      </w:r>
    </w:p>
    <w:p>
      <w:pPr>
        <w:spacing w:after="0" w:line="1"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Represents the perquisites presented in the table below.</w:t>
      </w:r>
    </w:p>
    <w:p>
      <w:pPr>
        <w:ind w:left="330" w:right="60" w:hanging="330"/>
        <w:spacing w:after="0" w:line="234" w:lineRule="auto"/>
        <w:tabs>
          <w:tab w:leader="none" w:pos="33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Represents the value of insurance premiums paid by the Company for a broad-based life insurance benefit. For Mr. De Shon, amounts include life insurance premiums of $657 (2011), $788 (2012), and $876 (2013), and expatriate and relocation benefits in connection with Mr. De Shon’s long-term assignment to the United Kingdom of (i) $13,960 (2011), (ii) $330,596 (2012), and (iii) $298,682 (2013), which include housing allowances of $217,599 (2012), and $219,915 (2013), relocation benefits of $42,271 (2012), and $3,919 (2013), and other allowances (including allowances for home leave, utilities, and a goods and services differential to make up for the difference in prices between the home and host locations) of $70,726 (2012), and $74,849 (2013). Reflects a £/$ exchange rate as of the date paid, received or allocated.</w:t>
      </w:r>
    </w:p>
    <w:p>
      <w:pPr>
        <w:spacing w:after="0" w:line="2" w:lineRule="exact"/>
        <w:rPr>
          <w:rFonts w:ascii="Arial" w:cs="Arial" w:eastAsia="Arial" w:hAnsi="Arial"/>
          <w:sz w:val="11"/>
          <w:szCs w:val="11"/>
          <w:color w:val="auto"/>
        </w:rPr>
      </w:pPr>
    </w:p>
    <w:p>
      <w:pPr>
        <w:ind w:left="330" w:hanging="330"/>
        <w:spacing w:after="0"/>
        <w:tabs>
          <w:tab w:leader="none" w:pos="330" w:val="left"/>
        </w:tabs>
        <w:numPr>
          <w:ilvl w:val="0"/>
          <w:numId w:val="55"/>
        </w:numPr>
        <w:rPr>
          <w:rFonts w:ascii="Arial" w:cs="Arial" w:eastAsia="Arial" w:hAnsi="Arial"/>
          <w:sz w:val="11"/>
          <w:szCs w:val="11"/>
          <w:color w:val="auto"/>
        </w:rPr>
      </w:pPr>
      <w:r>
        <w:rPr>
          <w:rFonts w:ascii="Arial" w:cs="Arial" w:eastAsia="Arial" w:hAnsi="Arial"/>
          <w:sz w:val="11"/>
          <w:szCs w:val="11"/>
          <w:color w:val="auto"/>
        </w:rPr>
        <w:t>Amounts represent Company-paid tax payments relating to expatriate and relocation benefits in connection with Mr. De Shon’s long-term assignment to the United Kingdom as President, EMEA.</w:t>
      </w:r>
    </w:p>
    <w:p>
      <w:pPr>
        <w:spacing w:after="0" w:line="9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30 </w:t>
      </w:r>
      <w:r>
        <w:rPr>
          <w:sz w:val="1"/>
          <w:szCs w:val="1"/>
          <w:color w:val="auto"/>
        </w:rPr>
        <w:drawing>
          <wp:inline distT="0" distB="0" distL="0" distR="0">
            <wp:extent cx="857885" cy="1143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36" w:name="page37"/>
    <w:bookmarkEnd w:id="36"/>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shd w:val="clear" w:color="auto" w:fill="000000"/>
          </w:tcPr>
          <w:p>
            <w:pPr>
              <w:jc w:val="right"/>
              <w:ind w:right="4"/>
              <w:spacing w:after="0"/>
              <w:rPr>
                <w:sz w:val="20"/>
                <w:szCs w:val="20"/>
                <w:color w:val="auto"/>
              </w:rPr>
            </w:pPr>
            <w:r>
              <w:rPr>
                <w:rFonts w:ascii="Arial" w:cs="Arial" w:eastAsia="Arial" w:hAnsi="Arial"/>
                <w:sz w:val="11"/>
                <w:szCs w:val="11"/>
                <w:b w:val="1"/>
                <w:bCs w:val="1"/>
                <w:color w:val="FFFFFF"/>
                <w:highlight w:val="black"/>
              </w:rPr>
              <w:t>EXECUTIVE COMPENSATION</w:t>
            </w:r>
          </w:p>
        </w:tc>
      </w:tr>
      <w:tr>
        <w:trPr>
          <w:trHeight w:val="335"/>
        </w:trPr>
        <w:tc>
          <w:tcPr>
            <w:tcW w:w="3540" w:type="dxa"/>
            <w:vAlign w:val="bottom"/>
          </w:tcPr>
          <w:p>
            <w:pPr>
              <w:spacing w:after="0"/>
              <w:rPr>
                <w:sz w:val="20"/>
                <w:szCs w:val="20"/>
                <w:color w:val="auto"/>
              </w:rPr>
            </w:pPr>
            <w:r>
              <w:rPr>
                <w:rFonts w:ascii="Arial" w:cs="Arial" w:eastAsia="Arial" w:hAnsi="Arial"/>
                <w:sz w:val="18"/>
                <w:szCs w:val="18"/>
                <w:b w:val="1"/>
                <w:bCs w:val="1"/>
                <w:color w:val="auto"/>
              </w:rPr>
              <w:t>Perquisites Table</w:t>
            </w:r>
          </w:p>
        </w:tc>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9"/>
        </w:trPr>
        <w:tc>
          <w:tcPr>
            <w:tcW w:w="3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20" w:type="dxa"/>
            <w:vAlign w:val="bottom"/>
          </w:tcPr>
          <w:p>
            <w:pPr>
              <w:jc w:val="center"/>
              <w:ind w:right="84"/>
              <w:spacing w:after="0"/>
              <w:rPr>
                <w:sz w:val="20"/>
                <w:szCs w:val="20"/>
                <w:color w:val="auto"/>
              </w:rPr>
            </w:pPr>
            <w:r>
              <w:rPr>
                <w:rFonts w:ascii="Arial" w:cs="Arial" w:eastAsia="Arial" w:hAnsi="Arial"/>
                <w:sz w:val="11"/>
                <w:szCs w:val="11"/>
                <w:b w:val="1"/>
                <w:bCs w:val="1"/>
                <w:color w:val="auto"/>
              </w:rPr>
              <w:t>Personal</w:t>
            </w:r>
          </w:p>
        </w:tc>
        <w:tc>
          <w:tcPr>
            <w:tcW w:w="1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24"/>
        </w:trPr>
        <w:tc>
          <w:tcPr>
            <w:tcW w:w="35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20" w:type="dxa"/>
            <w:vAlign w:val="bottom"/>
          </w:tcPr>
          <w:p>
            <w:pPr>
              <w:jc w:val="center"/>
              <w:ind w:right="64"/>
              <w:spacing w:after="0" w:line="124" w:lineRule="exact"/>
              <w:rPr>
                <w:sz w:val="20"/>
                <w:szCs w:val="20"/>
                <w:color w:val="auto"/>
              </w:rPr>
            </w:pPr>
            <w:r>
              <w:rPr>
                <w:rFonts w:ascii="Arial" w:cs="Arial" w:eastAsia="Arial" w:hAnsi="Arial"/>
                <w:sz w:val="11"/>
                <w:szCs w:val="11"/>
                <w:b w:val="1"/>
                <w:bCs w:val="1"/>
                <w:color w:val="auto"/>
              </w:rPr>
              <w:t>Use of</w:t>
            </w: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27"/>
        </w:trPr>
        <w:tc>
          <w:tcPr>
            <w:tcW w:w="3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20" w:type="dxa"/>
            <w:vAlign w:val="bottom"/>
          </w:tcPr>
          <w:p>
            <w:pPr>
              <w:jc w:val="center"/>
              <w:ind w:right="64"/>
              <w:spacing w:after="0"/>
              <w:rPr>
                <w:sz w:val="20"/>
                <w:szCs w:val="20"/>
                <w:color w:val="auto"/>
              </w:rPr>
            </w:pPr>
            <w:r>
              <w:rPr>
                <w:rFonts w:ascii="Arial" w:cs="Arial" w:eastAsia="Arial" w:hAnsi="Arial"/>
                <w:sz w:val="11"/>
                <w:szCs w:val="11"/>
                <w:b w:val="1"/>
                <w:bCs w:val="1"/>
                <w:color w:val="auto"/>
                <w:w w:val="99"/>
              </w:rPr>
              <w:t>Company</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rPr>
              <w:t>Financial</w:t>
            </w:r>
          </w:p>
        </w:tc>
        <w:tc>
          <w:tcPr>
            <w:tcW w:w="1000" w:type="dxa"/>
            <w:vAlign w:val="bottom"/>
          </w:tcPr>
          <w:p>
            <w:pPr>
              <w:spacing w:after="0"/>
              <w:rPr>
                <w:sz w:val="11"/>
                <w:szCs w:val="11"/>
                <w:color w:val="auto"/>
              </w:rPr>
            </w:pPr>
          </w:p>
        </w:tc>
        <w:tc>
          <w:tcPr>
            <w:tcW w:w="1700" w:type="dxa"/>
            <w:vAlign w:val="bottom"/>
          </w:tcPr>
          <w:p>
            <w:pPr>
              <w:jc w:val="center"/>
              <w:ind w:left="64"/>
              <w:spacing w:after="0"/>
              <w:rPr>
                <w:sz w:val="20"/>
                <w:szCs w:val="20"/>
                <w:color w:val="auto"/>
              </w:rPr>
            </w:pPr>
            <w:r>
              <w:rPr>
                <w:rFonts w:ascii="Arial" w:cs="Arial" w:eastAsia="Arial" w:hAnsi="Arial"/>
                <w:sz w:val="11"/>
                <w:szCs w:val="11"/>
                <w:b w:val="1"/>
                <w:bCs w:val="1"/>
                <w:color w:val="auto"/>
                <w:w w:val="98"/>
              </w:rPr>
              <w:t>Total</w:t>
            </w:r>
          </w:p>
        </w:tc>
      </w:tr>
      <w:tr>
        <w:trPr>
          <w:trHeight w:val="124"/>
        </w:trPr>
        <w:tc>
          <w:tcPr>
            <w:tcW w:w="35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2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rPr>
              <w:t>Aircraft</w:t>
            </w:r>
          </w:p>
        </w:tc>
        <w:tc>
          <w:tcPr>
            <w:tcW w:w="13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Services</w:t>
            </w:r>
          </w:p>
        </w:tc>
        <w:tc>
          <w:tcPr>
            <w:tcW w:w="100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Car</w:t>
            </w:r>
          </w:p>
        </w:tc>
        <w:tc>
          <w:tcPr>
            <w:tcW w:w="1700" w:type="dxa"/>
            <w:vAlign w:val="bottom"/>
          </w:tcPr>
          <w:p>
            <w:pPr>
              <w:jc w:val="center"/>
              <w:ind w:left="64"/>
              <w:spacing w:after="0" w:line="124" w:lineRule="exact"/>
              <w:rPr>
                <w:sz w:val="20"/>
                <w:szCs w:val="20"/>
                <w:color w:val="auto"/>
              </w:rPr>
            </w:pPr>
            <w:r>
              <w:rPr>
                <w:rFonts w:ascii="Arial" w:cs="Arial" w:eastAsia="Arial" w:hAnsi="Arial"/>
                <w:sz w:val="11"/>
                <w:szCs w:val="11"/>
                <w:b w:val="1"/>
                <w:bCs w:val="1"/>
                <w:color w:val="auto"/>
              </w:rPr>
              <w:t>Perquisites</w:t>
            </w:r>
          </w:p>
        </w:tc>
      </w:tr>
      <w:tr>
        <w:trPr>
          <w:trHeight w:val="146"/>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Year</w:t>
            </w: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1"/>
                <w:szCs w:val="11"/>
                <w:b w:val="1"/>
                <w:bCs w:val="1"/>
                <w:color w:val="auto"/>
              </w:rPr>
              <w:t>($)(a)</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($)(c)</w:t>
            </w:r>
          </w:p>
        </w:tc>
        <w:tc>
          <w:tcPr>
            <w:tcW w:w="1700" w:type="dxa"/>
            <w:vAlign w:val="bottom"/>
            <w:tcBorders>
              <w:bottom w:val="single" w:sz="8" w:color="auto"/>
            </w:tcBorders>
          </w:tcPr>
          <w:p>
            <w:pPr>
              <w:jc w:val="center"/>
              <w:ind w:left="64"/>
              <w:spacing w:after="0"/>
              <w:rPr>
                <w:sz w:val="20"/>
                <w:szCs w:val="20"/>
                <w:color w:val="auto"/>
              </w:rPr>
            </w:pPr>
            <w:r>
              <w:rPr>
                <w:rFonts w:ascii="Arial" w:cs="Arial" w:eastAsia="Arial" w:hAnsi="Arial"/>
                <w:sz w:val="11"/>
                <w:szCs w:val="11"/>
                <w:b w:val="1"/>
                <w:bCs w:val="1"/>
                <w:color w:val="auto"/>
              </w:rPr>
              <w:t>($)(d)(e)</w:t>
            </w:r>
          </w:p>
        </w:tc>
      </w:tr>
      <w:tr>
        <w:trPr>
          <w:trHeight w:val="115"/>
        </w:trPr>
        <w:tc>
          <w:tcPr>
            <w:tcW w:w="354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Mr. Nelson</w:t>
            </w:r>
          </w:p>
        </w:tc>
        <w:tc>
          <w:tcPr>
            <w:tcW w:w="2640" w:type="dxa"/>
            <w:vAlign w:val="bottom"/>
            <w:shd w:val="clear" w:color="auto" w:fill="D8D8D8"/>
          </w:tcPr>
          <w:p>
            <w:pPr>
              <w:jc w:val="right"/>
              <w:ind w:right="244"/>
              <w:spacing w:after="0" w:line="115" w:lineRule="exact"/>
              <w:rPr>
                <w:sz w:val="20"/>
                <w:szCs w:val="20"/>
                <w:color w:val="auto"/>
              </w:rPr>
            </w:pPr>
            <w:r>
              <w:rPr>
                <w:rFonts w:ascii="Arial" w:cs="Arial" w:eastAsia="Arial" w:hAnsi="Arial"/>
                <w:sz w:val="11"/>
                <w:szCs w:val="11"/>
                <w:color w:val="auto"/>
              </w:rPr>
              <w:t>2013</w:t>
            </w:r>
          </w:p>
        </w:tc>
        <w:tc>
          <w:tcPr>
            <w:tcW w:w="1220" w:type="dxa"/>
            <w:vAlign w:val="bottom"/>
            <w:shd w:val="clear" w:color="auto" w:fill="D8D8D8"/>
          </w:tcPr>
          <w:p>
            <w:pPr>
              <w:jc w:val="right"/>
              <w:ind w:right="344"/>
              <w:spacing w:after="0" w:line="115" w:lineRule="exact"/>
              <w:rPr>
                <w:sz w:val="20"/>
                <w:szCs w:val="20"/>
                <w:color w:val="auto"/>
              </w:rPr>
            </w:pPr>
            <w:r>
              <w:rPr>
                <w:rFonts w:ascii="Arial" w:cs="Arial" w:eastAsia="Arial" w:hAnsi="Arial"/>
                <w:sz w:val="11"/>
                <w:szCs w:val="11"/>
                <w:color w:val="auto"/>
              </w:rPr>
              <w:t>67,896</w:t>
            </w:r>
          </w:p>
        </w:tc>
        <w:tc>
          <w:tcPr>
            <w:tcW w:w="1340" w:type="dxa"/>
            <w:vAlign w:val="bottom"/>
            <w:shd w:val="clear" w:color="auto" w:fill="D8D8D8"/>
          </w:tcPr>
          <w:p>
            <w:pPr>
              <w:jc w:val="right"/>
              <w:ind w:right="364"/>
              <w:spacing w:after="0" w:line="115" w:lineRule="exact"/>
              <w:rPr>
                <w:sz w:val="20"/>
                <w:szCs w:val="20"/>
                <w:color w:val="auto"/>
              </w:rPr>
            </w:pPr>
            <w:r>
              <w:rPr>
                <w:rFonts w:ascii="Arial" w:cs="Arial" w:eastAsia="Arial" w:hAnsi="Arial"/>
                <w:sz w:val="11"/>
                <w:szCs w:val="11"/>
                <w:color w:val="auto"/>
              </w:rPr>
              <w:t>14,019</w:t>
            </w:r>
          </w:p>
        </w:tc>
        <w:tc>
          <w:tcPr>
            <w:tcW w:w="1000" w:type="dxa"/>
            <w:vAlign w:val="bottom"/>
            <w:shd w:val="clear" w:color="auto" w:fill="D8D8D8"/>
          </w:tcPr>
          <w:p>
            <w:pPr>
              <w:ind w:left="440"/>
              <w:spacing w:after="0" w:line="115" w:lineRule="exact"/>
              <w:rPr>
                <w:sz w:val="20"/>
                <w:szCs w:val="20"/>
                <w:color w:val="auto"/>
              </w:rPr>
            </w:pPr>
            <w:r>
              <w:rPr>
                <w:rFonts w:ascii="Arial" w:cs="Arial" w:eastAsia="Arial" w:hAnsi="Arial"/>
                <w:sz w:val="11"/>
                <w:szCs w:val="11"/>
                <w:color w:val="auto"/>
              </w:rPr>
              <w:t>24,536</w:t>
            </w:r>
          </w:p>
        </w:tc>
        <w:tc>
          <w:tcPr>
            <w:tcW w:w="1700" w:type="dxa"/>
            <w:vAlign w:val="bottom"/>
            <w:shd w:val="clear" w:color="auto" w:fill="D8D8D8"/>
          </w:tcPr>
          <w:p>
            <w:pPr>
              <w:jc w:val="right"/>
              <w:ind w:right="404"/>
              <w:spacing w:after="0" w:line="115" w:lineRule="exact"/>
              <w:rPr>
                <w:sz w:val="20"/>
                <w:szCs w:val="20"/>
                <w:color w:val="auto"/>
              </w:rPr>
            </w:pPr>
            <w:r>
              <w:rPr>
                <w:rFonts w:ascii="Arial" w:cs="Arial" w:eastAsia="Arial" w:hAnsi="Arial"/>
                <w:sz w:val="11"/>
                <w:szCs w:val="11"/>
                <w:color w:val="auto"/>
              </w:rPr>
              <w:t>114,701</w:t>
            </w:r>
          </w:p>
        </w:tc>
      </w:tr>
      <w:tr>
        <w:trPr>
          <w:trHeight w:val="124"/>
        </w:trPr>
        <w:tc>
          <w:tcPr>
            <w:tcW w:w="3540" w:type="dxa"/>
            <w:vAlign w:val="bottom"/>
            <w:shd w:val="clear" w:color="auto" w:fill="D8D8D8"/>
          </w:tcPr>
          <w:p>
            <w:pPr>
              <w:spacing w:after="0"/>
              <w:rPr>
                <w:sz w:val="10"/>
                <w:szCs w:val="10"/>
                <w:color w:val="auto"/>
              </w:rPr>
            </w:pPr>
          </w:p>
        </w:tc>
        <w:tc>
          <w:tcPr>
            <w:tcW w:w="2640" w:type="dxa"/>
            <w:vAlign w:val="bottom"/>
            <w:shd w:val="clear" w:color="auto" w:fill="D8D8D8"/>
          </w:tcPr>
          <w:p>
            <w:pPr>
              <w:jc w:val="right"/>
              <w:ind w:right="244"/>
              <w:spacing w:after="0" w:line="124" w:lineRule="exact"/>
              <w:rPr>
                <w:sz w:val="20"/>
                <w:szCs w:val="20"/>
                <w:color w:val="auto"/>
              </w:rPr>
            </w:pPr>
            <w:r>
              <w:rPr>
                <w:rFonts w:ascii="Arial" w:cs="Arial" w:eastAsia="Arial" w:hAnsi="Arial"/>
                <w:sz w:val="11"/>
                <w:szCs w:val="11"/>
                <w:color w:val="auto"/>
              </w:rPr>
              <w:t>2012</w:t>
            </w:r>
          </w:p>
        </w:tc>
        <w:tc>
          <w:tcPr>
            <w:tcW w:w="122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113,921</w:t>
            </w:r>
          </w:p>
        </w:tc>
        <w:tc>
          <w:tcPr>
            <w:tcW w:w="1340" w:type="dxa"/>
            <w:vAlign w:val="bottom"/>
            <w:shd w:val="clear" w:color="auto" w:fill="D8D8D8"/>
          </w:tcPr>
          <w:p>
            <w:pPr>
              <w:jc w:val="right"/>
              <w:ind w:right="364"/>
              <w:spacing w:after="0" w:line="124" w:lineRule="exact"/>
              <w:rPr>
                <w:sz w:val="20"/>
                <w:szCs w:val="20"/>
                <w:color w:val="auto"/>
              </w:rPr>
            </w:pPr>
            <w:r>
              <w:rPr>
                <w:rFonts w:ascii="Arial" w:cs="Arial" w:eastAsia="Arial" w:hAnsi="Arial"/>
                <w:sz w:val="11"/>
                <w:szCs w:val="11"/>
                <w:color w:val="auto"/>
              </w:rPr>
              <w:t>14,000</w:t>
            </w:r>
          </w:p>
        </w:tc>
        <w:tc>
          <w:tcPr>
            <w:tcW w:w="1000" w:type="dxa"/>
            <w:vAlign w:val="bottom"/>
            <w:shd w:val="clear" w:color="auto" w:fill="D8D8D8"/>
          </w:tcPr>
          <w:p>
            <w:pPr>
              <w:ind w:left="440"/>
              <w:spacing w:after="0" w:line="124" w:lineRule="exact"/>
              <w:rPr>
                <w:sz w:val="20"/>
                <w:szCs w:val="20"/>
                <w:color w:val="auto"/>
              </w:rPr>
            </w:pPr>
            <w:r>
              <w:rPr>
                <w:rFonts w:ascii="Arial" w:cs="Arial" w:eastAsia="Arial" w:hAnsi="Arial"/>
                <w:sz w:val="11"/>
                <w:szCs w:val="11"/>
                <w:color w:val="auto"/>
              </w:rPr>
              <w:t>13,230</w:t>
            </w:r>
          </w:p>
        </w:tc>
        <w:tc>
          <w:tcPr>
            <w:tcW w:w="1700" w:type="dxa"/>
            <w:vAlign w:val="bottom"/>
            <w:shd w:val="clear" w:color="auto" w:fill="D8D8D8"/>
          </w:tcPr>
          <w:p>
            <w:pPr>
              <w:jc w:val="right"/>
              <w:ind w:right="404"/>
              <w:spacing w:after="0" w:line="124" w:lineRule="exact"/>
              <w:rPr>
                <w:sz w:val="20"/>
                <w:szCs w:val="20"/>
                <w:color w:val="auto"/>
              </w:rPr>
            </w:pPr>
            <w:r>
              <w:rPr>
                <w:rFonts w:ascii="Arial" w:cs="Arial" w:eastAsia="Arial" w:hAnsi="Arial"/>
                <w:sz w:val="11"/>
                <w:szCs w:val="11"/>
                <w:color w:val="auto"/>
              </w:rPr>
              <w:t>149,276</w:t>
            </w:r>
          </w:p>
        </w:tc>
      </w:tr>
      <w:tr>
        <w:trPr>
          <w:trHeight w:val="136"/>
        </w:trPr>
        <w:tc>
          <w:tcPr>
            <w:tcW w:w="3540" w:type="dxa"/>
            <w:vAlign w:val="bottom"/>
            <w:shd w:val="clear" w:color="auto" w:fill="D8D8D8"/>
          </w:tcPr>
          <w:p>
            <w:pPr>
              <w:spacing w:after="0"/>
              <w:rPr>
                <w:sz w:val="11"/>
                <w:szCs w:val="11"/>
                <w:color w:val="auto"/>
              </w:rPr>
            </w:pPr>
          </w:p>
        </w:tc>
        <w:tc>
          <w:tcPr>
            <w:tcW w:w="264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2011</w:t>
            </w:r>
          </w:p>
        </w:tc>
        <w:tc>
          <w:tcPr>
            <w:tcW w:w="1220" w:type="dxa"/>
            <w:vAlign w:val="bottom"/>
            <w:shd w:val="clear" w:color="auto" w:fill="D8D8D8"/>
          </w:tcPr>
          <w:p>
            <w:pPr>
              <w:jc w:val="right"/>
              <w:ind w:right="344"/>
              <w:spacing w:after="0"/>
              <w:rPr>
                <w:sz w:val="20"/>
                <w:szCs w:val="20"/>
                <w:color w:val="auto"/>
              </w:rPr>
            </w:pPr>
            <w:r>
              <w:rPr>
                <w:rFonts w:ascii="Arial" w:cs="Arial" w:eastAsia="Arial" w:hAnsi="Arial"/>
                <w:sz w:val="11"/>
                <w:szCs w:val="11"/>
                <w:color w:val="auto"/>
              </w:rPr>
              <w:t>39,991</w:t>
            </w:r>
          </w:p>
        </w:tc>
        <w:tc>
          <w:tcPr>
            <w:tcW w:w="1340" w:type="dxa"/>
            <w:vAlign w:val="bottom"/>
            <w:shd w:val="clear" w:color="auto" w:fill="D8D8D8"/>
          </w:tcPr>
          <w:p>
            <w:pPr>
              <w:jc w:val="right"/>
              <w:ind w:right="364"/>
              <w:spacing w:after="0"/>
              <w:rPr>
                <w:sz w:val="20"/>
                <w:szCs w:val="20"/>
                <w:color w:val="auto"/>
              </w:rPr>
            </w:pPr>
            <w:r>
              <w:rPr>
                <w:rFonts w:ascii="Arial" w:cs="Arial" w:eastAsia="Arial" w:hAnsi="Arial"/>
                <w:sz w:val="11"/>
                <w:szCs w:val="11"/>
                <w:color w:val="auto"/>
              </w:rPr>
              <w:t>14,000</w:t>
            </w:r>
          </w:p>
        </w:tc>
        <w:tc>
          <w:tcPr>
            <w:tcW w:w="1000" w:type="dxa"/>
            <w:vAlign w:val="bottom"/>
            <w:shd w:val="clear" w:color="auto" w:fill="D8D8D8"/>
          </w:tcPr>
          <w:p>
            <w:pPr>
              <w:ind w:left="440"/>
              <w:spacing w:after="0"/>
              <w:rPr>
                <w:sz w:val="20"/>
                <w:szCs w:val="20"/>
                <w:color w:val="auto"/>
              </w:rPr>
            </w:pPr>
            <w:r>
              <w:rPr>
                <w:rFonts w:ascii="Arial" w:cs="Arial" w:eastAsia="Arial" w:hAnsi="Arial"/>
                <w:sz w:val="11"/>
                <w:szCs w:val="11"/>
                <w:color w:val="auto"/>
              </w:rPr>
              <w:t>11,034</w:t>
            </w:r>
          </w:p>
        </w:tc>
        <w:tc>
          <w:tcPr>
            <w:tcW w:w="1700" w:type="dxa"/>
            <w:vAlign w:val="bottom"/>
            <w:shd w:val="clear" w:color="auto" w:fill="D8D8D8"/>
          </w:tcPr>
          <w:p>
            <w:pPr>
              <w:jc w:val="right"/>
              <w:ind w:right="404"/>
              <w:spacing w:after="0"/>
              <w:rPr>
                <w:sz w:val="20"/>
                <w:szCs w:val="20"/>
                <w:color w:val="auto"/>
              </w:rPr>
            </w:pPr>
            <w:r>
              <w:rPr>
                <w:rFonts w:ascii="Arial" w:cs="Arial" w:eastAsia="Arial" w:hAnsi="Arial"/>
                <w:sz w:val="11"/>
                <w:szCs w:val="11"/>
                <w:color w:val="auto"/>
              </w:rPr>
              <w:t>70,025</w:t>
            </w:r>
          </w:p>
        </w:tc>
      </w:tr>
      <w:tr>
        <w:trPr>
          <w:trHeight w:val="123"/>
        </w:trPr>
        <w:tc>
          <w:tcPr>
            <w:tcW w:w="3540" w:type="dxa"/>
            <w:vAlign w:val="bottom"/>
          </w:tcPr>
          <w:p>
            <w:pPr>
              <w:spacing w:after="0" w:line="123" w:lineRule="exact"/>
              <w:rPr>
                <w:sz w:val="20"/>
                <w:szCs w:val="20"/>
                <w:color w:val="auto"/>
              </w:rPr>
            </w:pPr>
            <w:r>
              <w:rPr>
                <w:rFonts w:ascii="Arial" w:cs="Arial" w:eastAsia="Arial" w:hAnsi="Arial"/>
                <w:sz w:val="11"/>
                <w:szCs w:val="11"/>
                <w:color w:val="auto"/>
              </w:rPr>
              <w:t>Mr. Wyshner</w:t>
            </w:r>
          </w:p>
        </w:tc>
        <w:tc>
          <w:tcPr>
            <w:tcW w:w="2640" w:type="dxa"/>
            <w:vAlign w:val="bottom"/>
          </w:tcPr>
          <w:p>
            <w:pPr>
              <w:jc w:val="right"/>
              <w:ind w:right="244"/>
              <w:spacing w:after="0" w:line="123" w:lineRule="exact"/>
              <w:rPr>
                <w:sz w:val="20"/>
                <w:szCs w:val="20"/>
                <w:color w:val="auto"/>
              </w:rPr>
            </w:pPr>
            <w:r>
              <w:rPr>
                <w:rFonts w:ascii="Arial" w:cs="Arial" w:eastAsia="Arial" w:hAnsi="Arial"/>
                <w:sz w:val="11"/>
                <w:szCs w:val="11"/>
                <w:color w:val="auto"/>
              </w:rPr>
              <w:t>2013</w:t>
            </w:r>
          </w:p>
        </w:tc>
        <w:tc>
          <w:tcPr>
            <w:tcW w:w="1220" w:type="dxa"/>
            <w:vAlign w:val="bottom"/>
          </w:tcPr>
          <w:p>
            <w:pPr>
              <w:jc w:val="right"/>
              <w:ind w:right="344"/>
              <w:spacing w:after="0" w:line="123" w:lineRule="exact"/>
              <w:rPr>
                <w:sz w:val="20"/>
                <w:szCs w:val="20"/>
                <w:color w:val="auto"/>
              </w:rPr>
            </w:pPr>
            <w:r>
              <w:rPr>
                <w:rFonts w:ascii="Arial" w:cs="Arial" w:eastAsia="Arial" w:hAnsi="Arial"/>
                <w:sz w:val="11"/>
                <w:szCs w:val="11"/>
                <w:color w:val="auto"/>
              </w:rPr>
              <w:t>25,258</w:t>
            </w:r>
          </w:p>
        </w:tc>
        <w:tc>
          <w:tcPr>
            <w:tcW w:w="1340" w:type="dxa"/>
            <w:vAlign w:val="bottom"/>
          </w:tcPr>
          <w:p>
            <w:pPr>
              <w:jc w:val="right"/>
              <w:ind w:right="364"/>
              <w:spacing w:after="0" w:line="123" w:lineRule="exact"/>
              <w:rPr>
                <w:sz w:val="20"/>
                <w:szCs w:val="20"/>
                <w:color w:val="auto"/>
              </w:rPr>
            </w:pPr>
            <w:r>
              <w:rPr>
                <w:rFonts w:ascii="Arial" w:cs="Arial" w:eastAsia="Arial" w:hAnsi="Arial"/>
                <w:sz w:val="11"/>
                <w:szCs w:val="11"/>
                <w:color w:val="auto"/>
              </w:rPr>
              <w:t>12,414</w:t>
            </w:r>
          </w:p>
        </w:tc>
        <w:tc>
          <w:tcPr>
            <w:tcW w:w="1000" w:type="dxa"/>
            <w:vAlign w:val="bottom"/>
          </w:tcPr>
          <w:p>
            <w:pPr>
              <w:ind w:left="440"/>
              <w:spacing w:after="0" w:line="123" w:lineRule="exact"/>
              <w:rPr>
                <w:sz w:val="20"/>
                <w:szCs w:val="20"/>
                <w:color w:val="auto"/>
              </w:rPr>
            </w:pPr>
            <w:r>
              <w:rPr>
                <w:rFonts w:ascii="Arial" w:cs="Arial" w:eastAsia="Arial" w:hAnsi="Arial"/>
                <w:sz w:val="11"/>
                <w:szCs w:val="11"/>
                <w:color w:val="auto"/>
              </w:rPr>
              <w:t>20,000</w:t>
            </w:r>
          </w:p>
        </w:tc>
        <w:tc>
          <w:tcPr>
            <w:tcW w:w="1700" w:type="dxa"/>
            <w:vAlign w:val="bottom"/>
          </w:tcPr>
          <w:p>
            <w:pPr>
              <w:jc w:val="right"/>
              <w:ind w:right="404"/>
              <w:spacing w:after="0" w:line="123" w:lineRule="exact"/>
              <w:rPr>
                <w:sz w:val="20"/>
                <w:szCs w:val="20"/>
                <w:color w:val="auto"/>
              </w:rPr>
            </w:pPr>
            <w:r>
              <w:rPr>
                <w:rFonts w:ascii="Arial" w:cs="Arial" w:eastAsia="Arial" w:hAnsi="Arial"/>
                <w:sz w:val="11"/>
                <w:szCs w:val="11"/>
                <w:color w:val="auto"/>
              </w:rPr>
              <w:t>57,672</w:t>
            </w:r>
          </w:p>
        </w:tc>
      </w:tr>
      <w:tr>
        <w:trPr>
          <w:trHeight w:val="124"/>
        </w:trPr>
        <w:tc>
          <w:tcPr>
            <w:tcW w:w="3540" w:type="dxa"/>
            <w:vAlign w:val="bottom"/>
          </w:tcPr>
          <w:p>
            <w:pPr>
              <w:spacing w:after="0"/>
              <w:rPr>
                <w:sz w:val="10"/>
                <w:szCs w:val="10"/>
                <w:color w:val="auto"/>
              </w:rPr>
            </w:pPr>
          </w:p>
        </w:tc>
        <w:tc>
          <w:tcPr>
            <w:tcW w:w="2640" w:type="dxa"/>
            <w:vAlign w:val="bottom"/>
          </w:tcPr>
          <w:p>
            <w:pPr>
              <w:jc w:val="right"/>
              <w:ind w:right="244"/>
              <w:spacing w:after="0" w:line="124" w:lineRule="exact"/>
              <w:rPr>
                <w:sz w:val="20"/>
                <w:szCs w:val="20"/>
                <w:color w:val="auto"/>
              </w:rPr>
            </w:pPr>
            <w:r>
              <w:rPr>
                <w:rFonts w:ascii="Arial" w:cs="Arial" w:eastAsia="Arial" w:hAnsi="Arial"/>
                <w:sz w:val="11"/>
                <w:szCs w:val="11"/>
                <w:color w:val="auto"/>
              </w:rPr>
              <w:t>2012</w:t>
            </w:r>
          </w:p>
        </w:tc>
        <w:tc>
          <w:tcPr>
            <w:tcW w:w="122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9,133</w:t>
            </w:r>
          </w:p>
        </w:tc>
        <w:tc>
          <w:tcPr>
            <w:tcW w:w="1340" w:type="dxa"/>
            <w:vAlign w:val="bottom"/>
          </w:tcPr>
          <w:p>
            <w:pPr>
              <w:jc w:val="right"/>
              <w:ind w:right="364"/>
              <w:spacing w:after="0" w:line="124" w:lineRule="exact"/>
              <w:rPr>
                <w:sz w:val="20"/>
                <w:szCs w:val="20"/>
                <w:color w:val="auto"/>
              </w:rPr>
            </w:pPr>
            <w:r>
              <w:rPr>
                <w:rFonts w:ascii="Arial" w:cs="Arial" w:eastAsia="Arial" w:hAnsi="Arial"/>
                <w:sz w:val="11"/>
                <w:szCs w:val="11"/>
                <w:color w:val="auto"/>
              </w:rPr>
              <w:t>11,970</w:t>
            </w:r>
          </w:p>
        </w:tc>
        <w:tc>
          <w:tcPr>
            <w:tcW w:w="1000" w:type="dxa"/>
            <w:vAlign w:val="bottom"/>
          </w:tcPr>
          <w:p>
            <w:pPr>
              <w:ind w:left="440"/>
              <w:spacing w:after="0" w:line="124" w:lineRule="exact"/>
              <w:rPr>
                <w:sz w:val="20"/>
                <w:szCs w:val="20"/>
                <w:color w:val="auto"/>
              </w:rPr>
            </w:pPr>
            <w:r>
              <w:rPr>
                <w:rFonts w:ascii="Arial" w:cs="Arial" w:eastAsia="Arial" w:hAnsi="Arial"/>
                <w:sz w:val="11"/>
                <w:szCs w:val="11"/>
                <w:color w:val="auto"/>
              </w:rPr>
              <w:t>20,000</w:t>
            </w:r>
          </w:p>
        </w:tc>
        <w:tc>
          <w:tcPr>
            <w:tcW w:w="1700" w:type="dxa"/>
            <w:vAlign w:val="bottom"/>
          </w:tcPr>
          <w:p>
            <w:pPr>
              <w:jc w:val="right"/>
              <w:ind w:right="404"/>
              <w:spacing w:after="0" w:line="124" w:lineRule="exact"/>
              <w:rPr>
                <w:sz w:val="20"/>
                <w:szCs w:val="20"/>
                <w:color w:val="auto"/>
              </w:rPr>
            </w:pPr>
            <w:r>
              <w:rPr>
                <w:rFonts w:ascii="Arial" w:cs="Arial" w:eastAsia="Arial" w:hAnsi="Arial"/>
                <w:sz w:val="11"/>
                <w:szCs w:val="11"/>
                <w:color w:val="auto"/>
              </w:rPr>
              <w:t>41,103</w:t>
            </w:r>
          </w:p>
        </w:tc>
      </w:tr>
      <w:tr>
        <w:trPr>
          <w:trHeight w:val="134"/>
        </w:trPr>
        <w:tc>
          <w:tcPr>
            <w:tcW w:w="3540" w:type="dxa"/>
            <w:vAlign w:val="bottom"/>
          </w:tcPr>
          <w:p>
            <w:pPr>
              <w:spacing w:after="0"/>
              <w:rPr>
                <w:sz w:val="11"/>
                <w:szCs w:val="11"/>
                <w:color w:val="auto"/>
              </w:rPr>
            </w:pPr>
          </w:p>
        </w:tc>
        <w:tc>
          <w:tcPr>
            <w:tcW w:w="2640" w:type="dxa"/>
            <w:vAlign w:val="bottom"/>
          </w:tcPr>
          <w:p>
            <w:pPr>
              <w:jc w:val="right"/>
              <w:ind w:right="244"/>
              <w:spacing w:after="0"/>
              <w:rPr>
                <w:sz w:val="20"/>
                <w:szCs w:val="20"/>
                <w:color w:val="auto"/>
              </w:rPr>
            </w:pPr>
            <w:r>
              <w:rPr>
                <w:rFonts w:ascii="Arial" w:cs="Arial" w:eastAsia="Arial" w:hAnsi="Arial"/>
                <w:sz w:val="11"/>
                <w:szCs w:val="11"/>
                <w:color w:val="auto"/>
              </w:rPr>
              <w:t>2011</w:t>
            </w:r>
          </w:p>
        </w:tc>
        <w:tc>
          <w:tcPr>
            <w:tcW w:w="1220" w:type="dxa"/>
            <w:vAlign w:val="bottom"/>
          </w:tcPr>
          <w:p>
            <w:pPr>
              <w:jc w:val="right"/>
              <w:ind w:right="344"/>
              <w:spacing w:after="0"/>
              <w:rPr>
                <w:sz w:val="20"/>
                <w:szCs w:val="20"/>
                <w:color w:val="auto"/>
              </w:rPr>
            </w:pPr>
            <w:r>
              <w:rPr>
                <w:rFonts w:ascii="Arial" w:cs="Arial" w:eastAsia="Arial" w:hAnsi="Arial"/>
                <w:sz w:val="11"/>
                <w:szCs w:val="11"/>
                <w:color w:val="auto"/>
              </w:rPr>
              <w:t>13,919</w:t>
            </w:r>
          </w:p>
        </w:tc>
        <w:tc>
          <w:tcPr>
            <w:tcW w:w="1340" w:type="dxa"/>
            <w:vAlign w:val="bottom"/>
          </w:tcPr>
          <w:p>
            <w:pPr>
              <w:jc w:val="right"/>
              <w:ind w:right="364"/>
              <w:spacing w:after="0"/>
              <w:rPr>
                <w:sz w:val="20"/>
                <w:szCs w:val="20"/>
                <w:color w:val="auto"/>
              </w:rPr>
            </w:pPr>
            <w:r>
              <w:rPr>
                <w:rFonts w:ascii="Arial" w:cs="Arial" w:eastAsia="Arial" w:hAnsi="Arial"/>
                <w:sz w:val="11"/>
                <w:szCs w:val="11"/>
                <w:color w:val="auto"/>
              </w:rPr>
              <w:t>11,970</w:t>
            </w:r>
          </w:p>
        </w:tc>
        <w:tc>
          <w:tcPr>
            <w:tcW w:w="1000" w:type="dxa"/>
            <w:vAlign w:val="bottom"/>
          </w:tcPr>
          <w:p>
            <w:pPr>
              <w:ind w:left="440"/>
              <w:spacing w:after="0"/>
              <w:rPr>
                <w:sz w:val="20"/>
                <w:szCs w:val="20"/>
                <w:color w:val="auto"/>
              </w:rPr>
            </w:pPr>
            <w:r>
              <w:rPr>
                <w:rFonts w:ascii="Arial" w:cs="Arial" w:eastAsia="Arial" w:hAnsi="Arial"/>
                <w:sz w:val="11"/>
                <w:szCs w:val="11"/>
                <w:color w:val="auto"/>
              </w:rPr>
              <w:t>20,000</w:t>
            </w:r>
          </w:p>
        </w:tc>
        <w:tc>
          <w:tcPr>
            <w:tcW w:w="1700" w:type="dxa"/>
            <w:vAlign w:val="bottom"/>
          </w:tcPr>
          <w:p>
            <w:pPr>
              <w:jc w:val="right"/>
              <w:ind w:right="404"/>
              <w:spacing w:after="0"/>
              <w:rPr>
                <w:sz w:val="20"/>
                <w:szCs w:val="20"/>
                <w:color w:val="auto"/>
              </w:rPr>
            </w:pPr>
            <w:r>
              <w:rPr>
                <w:rFonts w:ascii="Arial" w:cs="Arial" w:eastAsia="Arial" w:hAnsi="Arial"/>
                <w:sz w:val="11"/>
                <w:szCs w:val="11"/>
                <w:color w:val="auto"/>
              </w:rPr>
              <w:t>48,289</w:t>
            </w:r>
          </w:p>
        </w:tc>
      </w:tr>
      <w:tr>
        <w:trPr>
          <w:trHeight w:val="125"/>
        </w:trPr>
        <w:tc>
          <w:tcPr>
            <w:tcW w:w="354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Mr. Gartland</w:t>
            </w:r>
          </w:p>
        </w:tc>
        <w:tc>
          <w:tcPr>
            <w:tcW w:w="2640" w:type="dxa"/>
            <w:vAlign w:val="bottom"/>
            <w:shd w:val="clear" w:color="auto" w:fill="D8D8D8"/>
          </w:tcPr>
          <w:p>
            <w:pPr>
              <w:jc w:val="right"/>
              <w:ind w:right="244"/>
              <w:spacing w:after="0" w:line="125" w:lineRule="exact"/>
              <w:rPr>
                <w:sz w:val="20"/>
                <w:szCs w:val="20"/>
                <w:color w:val="auto"/>
              </w:rPr>
            </w:pPr>
            <w:r>
              <w:rPr>
                <w:rFonts w:ascii="Arial" w:cs="Arial" w:eastAsia="Arial" w:hAnsi="Arial"/>
                <w:sz w:val="11"/>
                <w:szCs w:val="11"/>
                <w:color w:val="auto"/>
              </w:rPr>
              <w:t>2013</w:t>
            </w:r>
          </w:p>
        </w:tc>
        <w:tc>
          <w:tcPr>
            <w:tcW w:w="1220" w:type="dxa"/>
            <w:vAlign w:val="bottom"/>
            <w:shd w:val="clear" w:color="auto" w:fill="D8D8D8"/>
          </w:tcPr>
          <w:p>
            <w:pPr>
              <w:jc w:val="right"/>
              <w:ind w:right="344"/>
              <w:spacing w:after="0" w:line="125" w:lineRule="exact"/>
              <w:rPr>
                <w:sz w:val="20"/>
                <w:szCs w:val="20"/>
                <w:color w:val="auto"/>
              </w:rPr>
            </w:pPr>
            <w:r>
              <w:rPr>
                <w:rFonts w:ascii="Arial" w:cs="Arial" w:eastAsia="Arial" w:hAnsi="Arial"/>
                <w:sz w:val="11"/>
                <w:szCs w:val="11"/>
                <w:color w:val="auto"/>
              </w:rPr>
              <w:t>22,500</w:t>
            </w:r>
          </w:p>
        </w:tc>
        <w:tc>
          <w:tcPr>
            <w:tcW w:w="1340" w:type="dxa"/>
            <w:vAlign w:val="bottom"/>
            <w:shd w:val="clear" w:color="auto" w:fill="D8D8D8"/>
          </w:tcPr>
          <w:p>
            <w:pPr>
              <w:jc w:val="right"/>
              <w:ind w:right="364"/>
              <w:spacing w:after="0" w:line="125" w:lineRule="exact"/>
              <w:rPr>
                <w:sz w:val="20"/>
                <w:szCs w:val="20"/>
                <w:color w:val="auto"/>
              </w:rPr>
            </w:pPr>
            <w:r>
              <w:rPr>
                <w:rFonts w:ascii="Arial" w:cs="Arial" w:eastAsia="Arial" w:hAnsi="Arial"/>
                <w:sz w:val="11"/>
                <w:szCs w:val="11"/>
                <w:color w:val="auto"/>
              </w:rPr>
              <w:t>12,414</w:t>
            </w:r>
          </w:p>
        </w:tc>
        <w:tc>
          <w:tcPr>
            <w:tcW w:w="1000" w:type="dxa"/>
            <w:vAlign w:val="bottom"/>
            <w:shd w:val="clear" w:color="auto" w:fill="D8D8D8"/>
          </w:tcPr>
          <w:p>
            <w:pPr>
              <w:ind w:left="440"/>
              <w:spacing w:after="0" w:line="125" w:lineRule="exact"/>
              <w:rPr>
                <w:sz w:val="20"/>
                <w:szCs w:val="20"/>
                <w:color w:val="auto"/>
              </w:rPr>
            </w:pPr>
            <w:r>
              <w:rPr>
                <w:rFonts w:ascii="Arial" w:cs="Arial" w:eastAsia="Arial" w:hAnsi="Arial"/>
                <w:sz w:val="11"/>
                <w:szCs w:val="11"/>
                <w:color w:val="auto"/>
              </w:rPr>
              <w:t>20,000</w:t>
            </w:r>
          </w:p>
        </w:tc>
        <w:tc>
          <w:tcPr>
            <w:tcW w:w="1700" w:type="dxa"/>
            <w:vAlign w:val="bottom"/>
            <w:shd w:val="clear" w:color="auto" w:fill="D8D8D8"/>
          </w:tcPr>
          <w:p>
            <w:pPr>
              <w:jc w:val="right"/>
              <w:ind w:right="404"/>
              <w:spacing w:after="0" w:line="125" w:lineRule="exact"/>
              <w:rPr>
                <w:sz w:val="20"/>
                <w:szCs w:val="20"/>
                <w:color w:val="auto"/>
              </w:rPr>
            </w:pPr>
            <w:r>
              <w:rPr>
                <w:rFonts w:ascii="Arial" w:cs="Arial" w:eastAsia="Arial" w:hAnsi="Arial"/>
                <w:sz w:val="11"/>
                <w:szCs w:val="11"/>
                <w:color w:val="auto"/>
              </w:rPr>
              <w:t>58,164</w:t>
            </w:r>
          </w:p>
        </w:tc>
      </w:tr>
      <w:tr>
        <w:trPr>
          <w:trHeight w:val="124"/>
        </w:trPr>
        <w:tc>
          <w:tcPr>
            <w:tcW w:w="3540" w:type="dxa"/>
            <w:vAlign w:val="bottom"/>
            <w:shd w:val="clear" w:color="auto" w:fill="D8D8D8"/>
          </w:tcPr>
          <w:p>
            <w:pPr>
              <w:spacing w:after="0"/>
              <w:rPr>
                <w:sz w:val="10"/>
                <w:szCs w:val="10"/>
                <w:color w:val="auto"/>
              </w:rPr>
            </w:pPr>
          </w:p>
        </w:tc>
        <w:tc>
          <w:tcPr>
            <w:tcW w:w="2640" w:type="dxa"/>
            <w:vAlign w:val="bottom"/>
            <w:shd w:val="clear" w:color="auto" w:fill="D8D8D8"/>
          </w:tcPr>
          <w:p>
            <w:pPr>
              <w:jc w:val="right"/>
              <w:ind w:right="244"/>
              <w:spacing w:after="0" w:line="124" w:lineRule="exact"/>
              <w:rPr>
                <w:sz w:val="20"/>
                <w:szCs w:val="20"/>
                <w:color w:val="auto"/>
              </w:rPr>
            </w:pPr>
            <w:r>
              <w:rPr>
                <w:rFonts w:ascii="Arial" w:cs="Arial" w:eastAsia="Arial" w:hAnsi="Arial"/>
                <w:sz w:val="11"/>
                <w:szCs w:val="11"/>
                <w:color w:val="auto"/>
              </w:rPr>
              <w:t>2012</w:t>
            </w:r>
          </w:p>
        </w:tc>
        <w:tc>
          <w:tcPr>
            <w:tcW w:w="1220" w:type="dxa"/>
            <w:vAlign w:val="bottom"/>
            <w:shd w:val="clear" w:color="auto" w:fill="D8D8D8"/>
          </w:tcPr>
          <w:p>
            <w:pPr>
              <w:jc w:val="right"/>
              <w:ind w:right="344"/>
              <w:spacing w:after="0" w:line="124" w:lineRule="exact"/>
              <w:rPr>
                <w:sz w:val="20"/>
                <w:szCs w:val="20"/>
                <w:color w:val="auto"/>
              </w:rPr>
            </w:pPr>
            <w:r>
              <w:rPr>
                <w:rFonts w:ascii="Arial" w:cs="Arial" w:eastAsia="Arial" w:hAnsi="Arial"/>
                <w:sz w:val="11"/>
                <w:szCs w:val="11"/>
                <w:color w:val="auto"/>
              </w:rPr>
              <w:t>51,540</w:t>
            </w:r>
          </w:p>
        </w:tc>
        <w:tc>
          <w:tcPr>
            <w:tcW w:w="1340" w:type="dxa"/>
            <w:vAlign w:val="bottom"/>
            <w:shd w:val="clear" w:color="auto" w:fill="D8D8D8"/>
          </w:tcPr>
          <w:p>
            <w:pPr>
              <w:jc w:val="right"/>
              <w:ind w:right="364"/>
              <w:spacing w:after="0" w:line="124" w:lineRule="exact"/>
              <w:rPr>
                <w:sz w:val="20"/>
                <w:szCs w:val="20"/>
                <w:color w:val="auto"/>
              </w:rPr>
            </w:pPr>
            <w:r>
              <w:rPr>
                <w:rFonts w:ascii="Arial" w:cs="Arial" w:eastAsia="Arial" w:hAnsi="Arial"/>
                <w:sz w:val="11"/>
                <w:szCs w:val="11"/>
                <w:color w:val="auto"/>
              </w:rPr>
              <w:t>12,863</w:t>
            </w:r>
          </w:p>
        </w:tc>
        <w:tc>
          <w:tcPr>
            <w:tcW w:w="1000" w:type="dxa"/>
            <w:vAlign w:val="bottom"/>
            <w:shd w:val="clear" w:color="auto" w:fill="D8D8D8"/>
          </w:tcPr>
          <w:p>
            <w:pPr>
              <w:ind w:left="440"/>
              <w:spacing w:after="0" w:line="124" w:lineRule="exact"/>
              <w:rPr>
                <w:sz w:val="20"/>
                <w:szCs w:val="20"/>
                <w:color w:val="auto"/>
              </w:rPr>
            </w:pPr>
            <w:r>
              <w:rPr>
                <w:rFonts w:ascii="Arial" w:cs="Arial" w:eastAsia="Arial" w:hAnsi="Arial"/>
                <w:sz w:val="11"/>
                <w:szCs w:val="11"/>
                <w:color w:val="auto"/>
              </w:rPr>
              <w:t>20,000</w:t>
            </w:r>
          </w:p>
        </w:tc>
        <w:tc>
          <w:tcPr>
            <w:tcW w:w="1700" w:type="dxa"/>
            <w:vAlign w:val="bottom"/>
            <w:shd w:val="clear" w:color="auto" w:fill="D8D8D8"/>
          </w:tcPr>
          <w:p>
            <w:pPr>
              <w:jc w:val="right"/>
              <w:ind w:right="404"/>
              <w:spacing w:after="0" w:line="124" w:lineRule="exact"/>
              <w:rPr>
                <w:sz w:val="20"/>
                <w:szCs w:val="20"/>
                <w:color w:val="auto"/>
              </w:rPr>
            </w:pPr>
            <w:r>
              <w:rPr>
                <w:rFonts w:ascii="Arial" w:cs="Arial" w:eastAsia="Arial" w:hAnsi="Arial"/>
                <w:sz w:val="11"/>
                <w:szCs w:val="11"/>
                <w:color w:val="auto"/>
              </w:rPr>
              <w:t>87,528</w:t>
            </w:r>
          </w:p>
        </w:tc>
      </w:tr>
      <w:tr>
        <w:trPr>
          <w:trHeight w:val="136"/>
        </w:trPr>
        <w:tc>
          <w:tcPr>
            <w:tcW w:w="3540" w:type="dxa"/>
            <w:vAlign w:val="bottom"/>
            <w:shd w:val="clear" w:color="auto" w:fill="D8D8D8"/>
          </w:tcPr>
          <w:p>
            <w:pPr>
              <w:spacing w:after="0"/>
              <w:rPr>
                <w:sz w:val="11"/>
                <w:szCs w:val="11"/>
                <w:color w:val="auto"/>
              </w:rPr>
            </w:pPr>
          </w:p>
        </w:tc>
        <w:tc>
          <w:tcPr>
            <w:tcW w:w="264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2011</w:t>
            </w:r>
          </w:p>
        </w:tc>
        <w:tc>
          <w:tcPr>
            <w:tcW w:w="1220" w:type="dxa"/>
            <w:vAlign w:val="bottom"/>
            <w:shd w:val="clear" w:color="auto" w:fill="D8D8D8"/>
          </w:tcPr>
          <w:p>
            <w:pPr>
              <w:jc w:val="right"/>
              <w:ind w:right="344"/>
              <w:spacing w:after="0"/>
              <w:rPr>
                <w:sz w:val="20"/>
                <w:szCs w:val="20"/>
                <w:color w:val="auto"/>
              </w:rPr>
            </w:pPr>
            <w:r>
              <w:rPr>
                <w:rFonts w:ascii="Arial" w:cs="Arial" w:eastAsia="Arial" w:hAnsi="Arial"/>
                <w:sz w:val="11"/>
                <w:szCs w:val="11"/>
                <w:color w:val="auto"/>
              </w:rPr>
              <w:t>12,119</w:t>
            </w:r>
          </w:p>
        </w:tc>
        <w:tc>
          <w:tcPr>
            <w:tcW w:w="1340" w:type="dxa"/>
            <w:vAlign w:val="bottom"/>
            <w:shd w:val="clear" w:color="auto" w:fill="D8D8D8"/>
          </w:tcPr>
          <w:p>
            <w:pPr>
              <w:jc w:val="right"/>
              <w:ind w:right="364"/>
              <w:spacing w:after="0"/>
              <w:rPr>
                <w:sz w:val="20"/>
                <w:szCs w:val="20"/>
                <w:color w:val="auto"/>
              </w:rPr>
            </w:pPr>
            <w:r>
              <w:rPr>
                <w:rFonts w:ascii="Arial" w:cs="Arial" w:eastAsia="Arial" w:hAnsi="Arial"/>
                <w:sz w:val="11"/>
                <w:szCs w:val="11"/>
                <w:color w:val="auto"/>
              </w:rPr>
              <w:t>14,420</w:t>
            </w:r>
          </w:p>
        </w:tc>
        <w:tc>
          <w:tcPr>
            <w:tcW w:w="1000" w:type="dxa"/>
            <w:vAlign w:val="bottom"/>
            <w:shd w:val="clear" w:color="auto" w:fill="D8D8D8"/>
          </w:tcPr>
          <w:p>
            <w:pPr>
              <w:ind w:left="440"/>
              <w:spacing w:after="0"/>
              <w:rPr>
                <w:sz w:val="20"/>
                <w:szCs w:val="20"/>
                <w:color w:val="auto"/>
              </w:rPr>
            </w:pPr>
            <w:r>
              <w:rPr>
                <w:rFonts w:ascii="Arial" w:cs="Arial" w:eastAsia="Arial" w:hAnsi="Arial"/>
                <w:sz w:val="11"/>
                <w:szCs w:val="11"/>
                <w:color w:val="auto"/>
              </w:rPr>
              <w:t>16,923</w:t>
            </w:r>
          </w:p>
        </w:tc>
        <w:tc>
          <w:tcPr>
            <w:tcW w:w="1700" w:type="dxa"/>
            <w:vAlign w:val="bottom"/>
            <w:shd w:val="clear" w:color="auto" w:fill="D8D8D8"/>
          </w:tcPr>
          <w:p>
            <w:pPr>
              <w:jc w:val="right"/>
              <w:ind w:right="404"/>
              <w:spacing w:after="0"/>
              <w:rPr>
                <w:sz w:val="20"/>
                <w:szCs w:val="20"/>
                <w:color w:val="auto"/>
              </w:rPr>
            </w:pPr>
            <w:r>
              <w:rPr>
                <w:rFonts w:ascii="Arial" w:cs="Arial" w:eastAsia="Arial" w:hAnsi="Arial"/>
                <w:sz w:val="11"/>
                <w:szCs w:val="11"/>
                <w:color w:val="auto"/>
              </w:rPr>
              <w:t>46,387</w:t>
            </w:r>
          </w:p>
        </w:tc>
      </w:tr>
      <w:tr>
        <w:trPr>
          <w:trHeight w:val="123"/>
        </w:trPr>
        <w:tc>
          <w:tcPr>
            <w:tcW w:w="3540" w:type="dxa"/>
            <w:vAlign w:val="bottom"/>
          </w:tcPr>
          <w:p>
            <w:pPr>
              <w:spacing w:after="0" w:line="123" w:lineRule="exact"/>
              <w:rPr>
                <w:sz w:val="20"/>
                <w:szCs w:val="20"/>
                <w:color w:val="auto"/>
              </w:rPr>
            </w:pPr>
            <w:r>
              <w:rPr>
                <w:rFonts w:ascii="Arial" w:cs="Arial" w:eastAsia="Arial" w:hAnsi="Arial"/>
                <w:sz w:val="11"/>
                <w:szCs w:val="11"/>
                <w:color w:val="auto"/>
              </w:rPr>
              <w:t>Mr. De Shon</w:t>
            </w:r>
          </w:p>
        </w:tc>
        <w:tc>
          <w:tcPr>
            <w:tcW w:w="2640" w:type="dxa"/>
            <w:vAlign w:val="bottom"/>
          </w:tcPr>
          <w:p>
            <w:pPr>
              <w:jc w:val="right"/>
              <w:ind w:right="244"/>
              <w:spacing w:after="0" w:line="123" w:lineRule="exact"/>
              <w:rPr>
                <w:sz w:val="20"/>
                <w:szCs w:val="20"/>
                <w:color w:val="auto"/>
              </w:rPr>
            </w:pPr>
            <w:r>
              <w:rPr>
                <w:rFonts w:ascii="Arial" w:cs="Arial" w:eastAsia="Arial" w:hAnsi="Arial"/>
                <w:sz w:val="11"/>
                <w:szCs w:val="11"/>
                <w:color w:val="auto"/>
              </w:rPr>
              <w:t>2013</w:t>
            </w:r>
          </w:p>
        </w:tc>
        <w:tc>
          <w:tcPr>
            <w:tcW w:w="1220" w:type="dxa"/>
            <w:vAlign w:val="bottom"/>
          </w:tcPr>
          <w:p>
            <w:pPr>
              <w:jc w:val="right"/>
              <w:ind w:right="344"/>
              <w:spacing w:after="0" w:line="123" w:lineRule="exact"/>
              <w:rPr>
                <w:sz w:val="20"/>
                <w:szCs w:val="20"/>
                <w:color w:val="auto"/>
              </w:rPr>
            </w:pPr>
            <w:r>
              <w:rPr>
                <w:rFonts w:ascii="Arial" w:cs="Arial" w:eastAsia="Arial" w:hAnsi="Arial"/>
                <w:sz w:val="11"/>
                <w:szCs w:val="11"/>
                <w:color w:val="auto"/>
              </w:rPr>
              <w:t>0</w:t>
            </w:r>
          </w:p>
        </w:tc>
        <w:tc>
          <w:tcPr>
            <w:tcW w:w="1340" w:type="dxa"/>
            <w:vAlign w:val="bottom"/>
          </w:tcPr>
          <w:p>
            <w:pPr>
              <w:jc w:val="right"/>
              <w:ind w:right="364"/>
              <w:spacing w:after="0" w:line="123" w:lineRule="exact"/>
              <w:rPr>
                <w:sz w:val="20"/>
                <w:szCs w:val="20"/>
                <w:color w:val="auto"/>
              </w:rPr>
            </w:pPr>
            <w:r>
              <w:rPr>
                <w:rFonts w:ascii="Arial" w:cs="Arial" w:eastAsia="Arial" w:hAnsi="Arial"/>
                <w:sz w:val="11"/>
                <w:szCs w:val="11"/>
                <w:color w:val="auto"/>
              </w:rPr>
              <w:t>11,254</w:t>
            </w:r>
          </w:p>
        </w:tc>
        <w:tc>
          <w:tcPr>
            <w:tcW w:w="1000" w:type="dxa"/>
            <w:vAlign w:val="bottom"/>
          </w:tcPr>
          <w:p>
            <w:pPr>
              <w:ind w:left="440"/>
              <w:spacing w:after="0" w:line="123" w:lineRule="exact"/>
              <w:rPr>
                <w:sz w:val="20"/>
                <w:szCs w:val="20"/>
                <w:color w:val="auto"/>
              </w:rPr>
            </w:pPr>
            <w:r>
              <w:rPr>
                <w:rFonts w:ascii="Arial" w:cs="Arial" w:eastAsia="Arial" w:hAnsi="Arial"/>
                <w:sz w:val="11"/>
                <w:szCs w:val="11"/>
                <w:color w:val="auto"/>
              </w:rPr>
              <w:t>21,823</w:t>
            </w:r>
          </w:p>
        </w:tc>
        <w:tc>
          <w:tcPr>
            <w:tcW w:w="1700" w:type="dxa"/>
            <w:vAlign w:val="bottom"/>
          </w:tcPr>
          <w:p>
            <w:pPr>
              <w:jc w:val="right"/>
              <w:ind w:right="404"/>
              <w:spacing w:after="0" w:line="123" w:lineRule="exact"/>
              <w:rPr>
                <w:sz w:val="20"/>
                <w:szCs w:val="20"/>
                <w:color w:val="auto"/>
              </w:rPr>
            </w:pPr>
            <w:r>
              <w:rPr>
                <w:rFonts w:ascii="Arial" w:cs="Arial" w:eastAsia="Arial" w:hAnsi="Arial"/>
                <w:sz w:val="11"/>
                <w:szCs w:val="11"/>
                <w:color w:val="auto"/>
              </w:rPr>
              <w:t>36,327</w:t>
            </w:r>
          </w:p>
        </w:tc>
      </w:tr>
      <w:tr>
        <w:trPr>
          <w:trHeight w:val="124"/>
        </w:trPr>
        <w:tc>
          <w:tcPr>
            <w:tcW w:w="3540" w:type="dxa"/>
            <w:vAlign w:val="bottom"/>
          </w:tcPr>
          <w:p>
            <w:pPr>
              <w:spacing w:after="0"/>
              <w:rPr>
                <w:sz w:val="10"/>
                <w:szCs w:val="10"/>
                <w:color w:val="auto"/>
              </w:rPr>
            </w:pPr>
          </w:p>
        </w:tc>
        <w:tc>
          <w:tcPr>
            <w:tcW w:w="2640" w:type="dxa"/>
            <w:vAlign w:val="bottom"/>
          </w:tcPr>
          <w:p>
            <w:pPr>
              <w:jc w:val="right"/>
              <w:ind w:right="244"/>
              <w:spacing w:after="0" w:line="124" w:lineRule="exact"/>
              <w:rPr>
                <w:sz w:val="20"/>
                <w:szCs w:val="20"/>
                <w:color w:val="auto"/>
              </w:rPr>
            </w:pPr>
            <w:r>
              <w:rPr>
                <w:rFonts w:ascii="Arial" w:cs="Arial" w:eastAsia="Arial" w:hAnsi="Arial"/>
                <w:sz w:val="11"/>
                <w:szCs w:val="11"/>
                <w:color w:val="auto"/>
              </w:rPr>
              <w:t>2012</w:t>
            </w:r>
          </w:p>
        </w:tc>
        <w:tc>
          <w:tcPr>
            <w:tcW w:w="1220" w:type="dxa"/>
            <w:vAlign w:val="bottom"/>
          </w:tcPr>
          <w:p>
            <w:pPr>
              <w:jc w:val="right"/>
              <w:ind w:right="344"/>
              <w:spacing w:after="0" w:line="124" w:lineRule="exact"/>
              <w:rPr>
                <w:sz w:val="20"/>
                <w:szCs w:val="20"/>
                <w:color w:val="auto"/>
              </w:rPr>
            </w:pPr>
            <w:r>
              <w:rPr>
                <w:rFonts w:ascii="Arial" w:cs="Arial" w:eastAsia="Arial" w:hAnsi="Arial"/>
                <w:sz w:val="11"/>
                <w:szCs w:val="11"/>
                <w:color w:val="auto"/>
              </w:rPr>
              <w:t>0</w:t>
            </w:r>
          </w:p>
        </w:tc>
        <w:tc>
          <w:tcPr>
            <w:tcW w:w="1340" w:type="dxa"/>
            <w:vAlign w:val="bottom"/>
          </w:tcPr>
          <w:p>
            <w:pPr>
              <w:jc w:val="right"/>
              <w:ind w:right="364"/>
              <w:spacing w:after="0" w:line="124" w:lineRule="exact"/>
              <w:rPr>
                <w:sz w:val="20"/>
                <w:szCs w:val="20"/>
                <w:color w:val="auto"/>
              </w:rPr>
            </w:pPr>
            <w:r>
              <w:rPr>
                <w:rFonts w:ascii="Arial" w:cs="Arial" w:eastAsia="Arial" w:hAnsi="Arial"/>
                <w:sz w:val="11"/>
                <w:szCs w:val="11"/>
                <w:color w:val="auto"/>
              </w:rPr>
              <w:t>10,855</w:t>
            </w:r>
          </w:p>
        </w:tc>
        <w:tc>
          <w:tcPr>
            <w:tcW w:w="1000" w:type="dxa"/>
            <w:vAlign w:val="bottom"/>
          </w:tcPr>
          <w:p>
            <w:pPr>
              <w:ind w:left="440"/>
              <w:spacing w:after="0" w:line="124" w:lineRule="exact"/>
              <w:rPr>
                <w:sz w:val="20"/>
                <w:szCs w:val="20"/>
                <w:color w:val="auto"/>
              </w:rPr>
            </w:pPr>
            <w:r>
              <w:rPr>
                <w:rFonts w:ascii="Arial" w:cs="Arial" w:eastAsia="Arial" w:hAnsi="Arial"/>
                <w:sz w:val="11"/>
                <w:szCs w:val="11"/>
                <w:color w:val="auto"/>
              </w:rPr>
              <w:t>27,352</w:t>
            </w:r>
          </w:p>
        </w:tc>
        <w:tc>
          <w:tcPr>
            <w:tcW w:w="1700" w:type="dxa"/>
            <w:vAlign w:val="bottom"/>
          </w:tcPr>
          <w:p>
            <w:pPr>
              <w:jc w:val="right"/>
              <w:ind w:right="404"/>
              <w:spacing w:after="0" w:line="124" w:lineRule="exact"/>
              <w:rPr>
                <w:sz w:val="20"/>
                <w:szCs w:val="20"/>
                <w:color w:val="auto"/>
              </w:rPr>
            </w:pPr>
            <w:r>
              <w:rPr>
                <w:rFonts w:ascii="Arial" w:cs="Arial" w:eastAsia="Arial" w:hAnsi="Arial"/>
                <w:sz w:val="11"/>
                <w:szCs w:val="11"/>
                <w:color w:val="auto"/>
              </w:rPr>
              <w:t>41,332</w:t>
            </w:r>
          </w:p>
        </w:tc>
      </w:tr>
      <w:tr>
        <w:trPr>
          <w:trHeight w:val="134"/>
        </w:trPr>
        <w:tc>
          <w:tcPr>
            <w:tcW w:w="3540" w:type="dxa"/>
            <w:vAlign w:val="bottom"/>
          </w:tcPr>
          <w:p>
            <w:pPr>
              <w:spacing w:after="0"/>
              <w:rPr>
                <w:sz w:val="11"/>
                <w:szCs w:val="11"/>
                <w:color w:val="auto"/>
              </w:rPr>
            </w:pPr>
          </w:p>
        </w:tc>
        <w:tc>
          <w:tcPr>
            <w:tcW w:w="2640" w:type="dxa"/>
            <w:vAlign w:val="bottom"/>
          </w:tcPr>
          <w:p>
            <w:pPr>
              <w:jc w:val="right"/>
              <w:ind w:right="244"/>
              <w:spacing w:after="0"/>
              <w:rPr>
                <w:sz w:val="20"/>
                <w:szCs w:val="20"/>
                <w:color w:val="auto"/>
              </w:rPr>
            </w:pPr>
            <w:r>
              <w:rPr>
                <w:rFonts w:ascii="Arial" w:cs="Arial" w:eastAsia="Arial" w:hAnsi="Arial"/>
                <w:sz w:val="11"/>
                <w:szCs w:val="11"/>
                <w:color w:val="auto"/>
              </w:rPr>
              <w:t>2011</w:t>
            </w:r>
          </w:p>
        </w:tc>
        <w:tc>
          <w:tcPr>
            <w:tcW w:w="1220" w:type="dxa"/>
            <w:vAlign w:val="bottom"/>
          </w:tcPr>
          <w:p>
            <w:pPr>
              <w:jc w:val="right"/>
              <w:ind w:right="344"/>
              <w:spacing w:after="0"/>
              <w:rPr>
                <w:sz w:val="20"/>
                <w:szCs w:val="20"/>
                <w:color w:val="auto"/>
              </w:rPr>
            </w:pPr>
            <w:r>
              <w:rPr>
                <w:rFonts w:ascii="Arial" w:cs="Arial" w:eastAsia="Arial" w:hAnsi="Arial"/>
                <w:sz w:val="11"/>
                <w:szCs w:val="11"/>
                <w:color w:val="auto"/>
              </w:rPr>
              <w:t>0</w:t>
            </w:r>
          </w:p>
        </w:tc>
        <w:tc>
          <w:tcPr>
            <w:tcW w:w="1340" w:type="dxa"/>
            <w:vAlign w:val="bottom"/>
          </w:tcPr>
          <w:p>
            <w:pPr>
              <w:jc w:val="right"/>
              <w:ind w:right="364"/>
              <w:spacing w:after="0"/>
              <w:rPr>
                <w:sz w:val="20"/>
                <w:szCs w:val="20"/>
                <w:color w:val="auto"/>
              </w:rPr>
            </w:pPr>
            <w:r>
              <w:rPr>
                <w:rFonts w:ascii="Arial" w:cs="Arial" w:eastAsia="Arial" w:hAnsi="Arial"/>
                <w:sz w:val="11"/>
                <w:szCs w:val="11"/>
                <w:color w:val="auto"/>
              </w:rPr>
              <w:t>11,645</w:t>
            </w:r>
          </w:p>
        </w:tc>
        <w:tc>
          <w:tcPr>
            <w:tcW w:w="1000" w:type="dxa"/>
            <w:vAlign w:val="bottom"/>
          </w:tcPr>
          <w:p>
            <w:pPr>
              <w:ind w:left="440"/>
              <w:spacing w:after="0"/>
              <w:rPr>
                <w:sz w:val="20"/>
                <w:szCs w:val="20"/>
                <w:color w:val="auto"/>
              </w:rPr>
            </w:pPr>
            <w:r>
              <w:rPr>
                <w:rFonts w:ascii="Arial" w:cs="Arial" w:eastAsia="Arial" w:hAnsi="Arial"/>
                <w:sz w:val="11"/>
                <w:szCs w:val="11"/>
                <w:color w:val="auto"/>
              </w:rPr>
              <w:t>14,750</w:t>
            </w:r>
          </w:p>
        </w:tc>
        <w:tc>
          <w:tcPr>
            <w:tcW w:w="1700" w:type="dxa"/>
            <w:vAlign w:val="bottom"/>
          </w:tcPr>
          <w:p>
            <w:pPr>
              <w:jc w:val="right"/>
              <w:ind w:right="404"/>
              <w:spacing w:after="0"/>
              <w:rPr>
                <w:sz w:val="20"/>
                <w:szCs w:val="20"/>
                <w:color w:val="auto"/>
              </w:rPr>
            </w:pPr>
            <w:r>
              <w:rPr>
                <w:rFonts w:ascii="Arial" w:cs="Arial" w:eastAsia="Arial" w:hAnsi="Arial"/>
                <w:sz w:val="11"/>
                <w:szCs w:val="11"/>
                <w:color w:val="auto"/>
              </w:rPr>
              <w:t>29,320</w:t>
            </w:r>
          </w:p>
        </w:tc>
      </w:tr>
      <w:tr>
        <w:trPr>
          <w:trHeight w:val="125"/>
        </w:trPr>
        <w:tc>
          <w:tcPr>
            <w:tcW w:w="3540" w:type="dxa"/>
            <w:vAlign w:val="bottom"/>
            <w:shd w:val="clear" w:color="auto" w:fill="D8D8D8"/>
          </w:tcPr>
          <w:p>
            <w:pPr>
              <w:spacing w:after="0" w:line="125" w:lineRule="exact"/>
              <w:rPr>
                <w:sz w:val="20"/>
                <w:szCs w:val="20"/>
                <w:color w:val="auto"/>
              </w:rPr>
            </w:pPr>
            <w:r>
              <w:rPr>
                <w:rFonts w:ascii="Arial" w:cs="Arial" w:eastAsia="Arial" w:hAnsi="Arial"/>
                <w:sz w:val="11"/>
                <w:szCs w:val="11"/>
                <w:color w:val="auto"/>
              </w:rPr>
              <w:t>Mr. Siniscalchi</w:t>
            </w:r>
          </w:p>
        </w:tc>
        <w:tc>
          <w:tcPr>
            <w:tcW w:w="2640" w:type="dxa"/>
            <w:vAlign w:val="bottom"/>
            <w:shd w:val="clear" w:color="auto" w:fill="D8D8D8"/>
          </w:tcPr>
          <w:p>
            <w:pPr>
              <w:jc w:val="right"/>
              <w:ind w:right="244"/>
              <w:spacing w:after="0" w:line="125" w:lineRule="exact"/>
              <w:rPr>
                <w:sz w:val="20"/>
                <w:szCs w:val="20"/>
                <w:color w:val="auto"/>
              </w:rPr>
            </w:pPr>
            <w:r>
              <w:rPr>
                <w:rFonts w:ascii="Arial" w:cs="Arial" w:eastAsia="Arial" w:hAnsi="Arial"/>
                <w:sz w:val="11"/>
                <w:szCs w:val="11"/>
                <w:color w:val="auto"/>
              </w:rPr>
              <w:t>2013</w:t>
            </w:r>
          </w:p>
        </w:tc>
        <w:tc>
          <w:tcPr>
            <w:tcW w:w="1220" w:type="dxa"/>
            <w:vAlign w:val="bottom"/>
            <w:shd w:val="clear" w:color="auto" w:fill="D8D8D8"/>
          </w:tcPr>
          <w:p>
            <w:pPr>
              <w:jc w:val="right"/>
              <w:ind w:right="344"/>
              <w:spacing w:after="0" w:line="125" w:lineRule="exact"/>
              <w:rPr>
                <w:sz w:val="20"/>
                <w:szCs w:val="20"/>
                <w:color w:val="auto"/>
              </w:rPr>
            </w:pPr>
            <w:r>
              <w:rPr>
                <w:rFonts w:ascii="Arial" w:cs="Arial" w:eastAsia="Arial" w:hAnsi="Arial"/>
                <w:sz w:val="11"/>
                <w:szCs w:val="11"/>
                <w:color w:val="auto"/>
              </w:rPr>
              <w:t>0</w:t>
            </w:r>
          </w:p>
        </w:tc>
        <w:tc>
          <w:tcPr>
            <w:tcW w:w="1340" w:type="dxa"/>
            <w:vAlign w:val="bottom"/>
            <w:shd w:val="clear" w:color="auto" w:fill="D8D8D8"/>
          </w:tcPr>
          <w:p>
            <w:pPr>
              <w:jc w:val="right"/>
              <w:ind w:right="364"/>
              <w:spacing w:after="0" w:line="125" w:lineRule="exact"/>
              <w:rPr>
                <w:sz w:val="20"/>
                <w:szCs w:val="20"/>
                <w:color w:val="auto"/>
              </w:rPr>
            </w:pPr>
            <w:r>
              <w:rPr>
                <w:rFonts w:ascii="Arial" w:cs="Arial" w:eastAsia="Arial" w:hAnsi="Arial"/>
                <w:sz w:val="11"/>
                <w:szCs w:val="11"/>
                <w:color w:val="auto"/>
              </w:rPr>
              <w:t>12,414</w:t>
            </w:r>
          </w:p>
        </w:tc>
        <w:tc>
          <w:tcPr>
            <w:tcW w:w="1000" w:type="dxa"/>
            <w:vAlign w:val="bottom"/>
            <w:shd w:val="clear" w:color="auto" w:fill="D8D8D8"/>
          </w:tcPr>
          <w:p>
            <w:pPr>
              <w:ind w:left="440"/>
              <w:spacing w:after="0" w:line="125" w:lineRule="exact"/>
              <w:rPr>
                <w:sz w:val="20"/>
                <w:szCs w:val="20"/>
                <w:color w:val="auto"/>
              </w:rPr>
            </w:pPr>
            <w:r>
              <w:rPr>
                <w:rFonts w:ascii="Arial" w:cs="Arial" w:eastAsia="Arial" w:hAnsi="Arial"/>
                <w:sz w:val="11"/>
                <w:szCs w:val="11"/>
                <w:color w:val="auto"/>
              </w:rPr>
              <w:t>11,250</w:t>
            </w:r>
          </w:p>
        </w:tc>
        <w:tc>
          <w:tcPr>
            <w:tcW w:w="1700" w:type="dxa"/>
            <w:vAlign w:val="bottom"/>
            <w:shd w:val="clear" w:color="auto" w:fill="D8D8D8"/>
          </w:tcPr>
          <w:p>
            <w:pPr>
              <w:jc w:val="right"/>
              <w:ind w:right="404"/>
              <w:spacing w:after="0" w:line="125" w:lineRule="exact"/>
              <w:rPr>
                <w:sz w:val="20"/>
                <w:szCs w:val="20"/>
                <w:color w:val="auto"/>
              </w:rPr>
            </w:pPr>
            <w:r>
              <w:rPr>
                <w:rFonts w:ascii="Arial" w:cs="Arial" w:eastAsia="Arial" w:hAnsi="Arial"/>
                <w:sz w:val="11"/>
                <w:szCs w:val="11"/>
                <w:color w:val="auto"/>
              </w:rPr>
              <w:t>28,959</w:t>
            </w:r>
          </w:p>
        </w:tc>
      </w:tr>
      <w:tr>
        <w:trPr>
          <w:trHeight w:val="136"/>
        </w:trPr>
        <w:tc>
          <w:tcPr>
            <w:tcW w:w="3540" w:type="dxa"/>
            <w:vAlign w:val="bottom"/>
            <w:shd w:val="clear" w:color="auto" w:fill="D8D8D8"/>
          </w:tcPr>
          <w:p>
            <w:pPr>
              <w:spacing w:after="0"/>
              <w:rPr>
                <w:sz w:val="11"/>
                <w:szCs w:val="11"/>
                <w:color w:val="auto"/>
              </w:rPr>
            </w:pPr>
          </w:p>
        </w:tc>
        <w:tc>
          <w:tcPr>
            <w:tcW w:w="2640" w:type="dxa"/>
            <w:vAlign w:val="bottom"/>
            <w:shd w:val="clear" w:color="auto" w:fill="D8D8D8"/>
          </w:tcPr>
          <w:p>
            <w:pPr>
              <w:jc w:val="right"/>
              <w:ind w:right="244"/>
              <w:spacing w:after="0"/>
              <w:rPr>
                <w:sz w:val="20"/>
                <w:szCs w:val="20"/>
                <w:color w:val="auto"/>
              </w:rPr>
            </w:pPr>
            <w:r>
              <w:rPr>
                <w:rFonts w:ascii="Arial" w:cs="Arial" w:eastAsia="Arial" w:hAnsi="Arial"/>
                <w:sz w:val="11"/>
                <w:szCs w:val="11"/>
                <w:color w:val="auto"/>
              </w:rPr>
              <w:t>2012</w:t>
            </w:r>
          </w:p>
        </w:tc>
        <w:tc>
          <w:tcPr>
            <w:tcW w:w="1220" w:type="dxa"/>
            <w:vAlign w:val="bottom"/>
            <w:shd w:val="clear" w:color="auto" w:fill="D8D8D8"/>
          </w:tcPr>
          <w:p>
            <w:pPr>
              <w:jc w:val="right"/>
              <w:ind w:right="344"/>
              <w:spacing w:after="0"/>
              <w:rPr>
                <w:sz w:val="20"/>
                <w:szCs w:val="20"/>
                <w:color w:val="auto"/>
              </w:rPr>
            </w:pPr>
            <w:r>
              <w:rPr>
                <w:rFonts w:ascii="Arial" w:cs="Arial" w:eastAsia="Arial" w:hAnsi="Arial"/>
                <w:sz w:val="11"/>
                <w:szCs w:val="11"/>
                <w:color w:val="auto"/>
              </w:rPr>
              <w:t>0</w:t>
            </w:r>
          </w:p>
        </w:tc>
        <w:tc>
          <w:tcPr>
            <w:tcW w:w="1340" w:type="dxa"/>
            <w:vAlign w:val="bottom"/>
            <w:shd w:val="clear" w:color="auto" w:fill="D8D8D8"/>
          </w:tcPr>
          <w:p>
            <w:pPr>
              <w:jc w:val="right"/>
              <w:ind w:right="364"/>
              <w:spacing w:after="0"/>
              <w:rPr>
                <w:sz w:val="20"/>
                <w:szCs w:val="20"/>
                <w:color w:val="auto"/>
              </w:rPr>
            </w:pPr>
            <w:r>
              <w:rPr>
                <w:rFonts w:ascii="Arial" w:cs="Arial" w:eastAsia="Arial" w:hAnsi="Arial"/>
                <w:sz w:val="11"/>
                <w:szCs w:val="11"/>
                <w:color w:val="auto"/>
              </w:rPr>
              <w:t>11,970</w:t>
            </w:r>
          </w:p>
        </w:tc>
        <w:tc>
          <w:tcPr>
            <w:tcW w:w="1000" w:type="dxa"/>
            <w:vAlign w:val="bottom"/>
            <w:shd w:val="clear" w:color="auto" w:fill="D8D8D8"/>
          </w:tcPr>
          <w:p>
            <w:pPr>
              <w:ind w:left="440"/>
              <w:spacing w:after="0"/>
              <w:rPr>
                <w:sz w:val="20"/>
                <w:szCs w:val="20"/>
                <w:color w:val="auto"/>
              </w:rPr>
            </w:pPr>
            <w:r>
              <w:rPr>
                <w:rFonts w:ascii="Arial" w:cs="Arial" w:eastAsia="Arial" w:hAnsi="Arial"/>
                <w:sz w:val="11"/>
                <w:szCs w:val="11"/>
                <w:color w:val="auto"/>
              </w:rPr>
              <w:t>11,250</w:t>
            </w:r>
          </w:p>
        </w:tc>
        <w:tc>
          <w:tcPr>
            <w:tcW w:w="1700" w:type="dxa"/>
            <w:vAlign w:val="bottom"/>
            <w:shd w:val="clear" w:color="auto" w:fill="D8D8D8"/>
          </w:tcPr>
          <w:p>
            <w:pPr>
              <w:jc w:val="right"/>
              <w:ind w:right="404"/>
              <w:spacing w:after="0"/>
              <w:rPr>
                <w:sz w:val="20"/>
                <w:szCs w:val="20"/>
                <w:color w:val="auto"/>
              </w:rPr>
            </w:pPr>
            <w:r>
              <w:rPr>
                <w:rFonts w:ascii="Arial" w:cs="Arial" w:eastAsia="Arial" w:hAnsi="Arial"/>
                <w:sz w:val="11"/>
                <w:szCs w:val="11"/>
                <w:color w:val="auto"/>
              </w:rPr>
              <w:t>27,920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right="20" w:hanging="330"/>
        <w:spacing w:after="0" w:line="234" w:lineRule="auto"/>
        <w:tabs>
          <w:tab w:leader="none" w:pos="330" w:val="left"/>
        </w:tabs>
        <w:numPr>
          <w:ilvl w:val="0"/>
          <w:numId w:val="56"/>
        </w:numPr>
        <w:rPr>
          <w:rFonts w:ascii="Arial" w:cs="Arial" w:eastAsia="Arial" w:hAnsi="Arial"/>
          <w:sz w:val="11"/>
          <w:szCs w:val="11"/>
          <w:color w:val="auto"/>
        </w:rPr>
      </w:pPr>
      <w:r>
        <w:rPr>
          <w:rFonts w:ascii="Arial" w:cs="Arial" w:eastAsia="Arial" w:hAnsi="Arial"/>
          <w:sz w:val="11"/>
          <w:szCs w:val="11"/>
          <w:color w:val="auto"/>
        </w:rPr>
        <w:t>Under the Company Aircraft Policy in effect as of December 31, 2011, our CEO has reasonable non-business access to leased jet services, subject to prevailing market practices. Our other NEOs may also use the leased jet services for personal use, at the discretion of our CEO.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international fees for travel outside the U.S., and a 7.5% Federal excise tax (only applicable through March 2012).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2" w:lineRule="exact"/>
        <w:rPr>
          <w:rFonts w:ascii="Arial" w:cs="Arial" w:eastAsia="Arial" w:hAnsi="Arial"/>
          <w:sz w:val="11"/>
          <w:szCs w:val="11"/>
          <w:color w:val="auto"/>
        </w:rPr>
      </w:pPr>
    </w:p>
    <w:p>
      <w:pPr>
        <w:ind w:left="330" w:right="20" w:hanging="330"/>
        <w:spacing w:after="0" w:line="234" w:lineRule="auto"/>
        <w:tabs>
          <w:tab w:leader="none" w:pos="330" w:val="left"/>
        </w:tabs>
        <w:numPr>
          <w:ilvl w:val="0"/>
          <w:numId w:val="56"/>
        </w:numPr>
        <w:rPr>
          <w:rFonts w:ascii="Arial" w:cs="Arial" w:eastAsia="Arial" w:hAnsi="Arial"/>
          <w:sz w:val="11"/>
          <w:szCs w:val="11"/>
          <w:color w:val="auto"/>
        </w:rPr>
      </w:pPr>
      <w:r>
        <w:rPr>
          <w:rFonts w:ascii="Arial" w:cs="Arial" w:eastAsia="Arial" w:hAnsi="Arial"/>
          <w:sz w:val="11"/>
          <w:szCs w:val="11"/>
          <w:color w:val="auto"/>
        </w:rPr>
        <w:t>For Mr. Nelson, represents reimbursement for financial services provided by an approved outside vendor up to a maximum of $12,000. For the other NEOs, represents actual costs we incurred for financial services, including tax return preparation, financial planning and estate planning. Amounts also include Company-paid premiums in connection with a group excess liability umbrella insurance policy, which for 2013 were $2,019 for Mr. Nelson and $1,009 for our other NEOs.</w:t>
      </w:r>
    </w:p>
    <w:p>
      <w:pPr>
        <w:spacing w:after="0" w:line="1" w:lineRule="exact"/>
        <w:rPr>
          <w:rFonts w:ascii="Arial" w:cs="Arial" w:eastAsia="Arial" w:hAnsi="Arial"/>
          <w:sz w:val="11"/>
          <w:szCs w:val="11"/>
          <w:color w:val="auto"/>
        </w:rPr>
      </w:pPr>
    </w:p>
    <w:p>
      <w:pPr>
        <w:ind w:left="330" w:right="140" w:hanging="330"/>
        <w:spacing w:after="0" w:line="234" w:lineRule="auto"/>
        <w:tabs>
          <w:tab w:leader="none" w:pos="33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the annual lease value of a Company-provided car, or annual car allowance. All of our NEOs participate in the Company’s employee auto insurance program and employee car lease program; however, no amounts are included for these programs as the Company does not incur any incremental cost associated with these programs. For Mr. De Shon, 2013 amount represents the value for personal use of taxi or car service in lieu of a Company-provided car and reflects a 12-month average £/$ exchange rate.</w:t>
      </w:r>
    </w:p>
    <w:p>
      <w:pPr>
        <w:spacing w:after="0" w:line="1" w:lineRule="exact"/>
        <w:rPr>
          <w:rFonts w:ascii="Arial" w:cs="Arial" w:eastAsia="Arial" w:hAnsi="Arial"/>
          <w:sz w:val="11"/>
          <w:szCs w:val="11"/>
          <w:color w:val="auto"/>
        </w:rPr>
      </w:pPr>
    </w:p>
    <w:p>
      <w:pPr>
        <w:jc w:val="both"/>
        <w:ind w:left="330" w:hanging="330"/>
        <w:spacing w:after="0" w:line="234" w:lineRule="auto"/>
        <w:tabs>
          <w:tab w:leader="none" w:pos="330" w:val="left"/>
        </w:tabs>
        <w:numPr>
          <w:ilvl w:val="0"/>
          <w:numId w:val="56"/>
        </w:numPr>
        <w:rPr>
          <w:rFonts w:ascii="Arial" w:cs="Arial" w:eastAsia="Arial" w:hAnsi="Arial"/>
          <w:sz w:val="11"/>
          <w:szCs w:val="11"/>
          <w:color w:val="auto"/>
        </w:rPr>
      </w:pPr>
      <w:r>
        <w:rPr>
          <w:rFonts w:ascii="Arial" w:cs="Arial" w:eastAsia="Arial" w:hAnsi="Arial"/>
          <w:sz w:val="11"/>
          <w:szCs w:val="11"/>
          <w:color w:val="auto"/>
        </w:rPr>
        <w:t>For Mr. Nelson, includes: (i) annual dues paid by the Company for a corporate private club membership used primarily for Company-sponsored meetings; however, no amounts are included for occasional personal use of this membership by Mr. Nelson as the Company does not incur any incremental cost associated with any such personal use; and (ii) discretionary matching contributions made by The Avis Budget Group Charitable Foundation of $5,000.</w:t>
      </w:r>
    </w:p>
    <w:p>
      <w:pPr>
        <w:spacing w:after="0" w:line="1" w:lineRule="exact"/>
        <w:rPr>
          <w:rFonts w:ascii="Arial" w:cs="Arial" w:eastAsia="Arial" w:hAnsi="Arial"/>
          <w:sz w:val="11"/>
          <w:szCs w:val="11"/>
          <w:color w:val="auto"/>
        </w:rPr>
      </w:pPr>
    </w:p>
    <w:p>
      <w:pPr>
        <w:ind w:left="330" w:hanging="330"/>
        <w:spacing w:after="0"/>
        <w:tabs>
          <w:tab w:leader="none" w:pos="33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Amounts include payments for annual physical examinations (annual costs for any NEO did not exceed $5,295 for 2011, 2012 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77470</wp:posOffset>
            </wp:positionV>
            <wp:extent cx="950595" cy="14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9"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31</w:t>
            </w:r>
          </w:p>
        </w:tc>
      </w:tr>
    </w:tbl>
    <w:p>
      <w:pPr>
        <w:sectPr>
          <w:pgSz w:w="11900" w:h="16838" w:orient="portrait"/>
          <w:cols w:equalWidth="0" w:num="1">
            <w:col w:w="11450"/>
          </w:cols>
          <w:pgMar w:left="230" w:top="407" w:right="219" w:bottom="1440" w:gutter="0" w:footer="0" w:header="0"/>
        </w:sectPr>
      </w:pPr>
    </w:p>
    <w:bookmarkStart w:id="37" w:name="page38"/>
    <w:bookmarkEnd w:id="37"/>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Grants of Plan-Based Awards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All</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Other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Stock</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4"/>
            <w:vMerge w:val="restart"/>
          </w:tcPr>
          <w:p>
            <w:pPr>
              <w:jc w:val="center"/>
              <w:ind w:right="200"/>
              <w:spacing w:after="0"/>
              <w:rPr>
                <w:sz w:val="20"/>
                <w:szCs w:val="20"/>
                <w:color w:val="auto"/>
              </w:rPr>
            </w:pPr>
            <w:r>
              <w:rPr>
                <w:rFonts w:ascii="Arial" w:cs="Arial" w:eastAsia="Arial" w:hAnsi="Arial"/>
                <w:sz w:val="11"/>
                <w:szCs w:val="11"/>
                <w:b w:val="1"/>
                <w:bCs w:val="1"/>
                <w:color w:val="auto"/>
              </w:rPr>
              <w:t>Estimated Possible Payouts</w:t>
            </w:r>
          </w:p>
        </w:tc>
        <w:tc>
          <w:tcPr>
            <w:tcW w:w="194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rPr>
              <w:t>Estimated Future Payouts</w:t>
            </w:r>
          </w:p>
        </w:tc>
        <w:tc>
          <w:tcPr>
            <w:tcW w:w="5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Awards</w:t>
            </w:r>
          </w:p>
        </w:tc>
        <w:tc>
          <w:tcPr>
            <w:tcW w:w="7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All Other</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45"/>
        </w:trPr>
        <w:tc>
          <w:tcPr>
            <w:tcW w:w="3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gridSpan w:val="4"/>
            <w:vMerge w:val="continue"/>
          </w:tcPr>
          <w:p>
            <w:pPr>
              <w:spacing w:after="0"/>
              <w:rPr>
                <w:sz w:val="3"/>
                <w:szCs w:val="3"/>
                <w:color w:val="auto"/>
              </w:rPr>
            </w:pPr>
          </w:p>
        </w:tc>
        <w:tc>
          <w:tcPr>
            <w:tcW w:w="1940" w:type="dxa"/>
            <w:vAlign w:val="bottom"/>
            <w:gridSpan w:val="4"/>
            <w:vMerge w:val="continue"/>
          </w:tcPr>
          <w:p>
            <w:pPr>
              <w:spacing w:after="0"/>
              <w:rPr>
                <w:sz w:val="3"/>
                <w:szCs w:val="3"/>
                <w:color w:val="auto"/>
              </w:rPr>
            </w:pPr>
          </w:p>
        </w:tc>
        <w:tc>
          <w:tcPr>
            <w:tcW w:w="58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Number</w:t>
            </w:r>
          </w:p>
        </w:tc>
        <w:tc>
          <w:tcPr>
            <w:tcW w:w="76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Option</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right="80"/>
              <w:spacing w:after="0" w:line="124" w:lineRule="exact"/>
              <w:rPr>
                <w:sz w:val="20"/>
                <w:szCs w:val="20"/>
                <w:color w:val="auto"/>
              </w:rPr>
            </w:pPr>
            <w:r>
              <w:rPr>
                <w:rFonts w:ascii="Arial" w:cs="Arial" w:eastAsia="Arial" w:hAnsi="Arial"/>
                <w:sz w:val="11"/>
                <w:szCs w:val="11"/>
                <w:b w:val="1"/>
                <w:bCs w:val="1"/>
                <w:color w:val="auto"/>
              </w:rPr>
              <w:t>Date Fair</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gridSpan w:val="4"/>
            <w:vMerge w:val="restart"/>
          </w:tcPr>
          <w:p>
            <w:pPr>
              <w:jc w:val="center"/>
              <w:ind w:right="180"/>
              <w:spacing w:after="0" w:line="124" w:lineRule="exact"/>
              <w:rPr>
                <w:sz w:val="20"/>
                <w:szCs w:val="20"/>
                <w:color w:val="auto"/>
              </w:rPr>
            </w:pPr>
            <w:r>
              <w:rPr>
                <w:rFonts w:ascii="Arial" w:cs="Arial" w:eastAsia="Arial" w:hAnsi="Arial"/>
                <w:sz w:val="11"/>
                <w:szCs w:val="11"/>
                <w:b w:val="1"/>
                <w:bCs w:val="1"/>
                <w:color w:val="auto"/>
              </w:rPr>
              <w:t>Under Non-Equity Incentive</w:t>
            </w:r>
          </w:p>
        </w:tc>
        <w:tc>
          <w:tcPr>
            <w:tcW w:w="1940" w:type="dxa"/>
            <w:vAlign w:val="bottom"/>
            <w:gridSpan w:val="4"/>
            <w:vMerge w:val="restart"/>
          </w:tcPr>
          <w:p>
            <w:pPr>
              <w:jc w:val="center"/>
              <w:ind w:right="80"/>
              <w:spacing w:after="0" w:line="124" w:lineRule="exact"/>
              <w:rPr>
                <w:sz w:val="20"/>
                <w:szCs w:val="20"/>
                <w:color w:val="auto"/>
              </w:rPr>
            </w:pPr>
            <w:r>
              <w:rPr>
                <w:rFonts w:ascii="Arial" w:cs="Arial" w:eastAsia="Arial" w:hAnsi="Arial"/>
                <w:sz w:val="11"/>
                <w:szCs w:val="11"/>
                <w:b w:val="1"/>
                <w:bCs w:val="1"/>
                <w:color w:val="auto"/>
              </w:rPr>
              <w:t>Under Equity Incentive</w:t>
            </w:r>
          </w:p>
        </w:tc>
        <w:tc>
          <w:tcPr>
            <w:tcW w:w="5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gridSpan w:val="4"/>
            <w:vMerge w:val="continue"/>
          </w:tcPr>
          <w:p>
            <w:pPr>
              <w:spacing w:after="0"/>
              <w:rPr>
                <w:sz w:val="3"/>
                <w:szCs w:val="3"/>
                <w:color w:val="auto"/>
              </w:rPr>
            </w:pPr>
          </w:p>
        </w:tc>
        <w:tc>
          <w:tcPr>
            <w:tcW w:w="1940" w:type="dxa"/>
            <w:vAlign w:val="bottom"/>
            <w:gridSpan w:val="4"/>
            <w:vMerge w:val="continue"/>
          </w:tcPr>
          <w:p>
            <w:pPr>
              <w:spacing w:after="0"/>
              <w:rPr>
                <w:sz w:val="3"/>
                <w:szCs w:val="3"/>
                <w:color w:val="auto"/>
              </w:rPr>
            </w:pPr>
          </w:p>
        </w:tc>
        <w:tc>
          <w:tcPr>
            <w:tcW w:w="58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of</w:t>
            </w:r>
          </w:p>
        </w:tc>
        <w:tc>
          <w:tcPr>
            <w:tcW w:w="76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Awards</w:t>
            </w:r>
          </w:p>
        </w:tc>
        <w:tc>
          <w:tcPr>
            <w:tcW w:w="660" w:type="dxa"/>
            <w:vAlign w:val="bottom"/>
            <w:gridSpan w:val="2"/>
            <w:vMerge w:val="restart"/>
          </w:tcPr>
          <w:p>
            <w:pPr>
              <w:jc w:val="right"/>
              <w:ind w:right="80"/>
              <w:spacing w:after="0" w:line="124" w:lineRule="exact"/>
              <w:rPr>
                <w:sz w:val="20"/>
                <w:szCs w:val="20"/>
                <w:color w:val="auto"/>
              </w:rPr>
            </w:pPr>
            <w:r>
              <w:rPr>
                <w:rFonts w:ascii="Arial" w:cs="Arial" w:eastAsia="Arial" w:hAnsi="Arial"/>
                <w:sz w:val="11"/>
                <w:szCs w:val="11"/>
                <w:b w:val="1"/>
                <w:bCs w:val="1"/>
                <w:color w:val="auto"/>
              </w:rPr>
              <w:t>Exercise</w:t>
            </w:r>
          </w:p>
        </w:tc>
        <w:tc>
          <w:tcPr>
            <w:tcW w:w="680" w:type="dxa"/>
            <w:vAlign w:val="bottom"/>
            <w:gridSpan w:val="2"/>
            <w:vMerge w:val="restart"/>
          </w:tcPr>
          <w:p>
            <w:pPr>
              <w:jc w:val="center"/>
              <w:ind w:right="80"/>
              <w:spacing w:after="0" w:line="124"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Plan Awards</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Plan Awards</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Shares</w:t>
            </w:r>
          </w:p>
        </w:tc>
        <w:tc>
          <w:tcPr>
            <w:tcW w:w="76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b w:val="1"/>
                <w:bCs w:val="1"/>
                <w:color w:val="auto"/>
              </w:rPr>
              <w:t>or Base</w:t>
            </w:r>
          </w:p>
        </w:tc>
        <w:tc>
          <w:tcPr>
            <w:tcW w:w="680" w:type="dxa"/>
            <w:vAlign w:val="bottom"/>
            <w:gridSpan w:val="2"/>
            <w:vMerge w:val="restart"/>
          </w:tcPr>
          <w:p>
            <w:pPr>
              <w:jc w:val="center"/>
              <w:ind w:right="120"/>
              <w:spacing w:after="0" w:line="124" w:lineRule="exact"/>
              <w:rPr>
                <w:sz w:val="20"/>
                <w:szCs w:val="20"/>
                <w:color w:val="auto"/>
              </w:rPr>
            </w:pPr>
            <w:r>
              <w:rPr>
                <w:rFonts w:ascii="Arial" w:cs="Arial" w:eastAsia="Arial" w:hAnsi="Arial"/>
                <w:sz w:val="11"/>
                <w:szCs w:val="11"/>
                <w:b w:val="1"/>
                <w:bCs w:val="1"/>
                <w:color w:val="auto"/>
              </w:rPr>
              <w:t>Stock</w:t>
            </w:r>
          </w:p>
        </w:tc>
        <w:tc>
          <w:tcPr>
            <w:tcW w:w="0" w:type="dxa"/>
            <w:vAlign w:val="bottom"/>
          </w:tcPr>
          <w:p>
            <w:pPr>
              <w:spacing w:after="0"/>
              <w:rPr>
                <w:sz w:val="1"/>
                <w:szCs w:val="1"/>
                <w:color w:val="auto"/>
              </w:rPr>
            </w:pPr>
          </w:p>
        </w:tc>
      </w:tr>
      <w:tr>
        <w:trPr>
          <w:trHeight w:val="44"/>
        </w:trPr>
        <w:tc>
          <w:tcPr>
            <w:tcW w:w="3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Grant/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5"/>
              </w:rPr>
              <w:t>of</w:t>
            </w:r>
          </w:p>
        </w:tc>
        <w:tc>
          <w:tcPr>
            <w:tcW w:w="760" w:type="dxa"/>
            <w:vAlign w:val="bottom"/>
            <w:gridSpan w:val="2"/>
          </w:tcPr>
          <w:p>
            <w:pPr>
              <w:jc w:val="center"/>
              <w:ind w:left="4"/>
              <w:spacing w:after="0" w:line="124" w:lineRule="exact"/>
              <w:rPr>
                <w:sz w:val="20"/>
                <w:szCs w:val="20"/>
                <w:color w:val="auto"/>
              </w:rPr>
            </w:pPr>
            <w:r>
              <w:rPr>
                <w:rFonts w:ascii="Arial" w:cs="Arial" w:eastAsia="Arial" w:hAnsi="Arial"/>
                <w:sz w:val="11"/>
                <w:szCs w:val="11"/>
                <w:b w:val="1"/>
                <w:bCs w:val="1"/>
                <w:color w:val="auto"/>
              </w:rPr>
              <w:t>Securities</w:t>
            </w:r>
          </w:p>
        </w:tc>
        <w:tc>
          <w:tcPr>
            <w:tcW w:w="6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Price of</w:t>
            </w:r>
          </w:p>
        </w:tc>
        <w:tc>
          <w:tcPr>
            <w:tcW w:w="68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16"/>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16" w:lineRule="exact"/>
              <w:rPr>
                <w:sz w:val="20"/>
                <w:szCs w:val="20"/>
                <w:color w:val="auto"/>
              </w:rPr>
            </w:pPr>
            <w:r>
              <w:rPr>
                <w:rFonts w:ascii="Arial" w:cs="Arial" w:eastAsia="Arial" w:hAnsi="Arial"/>
                <w:sz w:val="11"/>
                <w:szCs w:val="11"/>
                <w:b w:val="1"/>
                <w:bCs w:val="1"/>
                <w:color w:val="auto"/>
              </w:rPr>
              <w:t>Stock</w:t>
            </w:r>
          </w:p>
        </w:tc>
        <w:tc>
          <w:tcPr>
            <w:tcW w:w="760" w:type="dxa"/>
            <w:vAlign w:val="bottom"/>
            <w:gridSpan w:val="2"/>
          </w:tcPr>
          <w:p>
            <w:pPr>
              <w:jc w:val="center"/>
              <w:ind w:left="4"/>
              <w:spacing w:after="0" w:line="116"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jc w:val="center"/>
              <w:spacing w:after="0" w:line="116" w:lineRule="exact"/>
              <w:rPr>
                <w:sz w:val="20"/>
                <w:szCs w:val="20"/>
                <w:color w:val="auto"/>
              </w:rPr>
            </w:pPr>
            <w:r>
              <w:rPr>
                <w:rFonts w:ascii="Arial" w:cs="Arial" w:eastAsia="Arial" w:hAnsi="Arial"/>
                <w:sz w:val="11"/>
                <w:szCs w:val="11"/>
                <w:b w:val="1"/>
                <w:bCs w:val="1"/>
                <w:color w:val="auto"/>
              </w:rPr>
              <w:t>Options</w:t>
            </w:r>
          </w:p>
        </w:tc>
        <w:tc>
          <w:tcPr>
            <w:tcW w:w="680" w:type="dxa"/>
            <w:vAlign w:val="bottom"/>
            <w:gridSpan w:val="2"/>
          </w:tcPr>
          <w:p>
            <w:pPr>
              <w:jc w:val="center"/>
              <w:ind w:right="80"/>
              <w:spacing w:after="0" w:line="116"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Approval</w:t>
            </w:r>
          </w:p>
        </w:tc>
        <w:tc>
          <w:tcPr>
            <w:tcW w:w="100" w:type="dxa"/>
            <w:vAlign w:val="bottom"/>
          </w:tcPr>
          <w:p>
            <w:pPr>
              <w:spacing w:after="0"/>
              <w:rPr>
                <w:sz w:val="10"/>
                <w:szCs w:val="10"/>
                <w:color w:val="auto"/>
              </w:rPr>
            </w:pPr>
          </w:p>
        </w:tc>
        <w:tc>
          <w:tcPr>
            <w:tcW w:w="600" w:type="dxa"/>
            <w:vAlign w:val="bottom"/>
          </w:tcPr>
          <w:p>
            <w:pPr>
              <w:jc w:val="right"/>
              <w:ind w:right="4"/>
              <w:spacing w:after="0" w:line="124" w:lineRule="exact"/>
              <w:rPr>
                <w:sz w:val="20"/>
                <w:szCs w:val="20"/>
                <w:color w:val="auto"/>
              </w:rPr>
            </w:pPr>
            <w:r>
              <w:rPr>
                <w:rFonts w:ascii="Arial" w:cs="Arial" w:eastAsia="Arial" w:hAnsi="Arial"/>
                <w:sz w:val="11"/>
                <w:szCs w:val="11"/>
                <w:b w:val="1"/>
                <w:bCs w:val="1"/>
                <w:color w:val="auto"/>
                <w:w w:val="97"/>
              </w:rPr>
              <w:t>Threshold</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Target</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rPr>
              <w:t>Maximum</w:t>
            </w:r>
          </w:p>
        </w:tc>
        <w:tc>
          <w:tcPr>
            <w:tcW w:w="560" w:type="dxa"/>
            <w:vAlign w:val="bottom"/>
          </w:tcPr>
          <w:p>
            <w:pPr>
              <w:jc w:val="right"/>
              <w:spacing w:after="0" w:line="124" w:lineRule="exact"/>
              <w:rPr>
                <w:sz w:val="20"/>
                <w:szCs w:val="20"/>
                <w:color w:val="auto"/>
              </w:rPr>
            </w:pPr>
            <w:r>
              <w:rPr>
                <w:rFonts w:ascii="Arial" w:cs="Arial" w:eastAsia="Arial" w:hAnsi="Arial"/>
                <w:sz w:val="11"/>
                <w:szCs w:val="11"/>
                <w:b w:val="1"/>
                <w:bCs w:val="1"/>
                <w:color w:val="auto"/>
                <w:w w:val="97"/>
              </w:rPr>
              <w:t>Threshold</w:t>
            </w: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Target</w:t>
            </w:r>
          </w:p>
        </w:tc>
        <w:tc>
          <w:tcPr>
            <w:tcW w:w="640" w:type="dxa"/>
            <w:vAlign w:val="bottom"/>
            <w:gridSpan w:val="2"/>
          </w:tcPr>
          <w:p>
            <w:pPr>
              <w:jc w:val="right"/>
              <w:ind w:right="80"/>
              <w:spacing w:after="0" w:line="124" w:lineRule="exact"/>
              <w:rPr>
                <w:sz w:val="20"/>
                <w:szCs w:val="20"/>
                <w:color w:val="auto"/>
              </w:rPr>
            </w:pPr>
            <w:r>
              <w:rPr>
                <w:rFonts w:ascii="Arial" w:cs="Arial" w:eastAsia="Arial" w:hAnsi="Arial"/>
                <w:sz w:val="11"/>
                <w:szCs w:val="11"/>
                <w:b w:val="1"/>
                <w:bCs w:val="1"/>
                <w:color w:val="auto"/>
              </w:rPr>
              <w:t>Maximum</w:t>
            </w:r>
          </w:p>
        </w:tc>
        <w:tc>
          <w:tcPr>
            <w:tcW w:w="5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or Units</w:t>
            </w:r>
          </w:p>
        </w:tc>
        <w:tc>
          <w:tcPr>
            <w:tcW w:w="760" w:type="dxa"/>
            <w:vAlign w:val="bottom"/>
            <w:gridSpan w:val="2"/>
          </w:tcPr>
          <w:p>
            <w:pPr>
              <w:jc w:val="center"/>
              <w:ind w:left="4"/>
              <w:spacing w:after="0" w:line="124" w:lineRule="exact"/>
              <w:rPr>
                <w:sz w:val="20"/>
                <w:szCs w:val="20"/>
                <w:color w:val="auto"/>
              </w:rPr>
            </w:pPr>
            <w:r>
              <w:rPr>
                <w:rFonts w:ascii="Arial" w:cs="Arial" w:eastAsia="Arial" w:hAnsi="Arial"/>
                <w:sz w:val="11"/>
                <w:szCs w:val="11"/>
                <w:b w:val="1"/>
                <w:bCs w:val="1"/>
                <w:color w:val="auto"/>
              </w:rPr>
              <w:t>Options</w:t>
            </w:r>
          </w:p>
        </w:tc>
        <w:tc>
          <w:tcPr>
            <w:tcW w:w="6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Awards</w:t>
            </w:r>
          </w:p>
        </w:tc>
        <w:tc>
          <w:tcPr>
            <w:tcW w:w="68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Award Type</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2"/>
                <w:szCs w:val="12"/>
                <w:color w:val="auto"/>
              </w:rPr>
            </w:pPr>
          </w:p>
        </w:tc>
        <w:tc>
          <w:tcPr>
            <w:tcW w:w="600" w:type="dxa"/>
            <w:vAlign w:val="bottom"/>
          </w:tcPr>
          <w:p>
            <w:pPr>
              <w:jc w:val="right"/>
              <w:ind w:right="144"/>
              <w:spacing w:after="0"/>
              <w:rPr>
                <w:sz w:val="20"/>
                <w:szCs w:val="20"/>
                <w:color w:val="auto"/>
              </w:rPr>
            </w:pPr>
            <w:r>
              <w:rPr>
                <w:rFonts w:ascii="Arial" w:cs="Arial" w:eastAsia="Arial" w:hAnsi="Arial"/>
                <w:sz w:val="11"/>
                <w:szCs w:val="11"/>
                <w:b w:val="1"/>
                <w:bCs w:val="1"/>
                <w:color w:val="auto"/>
              </w:rPr>
              <w:t>($)(a)</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jc w:val="right"/>
              <w:ind w:right="104"/>
              <w:spacing w:after="0"/>
              <w:rPr>
                <w:sz w:val="20"/>
                <w:szCs w:val="20"/>
                <w:color w:val="auto"/>
              </w:rPr>
            </w:pPr>
            <w:r>
              <w:rPr>
                <w:rFonts w:ascii="Arial" w:cs="Arial" w:eastAsia="Arial" w:hAnsi="Arial"/>
                <w:sz w:val="11"/>
                <w:szCs w:val="11"/>
                <w:b w:val="1"/>
                <w:bCs w:val="1"/>
                <w:color w:val="auto"/>
              </w:rPr>
              <w:t>(#)(b)</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(#)(b)</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(#)(b)</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(#)(c)</w:t>
            </w:r>
          </w:p>
        </w:tc>
        <w:tc>
          <w:tcPr>
            <w:tcW w:w="700" w:type="dxa"/>
            <w:vAlign w:val="bottom"/>
          </w:tcPr>
          <w:p>
            <w:pPr>
              <w:jc w:val="center"/>
              <w:ind w:left="64"/>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rPr>
              <w:t>($/SH)</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w:t>
            </w:r>
          </w:p>
        </w:tc>
        <w:tc>
          <w:tcPr>
            <w:tcW w:w="0" w:type="dxa"/>
            <w:vAlign w:val="bottom"/>
          </w:tcPr>
          <w:p>
            <w:pPr>
              <w:spacing w:after="0"/>
              <w:rPr>
                <w:sz w:val="1"/>
                <w:szCs w:val="1"/>
                <w:color w:val="auto"/>
              </w:rPr>
            </w:pPr>
          </w:p>
        </w:tc>
      </w:tr>
      <w:tr>
        <w:trPr>
          <w:trHeight w:val="115"/>
        </w:trPr>
        <w:tc>
          <w:tcPr>
            <w:tcW w:w="3080" w:type="dxa"/>
            <w:vAlign w:val="bottom"/>
            <w:tcBorders>
              <w:top w:val="single" w:sz="8" w:color="auto"/>
            </w:tcBorders>
            <w:shd w:val="clear" w:color="auto" w:fill="D8D8D8"/>
          </w:tcPr>
          <w:p>
            <w:pPr>
              <w:spacing w:after="0" w:line="115" w:lineRule="exact"/>
              <w:rPr>
                <w:sz w:val="20"/>
                <w:szCs w:val="20"/>
                <w:color w:val="auto"/>
              </w:rPr>
            </w:pPr>
            <w:r>
              <w:rPr>
                <w:rFonts w:ascii="Arial" w:cs="Arial" w:eastAsia="Arial" w:hAnsi="Arial"/>
                <w:sz w:val="11"/>
                <w:szCs w:val="11"/>
                <w:color w:val="auto"/>
              </w:rPr>
              <w:t>Mr. Nelson</w:t>
            </w:r>
          </w:p>
        </w:tc>
        <w:tc>
          <w:tcPr>
            <w:tcW w:w="780" w:type="dxa"/>
            <w:vAlign w:val="bottom"/>
            <w:tcBorders>
              <w:top w:val="single" w:sz="8" w:color="auto"/>
            </w:tcBorders>
            <w:shd w:val="clear" w:color="auto" w:fill="D8D8D8"/>
          </w:tcPr>
          <w:p>
            <w:pPr>
              <w:ind w:left="100"/>
              <w:spacing w:after="0" w:line="115" w:lineRule="exact"/>
              <w:rPr>
                <w:sz w:val="20"/>
                <w:szCs w:val="20"/>
                <w:color w:val="auto"/>
              </w:rPr>
            </w:pPr>
            <w:r>
              <w:rPr>
                <w:rFonts w:ascii="Arial" w:cs="Arial" w:eastAsia="Arial" w:hAnsi="Arial"/>
                <w:sz w:val="11"/>
                <w:szCs w:val="11"/>
                <w:color w:val="auto"/>
              </w:rPr>
              <w:t>Bonus</w:t>
            </w:r>
          </w:p>
        </w:tc>
        <w:tc>
          <w:tcPr>
            <w:tcW w:w="640" w:type="dxa"/>
            <w:vAlign w:val="bottom"/>
            <w:tcBorders>
              <w:top w:val="single" w:sz="8" w:color="auto"/>
            </w:tcBorders>
            <w:shd w:val="clear" w:color="auto" w:fill="D8D8D8"/>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D8D8D8"/>
            </w:tcBorders>
            <w:shd w:val="clear" w:color="auto" w:fill="D8D8D8"/>
          </w:tcPr>
          <w:p>
            <w:pPr>
              <w:spacing w:after="0"/>
              <w:rPr>
                <w:sz w:val="9"/>
                <w:szCs w:val="9"/>
                <w:color w:val="auto"/>
              </w:rPr>
            </w:pPr>
          </w:p>
        </w:tc>
        <w:tc>
          <w:tcPr>
            <w:tcW w:w="700" w:type="dxa"/>
            <w:vAlign w:val="bottom"/>
            <w:tcBorders>
              <w:top w:val="single" w:sz="8" w:color="auto"/>
            </w:tcBorders>
            <w:gridSpan w:val="2"/>
            <w:shd w:val="clear" w:color="auto" w:fill="D8D8D8"/>
          </w:tcPr>
          <w:p>
            <w:pPr>
              <w:jc w:val="right"/>
              <w:ind w:right="4"/>
              <w:spacing w:after="0" w:line="115" w:lineRule="exact"/>
              <w:rPr>
                <w:sz w:val="20"/>
                <w:szCs w:val="20"/>
                <w:color w:val="auto"/>
              </w:rPr>
            </w:pPr>
            <w:r>
              <w:rPr>
                <w:rFonts w:ascii="Arial" w:cs="Arial" w:eastAsia="Arial" w:hAnsi="Arial"/>
                <w:sz w:val="11"/>
                <w:szCs w:val="11"/>
                <w:color w:val="auto"/>
              </w:rPr>
              <w:t>431,250</w:t>
            </w:r>
          </w:p>
        </w:tc>
        <w:tc>
          <w:tcPr>
            <w:tcW w:w="780" w:type="dxa"/>
            <w:vAlign w:val="bottom"/>
            <w:tcBorders>
              <w:top w:val="single" w:sz="8" w:color="auto"/>
            </w:tcBorders>
            <w:shd w:val="clear" w:color="auto" w:fill="D8D8D8"/>
          </w:tcPr>
          <w:p>
            <w:pPr>
              <w:jc w:val="right"/>
              <w:ind w:right="64"/>
              <w:spacing w:after="0" w:line="115" w:lineRule="exact"/>
              <w:rPr>
                <w:sz w:val="20"/>
                <w:szCs w:val="20"/>
                <w:color w:val="auto"/>
              </w:rPr>
            </w:pPr>
            <w:r>
              <w:rPr>
                <w:rFonts w:ascii="Arial" w:cs="Arial" w:eastAsia="Arial" w:hAnsi="Arial"/>
                <w:sz w:val="11"/>
                <w:szCs w:val="11"/>
                <w:color w:val="auto"/>
              </w:rPr>
              <w:t>1,725,000</w:t>
            </w:r>
          </w:p>
        </w:tc>
        <w:tc>
          <w:tcPr>
            <w:tcW w:w="580" w:type="dxa"/>
            <w:vAlign w:val="bottom"/>
            <w:tcBorders>
              <w:top w:val="single" w:sz="8" w:color="auto"/>
            </w:tcBorders>
            <w:shd w:val="clear" w:color="auto" w:fill="D8D8D8"/>
          </w:tcPr>
          <w:p>
            <w:pPr>
              <w:jc w:val="right"/>
              <w:spacing w:after="0" w:line="115" w:lineRule="exact"/>
              <w:rPr>
                <w:sz w:val="20"/>
                <w:szCs w:val="20"/>
                <w:color w:val="auto"/>
              </w:rPr>
            </w:pPr>
            <w:r>
              <w:rPr>
                <w:rFonts w:ascii="Arial" w:cs="Arial" w:eastAsia="Arial" w:hAnsi="Arial"/>
                <w:sz w:val="11"/>
                <w:szCs w:val="11"/>
                <w:color w:val="auto"/>
              </w:rPr>
              <w:t>3,450,000</w:t>
            </w:r>
          </w:p>
        </w:tc>
        <w:tc>
          <w:tcPr>
            <w:tcW w:w="180" w:type="dxa"/>
            <w:vAlign w:val="bottom"/>
            <w:tcBorders>
              <w:top w:val="single" w:sz="8" w:color="auto"/>
            </w:tcBorders>
            <w:shd w:val="clear" w:color="auto" w:fill="D8D8D8"/>
          </w:tcPr>
          <w:p>
            <w:pPr>
              <w:spacing w:after="0"/>
              <w:rPr>
                <w:sz w:val="9"/>
                <w:szCs w:val="9"/>
                <w:color w:val="auto"/>
              </w:rPr>
            </w:pPr>
          </w:p>
        </w:tc>
        <w:tc>
          <w:tcPr>
            <w:tcW w:w="560" w:type="dxa"/>
            <w:vAlign w:val="bottom"/>
            <w:tcBorders>
              <w:top w:val="single" w:sz="8" w:color="auto"/>
            </w:tcBorders>
            <w:shd w:val="clear" w:color="auto" w:fill="D8D8D8"/>
          </w:tcPr>
          <w:p>
            <w:pPr>
              <w:spacing w:after="0"/>
              <w:rPr>
                <w:sz w:val="9"/>
                <w:szCs w:val="9"/>
                <w:color w:val="auto"/>
              </w:rPr>
            </w:pPr>
          </w:p>
        </w:tc>
        <w:tc>
          <w:tcPr>
            <w:tcW w:w="740" w:type="dxa"/>
            <w:vAlign w:val="bottom"/>
            <w:tcBorders>
              <w:top w:val="single" w:sz="8" w:color="auto"/>
            </w:tcBorders>
            <w:shd w:val="clear" w:color="auto" w:fill="D8D8D8"/>
          </w:tcPr>
          <w:p>
            <w:pPr>
              <w:spacing w:after="0"/>
              <w:rPr>
                <w:sz w:val="9"/>
                <w:szCs w:val="9"/>
                <w:color w:val="auto"/>
              </w:rPr>
            </w:pPr>
          </w:p>
        </w:tc>
        <w:tc>
          <w:tcPr>
            <w:tcW w:w="560" w:type="dxa"/>
            <w:vAlign w:val="bottom"/>
            <w:tcBorders>
              <w:top w:val="single" w:sz="8" w:color="auto"/>
            </w:tcBorders>
            <w:shd w:val="clear" w:color="auto" w:fill="D8D8D8"/>
          </w:tcPr>
          <w:p>
            <w:pPr>
              <w:spacing w:after="0"/>
              <w:rPr>
                <w:sz w:val="9"/>
                <w:szCs w:val="9"/>
                <w:color w:val="auto"/>
              </w:rPr>
            </w:pPr>
          </w:p>
        </w:tc>
        <w:tc>
          <w:tcPr>
            <w:tcW w:w="80" w:type="dxa"/>
            <w:vAlign w:val="bottom"/>
            <w:tcBorders>
              <w:top w:val="single" w:sz="8" w:color="auto"/>
            </w:tcBorders>
            <w:shd w:val="clear" w:color="auto" w:fill="D8D8D8"/>
          </w:tcPr>
          <w:p>
            <w:pPr>
              <w:spacing w:after="0"/>
              <w:rPr>
                <w:sz w:val="9"/>
                <w:szCs w:val="9"/>
                <w:color w:val="auto"/>
              </w:rPr>
            </w:pPr>
          </w:p>
        </w:tc>
        <w:tc>
          <w:tcPr>
            <w:tcW w:w="520" w:type="dxa"/>
            <w:vAlign w:val="bottom"/>
            <w:tcBorders>
              <w:top w:val="single" w:sz="8" w:color="auto"/>
            </w:tcBorders>
            <w:shd w:val="clear" w:color="auto" w:fill="D8D8D8"/>
          </w:tcPr>
          <w:p>
            <w:pPr>
              <w:spacing w:after="0"/>
              <w:rPr>
                <w:sz w:val="9"/>
                <w:szCs w:val="9"/>
                <w:color w:val="auto"/>
              </w:rPr>
            </w:pPr>
          </w:p>
        </w:tc>
        <w:tc>
          <w:tcPr>
            <w:tcW w:w="60" w:type="dxa"/>
            <w:vAlign w:val="bottom"/>
            <w:tcBorders>
              <w:top w:val="single" w:sz="8" w:color="D8D8D8"/>
            </w:tcBorders>
            <w:shd w:val="clear" w:color="auto" w:fill="D8D8D8"/>
          </w:tcPr>
          <w:p>
            <w:pPr>
              <w:spacing w:after="0"/>
              <w:rPr>
                <w:sz w:val="9"/>
                <w:szCs w:val="9"/>
                <w:color w:val="auto"/>
              </w:rPr>
            </w:pPr>
          </w:p>
        </w:tc>
        <w:tc>
          <w:tcPr>
            <w:tcW w:w="700" w:type="dxa"/>
            <w:vAlign w:val="bottom"/>
            <w:tcBorders>
              <w:top w:val="single" w:sz="8" w:color="auto"/>
            </w:tcBorders>
            <w:shd w:val="clear" w:color="auto" w:fill="D8D8D8"/>
          </w:tcPr>
          <w:p>
            <w:pPr>
              <w:spacing w:after="0"/>
              <w:rPr>
                <w:sz w:val="9"/>
                <w:szCs w:val="9"/>
                <w:color w:val="auto"/>
              </w:rPr>
            </w:pPr>
          </w:p>
        </w:tc>
        <w:tc>
          <w:tcPr>
            <w:tcW w:w="60" w:type="dxa"/>
            <w:vAlign w:val="bottom"/>
            <w:tcBorders>
              <w:top w:val="single" w:sz="8" w:color="D8D8D8"/>
            </w:tcBorders>
            <w:shd w:val="clear" w:color="auto" w:fill="D8D8D8"/>
          </w:tcPr>
          <w:p>
            <w:pPr>
              <w:spacing w:after="0"/>
              <w:rPr>
                <w:sz w:val="9"/>
                <w:szCs w:val="9"/>
                <w:color w:val="auto"/>
              </w:rPr>
            </w:pPr>
          </w:p>
        </w:tc>
        <w:tc>
          <w:tcPr>
            <w:tcW w:w="580" w:type="dxa"/>
            <w:vAlign w:val="bottom"/>
            <w:tcBorders>
              <w:top w:val="single" w:sz="8" w:color="auto"/>
            </w:tcBorders>
            <w:shd w:val="clear" w:color="auto" w:fill="D8D8D8"/>
          </w:tcPr>
          <w:p>
            <w:pPr>
              <w:spacing w:after="0"/>
              <w:rPr>
                <w:sz w:val="9"/>
                <w:szCs w:val="9"/>
                <w:color w:val="auto"/>
              </w:rPr>
            </w:pPr>
          </w:p>
        </w:tc>
        <w:tc>
          <w:tcPr>
            <w:tcW w:w="80" w:type="dxa"/>
            <w:vAlign w:val="bottom"/>
            <w:tcBorders>
              <w:top w:val="single" w:sz="8" w:color="D8D8D8"/>
            </w:tcBorders>
            <w:shd w:val="clear" w:color="auto" w:fill="D8D8D8"/>
          </w:tcPr>
          <w:p>
            <w:pPr>
              <w:spacing w:after="0"/>
              <w:rPr>
                <w:sz w:val="9"/>
                <w:szCs w:val="9"/>
                <w:color w:val="auto"/>
              </w:rPr>
            </w:pPr>
          </w:p>
        </w:tc>
        <w:tc>
          <w:tcPr>
            <w:tcW w:w="560" w:type="dxa"/>
            <w:vAlign w:val="bottom"/>
            <w:tcBorders>
              <w:top w:val="single" w:sz="8" w:color="auto"/>
            </w:tcBorders>
            <w:shd w:val="clear" w:color="auto" w:fill="D8D8D8"/>
          </w:tcPr>
          <w:p>
            <w:pPr>
              <w:spacing w:after="0"/>
              <w:rPr>
                <w:sz w:val="9"/>
                <w:szCs w:val="9"/>
                <w:color w:val="auto"/>
              </w:rPr>
            </w:pPr>
          </w:p>
        </w:tc>
        <w:tc>
          <w:tcPr>
            <w:tcW w:w="120" w:type="dxa"/>
            <w:vAlign w:val="bottom"/>
            <w:tcBorders>
              <w:top w:val="single" w:sz="8" w:color="D8D8D8"/>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rPr>
              <w:t>Time-based</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8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49,528</w:t>
            </w:r>
          </w:p>
        </w:tc>
        <w:tc>
          <w:tcPr>
            <w:tcW w:w="76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0</w:t>
            </w:r>
          </w:p>
        </w:tc>
        <w:tc>
          <w:tcPr>
            <w:tcW w:w="66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1,049,994</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w w:val="98"/>
              </w:rPr>
              <w:t>Performance-</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28,892</w:t>
            </w:r>
          </w:p>
        </w:tc>
        <w:tc>
          <w:tcPr>
            <w:tcW w:w="7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115,566</w:t>
            </w:r>
          </w:p>
        </w:tc>
        <w:tc>
          <w:tcPr>
            <w:tcW w:w="56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173,350</w:t>
            </w: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2,971,202</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5" w:lineRule="exact"/>
              <w:rPr>
                <w:sz w:val="20"/>
                <w:szCs w:val="20"/>
                <w:color w:val="auto"/>
              </w:rPr>
            </w:pPr>
            <w:r>
              <w:rPr>
                <w:rFonts w:ascii="Arial" w:cs="Arial" w:eastAsia="Arial" w:hAnsi="Arial"/>
                <w:sz w:val="11"/>
                <w:szCs w:val="11"/>
                <w:color w:val="auto"/>
              </w:rPr>
              <w:t>based</w:t>
            </w:r>
          </w:p>
        </w:tc>
        <w:tc>
          <w:tcPr>
            <w:tcW w:w="64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80" w:type="dxa"/>
            <w:vAlign w:val="bottom"/>
          </w:tcPr>
          <w:p>
            <w:pPr>
              <w:spacing w:after="0" w:line="123" w:lineRule="exact"/>
              <w:rPr>
                <w:sz w:val="20"/>
                <w:szCs w:val="20"/>
                <w:color w:val="auto"/>
              </w:rPr>
            </w:pPr>
            <w:r>
              <w:rPr>
                <w:rFonts w:ascii="Arial" w:cs="Arial" w:eastAsia="Arial" w:hAnsi="Arial"/>
                <w:sz w:val="11"/>
                <w:szCs w:val="11"/>
                <w:color w:val="auto"/>
              </w:rPr>
              <w:t>Mr. Wyshner</w:t>
            </w:r>
          </w:p>
        </w:tc>
        <w:tc>
          <w:tcPr>
            <w:tcW w:w="780" w:type="dxa"/>
            <w:vAlign w:val="bottom"/>
          </w:tcPr>
          <w:p>
            <w:pPr>
              <w:ind w:left="100"/>
              <w:spacing w:after="0" w:line="123" w:lineRule="exact"/>
              <w:rPr>
                <w:sz w:val="20"/>
                <w:szCs w:val="20"/>
                <w:color w:val="auto"/>
              </w:rPr>
            </w:pPr>
            <w:r>
              <w:rPr>
                <w:rFonts w:ascii="Arial" w:cs="Arial" w:eastAsia="Arial" w:hAnsi="Arial"/>
                <w:sz w:val="11"/>
                <w:szCs w:val="11"/>
                <w:color w:val="auto"/>
              </w:rPr>
              <w:t>Bonus</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
              <w:spacing w:after="0" w:line="123" w:lineRule="exact"/>
              <w:rPr>
                <w:sz w:val="20"/>
                <w:szCs w:val="20"/>
                <w:color w:val="auto"/>
              </w:rPr>
            </w:pPr>
            <w:r>
              <w:rPr>
                <w:rFonts w:ascii="Arial" w:cs="Arial" w:eastAsia="Arial" w:hAnsi="Arial"/>
                <w:sz w:val="11"/>
                <w:szCs w:val="11"/>
                <w:color w:val="auto"/>
              </w:rPr>
              <w:t>170,192</w:t>
            </w:r>
          </w:p>
        </w:tc>
        <w:tc>
          <w:tcPr>
            <w:tcW w:w="7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680,769</w:t>
            </w: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1,361,539</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color w:val="auto"/>
              </w:rPr>
              <w:t>Time-based</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28,302</w:t>
            </w:r>
          </w:p>
        </w:tc>
        <w:tc>
          <w:tcPr>
            <w:tcW w:w="7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600,002</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color w:val="auto"/>
                <w:w w:val="98"/>
              </w:rPr>
              <w:t>Performance-</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14,151</w:t>
            </w:r>
          </w:p>
        </w:tc>
        <w:tc>
          <w:tcPr>
            <w:tcW w:w="74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28,302</w:t>
            </w:r>
          </w:p>
        </w:tc>
        <w:tc>
          <w:tcPr>
            <w:tcW w:w="6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42,453</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689,437</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color w:val="auto"/>
              </w:rPr>
              <w:t>based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D8D8D8"/>
          </w:tcPr>
          <w:p>
            <w:pPr>
              <w:spacing w:after="0" w:line="123" w:lineRule="exact"/>
              <w:rPr>
                <w:sz w:val="20"/>
                <w:szCs w:val="20"/>
                <w:color w:val="auto"/>
              </w:rPr>
            </w:pPr>
            <w:r>
              <w:rPr>
                <w:rFonts w:ascii="Arial" w:cs="Arial" w:eastAsia="Arial" w:hAnsi="Arial"/>
                <w:sz w:val="11"/>
                <w:szCs w:val="11"/>
                <w:color w:val="auto"/>
              </w:rPr>
              <w:t>Mr. Gartland</w:t>
            </w:r>
          </w:p>
        </w:tc>
        <w:tc>
          <w:tcPr>
            <w:tcW w:w="780" w:type="dxa"/>
            <w:vAlign w:val="bottom"/>
            <w:shd w:val="clear" w:color="auto" w:fill="D8D8D8"/>
          </w:tcPr>
          <w:p>
            <w:pPr>
              <w:ind w:left="100"/>
              <w:spacing w:after="0" w:line="123" w:lineRule="exact"/>
              <w:rPr>
                <w:sz w:val="20"/>
                <w:szCs w:val="20"/>
                <w:color w:val="auto"/>
              </w:rPr>
            </w:pPr>
            <w:r>
              <w:rPr>
                <w:rFonts w:ascii="Arial" w:cs="Arial" w:eastAsia="Arial" w:hAnsi="Arial"/>
                <w:sz w:val="11"/>
                <w:szCs w:val="11"/>
                <w:color w:val="auto"/>
              </w:rPr>
              <w:t>Bonus</w:t>
            </w:r>
          </w:p>
        </w:tc>
        <w:tc>
          <w:tcPr>
            <w:tcW w:w="720" w:type="dxa"/>
            <w:vAlign w:val="bottom"/>
            <w:gridSpan w:val="2"/>
            <w:shd w:val="clear" w:color="auto" w:fill="D8D8D8"/>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D8D8D8"/>
          </w:tcPr>
          <w:p>
            <w:pPr>
              <w:jc w:val="right"/>
              <w:ind w:right="4"/>
              <w:spacing w:after="0" w:line="123" w:lineRule="exact"/>
              <w:rPr>
                <w:sz w:val="20"/>
                <w:szCs w:val="20"/>
                <w:color w:val="auto"/>
              </w:rPr>
            </w:pPr>
            <w:r>
              <w:rPr>
                <w:rFonts w:ascii="Arial" w:cs="Arial" w:eastAsia="Arial" w:hAnsi="Arial"/>
                <w:sz w:val="11"/>
                <w:szCs w:val="11"/>
                <w:color w:val="auto"/>
              </w:rPr>
              <w:t>170,192</w:t>
            </w:r>
          </w:p>
        </w:tc>
        <w:tc>
          <w:tcPr>
            <w:tcW w:w="780" w:type="dxa"/>
            <w:vAlign w:val="bottom"/>
            <w:shd w:val="clear" w:color="auto" w:fill="D8D8D8"/>
          </w:tcPr>
          <w:p>
            <w:pPr>
              <w:jc w:val="right"/>
              <w:ind w:right="64"/>
              <w:spacing w:after="0" w:line="123" w:lineRule="exact"/>
              <w:rPr>
                <w:sz w:val="20"/>
                <w:szCs w:val="20"/>
                <w:color w:val="auto"/>
              </w:rPr>
            </w:pPr>
            <w:r>
              <w:rPr>
                <w:rFonts w:ascii="Arial" w:cs="Arial" w:eastAsia="Arial" w:hAnsi="Arial"/>
                <w:sz w:val="11"/>
                <w:szCs w:val="11"/>
                <w:color w:val="auto"/>
              </w:rPr>
              <w:t>680,769</w:t>
            </w:r>
          </w:p>
        </w:tc>
        <w:tc>
          <w:tcPr>
            <w:tcW w:w="580" w:type="dxa"/>
            <w:vAlign w:val="bottom"/>
            <w:shd w:val="clear" w:color="auto" w:fill="D8D8D8"/>
          </w:tcPr>
          <w:p>
            <w:pPr>
              <w:jc w:val="right"/>
              <w:spacing w:after="0" w:line="123" w:lineRule="exact"/>
              <w:rPr>
                <w:sz w:val="20"/>
                <w:szCs w:val="20"/>
                <w:color w:val="auto"/>
              </w:rPr>
            </w:pPr>
            <w:r>
              <w:rPr>
                <w:rFonts w:ascii="Arial" w:cs="Arial" w:eastAsia="Arial" w:hAnsi="Arial"/>
                <w:sz w:val="11"/>
                <w:szCs w:val="11"/>
                <w:color w:val="auto"/>
              </w:rPr>
              <w:t>1,361,539</w:t>
            </w: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rPr>
              <w:t>Time-based</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8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28,302</w:t>
            </w:r>
          </w:p>
        </w:tc>
        <w:tc>
          <w:tcPr>
            <w:tcW w:w="76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0</w:t>
            </w:r>
          </w:p>
        </w:tc>
        <w:tc>
          <w:tcPr>
            <w:tcW w:w="66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600,002</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w w:val="98"/>
              </w:rPr>
              <w:t>Performance-</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14,151</w:t>
            </w:r>
          </w:p>
        </w:tc>
        <w:tc>
          <w:tcPr>
            <w:tcW w:w="7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28,302</w:t>
            </w:r>
          </w:p>
        </w:tc>
        <w:tc>
          <w:tcPr>
            <w:tcW w:w="64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42,453</w:t>
            </w: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689,437</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5" w:lineRule="exact"/>
              <w:rPr>
                <w:sz w:val="20"/>
                <w:szCs w:val="20"/>
                <w:color w:val="auto"/>
              </w:rPr>
            </w:pPr>
            <w:r>
              <w:rPr>
                <w:rFonts w:ascii="Arial" w:cs="Arial" w:eastAsia="Arial" w:hAnsi="Arial"/>
                <w:sz w:val="11"/>
                <w:szCs w:val="11"/>
                <w:color w:val="auto"/>
              </w:rPr>
              <w:t>based</w:t>
            </w:r>
          </w:p>
        </w:tc>
        <w:tc>
          <w:tcPr>
            <w:tcW w:w="64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80" w:type="dxa"/>
            <w:vAlign w:val="bottom"/>
          </w:tcPr>
          <w:p>
            <w:pPr>
              <w:spacing w:after="0" w:line="123" w:lineRule="exact"/>
              <w:rPr>
                <w:sz w:val="20"/>
                <w:szCs w:val="20"/>
                <w:color w:val="auto"/>
              </w:rPr>
            </w:pPr>
            <w:r>
              <w:rPr>
                <w:rFonts w:ascii="Arial" w:cs="Arial" w:eastAsia="Arial" w:hAnsi="Arial"/>
                <w:sz w:val="11"/>
                <w:szCs w:val="11"/>
                <w:color w:val="auto"/>
              </w:rPr>
              <w:t>Mr. De Shon</w:t>
            </w:r>
          </w:p>
        </w:tc>
        <w:tc>
          <w:tcPr>
            <w:tcW w:w="780" w:type="dxa"/>
            <w:vAlign w:val="bottom"/>
          </w:tcPr>
          <w:p>
            <w:pPr>
              <w:ind w:left="100"/>
              <w:spacing w:after="0" w:line="123" w:lineRule="exact"/>
              <w:rPr>
                <w:sz w:val="20"/>
                <w:szCs w:val="20"/>
                <w:color w:val="auto"/>
              </w:rPr>
            </w:pPr>
            <w:r>
              <w:rPr>
                <w:rFonts w:ascii="Arial" w:cs="Arial" w:eastAsia="Arial" w:hAnsi="Arial"/>
                <w:sz w:val="11"/>
                <w:szCs w:val="11"/>
                <w:color w:val="auto"/>
              </w:rPr>
              <w:t>Bonus</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
              <w:spacing w:after="0" w:line="123" w:lineRule="exact"/>
              <w:rPr>
                <w:sz w:val="20"/>
                <w:szCs w:val="20"/>
                <w:color w:val="auto"/>
              </w:rPr>
            </w:pPr>
            <w:r>
              <w:rPr>
                <w:rFonts w:ascii="Arial" w:cs="Arial" w:eastAsia="Arial" w:hAnsi="Arial"/>
                <w:sz w:val="11"/>
                <w:szCs w:val="11"/>
                <w:color w:val="auto"/>
              </w:rPr>
              <w:t>170,192</w:t>
            </w:r>
          </w:p>
        </w:tc>
        <w:tc>
          <w:tcPr>
            <w:tcW w:w="7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680,769</w:t>
            </w: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1,361,539</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color w:val="auto"/>
              </w:rPr>
              <w:t>Time-based</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28,302</w:t>
            </w:r>
          </w:p>
        </w:tc>
        <w:tc>
          <w:tcPr>
            <w:tcW w:w="7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600,002</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color w:val="auto"/>
                <w:w w:val="98"/>
              </w:rPr>
              <w:t>Performance-</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14,151</w:t>
            </w:r>
          </w:p>
        </w:tc>
        <w:tc>
          <w:tcPr>
            <w:tcW w:w="74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28,302</w:t>
            </w:r>
          </w:p>
        </w:tc>
        <w:tc>
          <w:tcPr>
            <w:tcW w:w="6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42,453</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689,437</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color w:val="auto"/>
              </w:rPr>
              <w:t>based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D8D8D8"/>
          </w:tcPr>
          <w:p>
            <w:pPr>
              <w:spacing w:after="0" w:line="123" w:lineRule="exact"/>
              <w:rPr>
                <w:sz w:val="20"/>
                <w:szCs w:val="20"/>
                <w:color w:val="auto"/>
              </w:rPr>
            </w:pPr>
            <w:r>
              <w:rPr>
                <w:rFonts w:ascii="Arial" w:cs="Arial" w:eastAsia="Arial" w:hAnsi="Arial"/>
                <w:sz w:val="11"/>
                <w:szCs w:val="11"/>
                <w:color w:val="auto"/>
              </w:rPr>
              <w:t>Mr. Siniscalchi</w:t>
            </w:r>
          </w:p>
        </w:tc>
        <w:tc>
          <w:tcPr>
            <w:tcW w:w="780" w:type="dxa"/>
            <w:vAlign w:val="bottom"/>
            <w:shd w:val="clear" w:color="auto" w:fill="D8D8D8"/>
          </w:tcPr>
          <w:p>
            <w:pPr>
              <w:ind w:left="100"/>
              <w:spacing w:after="0" w:line="123" w:lineRule="exact"/>
              <w:rPr>
                <w:sz w:val="20"/>
                <w:szCs w:val="20"/>
                <w:color w:val="auto"/>
              </w:rPr>
            </w:pPr>
            <w:r>
              <w:rPr>
                <w:rFonts w:ascii="Arial" w:cs="Arial" w:eastAsia="Arial" w:hAnsi="Arial"/>
                <w:sz w:val="11"/>
                <w:szCs w:val="11"/>
                <w:color w:val="auto"/>
              </w:rPr>
              <w:t>Bonus</w:t>
            </w:r>
          </w:p>
        </w:tc>
        <w:tc>
          <w:tcPr>
            <w:tcW w:w="720" w:type="dxa"/>
            <w:vAlign w:val="bottom"/>
            <w:gridSpan w:val="2"/>
            <w:shd w:val="clear" w:color="auto" w:fill="D8D8D8"/>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D8D8D8"/>
          </w:tcPr>
          <w:p>
            <w:pPr>
              <w:jc w:val="right"/>
              <w:ind w:right="4"/>
              <w:spacing w:after="0" w:line="123" w:lineRule="exact"/>
              <w:rPr>
                <w:sz w:val="20"/>
                <w:szCs w:val="20"/>
                <w:color w:val="auto"/>
              </w:rPr>
            </w:pPr>
            <w:r>
              <w:rPr>
                <w:rFonts w:ascii="Arial" w:cs="Arial" w:eastAsia="Arial" w:hAnsi="Arial"/>
                <w:sz w:val="11"/>
                <w:szCs w:val="11"/>
                <w:color w:val="auto"/>
              </w:rPr>
              <w:t>129,038</w:t>
            </w:r>
          </w:p>
        </w:tc>
        <w:tc>
          <w:tcPr>
            <w:tcW w:w="780" w:type="dxa"/>
            <w:vAlign w:val="bottom"/>
            <w:shd w:val="clear" w:color="auto" w:fill="D8D8D8"/>
          </w:tcPr>
          <w:p>
            <w:pPr>
              <w:jc w:val="right"/>
              <w:ind w:right="64"/>
              <w:spacing w:after="0" w:line="123" w:lineRule="exact"/>
              <w:rPr>
                <w:sz w:val="20"/>
                <w:szCs w:val="20"/>
                <w:color w:val="auto"/>
              </w:rPr>
            </w:pPr>
            <w:r>
              <w:rPr>
                <w:rFonts w:ascii="Arial" w:cs="Arial" w:eastAsia="Arial" w:hAnsi="Arial"/>
                <w:sz w:val="11"/>
                <w:szCs w:val="11"/>
                <w:color w:val="auto"/>
              </w:rPr>
              <w:t>516,154</w:t>
            </w:r>
          </w:p>
        </w:tc>
        <w:tc>
          <w:tcPr>
            <w:tcW w:w="580" w:type="dxa"/>
            <w:vAlign w:val="bottom"/>
            <w:shd w:val="clear" w:color="auto" w:fill="D8D8D8"/>
          </w:tcPr>
          <w:p>
            <w:pPr>
              <w:jc w:val="right"/>
              <w:spacing w:after="0" w:line="123" w:lineRule="exact"/>
              <w:rPr>
                <w:sz w:val="20"/>
                <w:szCs w:val="20"/>
                <w:color w:val="auto"/>
              </w:rPr>
            </w:pPr>
            <w:r>
              <w:rPr>
                <w:rFonts w:ascii="Arial" w:cs="Arial" w:eastAsia="Arial" w:hAnsi="Arial"/>
                <w:sz w:val="11"/>
                <w:szCs w:val="11"/>
                <w:color w:val="auto"/>
              </w:rPr>
              <w:t>1,032,308</w:t>
            </w: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rPr>
              <w:t>Time-based</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8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23,585</w:t>
            </w:r>
          </w:p>
        </w:tc>
        <w:tc>
          <w:tcPr>
            <w:tcW w:w="760" w:type="dxa"/>
            <w:vAlign w:val="bottom"/>
            <w:gridSpan w:val="2"/>
            <w:shd w:val="clear" w:color="auto" w:fill="D8D8D8"/>
          </w:tcPr>
          <w:p>
            <w:pPr>
              <w:jc w:val="right"/>
              <w:ind w:right="60"/>
              <w:spacing w:after="0" w:line="124" w:lineRule="exact"/>
              <w:rPr>
                <w:sz w:val="20"/>
                <w:szCs w:val="20"/>
                <w:color w:val="auto"/>
              </w:rPr>
            </w:pPr>
            <w:r>
              <w:rPr>
                <w:rFonts w:ascii="Arial" w:cs="Arial" w:eastAsia="Arial" w:hAnsi="Arial"/>
                <w:sz w:val="11"/>
                <w:szCs w:val="11"/>
                <w:color w:val="auto"/>
              </w:rPr>
              <w:t>0</w:t>
            </w:r>
          </w:p>
        </w:tc>
        <w:tc>
          <w:tcPr>
            <w:tcW w:w="66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500,002</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4" w:lineRule="exact"/>
              <w:rPr>
                <w:sz w:val="20"/>
                <w:szCs w:val="20"/>
                <w:color w:val="auto"/>
              </w:rPr>
            </w:pPr>
            <w:r>
              <w:rPr>
                <w:rFonts w:ascii="Arial" w:cs="Arial" w:eastAsia="Arial" w:hAnsi="Arial"/>
                <w:sz w:val="11"/>
                <w:szCs w:val="11"/>
                <w:color w:val="auto"/>
                <w:w w:val="98"/>
              </w:rPr>
              <w:t>Performance-</w:t>
            </w:r>
          </w:p>
        </w:tc>
        <w:tc>
          <w:tcPr>
            <w:tcW w:w="64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1/23/2013</w:t>
            </w: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11,793</w:t>
            </w:r>
          </w:p>
        </w:tc>
        <w:tc>
          <w:tcPr>
            <w:tcW w:w="7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23,585</w:t>
            </w:r>
          </w:p>
        </w:tc>
        <w:tc>
          <w:tcPr>
            <w:tcW w:w="640" w:type="dxa"/>
            <w:vAlign w:val="bottom"/>
            <w:gridSpan w:val="2"/>
            <w:shd w:val="clear" w:color="auto" w:fill="D8D8D8"/>
          </w:tcPr>
          <w:p>
            <w:pPr>
              <w:jc w:val="right"/>
              <w:ind w:right="80"/>
              <w:spacing w:after="0" w:line="124" w:lineRule="exact"/>
              <w:rPr>
                <w:sz w:val="20"/>
                <w:szCs w:val="20"/>
                <w:color w:val="auto"/>
              </w:rPr>
            </w:pPr>
            <w:r>
              <w:rPr>
                <w:rFonts w:ascii="Arial" w:cs="Arial" w:eastAsia="Arial" w:hAnsi="Arial"/>
                <w:sz w:val="11"/>
                <w:szCs w:val="11"/>
                <w:color w:val="auto"/>
              </w:rPr>
              <w:t>35,377</w:t>
            </w: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68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574,531</w:t>
            </w:r>
          </w:p>
        </w:tc>
        <w:tc>
          <w:tcPr>
            <w:tcW w:w="0" w:type="dxa"/>
            <w:vAlign w:val="bottom"/>
          </w:tcPr>
          <w:p>
            <w:pPr>
              <w:spacing w:after="0"/>
              <w:rPr>
                <w:sz w:val="1"/>
                <w:szCs w:val="1"/>
                <w:color w:val="auto"/>
              </w:rPr>
            </w:pPr>
          </w:p>
        </w:tc>
      </w:tr>
      <w:tr>
        <w:trPr>
          <w:trHeight w:val="124"/>
        </w:trPr>
        <w:tc>
          <w:tcPr>
            <w:tcW w:w="3080" w:type="dxa"/>
            <w:vAlign w:val="bottom"/>
            <w:shd w:val="clear" w:color="auto" w:fill="D8D8D8"/>
          </w:tcPr>
          <w:p>
            <w:pPr>
              <w:spacing w:after="0"/>
              <w:rPr>
                <w:sz w:val="10"/>
                <w:szCs w:val="10"/>
                <w:color w:val="auto"/>
              </w:rPr>
            </w:pPr>
          </w:p>
        </w:tc>
        <w:tc>
          <w:tcPr>
            <w:tcW w:w="780" w:type="dxa"/>
            <w:vAlign w:val="bottom"/>
            <w:shd w:val="clear" w:color="auto" w:fill="D8D8D8"/>
          </w:tcPr>
          <w:p>
            <w:pPr>
              <w:ind w:left="100"/>
              <w:spacing w:after="0" w:line="125" w:lineRule="exact"/>
              <w:rPr>
                <w:sz w:val="20"/>
                <w:szCs w:val="20"/>
                <w:color w:val="auto"/>
              </w:rPr>
            </w:pPr>
            <w:r>
              <w:rPr>
                <w:rFonts w:ascii="Arial" w:cs="Arial" w:eastAsia="Arial" w:hAnsi="Arial"/>
                <w:sz w:val="11"/>
                <w:szCs w:val="11"/>
                <w:color w:val="auto"/>
              </w:rPr>
              <w:t>based</w:t>
            </w:r>
          </w:p>
        </w:tc>
        <w:tc>
          <w:tcPr>
            <w:tcW w:w="64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7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5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57"/>
        </w:numPr>
        <w:rPr>
          <w:rFonts w:ascii="Arial" w:cs="Arial" w:eastAsia="Arial" w:hAnsi="Arial"/>
          <w:sz w:val="11"/>
          <w:szCs w:val="11"/>
          <w:color w:val="auto"/>
        </w:rPr>
      </w:pPr>
      <w:r>
        <w:rPr>
          <w:rFonts w:ascii="Arial" w:cs="Arial" w:eastAsia="Arial" w:hAnsi="Arial"/>
          <w:sz w:val="11"/>
          <w:szCs w:val="11"/>
          <w:color w:val="auto"/>
        </w:rPr>
        <w:t>A discussion of 2013 annual incentives is included in “Compensation Discussion and Analysis” (the “CD&amp;A”). The amounts earned for 2013 annual incentives are set forth in the Summary Compensation Table.</w:t>
      </w:r>
    </w:p>
    <w:p>
      <w:pPr>
        <w:ind w:left="330" w:right="40" w:hanging="330"/>
        <w:spacing w:after="0" w:line="234" w:lineRule="auto"/>
        <w:tabs>
          <w:tab w:leader="none" w:pos="330" w:val="left"/>
        </w:tabs>
        <w:numPr>
          <w:ilvl w:val="0"/>
          <w:numId w:val="57"/>
        </w:numPr>
        <w:rPr>
          <w:rFonts w:ascii="Arial" w:cs="Arial" w:eastAsia="Arial" w:hAnsi="Arial"/>
          <w:sz w:val="11"/>
          <w:szCs w:val="11"/>
          <w:color w:val="auto"/>
        </w:rPr>
      </w:pPr>
      <w:r>
        <w:rPr>
          <w:rFonts w:ascii="Arial" w:cs="Arial" w:eastAsia="Arial" w:hAnsi="Arial"/>
          <w:sz w:val="11"/>
          <w:szCs w:val="11"/>
          <w:color w:val="auto"/>
        </w:rPr>
        <w:t>For Mr. Nelson, represents both awards of PSUs and PCUs. Mr. Nelson’s PSUs and PCUs will vest on January 23, 2016, subject to continued employment through January 27, 2015 and attainment of performance goals based on Relative TSR (as defined in the CD&amp;A). PCUs are payable in cash upon vesting in an amount equal to the number of units that vest multiplied by the 90-day average closing stock price prior to the vesting date. For our other NEOs, represents PSUs, which vest on the third anniversary of the date of grant, subject to continued employment and the achievement of the performance goals described in the CD&amp;A. Awards are further discussed under “Long-Term Incentive Awards” in the CD&amp;A.</w:t>
      </w:r>
    </w:p>
    <w:p>
      <w:pPr>
        <w:spacing w:after="0" w:line="2" w:lineRule="exact"/>
        <w:rPr>
          <w:rFonts w:ascii="Arial" w:cs="Arial" w:eastAsia="Arial" w:hAnsi="Arial"/>
          <w:sz w:val="11"/>
          <w:szCs w:val="11"/>
          <w:color w:val="auto"/>
        </w:rPr>
      </w:pPr>
    </w:p>
    <w:p>
      <w:pPr>
        <w:ind w:left="330" w:right="60" w:hanging="330"/>
        <w:spacing w:after="0" w:line="234" w:lineRule="auto"/>
        <w:tabs>
          <w:tab w:leader="none" w:pos="330" w:val="left"/>
        </w:tabs>
        <w:numPr>
          <w:ilvl w:val="0"/>
          <w:numId w:val="57"/>
        </w:numPr>
        <w:rPr>
          <w:rFonts w:ascii="Arial" w:cs="Arial" w:eastAsia="Arial" w:hAnsi="Arial"/>
          <w:sz w:val="11"/>
          <w:szCs w:val="11"/>
          <w:color w:val="auto"/>
        </w:rPr>
      </w:pPr>
      <w:r>
        <w:rPr>
          <w:rFonts w:ascii="Arial" w:cs="Arial" w:eastAsia="Arial" w:hAnsi="Arial"/>
          <w:sz w:val="11"/>
          <w:szCs w:val="11"/>
          <w:color w:val="auto"/>
        </w:rPr>
        <w:t>For Mr. Nelson, represents awards of both RSUs and RCUs, which are scheduled to be settled on January 23, 2016, subject to continued employment through January 27, 2015. RCUs are generally payable upon vesting in cash in an amount equal to the number of units that vest multiplied by the 90-day average closing stock price prior to the vesting date. For our other NEOs, represents awards of RSUs which vest in equal installments on each of the first three anniversaries of the date of grant, subject to continued employment.</w:t>
      </w:r>
    </w:p>
    <w:p>
      <w:pPr>
        <w:spacing w:after="0" w:line="1" w:lineRule="exact"/>
        <w:rPr>
          <w:rFonts w:ascii="Arial" w:cs="Arial" w:eastAsia="Arial" w:hAnsi="Arial"/>
          <w:sz w:val="11"/>
          <w:szCs w:val="11"/>
          <w:color w:val="auto"/>
        </w:rPr>
      </w:pPr>
    </w:p>
    <w:p>
      <w:pPr>
        <w:ind w:left="330" w:right="120" w:hanging="330"/>
        <w:spacing w:after="0" w:line="241" w:lineRule="auto"/>
        <w:tabs>
          <w:tab w:leader="none" w:pos="330" w:val="left"/>
        </w:tabs>
        <w:numPr>
          <w:ilvl w:val="0"/>
          <w:numId w:val="57"/>
        </w:numPr>
        <w:rPr>
          <w:rFonts w:ascii="Arial" w:cs="Arial" w:eastAsia="Arial" w:hAnsi="Arial"/>
          <w:sz w:val="11"/>
          <w:szCs w:val="11"/>
          <w:color w:val="auto"/>
        </w:rPr>
      </w:pPr>
      <w:r>
        <w:rPr>
          <w:rFonts w:ascii="Arial" w:cs="Arial" w:eastAsia="Arial" w:hAnsi="Arial"/>
          <w:sz w:val="11"/>
          <w:szCs w:val="11"/>
          <w:color w:val="auto"/>
        </w:rPr>
        <w:t>Assumptions used in the calculation of the grant date fair value of the awards are included in Note 2 to our audited financial statements for the fiscal year ended December 31, 2013, included in our 2013 Form 10-K. The grant date value of the performance-based awards assuming attainment of the highest performance conditions are: for Mr. Nelson, $3,675,020; Mr. Wyshner, $900,004; Mr. Gartland, $900,004; Mr. De Shon, $900,004; and Mr. Siniscalchi, $749,992.</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32 </w:t>
      </w:r>
      <w:r>
        <w:rPr>
          <w:sz w:val="1"/>
          <w:szCs w:val="1"/>
          <w:color w:val="auto"/>
        </w:rPr>
        <w:drawing>
          <wp:inline distT="0" distB="0" distL="0" distR="0">
            <wp:extent cx="857885" cy="1143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38" w:name="page39"/>
    <w:bookmarkEnd w:id="38"/>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00" w:type="dxa"/>
            <w:vAlign w:val="bottom"/>
            <w:gridSpan w:val="3"/>
            <w:shd w:val="clear" w:color="auto" w:fill="000000"/>
          </w:tcPr>
          <w:p>
            <w:pPr>
              <w:jc w:val="right"/>
              <w:ind w:right="60"/>
              <w:spacing w:after="0"/>
              <w:rPr>
                <w:sz w:val="20"/>
                <w:szCs w:val="20"/>
                <w:color w:val="auto"/>
              </w:rPr>
            </w:pPr>
            <w:r>
              <w:rPr>
                <w:rFonts w:ascii="Arial" w:cs="Arial" w:eastAsia="Arial" w:hAnsi="Arial"/>
                <w:sz w:val="11"/>
                <w:szCs w:val="11"/>
                <w:b w:val="1"/>
                <w:bCs w:val="1"/>
                <w:color w:val="FFFFFF"/>
                <w:highlight w:val="black"/>
              </w:rPr>
              <w:t>EXECUTIVE COMPENSATION</w:t>
            </w:r>
          </w:p>
        </w:tc>
      </w:tr>
      <w:tr>
        <w:trPr>
          <w:trHeight w:val="335"/>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Outstanding Equity Awards at Fiscal Year-End Table</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rPr>
              <w:t>OPTION AWARDS</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1"/>
                <w:szCs w:val="11"/>
                <w:b w:val="1"/>
                <w:bCs w:val="1"/>
                <w:color w:val="auto"/>
              </w:rPr>
              <w:t>STOCK AWARDS</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2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jc w:val="center"/>
              <w:ind w:left="24"/>
              <w:spacing w:after="0" w:line="101" w:lineRule="exact"/>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8"/>
                <w:szCs w:val="8"/>
                <w:color w:val="auto"/>
              </w:rPr>
            </w:pP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Incentive</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Plan</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Equity</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Awards:</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Incentive</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Market or</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Market</w:t>
            </w:r>
          </w:p>
        </w:tc>
        <w:tc>
          <w:tcPr>
            <w:tcW w:w="90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auto"/>
              </w:rPr>
              <w:t>Plan</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8"/>
              </w:rPr>
              <w:t>Payout</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Equity</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104"/>
              <w:spacing w:after="0" w:line="124" w:lineRule="exact"/>
              <w:rPr>
                <w:sz w:val="20"/>
                <w:szCs w:val="20"/>
                <w:color w:val="auto"/>
              </w:rPr>
            </w:pPr>
            <w:r>
              <w:rPr>
                <w:rFonts w:ascii="Arial" w:cs="Arial" w:eastAsia="Arial" w:hAnsi="Arial"/>
                <w:sz w:val="11"/>
                <w:szCs w:val="11"/>
                <w:b w:val="1"/>
                <w:bCs w:val="1"/>
                <w:color w:val="auto"/>
              </w:rPr>
              <w:t>Number</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Value of</w:t>
            </w:r>
          </w:p>
        </w:tc>
        <w:tc>
          <w:tcPr>
            <w:tcW w:w="90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auto"/>
              </w:rPr>
              <w:t>Awards:</w:t>
            </w:r>
          </w:p>
        </w:tc>
        <w:tc>
          <w:tcPr>
            <w:tcW w:w="80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rPr>
              <w:t>Value of</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Number of</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Incentive Plan</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104"/>
              <w:spacing w:after="0" w:line="124" w:lineRule="exact"/>
              <w:rPr>
                <w:sz w:val="20"/>
                <w:szCs w:val="20"/>
                <w:color w:val="auto"/>
              </w:rPr>
            </w:pPr>
            <w:r>
              <w:rPr>
                <w:rFonts w:ascii="Arial" w:cs="Arial" w:eastAsia="Arial" w:hAnsi="Arial"/>
                <w:sz w:val="11"/>
                <w:szCs w:val="11"/>
                <w:b w:val="1"/>
                <w:bCs w:val="1"/>
                <w:color w:val="auto"/>
                <w:w w:val="95"/>
              </w:rPr>
              <w:t>of</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Shares or</w:t>
            </w:r>
          </w:p>
        </w:tc>
        <w:tc>
          <w:tcPr>
            <w:tcW w:w="90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auto"/>
              </w:rPr>
              <w:t>Number of</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Unearned</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Securities</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Awards: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104"/>
              <w:spacing w:after="0" w:line="124" w:lineRule="exact"/>
              <w:rPr>
                <w:sz w:val="20"/>
                <w:szCs w:val="20"/>
                <w:color w:val="auto"/>
              </w:rPr>
            </w:pPr>
            <w:r>
              <w:rPr>
                <w:rFonts w:ascii="Arial" w:cs="Arial" w:eastAsia="Arial" w:hAnsi="Arial"/>
                <w:sz w:val="11"/>
                <w:szCs w:val="11"/>
                <w:b w:val="1"/>
                <w:bCs w:val="1"/>
                <w:color w:val="auto"/>
              </w:rPr>
              <w:t>Shares</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Units of</w:t>
            </w:r>
          </w:p>
        </w:tc>
        <w:tc>
          <w:tcPr>
            <w:tcW w:w="900" w:type="dxa"/>
            <w:vAlign w:val="bottom"/>
          </w:tcPr>
          <w:p>
            <w:pPr>
              <w:jc w:val="center"/>
              <w:ind w:left="4"/>
              <w:spacing w:after="0" w:line="124" w:lineRule="exact"/>
              <w:rPr>
                <w:sz w:val="20"/>
                <w:szCs w:val="20"/>
                <w:color w:val="auto"/>
              </w:rPr>
            </w:pPr>
            <w:r>
              <w:rPr>
                <w:rFonts w:ascii="Arial" w:cs="Arial" w:eastAsia="Arial" w:hAnsi="Arial"/>
                <w:sz w:val="11"/>
                <w:szCs w:val="11"/>
                <w:b w:val="1"/>
                <w:bCs w:val="1"/>
                <w:color w:val="auto"/>
              </w:rPr>
              <w:t>Unearned</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Shares,</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rPr>
              <w:t>Number of</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Underlying</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104"/>
              <w:spacing w:after="0" w:line="124" w:lineRule="exact"/>
              <w:rPr>
                <w:sz w:val="20"/>
                <w:szCs w:val="20"/>
                <w:color w:val="auto"/>
              </w:rPr>
            </w:pPr>
            <w:r>
              <w:rPr>
                <w:rFonts w:ascii="Arial" w:cs="Arial" w:eastAsia="Arial" w:hAnsi="Arial"/>
                <w:sz w:val="11"/>
                <w:szCs w:val="11"/>
                <w:b w:val="1"/>
                <w:bCs w:val="1"/>
                <w:color w:val="auto"/>
              </w:rPr>
              <w:t>or Units</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Stock</w:t>
            </w: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Shares,</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Units or</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jc w:val="center"/>
              <w:ind w:right="64"/>
              <w:spacing w:after="0" w:line="124" w:lineRule="exact"/>
              <w:rPr>
                <w:sz w:val="20"/>
                <w:szCs w:val="20"/>
                <w:color w:val="auto"/>
              </w:rPr>
            </w:pPr>
            <w:r>
              <w:rPr>
                <w:rFonts w:ascii="Arial" w:cs="Arial" w:eastAsia="Arial" w:hAnsi="Arial"/>
                <w:sz w:val="11"/>
                <w:szCs w:val="11"/>
                <w:b w:val="1"/>
                <w:bCs w:val="1"/>
                <w:color w:val="auto"/>
              </w:rPr>
              <w:t>Securities</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Unexercised</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rPr>
              <w:t>of Stock</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That</w:t>
            </w: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Units or</w:t>
            </w:r>
          </w:p>
        </w:tc>
        <w:tc>
          <w:tcPr>
            <w:tcW w:w="80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rPr>
              <w:t>Other</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jc w:val="center"/>
              <w:ind w:right="64"/>
              <w:spacing w:after="0" w:line="124" w:lineRule="exact"/>
              <w:rPr>
                <w:sz w:val="20"/>
                <w:szCs w:val="20"/>
                <w:color w:val="auto"/>
              </w:rPr>
            </w:pPr>
            <w:r>
              <w:rPr>
                <w:rFonts w:ascii="Arial" w:cs="Arial" w:eastAsia="Arial" w:hAnsi="Arial"/>
                <w:sz w:val="11"/>
                <w:szCs w:val="11"/>
                <w:b w:val="1"/>
                <w:bCs w:val="1"/>
                <w:color w:val="auto"/>
              </w:rPr>
              <w:t>Underlying</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Options</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Options</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rPr>
              <w:t>That</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Have</w:t>
            </w: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Other</w:t>
            </w:r>
          </w:p>
        </w:tc>
        <w:tc>
          <w:tcPr>
            <w:tcW w:w="80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Rights</w:t>
            </w:r>
          </w:p>
        </w:tc>
      </w:tr>
      <w:tr>
        <w:trPr>
          <w:trHeight w:val="124"/>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jc w:val="center"/>
              <w:ind w:right="64"/>
              <w:spacing w:after="0" w:line="124" w:lineRule="exact"/>
              <w:rPr>
                <w:sz w:val="20"/>
                <w:szCs w:val="20"/>
                <w:color w:val="auto"/>
              </w:rPr>
            </w:pPr>
            <w:r>
              <w:rPr>
                <w:rFonts w:ascii="Arial" w:cs="Arial" w:eastAsia="Arial" w:hAnsi="Arial"/>
                <w:sz w:val="11"/>
                <w:szCs w:val="11"/>
                <w:b w:val="1"/>
                <w:bCs w:val="1"/>
                <w:color w:val="auto"/>
              </w:rPr>
              <w:t>Unexercised</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8"/>
              </w:rPr>
              <w:t>(#)</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Unexercisable</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Exercise</w:t>
            </w:r>
          </w:p>
        </w:tc>
        <w:tc>
          <w:tcPr>
            <w:tcW w:w="98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rPr>
              <w:t>Options</w:t>
            </w:r>
          </w:p>
        </w:tc>
        <w:tc>
          <w:tcPr>
            <w:tcW w:w="66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rPr>
              <w:t>Have Not</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Not</w:t>
            </w: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Rights That</w:t>
            </w:r>
          </w:p>
        </w:tc>
        <w:tc>
          <w:tcPr>
            <w:tcW w:w="80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rPr>
              <w:t>That Have</w:t>
            </w:r>
          </w:p>
        </w:tc>
      </w:tr>
      <w:tr>
        <w:trPr>
          <w:trHeight w:val="124"/>
        </w:trPr>
        <w:tc>
          <w:tcPr>
            <w:tcW w:w="2760" w:type="dxa"/>
            <w:vAlign w:val="bottom"/>
          </w:tcPr>
          <w:p>
            <w:pPr>
              <w:spacing w:after="0"/>
              <w:rPr>
                <w:sz w:val="10"/>
                <w:szCs w:val="10"/>
                <w:color w:val="auto"/>
              </w:rPr>
            </w:pPr>
          </w:p>
        </w:tc>
        <w:tc>
          <w:tcPr>
            <w:tcW w:w="880" w:type="dxa"/>
            <w:vAlign w:val="bottom"/>
          </w:tcPr>
          <w:p>
            <w:pPr>
              <w:jc w:val="right"/>
              <w:ind w:right="264"/>
              <w:spacing w:after="0" w:line="124" w:lineRule="exact"/>
              <w:rPr>
                <w:sz w:val="20"/>
                <w:szCs w:val="20"/>
                <w:color w:val="auto"/>
              </w:rPr>
            </w:pPr>
            <w:r>
              <w:rPr>
                <w:rFonts w:ascii="Arial" w:cs="Arial" w:eastAsia="Arial" w:hAnsi="Arial"/>
                <w:sz w:val="11"/>
                <w:szCs w:val="11"/>
                <w:b w:val="1"/>
                <w:bCs w:val="1"/>
                <w:color w:val="auto"/>
              </w:rPr>
              <w:t>Grant</w:t>
            </w:r>
          </w:p>
        </w:tc>
        <w:tc>
          <w:tcPr>
            <w:tcW w:w="940" w:type="dxa"/>
            <w:vAlign w:val="bottom"/>
          </w:tcPr>
          <w:p>
            <w:pPr>
              <w:jc w:val="center"/>
              <w:ind w:right="64"/>
              <w:spacing w:after="0" w:line="124" w:lineRule="exact"/>
              <w:rPr>
                <w:sz w:val="20"/>
                <w:szCs w:val="20"/>
                <w:color w:val="auto"/>
              </w:rPr>
            </w:pPr>
            <w:r>
              <w:rPr>
                <w:rFonts w:ascii="Arial" w:cs="Arial" w:eastAsia="Arial" w:hAnsi="Arial"/>
                <w:sz w:val="11"/>
                <w:szCs w:val="11"/>
                <w:b w:val="1"/>
                <w:bCs w:val="1"/>
                <w:color w:val="auto"/>
              </w:rPr>
              <w:t>Options</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Unexercisable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Unearned</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Price</w:t>
            </w:r>
          </w:p>
        </w:tc>
        <w:tc>
          <w:tcPr>
            <w:tcW w:w="98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jc w:val="center"/>
              <w:ind w:right="84"/>
              <w:spacing w:after="0" w:line="124" w:lineRule="exact"/>
              <w:rPr>
                <w:sz w:val="20"/>
                <w:szCs w:val="20"/>
                <w:color w:val="auto"/>
              </w:rPr>
            </w:pPr>
            <w:r>
              <w:rPr>
                <w:rFonts w:ascii="Arial" w:cs="Arial" w:eastAsia="Arial" w:hAnsi="Arial"/>
                <w:sz w:val="11"/>
                <w:szCs w:val="11"/>
                <w:b w:val="1"/>
                <w:bCs w:val="1"/>
                <w:color w:val="auto"/>
                <w:w w:val="99"/>
              </w:rPr>
              <w:t>Vested</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Vested</w:t>
            </w:r>
          </w:p>
        </w:tc>
        <w:tc>
          <w:tcPr>
            <w:tcW w:w="900" w:type="dxa"/>
            <w:vAlign w:val="bottom"/>
          </w:tcPr>
          <w:p>
            <w:pPr>
              <w:jc w:val="center"/>
              <w:ind w:left="24"/>
              <w:spacing w:after="0" w:line="124" w:lineRule="exact"/>
              <w:rPr>
                <w:sz w:val="20"/>
                <w:szCs w:val="20"/>
                <w:color w:val="auto"/>
              </w:rPr>
            </w:pPr>
            <w:r>
              <w:rPr>
                <w:rFonts w:ascii="Arial" w:cs="Arial" w:eastAsia="Arial" w:hAnsi="Arial"/>
                <w:sz w:val="11"/>
                <w:szCs w:val="11"/>
                <w:b w:val="1"/>
                <w:bCs w:val="1"/>
                <w:color w:val="auto"/>
              </w:rPr>
              <w:t>Have Not</w:t>
            </w:r>
          </w:p>
        </w:tc>
        <w:tc>
          <w:tcPr>
            <w:tcW w:w="80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rPr>
              <w:t>Not Vested</w:t>
            </w:r>
          </w:p>
        </w:tc>
      </w:tr>
      <w:tr>
        <w:trPr>
          <w:trHeight w:val="138"/>
        </w:trPr>
        <w:tc>
          <w:tcPr>
            <w:tcW w:w="2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Date</w:t>
            </w: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rPr>
              <w:t>(#) Exercisable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66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900" w:type="dxa"/>
            <w:vAlign w:val="bottom"/>
            <w:tcBorders>
              <w:bottom w:val="single" w:sz="8" w:color="auto"/>
            </w:tcBorders>
          </w:tcPr>
          <w:p>
            <w:pPr>
              <w:jc w:val="center"/>
              <w:ind w:left="24"/>
              <w:spacing w:after="0"/>
              <w:rPr>
                <w:sz w:val="20"/>
                <w:szCs w:val="20"/>
                <w:color w:val="auto"/>
              </w:rPr>
            </w:pPr>
            <w:r>
              <w:rPr>
                <w:rFonts w:ascii="Arial" w:cs="Arial" w:eastAsia="Arial" w:hAnsi="Arial"/>
                <w:sz w:val="11"/>
                <w:szCs w:val="11"/>
                <w:b w:val="1"/>
                <w:bCs w:val="1"/>
                <w:color w:val="auto"/>
              </w:rPr>
              <w:t>Vested (#)</w:t>
            </w:r>
          </w:p>
        </w:tc>
        <w:tc>
          <w:tcPr>
            <w:tcW w:w="8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rPr>
              <w:t>($)(q)</w:t>
            </w:r>
          </w:p>
        </w:tc>
      </w:tr>
      <w:tr>
        <w:trPr>
          <w:trHeight w:val="115"/>
        </w:trPr>
        <w:tc>
          <w:tcPr>
            <w:tcW w:w="2760" w:type="dxa"/>
            <w:vAlign w:val="bottom"/>
            <w:shd w:val="clear" w:color="auto" w:fill="D8D8D8"/>
          </w:tcPr>
          <w:p>
            <w:pPr>
              <w:spacing w:after="0" w:line="115"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15" w:lineRule="exact"/>
              <w:rPr>
                <w:sz w:val="20"/>
                <w:szCs w:val="20"/>
                <w:color w:val="auto"/>
              </w:rPr>
            </w:pPr>
            <w:r>
              <w:rPr>
                <w:rFonts w:ascii="Arial" w:cs="Arial" w:eastAsia="Arial" w:hAnsi="Arial"/>
                <w:sz w:val="11"/>
                <w:szCs w:val="11"/>
                <w:color w:val="auto"/>
              </w:rPr>
              <w:t>1/23/13</w:t>
            </w:r>
          </w:p>
        </w:tc>
        <w:tc>
          <w:tcPr>
            <w:tcW w:w="940" w:type="dxa"/>
            <w:vAlign w:val="bottom"/>
            <w:shd w:val="clear" w:color="auto" w:fill="D8D8D8"/>
          </w:tcPr>
          <w:p>
            <w:pPr>
              <w:spacing w:after="0"/>
              <w:rPr>
                <w:sz w:val="9"/>
                <w:szCs w:val="9"/>
                <w:color w:val="auto"/>
              </w:rPr>
            </w:pPr>
          </w:p>
        </w:tc>
        <w:tc>
          <w:tcPr>
            <w:tcW w:w="1040" w:type="dxa"/>
            <w:vAlign w:val="bottom"/>
            <w:shd w:val="clear" w:color="auto" w:fill="D8D8D8"/>
          </w:tcPr>
          <w:p>
            <w:pPr>
              <w:spacing w:after="0"/>
              <w:rPr>
                <w:sz w:val="9"/>
                <w:szCs w:val="9"/>
                <w:color w:val="auto"/>
              </w:rPr>
            </w:pPr>
          </w:p>
        </w:tc>
        <w:tc>
          <w:tcPr>
            <w:tcW w:w="1000" w:type="dxa"/>
            <w:vAlign w:val="bottom"/>
            <w:shd w:val="clear" w:color="auto" w:fill="D8D8D8"/>
          </w:tcPr>
          <w:p>
            <w:pPr>
              <w:spacing w:after="0"/>
              <w:rPr>
                <w:sz w:val="9"/>
                <w:szCs w:val="9"/>
                <w:color w:val="auto"/>
              </w:rPr>
            </w:pPr>
          </w:p>
        </w:tc>
        <w:tc>
          <w:tcPr>
            <w:tcW w:w="700" w:type="dxa"/>
            <w:vAlign w:val="bottom"/>
            <w:shd w:val="clear" w:color="auto" w:fill="D8D8D8"/>
          </w:tcPr>
          <w:p>
            <w:pPr>
              <w:spacing w:after="0"/>
              <w:rPr>
                <w:sz w:val="9"/>
                <w:szCs w:val="9"/>
                <w:color w:val="auto"/>
              </w:rPr>
            </w:pPr>
          </w:p>
        </w:tc>
        <w:tc>
          <w:tcPr>
            <w:tcW w:w="700" w:type="dxa"/>
            <w:vAlign w:val="bottom"/>
            <w:shd w:val="clear" w:color="auto" w:fill="D8D8D8"/>
          </w:tcPr>
          <w:p>
            <w:pPr>
              <w:spacing w:after="0"/>
              <w:rPr>
                <w:sz w:val="9"/>
                <w:szCs w:val="9"/>
                <w:color w:val="auto"/>
              </w:rPr>
            </w:pPr>
          </w:p>
        </w:tc>
        <w:tc>
          <w:tcPr>
            <w:tcW w:w="280" w:type="dxa"/>
            <w:vAlign w:val="bottom"/>
            <w:shd w:val="clear" w:color="auto" w:fill="D8D8D8"/>
          </w:tcPr>
          <w:p>
            <w:pPr>
              <w:spacing w:after="0"/>
              <w:rPr>
                <w:sz w:val="9"/>
                <w:szCs w:val="9"/>
                <w:color w:val="auto"/>
              </w:rPr>
            </w:pPr>
          </w:p>
        </w:tc>
        <w:tc>
          <w:tcPr>
            <w:tcW w:w="660" w:type="dxa"/>
            <w:vAlign w:val="bottom"/>
            <w:shd w:val="clear" w:color="auto" w:fill="D8D8D8"/>
          </w:tcPr>
          <w:p>
            <w:pPr>
              <w:jc w:val="right"/>
              <w:ind w:right="84"/>
              <w:spacing w:after="0" w:line="115" w:lineRule="exact"/>
              <w:rPr>
                <w:sz w:val="20"/>
                <w:szCs w:val="20"/>
                <w:color w:val="auto"/>
              </w:rPr>
            </w:pPr>
            <w:r>
              <w:rPr>
                <w:rFonts w:ascii="Arial" w:cs="Arial" w:eastAsia="Arial" w:hAnsi="Arial"/>
                <w:sz w:val="11"/>
                <w:szCs w:val="11"/>
                <w:color w:val="auto"/>
              </w:rPr>
              <w:t>49,528(c)</w:t>
            </w:r>
          </w:p>
        </w:tc>
        <w:tc>
          <w:tcPr>
            <w:tcW w:w="780" w:type="dxa"/>
            <w:vAlign w:val="bottom"/>
            <w:shd w:val="clear" w:color="auto" w:fill="D8D8D8"/>
          </w:tcPr>
          <w:p>
            <w:pPr>
              <w:jc w:val="right"/>
              <w:ind w:right="44"/>
              <w:spacing w:after="0" w:line="115" w:lineRule="exact"/>
              <w:rPr>
                <w:sz w:val="20"/>
                <w:szCs w:val="20"/>
                <w:color w:val="auto"/>
              </w:rPr>
            </w:pPr>
            <w:r>
              <w:rPr>
                <w:rFonts w:ascii="Arial" w:cs="Arial" w:eastAsia="Arial" w:hAnsi="Arial"/>
                <w:sz w:val="11"/>
                <w:szCs w:val="11"/>
                <w:color w:val="auto"/>
              </w:rPr>
              <w:t>1,796,876</w:t>
            </w:r>
          </w:p>
        </w:tc>
        <w:tc>
          <w:tcPr>
            <w:tcW w:w="900" w:type="dxa"/>
            <w:vAlign w:val="bottom"/>
            <w:shd w:val="clear" w:color="auto" w:fill="D8D8D8"/>
          </w:tcPr>
          <w:p>
            <w:pPr>
              <w:jc w:val="right"/>
              <w:ind w:right="44"/>
              <w:spacing w:after="0" w:line="115" w:lineRule="exact"/>
              <w:rPr>
                <w:sz w:val="20"/>
                <w:szCs w:val="20"/>
                <w:color w:val="auto"/>
              </w:rPr>
            </w:pPr>
            <w:r>
              <w:rPr>
                <w:rFonts w:ascii="Arial" w:cs="Arial" w:eastAsia="Arial" w:hAnsi="Arial"/>
                <w:sz w:val="11"/>
                <w:szCs w:val="11"/>
                <w:color w:val="auto"/>
              </w:rPr>
              <w:t>115,566(i)</w:t>
            </w:r>
          </w:p>
        </w:tc>
        <w:tc>
          <w:tcPr>
            <w:tcW w:w="800" w:type="dxa"/>
            <w:vAlign w:val="bottom"/>
            <w:gridSpan w:val="2"/>
            <w:shd w:val="clear" w:color="auto" w:fill="D8D8D8"/>
          </w:tcPr>
          <w:p>
            <w:pPr>
              <w:jc w:val="right"/>
              <w:ind w:right="120"/>
              <w:spacing w:after="0" w:line="115" w:lineRule="exact"/>
              <w:rPr>
                <w:sz w:val="20"/>
                <w:szCs w:val="20"/>
                <w:color w:val="auto"/>
              </w:rPr>
            </w:pPr>
            <w:r>
              <w:rPr>
                <w:rFonts w:ascii="Arial" w:cs="Arial" w:eastAsia="Arial" w:hAnsi="Arial"/>
                <w:sz w:val="11"/>
                <w:szCs w:val="11"/>
                <w:color w:val="auto"/>
              </w:rPr>
              <w:t>4,192,734</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8/3/12</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69,216(d)</w:t>
            </w:r>
          </w:p>
        </w:tc>
        <w:tc>
          <w:tcPr>
            <w:tcW w:w="78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2,511,156</w:t>
            </w: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161,502(j)</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5,859,293</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1/26/11</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93,326(k)</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3,772,237</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1/27/10</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300,000(l)</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12,126,000</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1/27/10</w:t>
            </w:r>
          </w:p>
        </w:tc>
        <w:tc>
          <w:tcPr>
            <w:tcW w:w="9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96,000</w:t>
            </w: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11.53</w:t>
            </w:r>
          </w:p>
        </w:tc>
        <w:tc>
          <w:tcPr>
            <w:tcW w:w="980" w:type="dxa"/>
            <w:vAlign w:val="bottom"/>
            <w:gridSpan w:val="2"/>
            <w:shd w:val="clear" w:color="auto" w:fill="D8D8D8"/>
          </w:tcPr>
          <w:p>
            <w:pPr>
              <w:jc w:val="right"/>
              <w:ind w:right="280"/>
              <w:spacing w:after="0" w:line="124" w:lineRule="exact"/>
              <w:rPr>
                <w:sz w:val="20"/>
                <w:szCs w:val="20"/>
                <w:color w:val="auto"/>
              </w:rPr>
            </w:pPr>
            <w:r>
              <w:rPr>
                <w:rFonts w:ascii="Arial" w:cs="Arial" w:eastAsia="Arial" w:hAnsi="Arial"/>
                <w:sz w:val="11"/>
                <w:szCs w:val="11"/>
                <w:color w:val="auto"/>
              </w:rPr>
              <w:t>1/27/20</w:t>
            </w: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1/28/09</w:t>
            </w:r>
          </w:p>
        </w:tc>
        <w:tc>
          <w:tcPr>
            <w:tcW w:w="9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212,500</w:t>
            </w: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0.79</w:t>
            </w:r>
          </w:p>
        </w:tc>
        <w:tc>
          <w:tcPr>
            <w:tcW w:w="980" w:type="dxa"/>
            <w:vAlign w:val="bottom"/>
            <w:gridSpan w:val="2"/>
            <w:shd w:val="clear" w:color="auto" w:fill="D8D8D8"/>
          </w:tcPr>
          <w:p>
            <w:pPr>
              <w:jc w:val="right"/>
              <w:ind w:right="280"/>
              <w:spacing w:after="0" w:line="124" w:lineRule="exact"/>
              <w:rPr>
                <w:sz w:val="20"/>
                <w:szCs w:val="20"/>
                <w:color w:val="auto"/>
              </w:rPr>
            </w:pPr>
            <w:r>
              <w:rPr>
                <w:rFonts w:ascii="Arial" w:cs="Arial" w:eastAsia="Arial" w:hAnsi="Arial"/>
                <w:sz w:val="11"/>
                <w:szCs w:val="11"/>
                <w:color w:val="auto"/>
              </w:rPr>
              <w:t>1/28/19</w:t>
            </w: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r>
      <w:tr>
        <w:trPr>
          <w:trHeight w:val="136"/>
        </w:trPr>
        <w:tc>
          <w:tcPr>
            <w:tcW w:w="2760" w:type="dxa"/>
            <w:vAlign w:val="bottom"/>
            <w:shd w:val="clear" w:color="auto" w:fill="D8D8D8"/>
          </w:tcPr>
          <w:p>
            <w:pPr>
              <w:spacing w:after="0"/>
              <w:rPr>
                <w:sz w:val="20"/>
                <w:szCs w:val="20"/>
                <w:color w:val="auto"/>
              </w:rPr>
            </w:pPr>
            <w:r>
              <w:rPr>
                <w:rFonts w:ascii="Arial" w:cs="Arial" w:eastAsia="Arial" w:hAnsi="Arial"/>
                <w:sz w:val="11"/>
                <w:szCs w:val="11"/>
                <w:color w:val="auto"/>
              </w:rPr>
              <w:t>Mr. Nelson</w:t>
            </w:r>
          </w:p>
        </w:tc>
        <w:tc>
          <w:tcPr>
            <w:tcW w:w="88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1/28/09</w:t>
            </w:r>
          </w:p>
        </w:tc>
        <w:tc>
          <w:tcPr>
            <w:tcW w:w="94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212,500</w:t>
            </w:r>
          </w:p>
        </w:tc>
        <w:tc>
          <w:tcPr>
            <w:tcW w:w="104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64,000</w:t>
            </w:r>
          </w:p>
        </w:tc>
        <w:tc>
          <w:tcPr>
            <w:tcW w:w="1000" w:type="dxa"/>
            <w:vAlign w:val="bottom"/>
            <w:shd w:val="clear" w:color="auto" w:fill="D8D8D8"/>
          </w:tcPr>
          <w:p>
            <w:pPr>
              <w:spacing w:after="0"/>
              <w:rPr>
                <w:sz w:val="11"/>
                <w:szCs w:val="11"/>
                <w:color w:val="auto"/>
              </w:rPr>
            </w:pPr>
          </w:p>
        </w:tc>
        <w:tc>
          <w:tcPr>
            <w:tcW w:w="7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0.79</w:t>
            </w:r>
          </w:p>
        </w:tc>
        <w:tc>
          <w:tcPr>
            <w:tcW w:w="980" w:type="dxa"/>
            <w:vAlign w:val="bottom"/>
            <w:gridSpan w:val="2"/>
            <w:shd w:val="clear" w:color="auto" w:fill="D8D8D8"/>
          </w:tcPr>
          <w:p>
            <w:pPr>
              <w:jc w:val="right"/>
              <w:ind w:right="280"/>
              <w:spacing w:after="0"/>
              <w:rPr>
                <w:sz w:val="20"/>
                <w:szCs w:val="20"/>
                <w:color w:val="auto"/>
              </w:rPr>
            </w:pPr>
            <w:r>
              <w:rPr>
                <w:rFonts w:ascii="Arial" w:cs="Arial" w:eastAsia="Arial" w:hAnsi="Arial"/>
                <w:sz w:val="11"/>
                <w:szCs w:val="11"/>
                <w:color w:val="auto"/>
              </w:rPr>
              <w:t>1/28/19</w:t>
            </w:r>
          </w:p>
        </w:tc>
        <w:tc>
          <w:tcPr>
            <w:tcW w:w="66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9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rPr>
                <w:sz w:val="20"/>
                <w:szCs w:val="20"/>
                <w:color w:val="auto"/>
              </w:rPr>
            </w:pPr>
            <w:r>
              <w:rPr>
                <w:rFonts w:ascii="Arial" w:cs="Arial" w:eastAsia="Arial" w:hAnsi="Arial"/>
                <w:sz w:val="11"/>
                <w:szCs w:val="11"/>
                <w:color w:val="auto"/>
              </w:rPr>
              <w:t>1/23/13</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28,302(e)</w:t>
            </w:r>
          </w:p>
        </w:tc>
        <w:tc>
          <w:tcPr>
            <w:tcW w:w="780" w:type="dxa"/>
            <w:vAlign w:val="bottom"/>
          </w:tcPr>
          <w:p>
            <w:pPr>
              <w:jc w:val="right"/>
              <w:ind w:right="44"/>
              <w:spacing w:after="0"/>
              <w:rPr>
                <w:sz w:val="20"/>
                <w:szCs w:val="20"/>
                <w:color w:val="auto"/>
              </w:rPr>
            </w:pPr>
            <w:r>
              <w:rPr>
                <w:rFonts w:ascii="Arial" w:cs="Arial" w:eastAsia="Arial" w:hAnsi="Arial"/>
                <w:sz w:val="11"/>
                <w:szCs w:val="11"/>
                <w:color w:val="auto"/>
              </w:rPr>
              <w:t>1,143,967</w:t>
            </w:r>
          </w:p>
        </w:tc>
        <w:tc>
          <w:tcPr>
            <w:tcW w:w="900" w:type="dxa"/>
            <w:vAlign w:val="bottom"/>
          </w:tcPr>
          <w:p>
            <w:pPr>
              <w:jc w:val="right"/>
              <w:ind w:right="44"/>
              <w:spacing w:after="0"/>
              <w:rPr>
                <w:sz w:val="20"/>
                <w:szCs w:val="20"/>
                <w:color w:val="auto"/>
              </w:rPr>
            </w:pPr>
            <w:r>
              <w:rPr>
                <w:rFonts w:ascii="Arial" w:cs="Arial" w:eastAsia="Arial" w:hAnsi="Arial"/>
                <w:sz w:val="11"/>
                <w:szCs w:val="11"/>
                <w:color w:val="auto"/>
              </w:rPr>
              <w:t>28,302(m)</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1,143,967</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27,778(f)</w:t>
            </w:r>
          </w:p>
        </w:tc>
        <w:tc>
          <w:tcPr>
            <w:tcW w:w="780" w:type="dxa"/>
            <w:vAlign w:val="bottom"/>
          </w:tcPr>
          <w:p>
            <w:pPr>
              <w:jc w:val="right"/>
              <w:ind w:right="44"/>
              <w:spacing w:after="0" w:line="124" w:lineRule="exact"/>
              <w:rPr>
                <w:sz w:val="20"/>
                <w:szCs w:val="20"/>
                <w:color w:val="auto"/>
              </w:rPr>
            </w:pPr>
            <w:r>
              <w:rPr>
                <w:rFonts w:ascii="Arial" w:cs="Arial" w:eastAsia="Arial" w:hAnsi="Arial"/>
                <w:sz w:val="11"/>
                <w:szCs w:val="11"/>
                <w:color w:val="auto"/>
              </w:rPr>
              <w:t>1,122,787</w:t>
            </w: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138,889(n)</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5,613,893</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11,582(g)</w:t>
            </w:r>
          </w:p>
        </w:tc>
        <w:tc>
          <w:tcPr>
            <w:tcW w:w="780" w:type="dxa"/>
            <w:vAlign w:val="bottom"/>
          </w:tcPr>
          <w:p>
            <w:pPr>
              <w:jc w:val="right"/>
              <w:ind w:right="44"/>
              <w:spacing w:after="0" w:line="124" w:lineRule="exact"/>
              <w:rPr>
                <w:sz w:val="20"/>
                <w:szCs w:val="20"/>
                <w:color w:val="auto"/>
              </w:rPr>
            </w:pPr>
            <w:r>
              <w:rPr>
                <w:rFonts w:ascii="Arial" w:cs="Arial" w:eastAsia="Arial" w:hAnsi="Arial"/>
                <w:sz w:val="11"/>
                <w:szCs w:val="11"/>
                <w:color w:val="auto"/>
              </w:rPr>
              <w:t>468,144</w:t>
            </w: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41,667(o)</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1,684,180</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1/26/11</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34,746(p)</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1,404,433</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1/28/09</w:t>
            </w:r>
          </w:p>
        </w:tc>
        <w:tc>
          <w:tcPr>
            <w:tcW w:w="94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22,500</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jc w:val="right"/>
              <w:ind w:right="64"/>
              <w:spacing w:after="0" w:line="124" w:lineRule="exact"/>
              <w:rPr>
                <w:sz w:val="20"/>
                <w:szCs w:val="20"/>
                <w:color w:val="auto"/>
              </w:rPr>
            </w:pPr>
            <w:r>
              <w:rPr>
                <w:rFonts w:ascii="Arial" w:cs="Arial" w:eastAsia="Arial" w:hAnsi="Arial"/>
                <w:sz w:val="11"/>
                <w:szCs w:val="11"/>
                <w:color w:val="auto"/>
              </w:rPr>
              <w:t>0.79</w:t>
            </w:r>
          </w:p>
        </w:tc>
        <w:tc>
          <w:tcPr>
            <w:tcW w:w="980" w:type="dxa"/>
            <w:vAlign w:val="bottom"/>
            <w:gridSpan w:val="2"/>
          </w:tcPr>
          <w:p>
            <w:pPr>
              <w:jc w:val="right"/>
              <w:ind w:right="280"/>
              <w:spacing w:after="0" w:line="124" w:lineRule="exact"/>
              <w:rPr>
                <w:sz w:val="20"/>
                <w:szCs w:val="20"/>
                <w:color w:val="auto"/>
              </w:rPr>
            </w:pPr>
            <w:r>
              <w:rPr>
                <w:rFonts w:ascii="Arial" w:cs="Arial" w:eastAsia="Arial" w:hAnsi="Arial"/>
                <w:sz w:val="11"/>
                <w:szCs w:val="11"/>
                <w:color w:val="auto"/>
              </w:rPr>
              <w:t>01/28/19</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1/28/09</w:t>
            </w:r>
          </w:p>
        </w:tc>
        <w:tc>
          <w:tcPr>
            <w:tcW w:w="940" w:type="dxa"/>
            <w:vAlign w:val="bottom"/>
          </w:tcPr>
          <w:p>
            <w:pPr>
              <w:jc w:val="right"/>
              <w:ind w:right="84"/>
              <w:spacing w:after="0" w:line="124" w:lineRule="exact"/>
              <w:rPr>
                <w:sz w:val="20"/>
                <w:szCs w:val="20"/>
                <w:color w:val="auto"/>
              </w:rPr>
            </w:pPr>
            <w:r>
              <w:rPr>
                <w:rFonts w:ascii="Arial" w:cs="Arial" w:eastAsia="Arial" w:hAnsi="Arial"/>
                <w:sz w:val="11"/>
                <w:szCs w:val="11"/>
                <w:color w:val="auto"/>
              </w:rPr>
              <w:t>60,000</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jc w:val="right"/>
              <w:ind w:right="64"/>
              <w:spacing w:after="0" w:line="124" w:lineRule="exact"/>
              <w:rPr>
                <w:sz w:val="20"/>
                <w:szCs w:val="20"/>
                <w:color w:val="auto"/>
              </w:rPr>
            </w:pPr>
            <w:r>
              <w:rPr>
                <w:rFonts w:ascii="Arial" w:cs="Arial" w:eastAsia="Arial" w:hAnsi="Arial"/>
                <w:sz w:val="11"/>
                <w:szCs w:val="11"/>
                <w:color w:val="auto"/>
              </w:rPr>
              <w:t>0.79</w:t>
            </w:r>
          </w:p>
        </w:tc>
        <w:tc>
          <w:tcPr>
            <w:tcW w:w="980" w:type="dxa"/>
            <w:vAlign w:val="bottom"/>
            <w:gridSpan w:val="2"/>
          </w:tcPr>
          <w:p>
            <w:pPr>
              <w:jc w:val="right"/>
              <w:ind w:right="280"/>
              <w:spacing w:after="0" w:line="124" w:lineRule="exact"/>
              <w:rPr>
                <w:sz w:val="20"/>
                <w:szCs w:val="20"/>
                <w:color w:val="auto"/>
              </w:rPr>
            </w:pPr>
            <w:r>
              <w:rPr>
                <w:rFonts w:ascii="Arial" w:cs="Arial" w:eastAsia="Arial" w:hAnsi="Arial"/>
                <w:sz w:val="11"/>
                <w:szCs w:val="11"/>
                <w:color w:val="auto"/>
              </w:rPr>
              <w:t>01/28/19</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4/26/05</w:t>
            </w:r>
          </w:p>
        </w:tc>
        <w:tc>
          <w:tcPr>
            <w:tcW w:w="940" w:type="dxa"/>
            <w:vAlign w:val="bottom"/>
          </w:tcPr>
          <w:p>
            <w:pPr>
              <w:jc w:val="right"/>
              <w:ind w:right="84"/>
              <w:spacing w:after="0" w:line="124" w:lineRule="exact"/>
              <w:rPr>
                <w:sz w:val="20"/>
                <w:szCs w:val="20"/>
                <w:color w:val="auto"/>
              </w:rPr>
            </w:pPr>
            <w:r>
              <w:rPr>
                <w:rFonts w:ascii="Arial" w:cs="Arial" w:eastAsia="Arial" w:hAnsi="Arial"/>
                <w:sz w:val="11"/>
                <w:szCs w:val="11"/>
                <w:color w:val="auto"/>
              </w:rPr>
              <w:t>3,104</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jc w:val="right"/>
              <w:ind w:right="64"/>
              <w:spacing w:after="0" w:line="124" w:lineRule="exact"/>
              <w:rPr>
                <w:sz w:val="20"/>
                <w:szCs w:val="20"/>
                <w:color w:val="auto"/>
              </w:rPr>
            </w:pPr>
            <w:r>
              <w:rPr>
                <w:rFonts w:ascii="Arial" w:cs="Arial" w:eastAsia="Arial" w:hAnsi="Arial"/>
                <w:sz w:val="11"/>
                <w:szCs w:val="11"/>
                <w:color w:val="auto"/>
              </w:rPr>
              <w:t>30.04</w:t>
            </w:r>
          </w:p>
        </w:tc>
        <w:tc>
          <w:tcPr>
            <w:tcW w:w="980" w:type="dxa"/>
            <w:vAlign w:val="bottom"/>
            <w:gridSpan w:val="2"/>
          </w:tcPr>
          <w:p>
            <w:pPr>
              <w:jc w:val="right"/>
              <w:ind w:right="280"/>
              <w:spacing w:after="0" w:line="124" w:lineRule="exact"/>
              <w:rPr>
                <w:sz w:val="20"/>
                <w:szCs w:val="20"/>
                <w:color w:val="auto"/>
              </w:rPr>
            </w:pPr>
            <w:r>
              <w:rPr>
                <w:rFonts w:ascii="Arial" w:cs="Arial" w:eastAsia="Arial" w:hAnsi="Arial"/>
                <w:sz w:val="11"/>
                <w:szCs w:val="11"/>
                <w:color w:val="auto"/>
              </w:rPr>
              <w:t>4/26/15</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Mr. Wyshner</w:t>
            </w:r>
          </w:p>
        </w:tc>
        <w:tc>
          <w:tcPr>
            <w:tcW w:w="880" w:type="dxa"/>
            <w:vAlign w:val="bottom"/>
          </w:tcPr>
          <w:p>
            <w:pPr>
              <w:jc w:val="right"/>
              <w:ind w:right="204"/>
              <w:spacing w:after="0"/>
              <w:rPr>
                <w:sz w:val="20"/>
                <w:szCs w:val="20"/>
                <w:color w:val="auto"/>
              </w:rPr>
            </w:pPr>
            <w:r>
              <w:rPr>
                <w:rFonts w:ascii="Arial" w:cs="Arial" w:eastAsia="Arial" w:hAnsi="Arial"/>
                <w:sz w:val="11"/>
                <w:szCs w:val="11"/>
                <w:color w:val="auto"/>
              </w:rPr>
              <w:t>6/3/04</w:t>
            </w:r>
          </w:p>
        </w:tc>
        <w:tc>
          <w:tcPr>
            <w:tcW w:w="940" w:type="dxa"/>
            <w:vAlign w:val="bottom"/>
          </w:tcPr>
          <w:p>
            <w:pPr>
              <w:jc w:val="right"/>
              <w:ind w:right="84"/>
              <w:spacing w:after="0"/>
              <w:rPr>
                <w:sz w:val="20"/>
                <w:szCs w:val="20"/>
                <w:color w:val="auto"/>
              </w:rPr>
            </w:pPr>
            <w:r>
              <w:rPr>
                <w:rFonts w:ascii="Arial" w:cs="Arial" w:eastAsia="Arial" w:hAnsi="Arial"/>
                <w:sz w:val="11"/>
                <w:szCs w:val="11"/>
                <w:color w:val="auto"/>
              </w:rPr>
              <w:t>2,871</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33.26</w:t>
            </w:r>
          </w:p>
        </w:tc>
        <w:tc>
          <w:tcPr>
            <w:tcW w:w="980" w:type="dxa"/>
            <w:vAlign w:val="bottom"/>
            <w:gridSpan w:val="2"/>
          </w:tcPr>
          <w:p>
            <w:pPr>
              <w:jc w:val="right"/>
              <w:ind w:right="280"/>
              <w:spacing w:after="0"/>
              <w:rPr>
                <w:sz w:val="20"/>
                <w:szCs w:val="20"/>
                <w:color w:val="auto"/>
              </w:rPr>
            </w:pPr>
            <w:r>
              <w:rPr>
                <w:rFonts w:ascii="Arial" w:cs="Arial" w:eastAsia="Arial" w:hAnsi="Arial"/>
                <w:sz w:val="11"/>
                <w:szCs w:val="11"/>
                <w:color w:val="auto"/>
              </w:rPr>
              <w:t>6/3/14</w:t>
            </w: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4"/>
        </w:trPr>
        <w:tc>
          <w:tcPr>
            <w:tcW w:w="2760" w:type="dxa"/>
            <w:vAlign w:val="bottom"/>
            <w:shd w:val="clear" w:color="auto" w:fill="D8D8D8"/>
          </w:tcPr>
          <w:p>
            <w:pPr>
              <w:spacing w:after="0"/>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1/23/13</w:t>
            </w:r>
          </w:p>
        </w:tc>
        <w:tc>
          <w:tcPr>
            <w:tcW w:w="94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66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28,302(e)</w:t>
            </w:r>
          </w:p>
        </w:tc>
        <w:tc>
          <w:tcPr>
            <w:tcW w:w="780" w:type="dxa"/>
            <w:vAlign w:val="bottom"/>
            <w:shd w:val="clear" w:color="auto" w:fill="D8D8D8"/>
          </w:tcPr>
          <w:p>
            <w:pPr>
              <w:jc w:val="right"/>
              <w:ind w:right="44"/>
              <w:spacing w:after="0"/>
              <w:rPr>
                <w:sz w:val="20"/>
                <w:szCs w:val="20"/>
                <w:color w:val="auto"/>
              </w:rPr>
            </w:pPr>
            <w:r>
              <w:rPr>
                <w:rFonts w:ascii="Arial" w:cs="Arial" w:eastAsia="Arial" w:hAnsi="Arial"/>
                <w:sz w:val="11"/>
                <w:szCs w:val="11"/>
                <w:color w:val="auto"/>
              </w:rPr>
              <w:t>1,143,967</w:t>
            </w:r>
          </w:p>
        </w:tc>
        <w:tc>
          <w:tcPr>
            <w:tcW w:w="900" w:type="dxa"/>
            <w:vAlign w:val="bottom"/>
            <w:shd w:val="clear" w:color="auto" w:fill="D8D8D8"/>
          </w:tcPr>
          <w:p>
            <w:pPr>
              <w:jc w:val="right"/>
              <w:ind w:right="44"/>
              <w:spacing w:after="0"/>
              <w:rPr>
                <w:sz w:val="20"/>
                <w:szCs w:val="20"/>
                <w:color w:val="auto"/>
              </w:rPr>
            </w:pPr>
            <w:r>
              <w:rPr>
                <w:rFonts w:ascii="Arial" w:cs="Arial" w:eastAsia="Arial" w:hAnsi="Arial"/>
                <w:sz w:val="11"/>
                <w:szCs w:val="11"/>
                <w:color w:val="auto"/>
              </w:rPr>
              <w:t>28,302(m)</w:t>
            </w:r>
          </w:p>
        </w:tc>
        <w:tc>
          <w:tcPr>
            <w:tcW w:w="800" w:type="dxa"/>
            <w:vAlign w:val="bottom"/>
            <w:gridSpan w:val="2"/>
            <w:shd w:val="clear" w:color="auto" w:fill="D8D8D8"/>
          </w:tcPr>
          <w:p>
            <w:pPr>
              <w:jc w:val="right"/>
              <w:ind w:right="120"/>
              <w:spacing w:after="0"/>
              <w:rPr>
                <w:sz w:val="20"/>
                <w:szCs w:val="20"/>
                <w:color w:val="auto"/>
              </w:rPr>
            </w:pPr>
            <w:r>
              <w:rPr>
                <w:rFonts w:ascii="Arial" w:cs="Arial" w:eastAsia="Arial" w:hAnsi="Arial"/>
                <w:sz w:val="11"/>
                <w:szCs w:val="11"/>
                <w:color w:val="auto"/>
              </w:rPr>
              <w:t>1,143,967</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27,778(f)</w:t>
            </w:r>
          </w:p>
        </w:tc>
        <w:tc>
          <w:tcPr>
            <w:tcW w:w="78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1,122,787</w:t>
            </w: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138,889(n)</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5,613,893</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8,687(g)</w:t>
            </w:r>
          </w:p>
        </w:tc>
        <w:tc>
          <w:tcPr>
            <w:tcW w:w="78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351,129</w:t>
            </w: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41,667(o)</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1,684,180</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1/26/11</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26,060(p)</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1,053,345</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1/28/09</w:t>
            </w:r>
          </w:p>
        </w:tc>
        <w:tc>
          <w:tcPr>
            <w:tcW w:w="9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5,000</w:t>
            </w: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0.79</w:t>
            </w:r>
          </w:p>
        </w:tc>
        <w:tc>
          <w:tcPr>
            <w:tcW w:w="980" w:type="dxa"/>
            <w:vAlign w:val="bottom"/>
            <w:gridSpan w:val="2"/>
            <w:shd w:val="clear" w:color="auto" w:fill="D8D8D8"/>
          </w:tcPr>
          <w:p>
            <w:pPr>
              <w:jc w:val="right"/>
              <w:ind w:right="280"/>
              <w:spacing w:after="0" w:line="124" w:lineRule="exact"/>
              <w:rPr>
                <w:sz w:val="20"/>
                <w:szCs w:val="20"/>
                <w:color w:val="auto"/>
              </w:rPr>
            </w:pPr>
            <w:r>
              <w:rPr>
                <w:rFonts w:ascii="Arial" w:cs="Arial" w:eastAsia="Arial" w:hAnsi="Arial"/>
                <w:sz w:val="11"/>
                <w:szCs w:val="11"/>
                <w:color w:val="auto"/>
              </w:rPr>
              <w:t>1/28/19</w:t>
            </w: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r>
      <w:tr>
        <w:trPr>
          <w:trHeight w:val="136"/>
        </w:trPr>
        <w:tc>
          <w:tcPr>
            <w:tcW w:w="2760" w:type="dxa"/>
            <w:vAlign w:val="bottom"/>
            <w:shd w:val="clear" w:color="auto" w:fill="D8D8D8"/>
          </w:tcPr>
          <w:p>
            <w:pPr>
              <w:spacing w:after="0"/>
              <w:rPr>
                <w:sz w:val="20"/>
                <w:szCs w:val="20"/>
                <w:color w:val="auto"/>
              </w:rPr>
            </w:pPr>
            <w:r>
              <w:rPr>
                <w:rFonts w:ascii="Arial" w:cs="Arial" w:eastAsia="Arial" w:hAnsi="Arial"/>
                <w:sz w:val="11"/>
                <w:szCs w:val="11"/>
                <w:color w:val="auto"/>
              </w:rPr>
              <w:t>Mr. Gartland</w:t>
            </w:r>
          </w:p>
        </w:tc>
        <w:tc>
          <w:tcPr>
            <w:tcW w:w="88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1/28/09</w:t>
            </w:r>
          </w:p>
        </w:tc>
        <w:tc>
          <w:tcPr>
            <w:tcW w:w="94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5,000</w:t>
            </w:r>
          </w:p>
        </w:tc>
        <w:tc>
          <w:tcPr>
            <w:tcW w:w="1040" w:type="dxa"/>
            <w:vAlign w:val="bottom"/>
            <w:shd w:val="clear" w:color="auto" w:fill="D8D8D8"/>
          </w:tcPr>
          <w:p>
            <w:pPr>
              <w:spacing w:after="0"/>
              <w:rPr>
                <w:sz w:val="11"/>
                <w:szCs w:val="11"/>
                <w:color w:val="auto"/>
              </w:rPr>
            </w:pPr>
          </w:p>
        </w:tc>
        <w:tc>
          <w:tcPr>
            <w:tcW w:w="1000" w:type="dxa"/>
            <w:vAlign w:val="bottom"/>
            <w:shd w:val="clear" w:color="auto" w:fill="D8D8D8"/>
          </w:tcPr>
          <w:p>
            <w:pPr>
              <w:spacing w:after="0"/>
              <w:rPr>
                <w:sz w:val="11"/>
                <w:szCs w:val="11"/>
                <w:color w:val="auto"/>
              </w:rPr>
            </w:pPr>
          </w:p>
        </w:tc>
        <w:tc>
          <w:tcPr>
            <w:tcW w:w="7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0.79</w:t>
            </w:r>
          </w:p>
        </w:tc>
        <w:tc>
          <w:tcPr>
            <w:tcW w:w="980" w:type="dxa"/>
            <w:vAlign w:val="bottom"/>
            <w:gridSpan w:val="2"/>
            <w:shd w:val="clear" w:color="auto" w:fill="D8D8D8"/>
          </w:tcPr>
          <w:p>
            <w:pPr>
              <w:jc w:val="right"/>
              <w:ind w:right="280"/>
              <w:spacing w:after="0"/>
              <w:rPr>
                <w:sz w:val="20"/>
                <w:szCs w:val="20"/>
                <w:color w:val="auto"/>
              </w:rPr>
            </w:pPr>
            <w:r>
              <w:rPr>
                <w:rFonts w:ascii="Arial" w:cs="Arial" w:eastAsia="Arial" w:hAnsi="Arial"/>
                <w:sz w:val="11"/>
                <w:szCs w:val="11"/>
                <w:color w:val="auto"/>
              </w:rPr>
              <w:t>1/28/19</w:t>
            </w:r>
          </w:p>
        </w:tc>
        <w:tc>
          <w:tcPr>
            <w:tcW w:w="66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9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1"/>
                <w:szCs w:val="11"/>
                <w:color w:val="auto"/>
              </w:rPr>
              <w:t>Mr. De Shon</w:t>
            </w:r>
          </w:p>
        </w:tc>
        <w:tc>
          <w:tcPr>
            <w:tcW w:w="880" w:type="dxa"/>
            <w:vAlign w:val="bottom"/>
          </w:tcPr>
          <w:p>
            <w:pPr>
              <w:jc w:val="right"/>
              <w:ind w:right="204"/>
              <w:spacing w:after="0"/>
              <w:rPr>
                <w:sz w:val="20"/>
                <w:szCs w:val="20"/>
                <w:color w:val="auto"/>
              </w:rPr>
            </w:pPr>
            <w:r>
              <w:rPr>
                <w:rFonts w:ascii="Arial" w:cs="Arial" w:eastAsia="Arial" w:hAnsi="Arial"/>
                <w:sz w:val="11"/>
                <w:szCs w:val="11"/>
                <w:color w:val="auto"/>
              </w:rPr>
              <w:t>1/23/13</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4"/>
              <w:spacing w:after="0"/>
              <w:rPr>
                <w:sz w:val="20"/>
                <w:szCs w:val="20"/>
                <w:color w:val="auto"/>
              </w:rPr>
            </w:pPr>
            <w:r>
              <w:rPr>
                <w:rFonts w:ascii="Arial" w:cs="Arial" w:eastAsia="Arial" w:hAnsi="Arial"/>
                <w:sz w:val="11"/>
                <w:szCs w:val="11"/>
                <w:color w:val="auto"/>
              </w:rPr>
              <w:t>28,302(e)</w:t>
            </w:r>
          </w:p>
        </w:tc>
        <w:tc>
          <w:tcPr>
            <w:tcW w:w="780" w:type="dxa"/>
            <w:vAlign w:val="bottom"/>
          </w:tcPr>
          <w:p>
            <w:pPr>
              <w:jc w:val="right"/>
              <w:ind w:right="44"/>
              <w:spacing w:after="0"/>
              <w:rPr>
                <w:sz w:val="20"/>
                <w:szCs w:val="20"/>
                <w:color w:val="auto"/>
              </w:rPr>
            </w:pPr>
            <w:r>
              <w:rPr>
                <w:rFonts w:ascii="Arial" w:cs="Arial" w:eastAsia="Arial" w:hAnsi="Arial"/>
                <w:sz w:val="11"/>
                <w:szCs w:val="11"/>
                <w:color w:val="auto"/>
              </w:rPr>
              <w:t>1,143,967</w:t>
            </w:r>
          </w:p>
        </w:tc>
        <w:tc>
          <w:tcPr>
            <w:tcW w:w="900" w:type="dxa"/>
            <w:vAlign w:val="bottom"/>
          </w:tcPr>
          <w:p>
            <w:pPr>
              <w:jc w:val="right"/>
              <w:ind w:right="44"/>
              <w:spacing w:after="0"/>
              <w:rPr>
                <w:sz w:val="20"/>
                <w:szCs w:val="20"/>
                <w:color w:val="auto"/>
              </w:rPr>
            </w:pPr>
            <w:r>
              <w:rPr>
                <w:rFonts w:ascii="Arial" w:cs="Arial" w:eastAsia="Arial" w:hAnsi="Arial"/>
                <w:sz w:val="11"/>
                <w:szCs w:val="11"/>
                <w:color w:val="auto"/>
              </w:rPr>
              <w:t>28,302(m)</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1,143,967</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De Shon</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27,778(f)</w:t>
            </w:r>
          </w:p>
        </w:tc>
        <w:tc>
          <w:tcPr>
            <w:tcW w:w="780" w:type="dxa"/>
            <w:vAlign w:val="bottom"/>
          </w:tcPr>
          <w:p>
            <w:pPr>
              <w:jc w:val="right"/>
              <w:ind w:right="44"/>
              <w:spacing w:after="0" w:line="124" w:lineRule="exact"/>
              <w:rPr>
                <w:sz w:val="20"/>
                <w:szCs w:val="20"/>
                <w:color w:val="auto"/>
              </w:rPr>
            </w:pPr>
            <w:r>
              <w:rPr>
                <w:rFonts w:ascii="Arial" w:cs="Arial" w:eastAsia="Arial" w:hAnsi="Arial"/>
                <w:sz w:val="11"/>
                <w:szCs w:val="11"/>
                <w:color w:val="auto"/>
              </w:rPr>
              <w:t>1,122,787</w:t>
            </w: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138,889(n)</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5,613,893</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De Shon</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84"/>
              <w:spacing w:after="0" w:line="124" w:lineRule="exact"/>
              <w:rPr>
                <w:sz w:val="20"/>
                <w:szCs w:val="20"/>
                <w:color w:val="auto"/>
              </w:rPr>
            </w:pPr>
            <w:r>
              <w:rPr>
                <w:rFonts w:ascii="Arial" w:cs="Arial" w:eastAsia="Arial" w:hAnsi="Arial"/>
                <w:sz w:val="11"/>
                <w:szCs w:val="11"/>
                <w:color w:val="auto"/>
              </w:rPr>
              <w:t>8,687(g)</w:t>
            </w:r>
          </w:p>
        </w:tc>
        <w:tc>
          <w:tcPr>
            <w:tcW w:w="780" w:type="dxa"/>
            <w:vAlign w:val="bottom"/>
          </w:tcPr>
          <w:p>
            <w:pPr>
              <w:jc w:val="right"/>
              <w:ind w:right="44"/>
              <w:spacing w:after="0" w:line="124" w:lineRule="exact"/>
              <w:rPr>
                <w:sz w:val="20"/>
                <w:szCs w:val="20"/>
                <w:color w:val="auto"/>
              </w:rPr>
            </w:pPr>
            <w:r>
              <w:rPr>
                <w:rFonts w:ascii="Arial" w:cs="Arial" w:eastAsia="Arial" w:hAnsi="Arial"/>
                <w:sz w:val="11"/>
                <w:szCs w:val="11"/>
                <w:color w:val="auto"/>
              </w:rPr>
              <w:t>351,129</w:t>
            </w: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41,667(o)</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1,684,180</w:t>
            </w:r>
          </w:p>
        </w:tc>
      </w:tr>
      <w:tr>
        <w:trPr>
          <w:trHeight w:val="124"/>
        </w:trPr>
        <w:tc>
          <w:tcPr>
            <w:tcW w:w="2760" w:type="dxa"/>
            <w:vAlign w:val="bottom"/>
          </w:tcPr>
          <w:p>
            <w:pPr>
              <w:spacing w:after="0" w:line="124" w:lineRule="exact"/>
              <w:rPr>
                <w:sz w:val="20"/>
                <w:szCs w:val="20"/>
                <w:color w:val="auto"/>
              </w:rPr>
            </w:pPr>
            <w:r>
              <w:rPr>
                <w:rFonts w:ascii="Arial" w:cs="Arial" w:eastAsia="Arial" w:hAnsi="Arial"/>
                <w:sz w:val="11"/>
                <w:szCs w:val="11"/>
                <w:color w:val="auto"/>
              </w:rPr>
              <w:t>Mr. De Shon</w:t>
            </w:r>
          </w:p>
        </w:tc>
        <w:tc>
          <w:tcPr>
            <w:tcW w:w="880" w:type="dxa"/>
            <w:vAlign w:val="bottom"/>
          </w:tcPr>
          <w:p>
            <w:pPr>
              <w:jc w:val="right"/>
              <w:ind w:right="204"/>
              <w:spacing w:after="0" w:line="124" w:lineRule="exact"/>
              <w:rPr>
                <w:sz w:val="20"/>
                <w:szCs w:val="20"/>
                <w:color w:val="auto"/>
              </w:rPr>
            </w:pPr>
            <w:r>
              <w:rPr>
                <w:rFonts w:ascii="Arial" w:cs="Arial" w:eastAsia="Arial" w:hAnsi="Arial"/>
                <w:sz w:val="11"/>
                <w:szCs w:val="11"/>
                <w:color w:val="auto"/>
              </w:rPr>
              <w:t>1/26/11</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right"/>
              <w:ind w:right="44"/>
              <w:spacing w:after="0" w:line="124" w:lineRule="exact"/>
              <w:rPr>
                <w:sz w:val="20"/>
                <w:szCs w:val="20"/>
                <w:color w:val="auto"/>
              </w:rPr>
            </w:pPr>
            <w:r>
              <w:rPr>
                <w:rFonts w:ascii="Arial" w:cs="Arial" w:eastAsia="Arial" w:hAnsi="Arial"/>
                <w:sz w:val="11"/>
                <w:szCs w:val="11"/>
                <w:color w:val="auto"/>
              </w:rPr>
              <w:t>26,060(p)</w:t>
            </w:r>
          </w:p>
        </w:tc>
        <w:tc>
          <w:tcPr>
            <w:tcW w:w="8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1,053,345</w:t>
            </w:r>
          </w:p>
        </w:tc>
      </w:tr>
      <w:tr>
        <w:trPr>
          <w:trHeight w:val="136"/>
        </w:trPr>
        <w:tc>
          <w:tcPr>
            <w:tcW w:w="2760" w:type="dxa"/>
            <w:vAlign w:val="bottom"/>
          </w:tcPr>
          <w:p>
            <w:pPr>
              <w:spacing w:after="0"/>
              <w:rPr>
                <w:sz w:val="20"/>
                <w:szCs w:val="20"/>
                <w:color w:val="auto"/>
              </w:rPr>
            </w:pPr>
            <w:r>
              <w:rPr>
                <w:rFonts w:ascii="Arial" w:cs="Arial" w:eastAsia="Arial" w:hAnsi="Arial"/>
                <w:sz w:val="11"/>
                <w:szCs w:val="11"/>
                <w:color w:val="auto"/>
              </w:rPr>
              <w:t>Mr. De Shon</w:t>
            </w:r>
          </w:p>
        </w:tc>
        <w:tc>
          <w:tcPr>
            <w:tcW w:w="880" w:type="dxa"/>
            <w:vAlign w:val="bottom"/>
          </w:tcPr>
          <w:p>
            <w:pPr>
              <w:jc w:val="right"/>
              <w:ind w:right="204"/>
              <w:spacing w:after="0"/>
              <w:rPr>
                <w:sz w:val="20"/>
                <w:szCs w:val="20"/>
                <w:color w:val="auto"/>
              </w:rPr>
            </w:pPr>
            <w:r>
              <w:rPr>
                <w:rFonts w:ascii="Arial" w:cs="Arial" w:eastAsia="Arial" w:hAnsi="Arial"/>
                <w:sz w:val="11"/>
                <w:szCs w:val="11"/>
                <w:color w:val="auto"/>
              </w:rPr>
              <w:t>1/28/09</w:t>
            </w:r>
          </w:p>
        </w:tc>
        <w:tc>
          <w:tcPr>
            <w:tcW w:w="940" w:type="dxa"/>
            <w:vAlign w:val="bottom"/>
          </w:tcPr>
          <w:p>
            <w:pPr>
              <w:jc w:val="right"/>
              <w:ind w:right="84"/>
              <w:spacing w:after="0"/>
              <w:rPr>
                <w:sz w:val="20"/>
                <w:szCs w:val="20"/>
                <w:color w:val="auto"/>
              </w:rPr>
            </w:pPr>
            <w:r>
              <w:rPr>
                <w:rFonts w:ascii="Arial" w:cs="Arial" w:eastAsia="Arial" w:hAnsi="Arial"/>
                <w:sz w:val="11"/>
                <w:szCs w:val="11"/>
                <w:color w:val="auto"/>
              </w:rPr>
              <w:t>25,000</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0.79</w:t>
            </w:r>
          </w:p>
        </w:tc>
        <w:tc>
          <w:tcPr>
            <w:tcW w:w="980" w:type="dxa"/>
            <w:vAlign w:val="bottom"/>
            <w:gridSpan w:val="2"/>
          </w:tcPr>
          <w:p>
            <w:pPr>
              <w:jc w:val="right"/>
              <w:ind w:right="280"/>
              <w:spacing w:after="0"/>
              <w:rPr>
                <w:sz w:val="20"/>
                <w:szCs w:val="20"/>
                <w:color w:val="auto"/>
              </w:rPr>
            </w:pPr>
            <w:r>
              <w:rPr>
                <w:rFonts w:ascii="Arial" w:cs="Arial" w:eastAsia="Arial" w:hAnsi="Arial"/>
                <w:sz w:val="11"/>
                <w:szCs w:val="11"/>
                <w:color w:val="auto"/>
              </w:rPr>
              <w:t>1/28/19</w:t>
            </w: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3"/>
        </w:trPr>
        <w:tc>
          <w:tcPr>
            <w:tcW w:w="2760" w:type="dxa"/>
            <w:vAlign w:val="bottom"/>
            <w:shd w:val="clear" w:color="auto" w:fill="D8D8D8"/>
          </w:tcPr>
          <w:p>
            <w:pPr>
              <w:spacing w:after="0"/>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1/23/13</w:t>
            </w:r>
          </w:p>
        </w:tc>
        <w:tc>
          <w:tcPr>
            <w:tcW w:w="94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66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23,585(e)</w:t>
            </w:r>
          </w:p>
        </w:tc>
        <w:tc>
          <w:tcPr>
            <w:tcW w:w="780" w:type="dxa"/>
            <w:vAlign w:val="bottom"/>
            <w:shd w:val="clear" w:color="auto" w:fill="D8D8D8"/>
          </w:tcPr>
          <w:p>
            <w:pPr>
              <w:jc w:val="right"/>
              <w:ind w:right="44"/>
              <w:spacing w:after="0"/>
              <w:rPr>
                <w:sz w:val="20"/>
                <w:szCs w:val="20"/>
                <w:color w:val="auto"/>
              </w:rPr>
            </w:pPr>
            <w:r>
              <w:rPr>
                <w:rFonts w:ascii="Arial" w:cs="Arial" w:eastAsia="Arial" w:hAnsi="Arial"/>
                <w:sz w:val="11"/>
                <w:szCs w:val="11"/>
                <w:color w:val="auto"/>
              </w:rPr>
              <w:t>953,306</w:t>
            </w:r>
          </w:p>
        </w:tc>
        <w:tc>
          <w:tcPr>
            <w:tcW w:w="900" w:type="dxa"/>
            <w:vAlign w:val="bottom"/>
            <w:shd w:val="clear" w:color="auto" w:fill="D8D8D8"/>
          </w:tcPr>
          <w:p>
            <w:pPr>
              <w:jc w:val="right"/>
              <w:ind w:right="44"/>
              <w:spacing w:after="0"/>
              <w:rPr>
                <w:sz w:val="20"/>
                <w:szCs w:val="20"/>
                <w:color w:val="auto"/>
              </w:rPr>
            </w:pPr>
            <w:r>
              <w:rPr>
                <w:rFonts w:ascii="Arial" w:cs="Arial" w:eastAsia="Arial" w:hAnsi="Arial"/>
                <w:sz w:val="11"/>
                <w:szCs w:val="11"/>
                <w:color w:val="auto"/>
              </w:rPr>
              <w:t>23,585(m)</w:t>
            </w:r>
          </w:p>
        </w:tc>
        <w:tc>
          <w:tcPr>
            <w:tcW w:w="800" w:type="dxa"/>
            <w:vAlign w:val="bottom"/>
            <w:gridSpan w:val="2"/>
            <w:shd w:val="clear" w:color="auto" w:fill="D8D8D8"/>
          </w:tcPr>
          <w:p>
            <w:pPr>
              <w:jc w:val="right"/>
              <w:ind w:right="120"/>
              <w:spacing w:after="0"/>
              <w:rPr>
                <w:sz w:val="20"/>
                <w:szCs w:val="20"/>
                <w:color w:val="auto"/>
              </w:rPr>
            </w:pPr>
            <w:r>
              <w:rPr>
                <w:rFonts w:ascii="Arial" w:cs="Arial" w:eastAsia="Arial" w:hAnsi="Arial"/>
                <w:sz w:val="11"/>
                <w:szCs w:val="11"/>
                <w:color w:val="auto"/>
              </w:rPr>
              <w:t>953,306</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23,148(f)</w:t>
            </w:r>
          </w:p>
        </w:tc>
        <w:tc>
          <w:tcPr>
            <w:tcW w:w="78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935,642</w:t>
            </w: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69,444(n)</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2,806,926</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1/25/12</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8,339(g)</w:t>
            </w:r>
          </w:p>
        </w:tc>
        <w:tc>
          <w:tcPr>
            <w:tcW w:w="78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337,062</w:t>
            </w: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34,722(o)</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1,403,463</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1/26/11</w:t>
            </w:r>
          </w:p>
        </w:tc>
        <w:tc>
          <w:tcPr>
            <w:tcW w:w="94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jc w:val="right"/>
              <w:ind w:right="44"/>
              <w:spacing w:after="0" w:line="124" w:lineRule="exact"/>
              <w:rPr>
                <w:sz w:val="20"/>
                <w:szCs w:val="20"/>
                <w:color w:val="auto"/>
              </w:rPr>
            </w:pPr>
            <w:r>
              <w:rPr>
                <w:rFonts w:ascii="Arial" w:cs="Arial" w:eastAsia="Arial" w:hAnsi="Arial"/>
                <w:sz w:val="11"/>
                <w:szCs w:val="11"/>
                <w:color w:val="auto"/>
              </w:rPr>
              <w:t>16,678(p)</w:t>
            </w:r>
          </w:p>
        </w:tc>
        <w:tc>
          <w:tcPr>
            <w:tcW w:w="800" w:type="dxa"/>
            <w:vAlign w:val="bottom"/>
            <w:gridSpan w:val="2"/>
            <w:shd w:val="clear" w:color="auto" w:fill="D8D8D8"/>
          </w:tcPr>
          <w:p>
            <w:pPr>
              <w:jc w:val="right"/>
              <w:ind w:right="120"/>
              <w:spacing w:after="0" w:line="124" w:lineRule="exact"/>
              <w:rPr>
                <w:sz w:val="20"/>
                <w:szCs w:val="20"/>
                <w:color w:val="auto"/>
              </w:rPr>
            </w:pPr>
            <w:r>
              <w:rPr>
                <w:rFonts w:ascii="Arial" w:cs="Arial" w:eastAsia="Arial" w:hAnsi="Arial"/>
                <w:sz w:val="11"/>
                <w:szCs w:val="11"/>
                <w:color w:val="auto"/>
              </w:rPr>
              <w:t>674,125</w:t>
            </w:r>
          </w:p>
        </w:tc>
      </w:tr>
      <w:tr>
        <w:trPr>
          <w:trHeight w:val="124"/>
        </w:trPr>
        <w:tc>
          <w:tcPr>
            <w:tcW w:w="276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line="124" w:lineRule="exact"/>
              <w:rPr>
                <w:sz w:val="20"/>
                <w:szCs w:val="20"/>
                <w:color w:val="auto"/>
              </w:rPr>
            </w:pPr>
            <w:r>
              <w:rPr>
                <w:rFonts w:ascii="Arial" w:cs="Arial" w:eastAsia="Arial" w:hAnsi="Arial"/>
                <w:sz w:val="11"/>
                <w:szCs w:val="11"/>
                <w:color w:val="auto"/>
              </w:rPr>
              <w:t>1/28/09</w:t>
            </w:r>
          </w:p>
        </w:tc>
        <w:tc>
          <w:tcPr>
            <w:tcW w:w="940" w:type="dxa"/>
            <w:vAlign w:val="bottom"/>
            <w:shd w:val="clear" w:color="auto" w:fill="D8D8D8"/>
          </w:tcPr>
          <w:p>
            <w:pPr>
              <w:jc w:val="right"/>
              <w:ind w:right="84"/>
              <w:spacing w:after="0" w:line="124" w:lineRule="exact"/>
              <w:rPr>
                <w:sz w:val="20"/>
                <w:szCs w:val="20"/>
                <w:color w:val="auto"/>
              </w:rPr>
            </w:pPr>
            <w:r>
              <w:rPr>
                <w:rFonts w:ascii="Arial" w:cs="Arial" w:eastAsia="Arial" w:hAnsi="Arial"/>
                <w:sz w:val="11"/>
                <w:szCs w:val="11"/>
                <w:color w:val="auto"/>
              </w:rPr>
              <w:t>5,000</w:t>
            </w:r>
          </w:p>
        </w:tc>
        <w:tc>
          <w:tcPr>
            <w:tcW w:w="104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700" w:type="dxa"/>
            <w:vAlign w:val="bottom"/>
            <w:shd w:val="clear" w:color="auto" w:fill="D8D8D8"/>
          </w:tcPr>
          <w:p>
            <w:pPr>
              <w:jc w:val="right"/>
              <w:ind w:right="64"/>
              <w:spacing w:after="0" w:line="124" w:lineRule="exact"/>
              <w:rPr>
                <w:sz w:val="20"/>
                <w:szCs w:val="20"/>
                <w:color w:val="auto"/>
              </w:rPr>
            </w:pPr>
            <w:r>
              <w:rPr>
                <w:rFonts w:ascii="Arial" w:cs="Arial" w:eastAsia="Arial" w:hAnsi="Arial"/>
                <w:sz w:val="11"/>
                <w:szCs w:val="11"/>
                <w:color w:val="auto"/>
              </w:rPr>
              <w:t>0.79</w:t>
            </w:r>
          </w:p>
        </w:tc>
        <w:tc>
          <w:tcPr>
            <w:tcW w:w="980" w:type="dxa"/>
            <w:vAlign w:val="bottom"/>
            <w:gridSpan w:val="2"/>
            <w:shd w:val="clear" w:color="auto" w:fill="D8D8D8"/>
          </w:tcPr>
          <w:p>
            <w:pPr>
              <w:jc w:val="right"/>
              <w:ind w:right="280"/>
              <w:spacing w:after="0" w:line="124" w:lineRule="exact"/>
              <w:rPr>
                <w:sz w:val="20"/>
                <w:szCs w:val="20"/>
                <w:color w:val="auto"/>
              </w:rPr>
            </w:pPr>
            <w:r>
              <w:rPr>
                <w:rFonts w:ascii="Arial" w:cs="Arial" w:eastAsia="Arial" w:hAnsi="Arial"/>
                <w:sz w:val="11"/>
                <w:szCs w:val="11"/>
                <w:color w:val="auto"/>
              </w:rPr>
              <w:t>1/28/19</w:t>
            </w:r>
          </w:p>
        </w:tc>
        <w:tc>
          <w:tcPr>
            <w:tcW w:w="66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90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r>
      <w:tr>
        <w:trPr>
          <w:trHeight w:val="136"/>
        </w:trPr>
        <w:tc>
          <w:tcPr>
            <w:tcW w:w="2760" w:type="dxa"/>
            <w:vAlign w:val="bottom"/>
            <w:shd w:val="clear" w:color="auto" w:fill="D8D8D8"/>
          </w:tcPr>
          <w:p>
            <w:pPr>
              <w:spacing w:after="0"/>
              <w:rPr>
                <w:sz w:val="20"/>
                <w:szCs w:val="20"/>
                <w:color w:val="auto"/>
              </w:rPr>
            </w:pPr>
            <w:r>
              <w:rPr>
                <w:rFonts w:ascii="Arial" w:cs="Arial" w:eastAsia="Arial" w:hAnsi="Arial"/>
                <w:sz w:val="11"/>
                <w:szCs w:val="11"/>
                <w:color w:val="auto"/>
              </w:rPr>
              <w:t>Mr. Siniscalchi</w:t>
            </w:r>
          </w:p>
        </w:tc>
        <w:tc>
          <w:tcPr>
            <w:tcW w:w="880" w:type="dxa"/>
            <w:vAlign w:val="bottom"/>
            <w:shd w:val="clear" w:color="auto" w:fill="D8D8D8"/>
          </w:tcPr>
          <w:p>
            <w:pPr>
              <w:jc w:val="right"/>
              <w:ind w:right="204"/>
              <w:spacing w:after="0"/>
              <w:rPr>
                <w:sz w:val="20"/>
                <w:szCs w:val="20"/>
                <w:color w:val="auto"/>
              </w:rPr>
            </w:pPr>
            <w:r>
              <w:rPr>
                <w:rFonts w:ascii="Arial" w:cs="Arial" w:eastAsia="Arial" w:hAnsi="Arial"/>
                <w:sz w:val="11"/>
                <w:szCs w:val="11"/>
                <w:color w:val="auto"/>
              </w:rPr>
              <w:t>6/3/04</w:t>
            </w:r>
          </w:p>
        </w:tc>
        <w:tc>
          <w:tcPr>
            <w:tcW w:w="940" w:type="dxa"/>
            <w:vAlign w:val="bottom"/>
            <w:shd w:val="clear" w:color="auto" w:fill="D8D8D8"/>
          </w:tcPr>
          <w:p>
            <w:pPr>
              <w:jc w:val="right"/>
              <w:ind w:right="84"/>
              <w:spacing w:after="0"/>
              <w:rPr>
                <w:sz w:val="20"/>
                <w:szCs w:val="20"/>
                <w:color w:val="auto"/>
              </w:rPr>
            </w:pPr>
            <w:r>
              <w:rPr>
                <w:rFonts w:ascii="Arial" w:cs="Arial" w:eastAsia="Arial" w:hAnsi="Arial"/>
                <w:sz w:val="11"/>
                <w:szCs w:val="11"/>
                <w:color w:val="auto"/>
              </w:rPr>
              <w:t>1,700</w:t>
            </w:r>
          </w:p>
        </w:tc>
        <w:tc>
          <w:tcPr>
            <w:tcW w:w="1040" w:type="dxa"/>
            <w:vAlign w:val="bottom"/>
            <w:shd w:val="clear" w:color="auto" w:fill="D8D8D8"/>
          </w:tcPr>
          <w:p>
            <w:pPr>
              <w:spacing w:after="0"/>
              <w:rPr>
                <w:sz w:val="11"/>
                <w:szCs w:val="11"/>
                <w:color w:val="auto"/>
              </w:rPr>
            </w:pPr>
          </w:p>
        </w:tc>
        <w:tc>
          <w:tcPr>
            <w:tcW w:w="1000" w:type="dxa"/>
            <w:vAlign w:val="bottom"/>
            <w:shd w:val="clear" w:color="auto" w:fill="D8D8D8"/>
          </w:tcPr>
          <w:p>
            <w:pPr>
              <w:spacing w:after="0"/>
              <w:rPr>
                <w:sz w:val="11"/>
                <w:szCs w:val="11"/>
                <w:color w:val="auto"/>
              </w:rPr>
            </w:pPr>
          </w:p>
        </w:tc>
        <w:tc>
          <w:tcPr>
            <w:tcW w:w="700" w:type="dxa"/>
            <w:vAlign w:val="bottom"/>
            <w:shd w:val="clear" w:color="auto" w:fill="D8D8D8"/>
          </w:tcPr>
          <w:p>
            <w:pPr>
              <w:jc w:val="right"/>
              <w:ind w:right="64"/>
              <w:spacing w:after="0"/>
              <w:rPr>
                <w:sz w:val="20"/>
                <w:szCs w:val="20"/>
                <w:color w:val="auto"/>
              </w:rPr>
            </w:pPr>
            <w:r>
              <w:rPr>
                <w:rFonts w:ascii="Arial" w:cs="Arial" w:eastAsia="Arial" w:hAnsi="Arial"/>
                <w:sz w:val="11"/>
                <w:szCs w:val="11"/>
                <w:color w:val="auto"/>
              </w:rPr>
              <w:t>33.26</w:t>
            </w:r>
          </w:p>
        </w:tc>
        <w:tc>
          <w:tcPr>
            <w:tcW w:w="980" w:type="dxa"/>
            <w:vAlign w:val="bottom"/>
            <w:gridSpan w:val="2"/>
            <w:shd w:val="clear" w:color="auto" w:fill="D8D8D8"/>
          </w:tcPr>
          <w:p>
            <w:pPr>
              <w:jc w:val="right"/>
              <w:ind w:right="280"/>
              <w:spacing w:after="0"/>
              <w:rPr>
                <w:sz w:val="20"/>
                <w:szCs w:val="20"/>
                <w:color w:val="auto"/>
              </w:rPr>
            </w:pPr>
            <w:r>
              <w:rPr>
                <w:rFonts w:ascii="Arial" w:cs="Arial" w:eastAsia="Arial" w:hAnsi="Arial"/>
                <w:sz w:val="11"/>
                <w:szCs w:val="11"/>
                <w:color w:val="auto"/>
              </w:rPr>
              <w:t>6/3/14</w:t>
            </w:r>
          </w:p>
        </w:tc>
        <w:tc>
          <w:tcPr>
            <w:tcW w:w="66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90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stock options that were granted to Mr. Nelson in 2010, which vest in equal installments on January 27, 2014 and 2015.</w:t>
      </w:r>
    </w:p>
    <w:p>
      <w:pPr>
        <w:ind w:left="330" w:right="30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For stock option awards granted in 2004 and 2005, represents the fair-market value of our Common Stock on the date of the grant as approved by the Cendant Compensation Committee, adjusted for (i) the spin-offs of former subsidiaries PHH, and Realogy and Wyndham in 2005 and 2006, respectively, and (ii) a 1-for-10 reverse stock split in 2006. For option awards granted in 2009 and 2010, represents the fair-market value of our Common Stock on the date of grant as approved by the Committee on the date of grant.</w:t>
      </w:r>
    </w:p>
    <w:p>
      <w:pPr>
        <w:spacing w:after="0" w:line="1"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24,764 RSUs and 24,764 RCUs, which are scheduled to vest on January 27, 2015, subject to continued employment. Payable on January 23, 2016.</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34,608 RSUs and 34,608 RCUs, which are scheduled to vest on January 27, 2015, subject to continued employment.</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outstanding RSUs, which are scheduled to vest in three equal installments on January 23, 2014, 2015 and 2016, subject to continued employment.</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outstanding RSUs, which are scheduled to vest in two equal installments on January 25, 2014 and 2015, subject to continued employment.</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outstanding RSUs, with a scheduled vesting date of January 26, 2014.</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For RSUs, values are based on the closing price of our Common Stock on December 31, 2013 of $40.42. For RCUs, values are based on the average 90-trading day closing stock price on December 31, 2013 of $32.14.</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57,783 PSUs and 57,783 PCUs, which vest from a threshold of 25% to a maximum of 150% on January 23, 2016, subject to continued employment through January 27, 2015.</w:t>
      </w:r>
    </w:p>
    <w:p>
      <w:pPr>
        <w:ind w:left="330" w:hanging="330"/>
        <w:spacing w:after="0" w:line="234" w:lineRule="auto"/>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80,751 PSUs and 80,751 PCUs, which vest from a threshold of 25% to a maximum of 150% on January 27, 2015, subject to continued employment.</w:t>
      </w:r>
    </w:p>
    <w:p>
      <w:pPr>
        <w:ind w:left="330" w:hanging="330"/>
        <w:spacing w:after="0"/>
        <w:tabs>
          <w:tab w:leader="none" w:pos="33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two tranches of 46,663 PSUs, which are scheduled to vest from a threshold of 50% to a maximum of 100%, on January 26, 2014 and 2015,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77470</wp:posOffset>
            </wp:positionV>
            <wp:extent cx="950595" cy="142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9"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33</w:t>
            </w:r>
          </w:p>
        </w:tc>
      </w:tr>
    </w:tbl>
    <w:p>
      <w:pPr>
        <w:sectPr>
          <w:pgSz w:w="11900" w:h="16838" w:orient="portrait"/>
          <w:cols w:equalWidth="0" w:num="1">
            <w:col w:w="11450"/>
          </w:cols>
          <w:pgMar w:left="230" w:top="407" w:right="219" w:bottom="1440" w:gutter="0" w:footer="0" w:header="0"/>
        </w:sectPr>
      </w:pPr>
    </w:p>
    <w:bookmarkStart w:id="39" w:name="page40"/>
    <w:bookmarkEnd w:id="39"/>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33" w:lineRule="exact"/>
        <w:rPr>
          <w:sz w:val="20"/>
          <w:szCs w:val="20"/>
          <w:color w:val="auto"/>
        </w:rPr>
      </w:pPr>
    </w:p>
    <w:p>
      <w:pPr>
        <w:ind w:left="330" w:hanging="330"/>
        <w:spacing w:after="0"/>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two tranches of 150,000 PSUs, which are scheduled to vest from a threshold of 50% to a maximum of 100% on January 27, 2014 and 2015.</w:t>
      </w:r>
    </w:p>
    <w:p>
      <w:pPr>
        <w:ind w:left="330" w:hanging="330"/>
        <w:spacing w:after="0" w:line="234" w:lineRule="auto"/>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PSUs, which are scheduled to vest from a threshold of 50% to a maximum of 150% on January 23, 2016.</w:t>
      </w:r>
    </w:p>
    <w:p>
      <w:pPr>
        <w:ind w:left="330" w:hanging="330"/>
        <w:spacing w:after="0" w:line="234" w:lineRule="auto"/>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PSUs, which are scheduled to vest from a threshold of 37.5% to a maximum of 100% on January 25, 2015.</w:t>
      </w:r>
    </w:p>
    <w:p>
      <w:pPr>
        <w:ind w:left="330" w:hanging="330"/>
        <w:spacing w:after="0" w:line="234" w:lineRule="auto"/>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PSUs, which are scheduled to vest from a threshold of 50% to a maximum of 100% on January 25, 2015.</w:t>
      </w:r>
    </w:p>
    <w:p>
      <w:pPr>
        <w:ind w:left="330" w:hanging="330"/>
        <w:spacing w:after="0" w:line="234" w:lineRule="auto"/>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PSUs, which are scheduled to vest from a threshold of 50% to a maximum of 100% on January 26, 2014.</w:t>
      </w:r>
    </w:p>
    <w:p>
      <w:pPr>
        <w:ind w:left="330" w:hanging="330"/>
        <w:spacing w:after="0"/>
        <w:tabs>
          <w:tab w:leader="none" w:pos="330" w:val="left"/>
        </w:tabs>
        <w:numPr>
          <w:ilvl w:val="0"/>
          <w:numId w:val="59"/>
        </w:numPr>
        <w:rPr>
          <w:rFonts w:ascii="Arial" w:cs="Arial" w:eastAsia="Arial" w:hAnsi="Arial"/>
          <w:sz w:val="11"/>
          <w:szCs w:val="11"/>
          <w:color w:val="auto"/>
        </w:rPr>
      </w:pPr>
      <w:r>
        <w:rPr>
          <w:rFonts w:ascii="Arial" w:cs="Arial" w:eastAsia="Arial" w:hAnsi="Arial"/>
          <w:sz w:val="11"/>
          <w:szCs w:val="11"/>
          <w:color w:val="auto"/>
        </w:rPr>
        <w:t>For PSUs, values are based on the closing price of our Common Stock on December 31, 2013 of $40.42. For PCUs, values are based on the average 90-trading day closing stock price on December 31, 2013 of $32.14.</w:t>
      </w:r>
    </w:p>
    <w:p>
      <w:pPr>
        <w:spacing w:after="0" w:line="1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Option Awards</w:t>
            </w:r>
          </w:p>
        </w:tc>
        <w:tc>
          <w:tcPr>
            <w:tcW w:w="7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1"/>
                <w:szCs w:val="11"/>
                <w:b w:val="1"/>
                <w:bCs w:val="1"/>
                <w:color w:val="auto"/>
              </w:rPr>
              <w:t>Stock Awards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60" w:type="dxa"/>
            <w:vAlign w:val="bottom"/>
            <w:gridSpan w:val="2"/>
            <w:vMerge w:val="restart"/>
          </w:tcPr>
          <w:p>
            <w:pPr>
              <w:jc w:val="center"/>
              <w:ind w:right="660"/>
              <w:spacing w:after="0"/>
              <w:rPr>
                <w:sz w:val="20"/>
                <w:szCs w:val="20"/>
                <w:color w:val="auto"/>
              </w:rPr>
            </w:pPr>
            <w:r>
              <w:rPr>
                <w:rFonts w:ascii="Arial" w:cs="Arial" w:eastAsia="Arial" w:hAnsi="Arial"/>
                <w:sz w:val="11"/>
                <w:szCs w:val="11"/>
                <w:b w:val="1"/>
                <w:bCs w:val="1"/>
                <w:color w:val="auto"/>
              </w:rPr>
              <w:t>Value</w:t>
            </w:r>
          </w:p>
        </w:tc>
        <w:tc>
          <w:tcPr>
            <w:tcW w:w="1060" w:type="dxa"/>
            <w:vAlign w:val="bottom"/>
          </w:tcPr>
          <w:p>
            <w:pPr>
              <w:jc w:val="center"/>
              <w:ind w:right="257"/>
              <w:spacing w:after="0" w:line="101" w:lineRule="exact"/>
              <w:rPr>
                <w:sz w:val="20"/>
                <w:szCs w:val="20"/>
                <w:color w:val="auto"/>
              </w:rPr>
            </w:pPr>
            <w:r>
              <w:rPr>
                <w:rFonts w:ascii="Arial" w:cs="Arial" w:eastAsia="Arial" w:hAnsi="Arial"/>
                <w:sz w:val="11"/>
                <w:szCs w:val="11"/>
                <w:b w:val="1"/>
                <w:bCs w:val="1"/>
                <w:color w:val="auto"/>
              </w:rPr>
              <w:t>Number of</w:t>
            </w: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400" w:type="dxa"/>
            <w:vAlign w:val="bottom"/>
          </w:tcPr>
          <w:p>
            <w:pPr>
              <w:spacing w:after="0"/>
              <w:rPr>
                <w:sz w:val="10"/>
                <w:szCs w:val="10"/>
                <w:color w:val="auto"/>
              </w:rPr>
            </w:pPr>
          </w:p>
        </w:tc>
        <w:tc>
          <w:tcPr>
            <w:tcW w:w="1520" w:type="dxa"/>
            <w:vAlign w:val="bottom"/>
          </w:tcPr>
          <w:p>
            <w:pPr>
              <w:jc w:val="center"/>
              <w:ind w:right="616"/>
              <w:spacing w:after="0" w:line="116" w:lineRule="exact"/>
              <w:rPr>
                <w:sz w:val="20"/>
                <w:szCs w:val="20"/>
                <w:color w:val="auto"/>
              </w:rPr>
            </w:pPr>
            <w:r>
              <w:rPr>
                <w:rFonts w:ascii="Arial" w:cs="Arial" w:eastAsia="Arial" w:hAnsi="Arial"/>
                <w:sz w:val="11"/>
                <w:szCs w:val="11"/>
                <w:b w:val="1"/>
                <w:bCs w:val="1"/>
                <w:color w:val="auto"/>
              </w:rPr>
              <w:t>Number of</w:t>
            </w:r>
          </w:p>
        </w:tc>
        <w:tc>
          <w:tcPr>
            <w:tcW w:w="1160" w:type="dxa"/>
            <w:vAlign w:val="bottom"/>
            <w:gridSpan w:val="2"/>
            <w:vMerge w:val="continue"/>
          </w:tcPr>
          <w:p>
            <w:pPr>
              <w:spacing w:after="0"/>
              <w:rPr>
                <w:sz w:val="10"/>
                <w:szCs w:val="10"/>
                <w:color w:val="auto"/>
              </w:rPr>
            </w:pPr>
          </w:p>
        </w:tc>
        <w:tc>
          <w:tcPr>
            <w:tcW w:w="1060" w:type="dxa"/>
            <w:vAlign w:val="bottom"/>
          </w:tcPr>
          <w:p>
            <w:pPr>
              <w:jc w:val="center"/>
              <w:ind w:right="257"/>
              <w:spacing w:after="0" w:line="116" w:lineRule="exact"/>
              <w:rPr>
                <w:sz w:val="20"/>
                <w:szCs w:val="20"/>
                <w:color w:val="auto"/>
              </w:rPr>
            </w:pPr>
            <w:r>
              <w:rPr>
                <w:rFonts w:ascii="Arial" w:cs="Arial" w:eastAsia="Arial" w:hAnsi="Arial"/>
                <w:sz w:val="11"/>
                <w:szCs w:val="11"/>
                <w:b w:val="1"/>
                <w:bCs w:val="1"/>
                <w:color w:val="auto"/>
              </w:rPr>
              <w:t>Shares</w:t>
            </w: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520" w:type="dxa"/>
            <w:vAlign w:val="bottom"/>
          </w:tcPr>
          <w:p>
            <w:pPr>
              <w:jc w:val="center"/>
              <w:ind w:right="596"/>
              <w:spacing w:after="0" w:line="124" w:lineRule="exact"/>
              <w:rPr>
                <w:sz w:val="20"/>
                <w:szCs w:val="20"/>
                <w:color w:val="auto"/>
              </w:rPr>
            </w:pPr>
            <w:r>
              <w:rPr>
                <w:rFonts w:ascii="Arial" w:cs="Arial" w:eastAsia="Arial" w:hAnsi="Arial"/>
                <w:sz w:val="11"/>
                <w:szCs w:val="11"/>
                <w:b w:val="1"/>
                <w:bCs w:val="1"/>
                <w:color w:val="auto"/>
              </w:rPr>
              <w:t>Shares</w:t>
            </w:r>
          </w:p>
        </w:tc>
        <w:tc>
          <w:tcPr>
            <w:tcW w:w="11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rPr>
              <w:t>Realized</w:t>
            </w:r>
          </w:p>
        </w:tc>
        <w:tc>
          <w:tcPr>
            <w:tcW w:w="1060" w:type="dxa"/>
            <w:vAlign w:val="bottom"/>
          </w:tcPr>
          <w:p>
            <w:pPr>
              <w:jc w:val="center"/>
              <w:ind w:right="257"/>
              <w:spacing w:after="0" w:line="124" w:lineRule="exact"/>
              <w:rPr>
                <w:sz w:val="20"/>
                <w:szCs w:val="20"/>
                <w:color w:val="auto"/>
              </w:rPr>
            </w:pPr>
            <w:r>
              <w:rPr>
                <w:rFonts w:ascii="Arial" w:cs="Arial" w:eastAsia="Arial" w:hAnsi="Arial"/>
                <w:sz w:val="11"/>
                <w:szCs w:val="11"/>
                <w:b w:val="1"/>
                <w:bCs w:val="1"/>
                <w:color w:val="auto"/>
              </w:rPr>
              <w:t>Acquired</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520" w:type="dxa"/>
            <w:vAlign w:val="bottom"/>
          </w:tcPr>
          <w:p>
            <w:pPr>
              <w:jc w:val="center"/>
              <w:ind w:right="596"/>
              <w:spacing w:after="0" w:line="124" w:lineRule="exact"/>
              <w:rPr>
                <w:sz w:val="20"/>
                <w:szCs w:val="20"/>
                <w:color w:val="auto"/>
              </w:rPr>
            </w:pPr>
            <w:r>
              <w:rPr>
                <w:rFonts w:ascii="Arial" w:cs="Arial" w:eastAsia="Arial" w:hAnsi="Arial"/>
                <w:sz w:val="11"/>
                <w:szCs w:val="11"/>
                <w:b w:val="1"/>
                <w:bCs w:val="1"/>
                <w:color w:val="auto"/>
              </w:rPr>
              <w:t>Acquired on</w:t>
            </w:r>
          </w:p>
        </w:tc>
        <w:tc>
          <w:tcPr>
            <w:tcW w:w="11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rPr>
              <w:t>on</w:t>
            </w:r>
          </w:p>
        </w:tc>
        <w:tc>
          <w:tcPr>
            <w:tcW w:w="1060" w:type="dxa"/>
            <w:vAlign w:val="bottom"/>
          </w:tcPr>
          <w:p>
            <w:pPr>
              <w:jc w:val="center"/>
              <w:ind w:right="257"/>
              <w:spacing w:after="0" w:line="124" w:lineRule="exact"/>
              <w:rPr>
                <w:sz w:val="20"/>
                <w:szCs w:val="20"/>
                <w:color w:val="auto"/>
              </w:rPr>
            </w:pPr>
            <w:r>
              <w:rPr>
                <w:rFonts w:ascii="Arial" w:cs="Arial" w:eastAsia="Arial" w:hAnsi="Arial"/>
                <w:sz w:val="11"/>
                <w:szCs w:val="11"/>
                <w:b w:val="1"/>
                <w:bCs w:val="1"/>
                <w:color w:val="auto"/>
              </w:rPr>
              <w:t>on</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Realized</w:t>
            </w: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520" w:type="dxa"/>
            <w:vAlign w:val="bottom"/>
          </w:tcPr>
          <w:p>
            <w:pPr>
              <w:jc w:val="center"/>
              <w:ind w:right="596"/>
              <w:spacing w:after="0" w:line="124" w:lineRule="exact"/>
              <w:rPr>
                <w:sz w:val="20"/>
                <w:szCs w:val="20"/>
                <w:color w:val="auto"/>
              </w:rPr>
            </w:pPr>
            <w:r>
              <w:rPr>
                <w:rFonts w:ascii="Arial" w:cs="Arial" w:eastAsia="Arial" w:hAnsi="Arial"/>
                <w:sz w:val="11"/>
                <w:szCs w:val="11"/>
                <w:b w:val="1"/>
                <w:bCs w:val="1"/>
                <w:color w:val="auto"/>
              </w:rPr>
              <w:t>Exercise</w:t>
            </w:r>
          </w:p>
        </w:tc>
        <w:tc>
          <w:tcPr>
            <w:tcW w:w="11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rPr>
              <w:t>Exercise</w:t>
            </w:r>
          </w:p>
        </w:tc>
        <w:tc>
          <w:tcPr>
            <w:tcW w:w="1060" w:type="dxa"/>
            <w:vAlign w:val="bottom"/>
          </w:tcPr>
          <w:p>
            <w:pPr>
              <w:jc w:val="center"/>
              <w:ind w:right="237"/>
              <w:spacing w:after="0" w:line="124" w:lineRule="exact"/>
              <w:rPr>
                <w:sz w:val="20"/>
                <w:szCs w:val="20"/>
                <w:color w:val="auto"/>
              </w:rPr>
            </w:pPr>
            <w:r>
              <w:rPr>
                <w:rFonts w:ascii="Arial" w:cs="Arial" w:eastAsia="Arial" w:hAnsi="Arial"/>
                <w:sz w:val="11"/>
                <w:szCs w:val="11"/>
                <w:b w:val="1"/>
                <w:bCs w:val="1"/>
                <w:color w:val="auto"/>
              </w:rPr>
              <w:t>Vesting</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146"/>
        </w:trPr>
        <w:tc>
          <w:tcPr>
            <w:tcW w:w="6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520" w:type="dxa"/>
            <w:vAlign w:val="bottom"/>
            <w:tcBorders>
              <w:bottom w:val="single" w:sz="8" w:color="auto"/>
            </w:tcBorders>
          </w:tcPr>
          <w:p>
            <w:pPr>
              <w:jc w:val="center"/>
              <w:ind w:right="596"/>
              <w:spacing w:after="0"/>
              <w:rPr>
                <w:sz w:val="20"/>
                <w:szCs w:val="20"/>
                <w:color w:val="auto"/>
              </w:rPr>
            </w:pPr>
            <w:r>
              <w:rPr>
                <w:rFonts w:ascii="Arial" w:cs="Arial" w:eastAsia="Arial" w:hAnsi="Arial"/>
                <w:sz w:val="11"/>
                <w:szCs w:val="11"/>
                <w:b w:val="1"/>
                <w:bCs w:val="1"/>
                <w:color w:val="auto"/>
                <w:w w:val="96"/>
              </w:rPr>
              <w:t>(#)(a)</w:t>
            </w:r>
          </w:p>
        </w:tc>
        <w:tc>
          <w:tcPr>
            <w:tcW w:w="116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1"/>
                <w:szCs w:val="11"/>
                <w:b w:val="1"/>
                <w:bCs w:val="1"/>
                <w:color w:val="auto"/>
              </w:rPr>
              <w:t>($)(b)</w:t>
            </w:r>
          </w:p>
        </w:tc>
        <w:tc>
          <w:tcPr>
            <w:tcW w:w="106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w w:val="96"/>
              </w:rPr>
              <w:t>(#)(c)</w:t>
            </w: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($)(d)</w:t>
            </w:r>
          </w:p>
        </w:tc>
        <w:tc>
          <w:tcPr>
            <w:tcW w:w="0" w:type="dxa"/>
            <w:vAlign w:val="bottom"/>
          </w:tcPr>
          <w:p>
            <w:pPr>
              <w:spacing w:after="0"/>
              <w:rPr>
                <w:sz w:val="1"/>
                <w:szCs w:val="1"/>
                <w:color w:val="auto"/>
              </w:rPr>
            </w:pPr>
          </w:p>
        </w:tc>
      </w:tr>
      <w:tr>
        <w:trPr>
          <w:trHeight w:val="160"/>
        </w:trPr>
        <w:tc>
          <w:tcPr>
            <w:tcW w:w="64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Mr. Nelson</w:t>
            </w:r>
          </w:p>
        </w:tc>
        <w:tc>
          <w:tcPr>
            <w:tcW w:w="1520" w:type="dxa"/>
            <w:vAlign w:val="bottom"/>
            <w:shd w:val="clear" w:color="auto" w:fill="D8D8D8"/>
          </w:tcPr>
          <w:p>
            <w:pPr>
              <w:jc w:val="right"/>
              <w:ind w:right="596"/>
              <w:spacing w:after="0" w:line="160" w:lineRule="exact"/>
              <w:rPr>
                <w:sz w:val="20"/>
                <w:szCs w:val="20"/>
                <w:color w:val="auto"/>
              </w:rPr>
            </w:pPr>
            <w:r>
              <w:rPr>
                <w:rFonts w:ascii="Arial" w:cs="Arial" w:eastAsia="Arial" w:hAnsi="Arial"/>
                <w:sz w:val="15"/>
                <w:szCs w:val="15"/>
                <w:color w:val="auto"/>
              </w:rPr>
              <w:t>441,328</w:t>
            </w:r>
          </w:p>
        </w:tc>
        <w:tc>
          <w:tcPr>
            <w:tcW w:w="700" w:type="dxa"/>
            <w:vAlign w:val="bottom"/>
            <w:shd w:val="clear" w:color="auto" w:fill="D8D8D8"/>
          </w:tcPr>
          <w:p>
            <w:pPr>
              <w:jc w:val="right"/>
              <w:spacing w:after="0" w:line="160" w:lineRule="exact"/>
              <w:rPr>
                <w:sz w:val="20"/>
                <w:szCs w:val="20"/>
                <w:color w:val="auto"/>
              </w:rPr>
            </w:pPr>
            <w:r>
              <w:rPr>
                <w:rFonts w:ascii="Arial" w:cs="Arial" w:eastAsia="Arial" w:hAnsi="Arial"/>
                <w:sz w:val="15"/>
                <w:szCs w:val="15"/>
                <w:color w:val="auto"/>
              </w:rPr>
              <w:t>2,190,032</w:t>
            </w:r>
          </w:p>
        </w:tc>
        <w:tc>
          <w:tcPr>
            <w:tcW w:w="460" w:type="dxa"/>
            <w:vAlign w:val="bottom"/>
            <w:shd w:val="clear" w:color="auto" w:fill="D8D8D8"/>
          </w:tcPr>
          <w:p>
            <w:pPr>
              <w:spacing w:after="0"/>
              <w:rPr>
                <w:sz w:val="13"/>
                <w:szCs w:val="13"/>
                <w:color w:val="auto"/>
              </w:rPr>
            </w:pPr>
          </w:p>
        </w:tc>
        <w:tc>
          <w:tcPr>
            <w:tcW w:w="1060" w:type="dxa"/>
            <w:vAlign w:val="bottom"/>
            <w:shd w:val="clear" w:color="auto" w:fill="D8D8D8"/>
          </w:tcPr>
          <w:p>
            <w:pPr>
              <w:jc w:val="right"/>
              <w:ind w:right="257"/>
              <w:spacing w:after="0" w:line="160" w:lineRule="exact"/>
              <w:rPr>
                <w:sz w:val="20"/>
                <w:szCs w:val="20"/>
                <w:color w:val="auto"/>
              </w:rPr>
            </w:pPr>
            <w:r>
              <w:rPr>
                <w:rFonts w:ascii="Arial" w:cs="Arial" w:eastAsia="Arial" w:hAnsi="Arial"/>
                <w:sz w:val="15"/>
                <w:szCs w:val="15"/>
                <w:color w:val="auto"/>
              </w:rPr>
              <w:t>150,000</w:t>
            </w:r>
          </w:p>
        </w:tc>
        <w:tc>
          <w:tcPr>
            <w:tcW w:w="1080" w:type="dxa"/>
            <w:vAlign w:val="bottom"/>
            <w:shd w:val="clear" w:color="auto" w:fill="D8D8D8"/>
          </w:tcPr>
          <w:p>
            <w:pPr>
              <w:jc w:val="right"/>
              <w:spacing w:after="0" w:line="160" w:lineRule="exact"/>
              <w:rPr>
                <w:sz w:val="20"/>
                <w:szCs w:val="20"/>
                <w:color w:val="auto"/>
              </w:rPr>
            </w:pPr>
            <w:r>
              <w:rPr>
                <w:rFonts w:ascii="Arial" w:cs="Arial" w:eastAsia="Arial" w:hAnsi="Arial"/>
                <w:sz w:val="15"/>
                <w:szCs w:val="15"/>
                <w:color w:val="auto"/>
              </w:rPr>
              <w:t>3,298,500</w:t>
            </w:r>
          </w:p>
        </w:tc>
        <w:tc>
          <w:tcPr>
            <w:tcW w:w="22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line="169" w:lineRule="exact"/>
              <w:rPr>
                <w:sz w:val="20"/>
                <w:szCs w:val="20"/>
                <w:color w:val="auto"/>
              </w:rPr>
            </w:pPr>
            <w:r>
              <w:rPr>
                <w:rFonts w:ascii="Arial" w:cs="Arial" w:eastAsia="Arial" w:hAnsi="Arial"/>
                <w:sz w:val="15"/>
                <w:szCs w:val="15"/>
                <w:color w:val="auto"/>
              </w:rPr>
              <w:t>Mr. Wyshner</w:t>
            </w:r>
          </w:p>
        </w:tc>
        <w:tc>
          <w:tcPr>
            <w:tcW w:w="1520" w:type="dxa"/>
            <w:vAlign w:val="bottom"/>
          </w:tcPr>
          <w:p>
            <w:pPr>
              <w:jc w:val="right"/>
              <w:ind w:right="596"/>
              <w:spacing w:after="0" w:line="169" w:lineRule="exact"/>
              <w:rPr>
                <w:sz w:val="20"/>
                <w:szCs w:val="20"/>
                <w:color w:val="auto"/>
              </w:rPr>
            </w:pPr>
            <w:r>
              <w:rPr>
                <w:rFonts w:ascii="Arial" w:cs="Arial" w:eastAsia="Arial" w:hAnsi="Arial"/>
                <w:sz w:val="15"/>
                <w:szCs w:val="15"/>
                <w:color w:val="auto"/>
              </w:rPr>
              <w:t>191,548</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4,005,129</w:t>
            </w:r>
          </w:p>
        </w:tc>
        <w:tc>
          <w:tcPr>
            <w:tcW w:w="460" w:type="dxa"/>
            <w:vAlign w:val="bottom"/>
          </w:tcPr>
          <w:p>
            <w:pPr>
              <w:spacing w:after="0"/>
              <w:rPr>
                <w:sz w:val="14"/>
                <w:szCs w:val="14"/>
                <w:color w:val="auto"/>
              </w:rPr>
            </w:pPr>
          </w:p>
        </w:tc>
        <w:tc>
          <w:tcPr>
            <w:tcW w:w="1060" w:type="dxa"/>
            <w:vAlign w:val="bottom"/>
          </w:tcPr>
          <w:p>
            <w:pPr>
              <w:jc w:val="right"/>
              <w:ind w:right="257"/>
              <w:spacing w:after="0" w:line="169" w:lineRule="exact"/>
              <w:rPr>
                <w:sz w:val="20"/>
                <w:szCs w:val="20"/>
                <w:color w:val="auto"/>
              </w:rPr>
            </w:pPr>
            <w:r>
              <w:rPr>
                <w:rFonts w:ascii="Arial" w:cs="Arial" w:eastAsia="Arial" w:hAnsi="Arial"/>
                <w:sz w:val="15"/>
                <w:szCs w:val="15"/>
                <w:color w:val="auto"/>
              </w:rPr>
              <w:t>83,291</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1,831,569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Mr. Gartland</w:t>
            </w:r>
          </w:p>
        </w:tc>
        <w:tc>
          <w:tcPr>
            <w:tcW w:w="1520" w:type="dxa"/>
            <w:vAlign w:val="bottom"/>
            <w:shd w:val="clear" w:color="auto" w:fill="D8D8D8"/>
          </w:tcPr>
          <w:p>
            <w:pPr>
              <w:jc w:val="right"/>
              <w:ind w:right="596"/>
              <w:spacing w:after="0" w:line="169" w:lineRule="exact"/>
              <w:rPr>
                <w:sz w:val="20"/>
                <w:szCs w:val="20"/>
                <w:color w:val="auto"/>
              </w:rPr>
            </w:pPr>
            <w:r>
              <w:rPr>
                <w:rFonts w:ascii="Arial" w:cs="Arial" w:eastAsia="Arial" w:hAnsi="Arial"/>
                <w:sz w:val="15"/>
                <w:szCs w:val="15"/>
                <w:color w:val="auto"/>
              </w:rPr>
              <w:t>175,000</w:t>
            </w:r>
          </w:p>
        </w:tc>
        <w:tc>
          <w:tcPr>
            <w:tcW w:w="70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4,832,250</w:t>
            </w:r>
          </w:p>
        </w:tc>
        <w:tc>
          <w:tcPr>
            <w:tcW w:w="460" w:type="dxa"/>
            <w:vAlign w:val="bottom"/>
            <w:shd w:val="clear" w:color="auto" w:fill="D8D8D8"/>
          </w:tcPr>
          <w:p>
            <w:pPr>
              <w:spacing w:after="0"/>
              <w:rPr>
                <w:sz w:val="14"/>
                <w:szCs w:val="14"/>
                <w:color w:val="auto"/>
              </w:rPr>
            </w:pPr>
          </w:p>
        </w:tc>
        <w:tc>
          <w:tcPr>
            <w:tcW w:w="1060" w:type="dxa"/>
            <w:vAlign w:val="bottom"/>
            <w:shd w:val="clear" w:color="auto" w:fill="D8D8D8"/>
          </w:tcPr>
          <w:p>
            <w:pPr>
              <w:jc w:val="right"/>
              <w:ind w:right="257"/>
              <w:spacing w:after="0" w:line="169" w:lineRule="exact"/>
              <w:rPr>
                <w:sz w:val="20"/>
                <w:szCs w:val="20"/>
                <w:color w:val="auto"/>
              </w:rPr>
            </w:pPr>
            <w:r>
              <w:rPr>
                <w:rFonts w:ascii="Arial" w:cs="Arial" w:eastAsia="Arial" w:hAnsi="Arial"/>
                <w:sz w:val="15"/>
                <w:szCs w:val="15"/>
                <w:color w:val="auto"/>
              </w:rPr>
              <w:t>65,942</w:t>
            </w:r>
          </w:p>
        </w:tc>
        <w:tc>
          <w:tcPr>
            <w:tcW w:w="108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1,450,065</w:t>
            </w:r>
          </w:p>
        </w:tc>
        <w:tc>
          <w:tcPr>
            <w:tcW w:w="22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line="169" w:lineRule="exact"/>
              <w:rPr>
                <w:sz w:val="20"/>
                <w:szCs w:val="20"/>
                <w:color w:val="auto"/>
              </w:rPr>
            </w:pPr>
            <w:r>
              <w:rPr>
                <w:rFonts w:ascii="Arial" w:cs="Arial" w:eastAsia="Arial" w:hAnsi="Arial"/>
                <w:sz w:val="15"/>
                <w:szCs w:val="15"/>
                <w:color w:val="auto"/>
              </w:rPr>
              <w:t>Mr. De Shon</w:t>
            </w:r>
          </w:p>
        </w:tc>
        <w:tc>
          <w:tcPr>
            <w:tcW w:w="1520" w:type="dxa"/>
            <w:vAlign w:val="bottom"/>
          </w:tcPr>
          <w:p>
            <w:pPr>
              <w:jc w:val="right"/>
              <w:ind w:right="596"/>
              <w:spacing w:after="0" w:line="169" w:lineRule="exact"/>
              <w:rPr>
                <w:sz w:val="20"/>
                <w:szCs w:val="20"/>
                <w:color w:val="auto"/>
              </w:rPr>
            </w:pPr>
            <w:r>
              <w:rPr>
                <w:rFonts w:ascii="Arial" w:cs="Arial" w:eastAsia="Arial" w:hAnsi="Arial"/>
                <w:sz w:val="15"/>
                <w:szCs w:val="15"/>
                <w:color w:val="auto"/>
              </w:rPr>
              <w:t>100,000</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2,601,419</w:t>
            </w:r>
          </w:p>
        </w:tc>
        <w:tc>
          <w:tcPr>
            <w:tcW w:w="460" w:type="dxa"/>
            <w:vAlign w:val="bottom"/>
          </w:tcPr>
          <w:p>
            <w:pPr>
              <w:spacing w:after="0"/>
              <w:rPr>
                <w:sz w:val="14"/>
                <w:szCs w:val="14"/>
                <w:color w:val="auto"/>
              </w:rPr>
            </w:pPr>
          </w:p>
        </w:tc>
        <w:tc>
          <w:tcPr>
            <w:tcW w:w="1060" w:type="dxa"/>
            <w:vAlign w:val="bottom"/>
          </w:tcPr>
          <w:p>
            <w:pPr>
              <w:jc w:val="right"/>
              <w:ind w:right="257"/>
              <w:spacing w:after="0" w:line="169" w:lineRule="exact"/>
              <w:rPr>
                <w:sz w:val="20"/>
                <w:szCs w:val="20"/>
                <w:color w:val="auto"/>
              </w:rPr>
            </w:pPr>
            <w:r>
              <w:rPr>
                <w:rFonts w:ascii="Arial" w:cs="Arial" w:eastAsia="Arial" w:hAnsi="Arial"/>
                <w:sz w:val="15"/>
                <w:szCs w:val="15"/>
                <w:color w:val="auto"/>
              </w:rPr>
              <w:t>65,942</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1,450,065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Mr. Siniscalchi</w:t>
            </w:r>
          </w:p>
        </w:tc>
        <w:tc>
          <w:tcPr>
            <w:tcW w:w="1520" w:type="dxa"/>
            <w:vAlign w:val="bottom"/>
            <w:shd w:val="clear" w:color="auto" w:fill="D8D8D8"/>
          </w:tcPr>
          <w:p>
            <w:pPr>
              <w:jc w:val="right"/>
              <w:ind w:right="596"/>
              <w:spacing w:after="0" w:line="169" w:lineRule="exact"/>
              <w:rPr>
                <w:sz w:val="20"/>
                <w:szCs w:val="20"/>
                <w:color w:val="auto"/>
              </w:rPr>
            </w:pPr>
            <w:r>
              <w:rPr>
                <w:rFonts w:ascii="Arial" w:cs="Arial" w:eastAsia="Arial" w:hAnsi="Arial"/>
                <w:sz w:val="15"/>
                <w:szCs w:val="15"/>
                <w:color w:val="auto"/>
              </w:rPr>
              <w:t>75,000</w:t>
            </w:r>
          </w:p>
        </w:tc>
        <w:tc>
          <w:tcPr>
            <w:tcW w:w="70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2,124,387</w:t>
            </w:r>
          </w:p>
        </w:tc>
        <w:tc>
          <w:tcPr>
            <w:tcW w:w="460" w:type="dxa"/>
            <w:vAlign w:val="bottom"/>
            <w:shd w:val="clear" w:color="auto" w:fill="D8D8D8"/>
          </w:tcPr>
          <w:p>
            <w:pPr>
              <w:spacing w:after="0"/>
              <w:rPr>
                <w:sz w:val="14"/>
                <w:szCs w:val="14"/>
                <w:color w:val="auto"/>
              </w:rPr>
            </w:pPr>
          </w:p>
        </w:tc>
        <w:tc>
          <w:tcPr>
            <w:tcW w:w="1060" w:type="dxa"/>
            <w:vAlign w:val="bottom"/>
            <w:shd w:val="clear" w:color="auto" w:fill="D8D8D8"/>
          </w:tcPr>
          <w:p>
            <w:pPr>
              <w:jc w:val="right"/>
              <w:ind w:right="257"/>
              <w:spacing w:after="0" w:line="169" w:lineRule="exact"/>
              <w:rPr>
                <w:sz w:val="20"/>
                <w:szCs w:val="20"/>
                <w:color w:val="auto"/>
              </w:rPr>
            </w:pPr>
            <w:r>
              <w:rPr>
                <w:rFonts w:ascii="Arial" w:cs="Arial" w:eastAsia="Arial" w:hAnsi="Arial"/>
                <w:sz w:val="15"/>
                <w:szCs w:val="15"/>
                <w:color w:val="auto"/>
              </w:rPr>
              <w:t>40,236</w:t>
            </w:r>
          </w:p>
        </w:tc>
        <w:tc>
          <w:tcPr>
            <w:tcW w:w="108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895,728</w:t>
            </w:r>
          </w:p>
        </w:tc>
        <w:tc>
          <w:tcPr>
            <w:tcW w:w="22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right="140" w:hanging="330"/>
        <w:spacing w:after="0"/>
        <w:tabs>
          <w:tab w:leader="none" w:pos="330" w:val="left"/>
        </w:tabs>
        <w:numPr>
          <w:ilvl w:val="0"/>
          <w:numId w:val="60"/>
        </w:numPr>
        <w:rPr>
          <w:rFonts w:ascii="Arial" w:cs="Arial" w:eastAsia="Arial" w:hAnsi="Arial"/>
          <w:sz w:val="11"/>
          <w:szCs w:val="11"/>
          <w:color w:val="auto"/>
        </w:rPr>
      </w:pPr>
      <w:r>
        <w:rPr>
          <w:rFonts w:ascii="Arial" w:cs="Arial" w:eastAsia="Arial" w:hAnsi="Arial"/>
          <w:sz w:val="11"/>
          <w:szCs w:val="11"/>
          <w:color w:val="auto"/>
        </w:rPr>
        <w:t>Represents the exercise of stock options granted in 2009 with an exercise price of $0.79 for Messrs. Gartland, De Shon and Siniscalchi. For Mr. Nelson and Mr. Wyshner, includes the settlement of SSARs with an exercise price of $24.40, which were granted in 2006 and scheduled to expire in 2013. For Mr. Nelson, also includes the exercise of stock options with an exercise price of $18.8163, which were granted in 2003 and scheduled to expire in 2013. For Mr. Wyshner, also includes the exercise of stock options granted in 2009 with an exercise price of $0.79. For all exercises attributable to Mr. Nelson, represents awards that were transferred to a family trust.</w:t>
      </w:r>
    </w:p>
    <w:p>
      <w:pPr>
        <w:spacing w:after="0" w:line="115"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value represents the difference between the price of our Common Stock at the time of exercise and the exercise price.</w:t>
      </w:r>
    </w:p>
    <w:p>
      <w:pPr>
        <w:ind w:left="330" w:right="80" w:hanging="330"/>
        <w:spacing w:after="0" w:line="234" w:lineRule="auto"/>
        <w:tabs>
          <w:tab w:leader="none" w:pos="330"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Includes vesting of 33% of RSUs granted to Messrs. Wyshner, Gartland, De Shon and Siniscalchi, 100% of PSUs granted to Messrs. Wyshner, Gartland, De Shon and Siniscalchi, and 25% of PSUs granted to Mr. Nelson in 2010; vesting of 33% of RSUs granted for Messrs. Wyshner, Gartland, De Shon and Siniscalchi in 2011; and vesting of 33% of RSUs granted to Messrs. Wyshner, Gartland, De Shon and Siniscalchi in 2012.</w:t>
      </w:r>
    </w:p>
    <w:p>
      <w:pPr>
        <w:spacing w:after="0" w:line="1" w:lineRule="exact"/>
        <w:rPr>
          <w:rFonts w:ascii="Arial" w:cs="Arial" w:eastAsia="Arial" w:hAnsi="Arial"/>
          <w:sz w:val="11"/>
          <w:szCs w:val="11"/>
          <w:color w:val="auto"/>
        </w:rPr>
      </w:pPr>
    </w:p>
    <w:p>
      <w:pPr>
        <w:ind w:left="330" w:hanging="330"/>
        <w:spacing w:after="0"/>
        <w:tabs>
          <w:tab w:leader="none" w:pos="33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Values are based on the closing price of our Common Stock on the date of vesting.</w:t>
      </w:r>
    </w:p>
    <w:p>
      <w:pPr>
        <w:spacing w:after="0" w:line="1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Pension Benefits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40" w:type="dxa"/>
            <w:vAlign w:val="bottom"/>
          </w:tcPr>
          <w:p>
            <w:pPr>
              <w:jc w:val="center"/>
              <w:ind w:left="318"/>
              <w:spacing w:after="0"/>
              <w:rPr>
                <w:sz w:val="20"/>
                <w:szCs w:val="20"/>
                <w:color w:val="auto"/>
              </w:rPr>
            </w:pPr>
            <w:r>
              <w:rPr>
                <w:rFonts w:ascii="Arial" w:cs="Arial" w:eastAsia="Arial" w:hAnsi="Arial"/>
                <w:sz w:val="11"/>
                <w:szCs w:val="11"/>
                <w:b w:val="1"/>
                <w:bCs w:val="1"/>
                <w:color w:val="auto"/>
              </w:rPr>
              <w:t>Present Value</w:t>
            </w:r>
          </w:p>
        </w:tc>
        <w:tc>
          <w:tcPr>
            <w:tcW w:w="800" w:type="dxa"/>
            <w:vAlign w:val="bottom"/>
          </w:tcPr>
          <w:p>
            <w:pPr>
              <w:ind w:left="220"/>
              <w:spacing w:after="0"/>
              <w:rPr>
                <w:sz w:val="20"/>
                <w:szCs w:val="20"/>
                <w:color w:val="auto"/>
              </w:rPr>
            </w:pPr>
            <w:r>
              <w:rPr>
                <w:rFonts w:ascii="Arial" w:cs="Arial" w:eastAsia="Arial" w:hAnsi="Arial"/>
                <w:sz w:val="11"/>
                <w:szCs w:val="11"/>
                <w:b w:val="1"/>
                <w:bCs w:val="1"/>
                <w:color w:val="auto"/>
              </w:rPr>
              <w:t>Payments</w:t>
            </w:r>
          </w:p>
        </w:tc>
      </w:tr>
      <w:tr>
        <w:trPr>
          <w:trHeight w:val="124"/>
        </w:trPr>
        <w:tc>
          <w:tcPr>
            <w:tcW w:w="22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580" w:type="dxa"/>
            <w:vAlign w:val="bottom"/>
          </w:tcPr>
          <w:p>
            <w:pPr>
              <w:jc w:val="center"/>
              <w:ind w:left="34"/>
              <w:spacing w:after="0" w:line="124" w:lineRule="exact"/>
              <w:rPr>
                <w:sz w:val="20"/>
                <w:szCs w:val="20"/>
                <w:color w:val="auto"/>
              </w:rPr>
            </w:pPr>
            <w:r>
              <w:rPr>
                <w:rFonts w:ascii="Arial" w:cs="Arial" w:eastAsia="Arial" w:hAnsi="Arial"/>
                <w:sz w:val="11"/>
                <w:szCs w:val="11"/>
                <w:b w:val="1"/>
                <w:bCs w:val="1"/>
                <w:color w:val="auto"/>
              </w:rPr>
              <w:t>Number of Years of</w:t>
            </w:r>
          </w:p>
        </w:tc>
        <w:tc>
          <w:tcPr>
            <w:tcW w:w="1440" w:type="dxa"/>
            <w:vAlign w:val="bottom"/>
          </w:tcPr>
          <w:p>
            <w:pPr>
              <w:jc w:val="center"/>
              <w:ind w:left="318"/>
              <w:spacing w:after="0" w:line="124" w:lineRule="exact"/>
              <w:rPr>
                <w:sz w:val="20"/>
                <w:szCs w:val="20"/>
                <w:color w:val="auto"/>
              </w:rPr>
            </w:pPr>
            <w:r>
              <w:rPr>
                <w:rFonts w:ascii="Arial" w:cs="Arial" w:eastAsia="Arial" w:hAnsi="Arial"/>
                <w:sz w:val="11"/>
                <w:szCs w:val="11"/>
                <w:b w:val="1"/>
                <w:bCs w:val="1"/>
                <w:color w:val="auto"/>
                <w:w w:val="95"/>
              </w:rPr>
              <w:t>of</w:t>
            </w:r>
          </w:p>
        </w:tc>
        <w:tc>
          <w:tcPr>
            <w:tcW w:w="8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w w:val="98"/>
              </w:rPr>
              <w:t>During Last</w:t>
            </w:r>
          </w:p>
        </w:tc>
      </w:tr>
      <w:tr>
        <w:trPr>
          <w:trHeight w:val="124"/>
        </w:trPr>
        <w:tc>
          <w:tcPr>
            <w:tcW w:w="22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580" w:type="dxa"/>
            <w:vAlign w:val="bottom"/>
          </w:tcPr>
          <w:p>
            <w:pPr>
              <w:jc w:val="center"/>
              <w:ind w:left="34"/>
              <w:spacing w:after="0" w:line="124" w:lineRule="exact"/>
              <w:rPr>
                <w:sz w:val="20"/>
                <w:szCs w:val="20"/>
                <w:color w:val="auto"/>
              </w:rPr>
            </w:pPr>
            <w:r>
              <w:rPr>
                <w:rFonts w:ascii="Arial" w:cs="Arial" w:eastAsia="Arial" w:hAnsi="Arial"/>
                <w:sz w:val="11"/>
                <w:szCs w:val="11"/>
                <w:b w:val="1"/>
                <w:bCs w:val="1"/>
                <w:color w:val="auto"/>
              </w:rPr>
              <w:t>Credited Service</w:t>
            </w:r>
          </w:p>
        </w:tc>
        <w:tc>
          <w:tcPr>
            <w:tcW w:w="1440" w:type="dxa"/>
            <w:vAlign w:val="bottom"/>
          </w:tcPr>
          <w:p>
            <w:pPr>
              <w:jc w:val="center"/>
              <w:ind w:left="318"/>
              <w:spacing w:after="0" w:line="124" w:lineRule="exact"/>
              <w:rPr>
                <w:sz w:val="20"/>
                <w:szCs w:val="20"/>
                <w:color w:val="auto"/>
              </w:rPr>
            </w:pPr>
            <w:r>
              <w:rPr>
                <w:rFonts w:ascii="Arial" w:cs="Arial" w:eastAsia="Arial" w:hAnsi="Arial"/>
                <w:sz w:val="11"/>
                <w:szCs w:val="11"/>
                <w:b w:val="1"/>
                <w:bCs w:val="1"/>
                <w:color w:val="auto"/>
              </w:rPr>
              <w:t>Accumulated</w:t>
            </w:r>
          </w:p>
        </w:tc>
        <w:tc>
          <w:tcPr>
            <w:tcW w:w="8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Fiscal Year</w:t>
            </w:r>
          </w:p>
        </w:tc>
      </w:tr>
      <w:tr>
        <w:trPr>
          <w:trHeight w:val="138"/>
        </w:trPr>
        <w:tc>
          <w:tcPr>
            <w:tcW w:w="2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4400" w:type="dxa"/>
            <w:vAlign w:val="bottom"/>
            <w:tcBorders>
              <w:bottom w:val="single" w:sz="8" w:color="auto"/>
            </w:tcBorders>
          </w:tcPr>
          <w:p>
            <w:pPr>
              <w:ind w:left="2260"/>
              <w:spacing w:after="0"/>
              <w:rPr>
                <w:sz w:val="20"/>
                <w:szCs w:val="20"/>
                <w:color w:val="auto"/>
              </w:rPr>
            </w:pPr>
            <w:r>
              <w:rPr>
                <w:rFonts w:ascii="Arial" w:cs="Arial" w:eastAsia="Arial" w:hAnsi="Arial"/>
                <w:sz w:val="11"/>
                <w:szCs w:val="11"/>
                <w:b w:val="1"/>
                <w:bCs w:val="1"/>
                <w:color w:val="auto"/>
              </w:rPr>
              <w:t>Plan Name (a)</w:t>
            </w:r>
          </w:p>
        </w:tc>
        <w:tc>
          <w:tcPr>
            <w:tcW w:w="2580" w:type="dxa"/>
            <w:vAlign w:val="bottom"/>
            <w:tcBorders>
              <w:bottom w:val="single" w:sz="8" w:color="auto"/>
            </w:tcBorders>
          </w:tcPr>
          <w:p>
            <w:pPr>
              <w:jc w:val="center"/>
              <w:ind w:left="34"/>
              <w:spacing w:after="0"/>
              <w:rPr>
                <w:sz w:val="20"/>
                <w:szCs w:val="20"/>
                <w:color w:val="auto"/>
              </w:rPr>
            </w:pPr>
            <w:r>
              <w:rPr>
                <w:rFonts w:ascii="Arial" w:cs="Arial" w:eastAsia="Arial" w:hAnsi="Arial"/>
                <w:sz w:val="11"/>
                <w:szCs w:val="11"/>
                <w:b w:val="1"/>
                <w:bCs w:val="1"/>
                <w:color w:val="auto"/>
              </w:rPr>
              <w:t>(#)(a)</w:t>
            </w:r>
          </w:p>
        </w:tc>
        <w:tc>
          <w:tcPr>
            <w:tcW w:w="1440" w:type="dxa"/>
            <w:vAlign w:val="bottom"/>
            <w:tcBorders>
              <w:bottom w:val="single" w:sz="8" w:color="auto"/>
            </w:tcBorders>
          </w:tcPr>
          <w:p>
            <w:pPr>
              <w:jc w:val="center"/>
              <w:ind w:left="318"/>
              <w:spacing w:after="0"/>
              <w:rPr>
                <w:sz w:val="20"/>
                <w:szCs w:val="20"/>
                <w:color w:val="auto"/>
              </w:rPr>
            </w:pPr>
            <w:r>
              <w:rPr>
                <w:rFonts w:ascii="Arial" w:cs="Arial" w:eastAsia="Arial" w:hAnsi="Arial"/>
                <w:sz w:val="11"/>
                <w:szCs w:val="11"/>
                <w:b w:val="1"/>
                <w:bCs w:val="1"/>
                <w:color w:val="auto"/>
              </w:rPr>
              <w:t>Benefit ($)(a)</w:t>
            </w: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w:t>
            </w:r>
          </w:p>
        </w:tc>
      </w:tr>
      <w:tr>
        <w:trPr>
          <w:trHeight w:val="163"/>
        </w:trPr>
        <w:tc>
          <w:tcPr>
            <w:tcW w:w="2220" w:type="dxa"/>
            <w:vAlign w:val="bottom"/>
            <w:shd w:val="clear" w:color="auto" w:fill="D8D8D8"/>
          </w:tcPr>
          <w:p>
            <w:pPr>
              <w:spacing w:after="0" w:line="163" w:lineRule="exact"/>
              <w:rPr>
                <w:sz w:val="20"/>
                <w:szCs w:val="20"/>
                <w:color w:val="auto"/>
              </w:rPr>
            </w:pPr>
            <w:r>
              <w:rPr>
                <w:rFonts w:ascii="Arial" w:cs="Arial" w:eastAsia="Arial" w:hAnsi="Arial"/>
                <w:sz w:val="15"/>
                <w:szCs w:val="15"/>
                <w:color w:val="auto"/>
              </w:rPr>
              <w:t>Mr. Siniscalchi</w:t>
            </w:r>
          </w:p>
        </w:tc>
        <w:tc>
          <w:tcPr>
            <w:tcW w:w="4400" w:type="dxa"/>
            <w:vAlign w:val="bottom"/>
            <w:shd w:val="clear" w:color="auto" w:fill="D8D8D8"/>
          </w:tcPr>
          <w:p>
            <w:pPr>
              <w:ind w:left="1300"/>
              <w:spacing w:after="0" w:line="163" w:lineRule="exact"/>
              <w:rPr>
                <w:sz w:val="20"/>
                <w:szCs w:val="20"/>
                <w:color w:val="auto"/>
              </w:rPr>
            </w:pPr>
            <w:r>
              <w:rPr>
                <w:rFonts w:ascii="Arial" w:cs="Arial" w:eastAsia="Arial" w:hAnsi="Arial"/>
                <w:sz w:val="15"/>
                <w:szCs w:val="15"/>
                <w:color w:val="auto"/>
              </w:rPr>
              <w:t>Avis Rent A Car System, LLC Pension</w:t>
            </w:r>
          </w:p>
        </w:tc>
        <w:tc>
          <w:tcPr>
            <w:tcW w:w="2580" w:type="dxa"/>
            <w:vAlign w:val="bottom"/>
            <w:shd w:val="clear" w:color="auto" w:fill="D8D8D8"/>
          </w:tcPr>
          <w:p>
            <w:pPr>
              <w:jc w:val="center"/>
              <w:ind w:left="34"/>
              <w:spacing w:after="0" w:line="163" w:lineRule="exact"/>
              <w:rPr>
                <w:sz w:val="20"/>
                <w:szCs w:val="20"/>
                <w:color w:val="auto"/>
              </w:rPr>
            </w:pPr>
            <w:r>
              <w:rPr>
                <w:rFonts w:ascii="Arial" w:cs="Arial" w:eastAsia="Arial" w:hAnsi="Arial"/>
                <w:sz w:val="15"/>
                <w:szCs w:val="15"/>
                <w:color w:val="auto"/>
                <w:w w:val="97"/>
              </w:rPr>
              <w:t>42 years, 4 months as</w:t>
            </w:r>
          </w:p>
        </w:tc>
        <w:tc>
          <w:tcPr>
            <w:tcW w:w="1440" w:type="dxa"/>
            <w:vAlign w:val="bottom"/>
            <w:shd w:val="clear" w:color="auto" w:fill="D8D8D8"/>
          </w:tcPr>
          <w:p>
            <w:pPr>
              <w:ind w:left="540"/>
              <w:spacing w:after="0" w:line="163" w:lineRule="exact"/>
              <w:rPr>
                <w:sz w:val="20"/>
                <w:szCs w:val="20"/>
                <w:color w:val="auto"/>
              </w:rPr>
            </w:pPr>
            <w:r>
              <w:rPr>
                <w:rFonts w:ascii="Arial" w:cs="Arial" w:eastAsia="Arial" w:hAnsi="Arial"/>
                <w:sz w:val="15"/>
                <w:szCs w:val="15"/>
                <w:color w:val="auto"/>
              </w:rPr>
              <w:t>713,985</w:t>
            </w:r>
          </w:p>
        </w:tc>
        <w:tc>
          <w:tcPr>
            <w:tcW w:w="800" w:type="dxa"/>
            <w:vAlign w:val="bottom"/>
            <w:shd w:val="clear" w:color="auto" w:fill="D8D8D8"/>
          </w:tcPr>
          <w:p>
            <w:pPr>
              <w:ind w:left="160"/>
              <w:spacing w:after="0" w:line="163" w:lineRule="exact"/>
              <w:rPr>
                <w:sz w:val="20"/>
                <w:szCs w:val="20"/>
                <w:color w:val="auto"/>
              </w:rPr>
            </w:pPr>
            <w:r>
              <w:rPr>
                <w:rFonts w:ascii="Arial" w:cs="Arial" w:eastAsia="Arial" w:hAnsi="Arial"/>
                <w:sz w:val="15"/>
                <w:szCs w:val="15"/>
                <w:color w:val="auto"/>
              </w:rPr>
              <w:t>—</w:t>
            </w:r>
          </w:p>
        </w:tc>
      </w:tr>
      <w:tr>
        <w:trPr>
          <w:trHeight w:val="166"/>
        </w:trPr>
        <w:tc>
          <w:tcPr>
            <w:tcW w:w="2220" w:type="dxa"/>
            <w:vAlign w:val="bottom"/>
            <w:shd w:val="clear" w:color="auto" w:fill="D8D8D8"/>
          </w:tcPr>
          <w:p>
            <w:pPr>
              <w:spacing w:after="0"/>
              <w:rPr>
                <w:sz w:val="14"/>
                <w:szCs w:val="14"/>
                <w:color w:val="auto"/>
              </w:rPr>
            </w:pPr>
          </w:p>
        </w:tc>
        <w:tc>
          <w:tcPr>
            <w:tcW w:w="4400" w:type="dxa"/>
            <w:vAlign w:val="bottom"/>
            <w:shd w:val="clear" w:color="auto" w:fill="D8D8D8"/>
          </w:tcPr>
          <w:p>
            <w:pPr>
              <w:ind w:left="1300"/>
              <w:spacing w:after="0" w:line="167" w:lineRule="exact"/>
              <w:rPr>
                <w:sz w:val="20"/>
                <w:szCs w:val="20"/>
                <w:color w:val="auto"/>
              </w:rPr>
            </w:pPr>
            <w:r>
              <w:rPr>
                <w:rFonts w:ascii="Arial" w:cs="Arial" w:eastAsia="Arial" w:hAnsi="Arial"/>
                <w:sz w:val="15"/>
                <w:szCs w:val="15"/>
                <w:color w:val="auto"/>
              </w:rPr>
              <w:t>Plan</w:t>
            </w:r>
          </w:p>
        </w:tc>
        <w:tc>
          <w:tcPr>
            <w:tcW w:w="2580" w:type="dxa"/>
            <w:vAlign w:val="bottom"/>
            <w:shd w:val="clear" w:color="auto" w:fill="D8D8D8"/>
          </w:tcPr>
          <w:p>
            <w:pPr>
              <w:jc w:val="center"/>
              <w:ind w:left="34"/>
              <w:spacing w:after="0" w:line="167" w:lineRule="exact"/>
              <w:rPr>
                <w:sz w:val="20"/>
                <w:szCs w:val="20"/>
                <w:color w:val="auto"/>
              </w:rPr>
            </w:pPr>
            <w:r>
              <w:rPr>
                <w:rFonts w:ascii="Arial" w:cs="Arial" w:eastAsia="Arial" w:hAnsi="Arial"/>
                <w:sz w:val="15"/>
                <w:szCs w:val="15"/>
                <w:color w:val="auto"/>
                <w:w w:val="95"/>
              </w:rPr>
              <w:t>of 12/31/13</w:t>
            </w:r>
          </w:p>
        </w:tc>
        <w:tc>
          <w:tcPr>
            <w:tcW w:w="144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r>
      <w:tr>
        <w:trPr>
          <w:trHeight w:val="171"/>
        </w:trPr>
        <w:tc>
          <w:tcPr>
            <w:tcW w:w="2220" w:type="dxa"/>
            <w:vAlign w:val="bottom"/>
          </w:tcPr>
          <w:p>
            <w:pPr>
              <w:spacing w:after="0"/>
              <w:rPr>
                <w:sz w:val="20"/>
                <w:szCs w:val="20"/>
                <w:color w:val="auto"/>
              </w:rPr>
            </w:pPr>
            <w:r>
              <w:rPr>
                <w:rFonts w:ascii="Arial" w:cs="Arial" w:eastAsia="Arial" w:hAnsi="Arial"/>
                <w:sz w:val="15"/>
                <w:szCs w:val="15"/>
                <w:color w:val="auto"/>
              </w:rPr>
              <w:t>Mr. Siniscalchi</w:t>
            </w:r>
          </w:p>
        </w:tc>
        <w:tc>
          <w:tcPr>
            <w:tcW w:w="4400" w:type="dxa"/>
            <w:vAlign w:val="bottom"/>
          </w:tcPr>
          <w:p>
            <w:pPr>
              <w:ind w:left="1300"/>
              <w:spacing w:after="0"/>
              <w:rPr>
                <w:sz w:val="20"/>
                <w:szCs w:val="20"/>
                <w:color w:val="auto"/>
              </w:rPr>
            </w:pPr>
            <w:r>
              <w:rPr>
                <w:rFonts w:ascii="Arial" w:cs="Arial" w:eastAsia="Arial" w:hAnsi="Arial"/>
                <w:sz w:val="15"/>
                <w:szCs w:val="15"/>
                <w:color w:val="auto"/>
              </w:rPr>
              <w:t>Avis Rent A Car System, LLC</w:t>
            </w:r>
          </w:p>
        </w:tc>
        <w:tc>
          <w:tcPr>
            <w:tcW w:w="2580" w:type="dxa"/>
            <w:vAlign w:val="bottom"/>
          </w:tcPr>
          <w:p>
            <w:pPr>
              <w:jc w:val="center"/>
              <w:ind w:left="34"/>
              <w:spacing w:after="0"/>
              <w:rPr>
                <w:sz w:val="20"/>
                <w:szCs w:val="20"/>
                <w:color w:val="auto"/>
              </w:rPr>
            </w:pPr>
            <w:r>
              <w:rPr>
                <w:rFonts w:ascii="Arial" w:cs="Arial" w:eastAsia="Arial" w:hAnsi="Arial"/>
                <w:sz w:val="15"/>
                <w:szCs w:val="15"/>
                <w:color w:val="auto"/>
                <w:w w:val="97"/>
              </w:rPr>
              <w:t>42 years, 4 months as</w:t>
            </w:r>
          </w:p>
        </w:tc>
        <w:tc>
          <w:tcPr>
            <w:tcW w:w="1440" w:type="dxa"/>
            <w:vAlign w:val="bottom"/>
          </w:tcPr>
          <w:p>
            <w:pPr>
              <w:ind w:left="540"/>
              <w:spacing w:after="0"/>
              <w:rPr>
                <w:sz w:val="20"/>
                <w:szCs w:val="20"/>
                <w:color w:val="auto"/>
              </w:rPr>
            </w:pPr>
            <w:r>
              <w:rPr>
                <w:rFonts w:ascii="Arial" w:cs="Arial" w:eastAsia="Arial" w:hAnsi="Arial"/>
                <w:sz w:val="15"/>
                <w:szCs w:val="15"/>
                <w:color w:val="auto"/>
              </w:rPr>
              <w:t>65,552</w:t>
            </w:r>
          </w:p>
        </w:tc>
        <w:tc>
          <w:tcPr>
            <w:tcW w:w="800" w:type="dxa"/>
            <w:vAlign w:val="bottom"/>
          </w:tcPr>
          <w:p>
            <w:pPr>
              <w:ind w:left="160"/>
              <w:spacing w:after="0"/>
              <w:rPr>
                <w:sz w:val="20"/>
                <w:szCs w:val="20"/>
                <w:color w:val="auto"/>
              </w:rPr>
            </w:pPr>
            <w:r>
              <w:rPr>
                <w:rFonts w:ascii="Arial" w:cs="Arial" w:eastAsia="Arial" w:hAnsi="Arial"/>
                <w:sz w:val="15"/>
                <w:szCs w:val="15"/>
                <w:color w:val="auto"/>
              </w:rPr>
              <w:t>—</w:t>
            </w:r>
          </w:p>
        </w:tc>
      </w:tr>
      <w:tr>
        <w:trPr>
          <w:trHeight w:val="176"/>
        </w:trPr>
        <w:tc>
          <w:tcPr>
            <w:tcW w:w="2220" w:type="dxa"/>
            <w:vAlign w:val="bottom"/>
          </w:tcPr>
          <w:p>
            <w:pPr>
              <w:spacing w:after="0"/>
              <w:rPr>
                <w:sz w:val="15"/>
                <w:szCs w:val="15"/>
                <w:color w:val="auto"/>
              </w:rPr>
            </w:pPr>
          </w:p>
        </w:tc>
        <w:tc>
          <w:tcPr>
            <w:tcW w:w="4400" w:type="dxa"/>
            <w:vAlign w:val="bottom"/>
          </w:tcPr>
          <w:p>
            <w:pPr>
              <w:ind w:left="1300"/>
              <w:spacing w:after="0"/>
              <w:rPr>
                <w:sz w:val="20"/>
                <w:szCs w:val="20"/>
                <w:color w:val="auto"/>
              </w:rPr>
            </w:pPr>
            <w:r>
              <w:rPr>
                <w:rFonts w:ascii="Arial" w:cs="Arial" w:eastAsia="Arial" w:hAnsi="Arial"/>
                <w:sz w:val="15"/>
                <w:szCs w:val="15"/>
                <w:color w:val="auto"/>
              </w:rPr>
              <w:t>Retirement Equalization Benefit Plan</w:t>
            </w:r>
          </w:p>
        </w:tc>
        <w:tc>
          <w:tcPr>
            <w:tcW w:w="2580" w:type="dxa"/>
            <w:vAlign w:val="bottom"/>
          </w:tcPr>
          <w:p>
            <w:pPr>
              <w:jc w:val="center"/>
              <w:ind w:left="34"/>
              <w:spacing w:after="0"/>
              <w:rPr>
                <w:sz w:val="20"/>
                <w:szCs w:val="20"/>
                <w:color w:val="auto"/>
              </w:rPr>
            </w:pPr>
            <w:r>
              <w:rPr>
                <w:rFonts w:ascii="Arial" w:cs="Arial" w:eastAsia="Arial" w:hAnsi="Arial"/>
                <w:sz w:val="15"/>
                <w:szCs w:val="15"/>
                <w:color w:val="auto"/>
                <w:w w:val="95"/>
              </w:rPr>
              <w:t>of 12/31/13</w:t>
            </w:r>
          </w:p>
        </w:tc>
        <w:tc>
          <w:tcPr>
            <w:tcW w:w="14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94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right="20" w:hanging="330"/>
        <w:spacing w:after="0" w:line="241" w:lineRule="auto"/>
        <w:tabs>
          <w:tab w:leader="none" w:pos="33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Avis froze its qualified and non-qualified defined benefit pension plans to new participation and future benefit accruals as of December 31, 1998. Mr. Siniscalchi is the only NEO who participated in these plans. Prior to December 31, 1998, Mr. Siniscalchi earned the right to receive certain benefits upon retirement at the retirement age of 65 or upon early retirement on or after age 55. For a discussion of the calculation of retirement benefits, please see Note 18 to our audited financial statements for the fiscal year ended December 31, 2013, included in our 2013 Form 10-K.</w:t>
      </w:r>
    </w:p>
    <w:p>
      <w:pPr>
        <w:spacing w:after="0" w:line="57" w:lineRule="exact"/>
        <w:rPr>
          <w:rFonts w:ascii="Arial" w:cs="Arial" w:eastAsia="Arial" w:hAnsi="Arial"/>
          <w:sz w:val="11"/>
          <w:szCs w:val="11"/>
          <w:color w:val="auto"/>
        </w:rPr>
      </w:pPr>
    </w:p>
    <w:p>
      <w:pPr>
        <w:ind w:left="350" w:right="200"/>
        <w:spacing w:after="0" w:line="239" w:lineRule="auto"/>
        <w:rPr>
          <w:rFonts w:ascii="Arial" w:cs="Arial" w:eastAsia="Arial" w:hAnsi="Arial"/>
          <w:sz w:val="11"/>
          <w:szCs w:val="11"/>
          <w:color w:val="auto"/>
        </w:rPr>
      </w:pPr>
      <w:r>
        <w:rPr>
          <w:rFonts w:ascii="Arial" w:cs="Arial" w:eastAsia="Arial" w:hAnsi="Arial"/>
          <w:sz w:val="11"/>
          <w:szCs w:val="11"/>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59" w:lineRule="exact"/>
        <w:rPr>
          <w:rFonts w:ascii="Arial" w:cs="Arial" w:eastAsia="Arial" w:hAnsi="Arial"/>
          <w:sz w:val="11"/>
          <w:szCs w:val="11"/>
          <w:color w:val="auto"/>
        </w:rPr>
      </w:pPr>
    </w:p>
    <w:p>
      <w:pPr>
        <w:ind w:left="350" w:right="40"/>
        <w:spacing w:after="0" w:line="239" w:lineRule="auto"/>
        <w:rPr>
          <w:rFonts w:ascii="Arial" w:cs="Arial" w:eastAsia="Arial" w:hAnsi="Arial"/>
          <w:sz w:val="11"/>
          <w:szCs w:val="11"/>
          <w:color w:val="auto"/>
        </w:rPr>
      </w:pPr>
      <w:r>
        <w:rPr>
          <w:rFonts w:ascii="Arial" w:cs="Arial" w:eastAsia="Arial" w:hAnsi="Arial"/>
          <w:sz w:val="11"/>
          <w:szCs w:val="11"/>
          <w:color w:val="auto"/>
        </w:rPr>
        <w:t>The Avis Rent A Car System, LLC Retirement Equalization Benefit Plan is a non-qualified Supplemental Executive Retirement Plan. Payments under the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Code. As with the qualified plan, unreduced benefits are payable upon the attainment of age 65. The normal form of payment under the Supplemental Executive Retirement plan is a single life annuity. Actuarially equivalent optional forms of payment are available.</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34 </w:t>
      </w:r>
      <w:r>
        <w:rPr>
          <w:sz w:val="1"/>
          <w:szCs w:val="1"/>
          <w:color w:val="auto"/>
        </w:rPr>
        <w:drawing>
          <wp:inline distT="0" distB="0" distL="0" distR="0">
            <wp:extent cx="857885" cy="1143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40" w:name="page41"/>
    <w:bookmarkEnd w:id="40"/>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981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3380" w:type="dxa"/>
            <w:vAlign w:val="bottom"/>
          </w:tcPr>
          <w:p>
            <w:pPr>
              <w:spacing w:after="0"/>
              <w:rPr>
                <w:sz w:val="11"/>
                <w:szCs w:val="11"/>
                <w:color w:val="auto"/>
              </w:rPr>
            </w:pPr>
          </w:p>
        </w:tc>
        <w:tc>
          <w:tcPr>
            <w:tcW w:w="3460" w:type="dxa"/>
            <w:vAlign w:val="bottom"/>
          </w:tcPr>
          <w:p>
            <w:pPr>
              <w:jc w:val="center"/>
              <w:ind w:left="2074"/>
              <w:spacing w:after="0"/>
              <w:rPr>
                <w:sz w:val="20"/>
                <w:szCs w:val="20"/>
                <w:color w:val="auto"/>
              </w:rPr>
            </w:pPr>
            <w:r>
              <w:rPr>
                <w:rFonts w:ascii="Arial" w:cs="Arial" w:eastAsia="Arial" w:hAnsi="Arial"/>
                <w:sz w:val="11"/>
                <w:szCs w:val="11"/>
                <w:b w:val="1"/>
                <w:bCs w:val="1"/>
                <w:color w:val="auto"/>
              </w:rPr>
              <w:t>Executive</w:t>
            </w: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rPr>
              <w:t>Registrant</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rPr>
              <w:t>Aggregate</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9"/>
              </w:rPr>
              <w:t>Aggregate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Aggregate</w:t>
            </w:r>
          </w:p>
        </w:tc>
      </w:tr>
      <w:tr>
        <w:trPr>
          <w:trHeight w:val="124"/>
        </w:trPr>
        <w:tc>
          <w:tcPr>
            <w:tcW w:w="3380" w:type="dxa"/>
            <w:vAlign w:val="bottom"/>
          </w:tcPr>
          <w:p>
            <w:pPr>
              <w:spacing w:after="0"/>
              <w:rPr>
                <w:sz w:val="10"/>
                <w:szCs w:val="10"/>
                <w:color w:val="auto"/>
              </w:rPr>
            </w:pPr>
          </w:p>
        </w:tc>
        <w:tc>
          <w:tcPr>
            <w:tcW w:w="3460" w:type="dxa"/>
            <w:vAlign w:val="bottom"/>
          </w:tcPr>
          <w:p>
            <w:pPr>
              <w:jc w:val="center"/>
              <w:ind w:left="2094"/>
              <w:spacing w:after="0" w:line="124" w:lineRule="exact"/>
              <w:rPr>
                <w:sz w:val="20"/>
                <w:szCs w:val="20"/>
                <w:color w:val="auto"/>
              </w:rPr>
            </w:pPr>
            <w:r>
              <w:rPr>
                <w:rFonts w:ascii="Arial" w:cs="Arial" w:eastAsia="Arial" w:hAnsi="Arial"/>
                <w:sz w:val="11"/>
                <w:szCs w:val="11"/>
                <w:b w:val="1"/>
                <w:bCs w:val="1"/>
                <w:color w:val="auto"/>
              </w:rPr>
              <w:t>Contributions</w:t>
            </w:r>
          </w:p>
        </w:tc>
        <w:tc>
          <w:tcPr>
            <w:tcW w:w="13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Contributions</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Earnings in</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Withdrawals/</w:t>
            </w:r>
          </w:p>
        </w:tc>
        <w:tc>
          <w:tcPr>
            <w:tcW w:w="9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Balance at</w:t>
            </w:r>
          </w:p>
        </w:tc>
      </w:tr>
      <w:tr>
        <w:trPr>
          <w:trHeight w:val="124"/>
        </w:trPr>
        <w:tc>
          <w:tcPr>
            <w:tcW w:w="3380" w:type="dxa"/>
            <w:vAlign w:val="bottom"/>
          </w:tcPr>
          <w:p>
            <w:pPr>
              <w:spacing w:after="0"/>
              <w:rPr>
                <w:sz w:val="10"/>
                <w:szCs w:val="10"/>
                <w:color w:val="auto"/>
              </w:rPr>
            </w:pPr>
          </w:p>
        </w:tc>
        <w:tc>
          <w:tcPr>
            <w:tcW w:w="3460" w:type="dxa"/>
            <w:vAlign w:val="bottom"/>
          </w:tcPr>
          <w:p>
            <w:pPr>
              <w:jc w:val="center"/>
              <w:ind w:left="2094"/>
              <w:spacing w:after="0" w:line="124" w:lineRule="exact"/>
              <w:rPr>
                <w:sz w:val="20"/>
                <w:szCs w:val="20"/>
                <w:color w:val="auto"/>
              </w:rPr>
            </w:pPr>
            <w:r>
              <w:rPr>
                <w:rFonts w:ascii="Arial" w:cs="Arial" w:eastAsia="Arial" w:hAnsi="Arial"/>
                <w:sz w:val="11"/>
                <w:szCs w:val="11"/>
                <w:b w:val="1"/>
                <w:bCs w:val="1"/>
                <w:color w:val="auto"/>
              </w:rPr>
              <w:t>in Last FY</w:t>
            </w:r>
          </w:p>
        </w:tc>
        <w:tc>
          <w:tcPr>
            <w:tcW w:w="13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in Last FY</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Last FY</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Distributions</w:t>
            </w:r>
          </w:p>
        </w:tc>
        <w:tc>
          <w:tcPr>
            <w:tcW w:w="9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Last FYE</w:t>
            </w:r>
          </w:p>
        </w:tc>
      </w:tr>
      <w:tr>
        <w:trPr>
          <w:trHeight w:val="146"/>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3460" w:type="dxa"/>
            <w:vAlign w:val="bottom"/>
            <w:tcBorders>
              <w:bottom w:val="single" w:sz="8" w:color="auto"/>
            </w:tcBorders>
          </w:tcPr>
          <w:p>
            <w:pPr>
              <w:jc w:val="center"/>
              <w:ind w:left="2074"/>
              <w:spacing w:after="0"/>
              <w:rPr>
                <w:sz w:val="20"/>
                <w:szCs w:val="20"/>
                <w:color w:val="auto"/>
              </w:rPr>
            </w:pPr>
            <w:r>
              <w:rPr>
                <w:rFonts w:ascii="Arial" w:cs="Arial" w:eastAsia="Arial" w:hAnsi="Arial"/>
                <w:sz w:val="11"/>
                <w:szCs w:val="11"/>
                <w:b w:val="1"/>
                <w:bCs w:val="1"/>
                <w:color w:val="auto"/>
              </w:rPr>
              <w:t>($)(a)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r>
      <w:tr>
        <w:trPr>
          <w:trHeight w:val="160"/>
        </w:trPr>
        <w:tc>
          <w:tcPr>
            <w:tcW w:w="338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Mr. Nelson</w:t>
            </w:r>
          </w:p>
        </w:tc>
        <w:tc>
          <w:tcPr>
            <w:tcW w:w="3460" w:type="dxa"/>
            <w:vAlign w:val="bottom"/>
            <w:shd w:val="clear" w:color="auto" w:fill="D8D8D8"/>
          </w:tcPr>
          <w:p>
            <w:pPr>
              <w:jc w:val="right"/>
              <w:ind w:right="214"/>
              <w:spacing w:after="0" w:line="160" w:lineRule="exact"/>
              <w:rPr>
                <w:sz w:val="20"/>
                <w:szCs w:val="20"/>
                <w:color w:val="auto"/>
              </w:rPr>
            </w:pPr>
            <w:r>
              <w:rPr>
                <w:rFonts w:ascii="Arial" w:cs="Arial" w:eastAsia="Arial" w:hAnsi="Arial"/>
                <w:sz w:val="15"/>
                <w:szCs w:val="15"/>
                <w:color w:val="auto"/>
              </w:rPr>
              <w:t>178,710</w:t>
            </w:r>
          </w:p>
        </w:tc>
        <w:tc>
          <w:tcPr>
            <w:tcW w:w="1300" w:type="dxa"/>
            <w:vAlign w:val="bottom"/>
            <w:shd w:val="clear" w:color="auto" w:fill="D8D8D8"/>
          </w:tcPr>
          <w:p>
            <w:pPr>
              <w:jc w:val="right"/>
              <w:ind w:right="214"/>
              <w:spacing w:after="0" w:line="160" w:lineRule="exact"/>
              <w:rPr>
                <w:sz w:val="20"/>
                <w:szCs w:val="20"/>
                <w:color w:val="auto"/>
              </w:rPr>
            </w:pPr>
            <w:r>
              <w:rPr>
                <w:rFonts w:ascii="Arial" w:cs="Arial" w:eastAsia="Arial" w:hAnsi="Arial"/>
                <w:sz w:val="15"/>
                <w:szCs w:val="15"/>
                <w:color w:val="auto"/>
              </w:rPr>
              <w:t>178,710</w:t>
            </w:r>
          </w:p>
        </w:tc>
        <w:tc>
          <w:tcPr>
            <w:tcW w:w="1200" w:type="dxa"/>
            <w:vAlign w:val="bottom"/>
            <w:shd w:val="clear" w:color="auto" w:fill="D8D8D8"/>
          </w:tcPr>
          <w:p>
            <w:pPr>
              <w:jc w:val="right"/>
              <w:ind w:right="254"/>
              <w:spacing w:after="0" w:line="160" w:lineRule="exact"/>
              <w:rPr>
                <w:sz w:val="20"/>
                <w:szCs w:val="20"/>
                <w:color w:val="auto"/>
              </w:rPr>
            </w:pPr>
            <w:r>
              <w:rPr>
                <w:rFonts w:ascii="Arial" w:cs="Arial" w:eastAsia="Arial" w:hAnsi="Arial"/>
                <w:sz w:val="15"/>
                <w:szCs w:val="15"/>
                <w:color w:val="auto"/>
              </w:rPr>
              <w:t>43,226</w:t>
            </w:r>
          </w:p>
        </w:tc>
        <w:tc>
          <w:tcPr>
            <w:tcW w:w="1200" w:type="dxa"/>
            <w:vAlign w:val="bottom"/>
            <w:shd w:val="clear" w:color="auto" w:fill="D8D8D8"/>
          </w:tcPr>
          <w:p>
            <w:pPr>
              <w:jc w:val="right"/>
              <w:ind w:right="134"/>
              <w:spacing w:after="0" w:line="160" w:lineRule="exact"/>
              <w:rPr>
                <w:sz w:val="20"/>
                <w:szCs w:val="20"/>
                <w:color w:val="auto"/>
              </w:rPr>
            </w:pPr>
            <w:r>
              <w:rPr>
                <w:rFonts w:ascii="Arial" w:cs="Arial" w:eastAsia="Arial" w:hAnsi="Arial"/>
                <w:sz w:val="15"/>
                <w:szCs w:val="15"/>
                <w:color w:val="auto"/>
              </w:rPr>
              <w:t>(418,291)</w:t>
            </w:r>
          </w:p>
        </w:tc>
        <w:tc>
          <w:tcPr>
            <w:tcW w:w="900" w:type="dxa"/>
            <w:vAlign w:val="bottom"/>
            <w:shd w:val="clear" w:color="auto" w:fill="D8D8D8"/>
          </w:tcPr>
          <w:p>
            <w:pPr>
              <w:jc w:val="right"/>
              <w:ind w:right="54"/>
              <w:spacing w:after="0" w:line="160" w:lineRule="exact"/>
              <w:rPr>
                <w:sz w:val="20"/>
                <w:szCs w:val="20"/>
                <w:color w:val="auto"/>
              </w:rPr>
            </w:pPr>
            <w:r>
              <w:rPr>
                <w:rFonts w:ascii="Arial" w:cs="Arial" w:eastAsia="Arial" w:hAnsi="Arial"/>
                <w:sz w:val="15"/>
                <w:szCs w:val="15"/>
                <w:color w:val="auto"/>
              </w:rPr>
              <w:t>539,733</w:t>
            </w: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color w:val="auto"/>
              </w:rPr>
              <w:t>Mr. Wyshner</w:t>
            </w:r>
          </w:p>
        </w:tc>
        <w:tc>
          <w:tcPr>
            <w:tcW w:w="3460" w:type="dxa"/>
            <w:vAlign w:val="bottom"/>
          </w:tcPr>
          <w:p>
            <w:pPr>
              <w:jc w:val="right"/>
              <w:ind w:right="214"/>
              <w:spacing w:after="0" w:line="169" w:lineRule="exact"/>
              <w:rPr>
                <w:sz w:val="20"/>
                <w:szCs w:val="20"/>
                <w:color w:val="auto"/>
              </w:rPr>
            </w:pPr>
            <w:r>
              <w:rPr>
                <w:rFonts w:ascii="Arial" w:cs="Arial" w:eastAsia="Arial" w:hAnsi="Arial"/>
                <w:sz w:val="15"/>
                <w:szCs w:val="15"/>
                <w:color w:val="auto"/>
              </w:rPr>
              <w:t>79,006</w:t>
            </w:r>
          </w:p>
        </w:tc>
        <w:tc>
          <w:tcPr>
            <w:tcW w:w="1300" w:type="dxa"/>
            <w:vAlign w:val="bottom"/>
          </w:tcPr>
          <w:p>
            <w:pPr>
              <w:jc w:val="right"/>
              <w:ind w:right="214"/>
              <w:spacing w:after="0" w:line="169" w:lineRule="exact"/>
              <w:rPr>
                <w:sz w:val="20"/>
                <w:szCs w:val="20"/>
                <w:color w:val="auto"/>
              </w:rPr>
            </w:pPr>
            <w:r>
              <w:rPr>
                <w:rFonts w:ascii="Arial" w:cs="Arial" w:eastAsia="Arial" w:hAnsi="Arial"/>
                <w:sz w:val="15"/>
                <w:szCs w:val="15"/>
                <w:color w:val="auto"/>
              </w:rPr>
              <w:t>79,006</w:t>
            </w:r>
          </w:p>
        </w:tc>
        <w:tc>
          <w:tcPr>
            <w:tcW w:w="1200" w:type="dxa"/>
            <w:vAlign w:val="bottom"/>
          </w:tcPr>
          <w:p>
            <w:pPr>
              <w:jc w:val="right"/>
              <w:ind w:right="254"/>
              <w:spacing w:after="0" w:line="169" w:lineRule="exact"/>
              <w:rPr>
                <w:sz w:val="20"/>
                <w:szCs w:val="20"/>
                <w:color w:val="auto"/>
              </w:rPr>
            </w:pPr>
            <w:r>
              <w:rPr>
                <w:rFonts w:ascii="Arial" w:cs="Arial" w:eastAsia="Arial" w:hAnsi="Arial"/>
                <w:sz w:val="15"/>
                <w:szCs w:val="15"/>
                <w:color w:val="auto"/>
              </w:rPr>
              <w:t>97,622</w:t>
            </w:r>
          </w:p>
        </w:tc>
        <w:tc>
          <w:tcPr>
            <w:tcW w:w="1200" w:type="dxa"/>
            <w:vAlign w:val="bottom"/>
          </w:tcPr>
          <w:p>
            <w:pPr>
              <w:jc w:val="right"/>
              <w:ind w:right="134"/>
              <w:spacing w:after="0" w:line="169" w:lineRule="exact"/>
              <w:rPr>
                <w:sz w:val="20"/>
                <w:szCs w:val="20"/>
                <w:color w:val="auto"/>
              </w:rPr>
            </w:pPr>
            <w:r>
              <w:rPr>
                <w:rFonts w:ascii="Arial" w:cs="Arial" w:eastAsia="Arial" w:hAnsi="Arial"/>
                <w:sz w:val="15"/>
                <w:szCs w:val="15"/>
                <w:color w:val="auto"/>
              </w:rPr>
              <w:t>(79,672)</w:t>
            </w:r>
          </w:p>
        </w:tc>
        <w:tc>
          <w:tcPr>
            <w:tcW w:w="900" w:type="dxa"/>
            <w:vAlign w:val="bottom"/>
          </w:tcPr>
          <w:p>
            <w:pPr>
              <w:jc w:val="right"/>
              <w:ind w:right="54"/>
              <w:spacing w:after="0" w:line="169" w:lineRule="exact"/>
              <w:rPr>
                <w:sz w:val="20"/>
                <w:szCs w:val="20"/>
                <w:color w:val="auto"/>
              </w:rPr>
            </w:pPr>
            <w:r>
              <w:rPr>
                <w:rFonts w:ascii="Arial" w:cs="Arial" w:eastAsia="Arial" w:hAnsi="Arial"/>
                <w:sz w:val="15"/>
                <w:szCs w:val="15"/>
                <w:color w:val="auto"/>
              </w:rPr>
              <w:t>476,821</w:t>
            </w:r>
          </w:p>
        </w:tc>
      </w:tr>
      <w:tr>
        <w:trPr>
          <w:trHeight w:val="169"/>
        </w:trPr>
        <w:tc>
          <w:tcPr>
            <w:tcW w:w="33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Mr. Gartland</w:t>
            </w:r>
          </w:p>
        </w:tc>
        <w:tc>
          <w:tcPr>
            <w:tcW w:w="3460" w:type="dxa"/>
            <w:vAlign w:val="bottom"/>
            <w:shd w:val="clear" w:color="auto" w:fill="D8D8D8"/>
          </w:tcPr>
          <w:p>
            <w:pPr>
              <w:jc w:val="right"/>
              <w:ind w:right="214"/>
              <w:spacing w:after="0" w:line="169" w:lineRule="exact"/>
              <w:rPr>
                <w:sz w:val="20"/>
                <w:szCs w:val="20"/>
                <w:color w:val="auto"/>
              </w:rPr>
            </w:pPr>
            <w:r>
              <w:rPr>
                <w:rFonts w:ascii="Arial" w:cs="Arial" w:eastAsia="Arial" w:hAnsi="Arial"/>
                <w:sz w:val="15"/>
                <w:szCs w:val="15"/>
                <w:color w:val="auto"/>
              </w:rPr>
              <w:t>83,758</w:t>
            </w:r>
          </w:p>
        </w:tc>
        <w:tc>
          <w:tcPr>
            <w:tcW w:w="1300" w:type="dxa"/>
            <w:vAlign w:val="bottom"/>
            <w:shd w:val="clear" w:color="auto" w:fill="D8D8D8"/>
          </w:tcPr>
          <w:p>
            <w:pPr>
              <w:jc w:val="right"/>
              <w:ind w:right="214"/>
              <w:spacing w:after="0" w:line="169" w:lineRule="exact"/>
              <w:rPr>
                <w:sz w:val="20"/>
                <w:szCs w:val="20"/>
                <w:color w:val="auto"/>
              </w:rPr>
            </w:pPr>
            <w:r>
              <w:rPr>
                <w:rFonts w:ascii="Arial" w:cs="Arial" w:eastAsia="Arial" w:hAnsi="Arial"/>
                <w:sz w:val="15"/>
                <w:szCs w:val="15"/>
                <w:color w:val="auto"/>
              </w:rPr>
              <w:t>83,758</w:t>
            </w:r>
          </w:p>
        </w:tc>
        <w:tc>
          <w:tcPr>
            <w:tcW w:w="1200" w:type="dxa"/>
            <w:vAlign w:val="bottom"/>
            <w:shd w:val="clear" w:color="auto" w:fill="D8D8D8"/>
          </w:tcPr>
          <w:p>
            <w:pPr>
              <w:jc w:val="right"/>
              <w:ind w:right="254"/>
              <w:spacing w:after="0" w:line="169" w:lineRule="exact"/>
              <w:rPr>
                <w:sz w:val="20"/>
                <w:szCs w:val="20"/>
                <w:color w:val="auto"/>
              </w:rPr>
            </w:pPr>
            <w:r>
              <w:rPr>
                <w:rFonts w:ascii="Arial" w:cs="Arial" w:eastAsia="Arial" w:hAnsi="Arial"/>
                <w:sz w:val="15"/>
                <w:szCs w:val="15"/>
                <w:color w:val="auto"/>
              </w:rPr>
              <w:t>47,138</w:t>
            </w:r>
          </w:p>
        </w:tc>
        <w:tc>
          <w:tcPr>
            <w:tcW w:w="1200" w:type="dxa"/>
            <w:vAlign w:val="bottom"/>
            <w:shd w:val="clear" w:color="auto" w:fill="D8D8D8"/>
          </w:tcPr>
          <w:p>
            <w:pPr>
              <w:jc w:val="right"/>
              <w:ind w:right="194"/>
              <w:spacing w:after="0" w:line="169" w:lineRule="exact"/>
              <w:rPr>
                <w:sz w:val="20"/>
                <w:szCs w:val="20"/>
                <w:color w:val="auto"/>
              </w:rPr>
            </w:pPr>
            <w:r>
              <w:rPr>
                <w:rFonts w:ascii="Arial" w:cs="Arial" w:eastAsia="Arial" w:hAnsi="Arial"/>
                <w:sz w:val="15"/>
                <w:szCs w:val="15"/>
                <w:color w:val="auto"/>
              </w:rPr>
              <w:t>0</w:t>
            </w:r>
          </w:p>
        </w:tc>
        <w:tc>
          <w:tcPr>
            <w:tcW w:w="900" w:type="dxa"/>
            <w:vAlign w:val="bottom"/>
            <w:shd w:val="clear" w:color="auto" w:fill="D8D8D8"/>
          </w:tcPr>
          <w:p>
            <w:pPr>
              <w:jc w:val="right"/>
              <w:ind w:right="54"/>
              <w:spacing w:after="0" w:line="169" w:lineRule="exact"/>
              <w:rPr>
                <w:sz w:val="20"/>
                <w:szCs w:val="20"/>
                <w:color w:val="auto"/>
              </w:rPr>
            </w:pPr>
            <w:r>
              <w:rPr>
                <w:rFonts w:ascii="Arial" w:cs="Arial" w:eastAsia="Arial" w:hAnsi="Arial"/>
                <w:sz w:val="15"/>
                <w:szCs w:val="15"/>
                <w:color w:val="auto"/>
              </w:rPr>
              <w:t>385,422</w:t>
            </w: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color w:val="auto"/>
              </w:rPr>
              <w:t>Mr. De Shon</w:t>
            </w:r>
          </w:p>
        </w:tc>
        <w:tc>
          <w:tcPr>
            <w:tcW w:w="3460" w:type="dxa"/>
            <w:vAlign w:val="bottom"/>
          </w:tcPr>
          <w:p>
            <w:pPr>
              <w:jc w:val="right"/>
              <w:ind w:right="214"/>
              <w:spacing w:after="0" w:line="169" w:lineRule="exact"/>
              <w:rPr>
                <w:sz w:val="20"/>
                <w:szCs w:val="20"/>
                <w:color w:val="auto"/>
              </w:rPr>
            </w:pPr>
            <w:r>
              <w:rPr>
                <w:rFonts w:ascii="Arial" w:cs="Arial" w:eastAsia="Arial" w:hAnsi="Arial"/>
                <w:sz w:val="15"/>
                <w:szCs w:val="15"/>
                <w:color w:val="auto"/>
              </w:rPr>
              <w:t>15,264</w:t>
            </w:r>
          </w:p>
        </w:tc>
        <w:tc>
          <w:tcPr>
            <w:tcW w:w="1300" w:type="dxa"/>
            <w:vAlign w:val="bottom"/>
          </w:tcPr>
          <w:p>
            <w:pPr>
              <w:jc w:val="right"/>
              <w:ind w:right="214"/>
              <w:spacing w:after="0" w:line="169" w:lineRule="exact"/>
              <w:rPr>
                <w:sz w:val="20"/>
                <w:szCs w:val="20"/>
                <w:color w:val="auto"/>
              </w:rPr>
            </w:pPr>
            <w:r>
              <w:rPr>
                <w:rFonts w:ascii="Arial" w:cs="Arial" w:eastAsia="Arial" w:hAnsi="Arial"/>
                <w:sz w:val="15"/>
                <w:szCs w:val="15"/>
                <w:color w:val="auto"/>
              </w:rPr>
              <w:t>15,264</w:t>
            </w:r>
          </w:p>
        </w:tc>
        <w:tc>
          <w:tcPr>
            <w:tcW w:w="1200" w:type="dxa"/>
            <w:vAlign w:val="bottom"/>
          </w:tcPr>
          <w:p>
            <w:pPr>
              <w:jc w:val="right"/>
              <w:ind w:right="254"/>
              <w:spacing w:after="0" w:line="169" w:lineRule="exact"/>
              <w:rPr>
                <w:sz w:val="20"/>
                <w:szCs w:val="20"/>
                <w:color w:val="auto"/>
              </w:rPr>
            </w:pPr>
            <w:r>
              <w:rPr>
                <w:rFonts w:ascii="Arial" w:cs="Arial" w:eastAsia="Arial" w:hAnsi="Arial"/>
                <w:sz w:val="15"/>
                <w:szCs w:val="15"/>
                <w:color w:val="auto"/>
              </w:rPr>
              <w:t>28,392</w:t>
            </w:r>
          </w:p>
        </w:tc>
        <w:tc>
          <w:tcPr>
            <w:tcW w:w="1200" w:type="dxa"/>
            <w:vAlign w:val="bottom"/>
          </w:tcPr>
          <w:p>
            <w:pPr>
              <w:jc w:val="right"/>
              <w:ind w:right="194"/>
              <w:spacing w:after="0" w:line="169" w:lineRule="exact"/>
              <w:rPr>
                <w:sz w:val="20"/>
                <w:szCs w:val="20"/>
                <w:color w:val="auto"/>
              </w:rPr>
            </w:pPr>
            <w:r>
              <w:rPr>
                <w:rFonts w:ascii="Arial" w:cs="Arial" w:eastAsia="Arial" w:hAnsi="Arial"/>
                <w:sz w:val="15"/>
                <w:szCs w:val="15"/>
                <w:color w:val="auto"/>
              </w:rPr>
              <w:t>0</w:t>
            </w:r>
          </w:p>
        </w:tc>
        <w:tc>
          <w:tcPr>
            <w:tcW w:w="900" w:type="dxa"/>
            <w:vAlign w:val="bottom"/>
          </w:tcPr>
          <w:p>
            <w:pPr>
              <w:jc w:val="right"/>
              <w:ind w:right="54"/>
              <w:spacing w:after="0" w:line="169" w:lineRule="exact"/>
              <w:rPr>
                <w:sz w:val="20"/>
                <w:szCs w:val="20"/>
                <w:color w:val="auto"/>
              </w:rPr>
            </w:pPr>
            <w:r>
              <w:rPr>
                <w:rFonts w:ascii="Arial" w:cs="Arial" w:eastAsia="Arial" w:hAnsi="Arial"/>
                <w:sz w:val="15"/>
                <w:szCs w:val="15"/>
                <w:color w:val="auto"/>
              </w:rPr>
              <w:t>154,597</w:t>
            </w:r>
          </w:p>
        </w:tc>
      </w:tr>
      <w:tr>
        <w:trPr>
          <w:trHeight w:val="169"/>
        </w:trPr>
        <w:tc>
          <w:tcPr>
            <w:tcW w:w="33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Mr. Siniscalchi</w:t>
            </w:r>
          </w:p>
        </w:tc>
        <w:tc>
          <w:tcPr>
            <w:tcW w:w="3460" w:type="dxa"/>
            <w:vAlign w:val="bottom"/>
            <w:shd w:val="clear" w:color="auto" w:fill="D8D8D8"/>
          </w:tcPr>
          <w:p>
            <w:pPr>
              <w:jc w:val="right"/>
              <w:ind w:right="214"/>
              <w:spacing w:after="0" w:line="169" w:lineRule="exact"/>
              <w:rPr>
                <w:sz w:val="20"/>
                <w:szCs w:val="20"/>
                <w:color w:val="auto"/>
              </w:rPr>
            </w:pPr>
            <w:r>
              <w:rPr>
                <w:rFonts w:ascii="Arial" w:cs="Arial" w:eastAsia="Arial" w:hAnsi="Arial"/>
                <w:sz w:val="15"/>
                <w:szCs w:val="15"/>
                <w:color w:val="auto"/>
              </w:rPr>
              <w:t>40,260</w:t>
            </w:r>
          </w:p>
        </w:tc>
        <w:tc>
          <w:tcPr>
            <w:tcW w:w="1300" w:type="dxa"/>
            <w:vAlign w:val="bottom"/>
            <w:shd w:val="clear" w:color="auto" w:fill="D8D8D8"/>
          </w:tcPr>
          <w:p>
            <w:pPr>
              <w:jc w:val="right"/>
              <w:ind w:right="214"/>
              <w:spacing w:after="0" w:line="169" w:lineRule="exact"/>
              <w:rPr>
                <w:sz w:val="20"/>
                <w:szCs w:val="20"/>
                <w:color w:val="auto"/>
              </w:rPr>
            </w:pPr>
            <w:r>
              <w:rPr>
                <w:rFonts w:ascii="Arial" w:cs="Arial" w:eastAsia="Arial" w:hAnsi="Arial"/>
                <w:sz w:val="15"/>
                <w:szCs w:val="15"/>
                <w:color w:val="auto"/>
              </w:rPr>
              <w:t>40,260</w:t>
            </w:r>
          </w:p>
        </w:tc>
        <w:tc>
          <w:tcPr>
            <w:tcW w:w="1200" w:type="dxa"/>
            <w:vAlign w:val="bottom"/>
            <w:shd w:val="clear" w:color="auto" w:fill="D8D8D8"/>
          </w:tcPr>
          <w:p>
            <w:pPr>
              <w:jc w:val="right"/>
              <w:ind w:right="194"/>
              <w:spacing w:after="0" w:line="169" w:lineRule="exact"/>
              <w:rPr>
                <w:sz w:val="20"/>
                <w:szCs w:val="20"/>
                <w:color w:val="auto"/>
              </w:rPr>
            </w:pPr>
            <w:r>
              <w:rPr>
                <w:rFonts w:ascii="Arial" w:cs="Arial" w:eastAsia="Arial" w:hAnsi="Arial"/>
                <w:sz w:val="15"/>
                <w:szCs w:val="15"/>
                <w:color w:val="auto"/>
              </w:rPr>
              <w:t>(2,020)</w:t>
            </w:r>
          </w:p>
        </w:tc>
        <w:tc>
          <w:tcPr>
            <w:tcW w:w="1200" w:type="dxa"/>
            <w:vAlign w:val="bottom"/>
            <w:shd w:val="clear" w:color="auto" w:fill="D8D8D8"/>
          </w:tcPr>
          <w:p>
            <w:pPr>
              <w:jc w:val="right"/>
              <w:ind w:right="194"/>
              <w:spacing w:after="0" w:line="169" w:lineRule="exact"/>
              <w:rPr>
                <w:sz w:val="20"/>
                <w:szCs w:val="20"/>
                <w:color w:val="auto"/>
              </w:rPr>
            </w:pPr>
            <w:r>
              <w:rPr>
                <w:rFonts w:ascii="Arial" w:cs="Arial" w:eastAsia="Arial" w:hAnsi="Arial"/>
                <w:sz w:val="15"/>
                <w:szCs w:val="15"/>
                <w:color w:val="auto"/>
              </w:rPr>
              <w:t>0</w:t>
            </w:r>
          </w:p>
        </w:tc>
        <w:tc>
          <w:tcPr>
            <w:tcW w:w="900" w:type="dxa"/>
            <w:vAlign w:val="bottom"/>
            <w:shd w:val="clear" w:color="auto" w:fill="D8D8D8"/>
          </w:tcPr>
          <w:p>
            <w:pPr>
              <w:jc w:val="right"/>
              <w:ind w:right="54"/>
              <w:spacing w:after="0" w:line="169" w:lineRule="exact"/>
              <w:rPr>
                <w:sz w:val="20"/>
                <w:szCs w:val="20"/>
                <w:color w:val="auto"/>
              </w:rPr>
            </w:pPr>
            <w:r>
              <w:rPr>
                <w:rFonts w:ascii="Arial" w:cs="Arial" w:eastAsia="Arial" w:hAnsi="Arial"/>
                <w:sz w:val="15"/>
                <w:szCs w:val="15"/>
                <w:color w:val="auto"/>
              </w:rPr>
              <w:t>78,500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right="120" w:hanging="330"/>
        <w:spacing w:after="0" w:line="234" w:lineRule="auto"/>
        <w:tabs>
          <w:tab w:leader="none" w:pos="330" w:val="left"/>
        </w:tabs>
        <w:numPr>
          <w:ilvl w:val="0"/>
          <w:numId w:val="62"/>
        </w:numPr>
        <w:rPr>
          <w:rFonts w:ascii="Arial" w:cs="Arial" w:eastAsia="Arial" w:hAnsi="Arial"/>
          <w:sz w:val="11"/>
          <w:szCs w:val="11"/>
          <w:color w:val="auto"/>
        </w:rPr>
      </w:pPr>
      <w:r>
        <w:rPr>
          <w:rFonts w:ascii="Arial" w:cs="Arial" w:eastAsia="Arial" w:hAnsi="Arial"/>
          <w:sz w:val="11"/>
          <w:szCs w:val="11"/>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3"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Company provides matching contributions for its NEOs up to a cap of 6% of base salary and annual incentive, as applicable.</w:t>
      </w:r>
    </w:p>
    <w:p>
      <w:pPr>
        <w:ind w:left="330" w:right="100" w:hanging="330"/>
        <w:spacing w:after="0" w:line="234" w:lineRule="auto"/>
        <w:tabs>
          <w:tab w:leader="none" w:pos="330" w:val="left"/>
        </w:tabs>
        <w:numPr>
          <w:ilvl w:val="0"/>
          <w:numId w:val="62"/>
        </w:numPr>
        <w:rPr>
          <w:rFonts w:ascii="Arial" w:cs="Arial" w:eastAsia="Arial" w:hAnsi="Arial"/>
          <w:sz w:val="11"/>
          <w:szCs w:val="11"/>
          <w:color w:val="auto"/>
        </w:rPr>
      </w:pPr>
      <w:r>
        <w:rPr>
          <w:rFonts w:ascii="Arial" w:cs="Arial" w:eastAsia="Arial" w:hAnsi="Arial"/>
          <w:sz w:val="11"/>
          <w:szCs w:val="11"/>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1"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62"/>
        </w:numPr>
        <w:rPr>
          <w:rFonts w:ascii="Arial" w:cs="Arial" w:eastAsia="Arial" w:hAnsi="Arial"/>
          <w:sz w:val="11"/>
          <w:szCs w:val="11"/>
          <w:color w:val="auto"/>
        </w:rPr>
      </w:pPr>
      <w:r>
        <w:rPr>
          <w:rFonts w:ascii="Arial" w:cs="Arial" w:eastAsia="Arial" w:hAnsi="Arial"/>
          <w:sz w:val="11"/>
          <w:szCs w:val="11"/>
          <w:color w:val="auto"/>
        </w:rPr>
        <w:t>Amounts represent ordinary course distributions pursuant to prior payment elections made by the NEOs in accordance with the terms and conditions of the applicable plan (as further discussed in note (a) above).</w:t>
      </w:r>
    </w:p>
    <w:p>
      <w:pPr>
        <w:ind w:left="330" w:right="400" w:hanging="330"/>
        <w:spacing w:after="0" w:line="248" w:lineRule="auto"/>
        <w:tabs>
          <w:tab w:leader="none" w:pos="330" w:val="left"/>
        </w:tabs>
        <w:numPr>
          <w:ilvl w:val="0"/>
          <w:numId w:val="62"/>
        </w:numPr>
        <w:rPr>
          <w:rFonts w:ascii="Arial" w:cs="Arial" w:eastAsia="Arial" w:hAnsi="Arial"/>
          <w:sz w:val="11"/>
          <w:szCs w:val="11"/>
          <w:color w:val="auto"/>
        </w:rPr>
      </w:pPr>
      <w:r>
        <w:rPr>
          <w:rFonts w:ascii="Arial" w:cs="Arial" w:eastAsia="Arial" w:hAnsi="Arial"/>
          <w:sz w:val="11"/>
          <w:szCs w:val="11"/>
          <w:color w:val="auto"/>
        </w:rPr>
        <w:t>Represents total trust assets accumulated for all periods of plan participation through the end of 2013. The aggregate balance is the sum of all participant and registrant contributions and investment earnings less any withdrawals or distributions.</w:t>
      </w:r>
    </w:p>
    <w:p>
      <w:pPr>
        <w:sectPr>
          <w:pgSz w:w="11900" w:h="16838" w:orient="portrait"/>
          <w:cols w:equalWidth="0" w:num="1">
            <w:col w:w="11450"/>
          </w:cols>
          <w:pgMar w:left="230" w:top="407" w:right="219" w:bottom="1440" w:gutter="0" w:footer="0" w:header="0"/>
        </w:sectPr>
      </w:pPr>
    </w:p>
    <w:p>
      <w:pPr>
        <w:spacing w:after="0" w:line="16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Employment Agreements and Other Arrangements</w:t>
      </w:r>
    </w:p>
    <w:p>
      <w:pPr>
        <w:spacing w:after="0" w:line="93" w:lineRule="exact"/>
        <w:rPr>
          <w:sz w:val="20"/>
          <w:szCs w:val="20"/>
          <w:color w:val="auto"/>
        </w:rPr>
      </w:pPr>
    </w:p>
    <w:p>
      <w:pPr>
        <w:ind w:left="10" w:right="20"/>
        <w:spacing w:after="0" w:line="238" w:lineRule="auto"/>
        <w:rPr>
          <w:sz w:val="20"/>
          <w:szCs w:val="20"/>
          <w:color w:val="auto"/>
        </w:rPr>
      </w:pPr>
      <w:r>
        <w:rPr>
          <w:rFonts w:ascii="Arial" w:cs="Arial" w:eastAsia="Arial" w:hAnsi="Arial"/>
          <w:sz w:val="15"/>
          <w:szCs w:val="15"/>
          <w:color w:val="auto"/>
        </w:rPr>
        <w:t>Each NEO is employed by us pursuant to a written agreement of employment or has a severance agreement, as summarized below and discussed under “Employment and Change of Control Agreements; Severance Arrangements.”</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Mr. Nelson</w:t>
      </w:r>
    </w:p>
    <w:p>
      <w:pPr>
        <w:spacing w:after="0" w:line="82" w:lineRule="exact"/>
        <w:rPr>
          <w:sz w:val="20"/>
          <w:szCs w:val="20"/>
          <w:color w:val="auto"/>
        </w:rPr>
      </w:pPr>
    </w:p>
    <w:p>
      <w:pPr>
        <w:ind w:left="10"/>
        <w:spacing w:after="0" w:line="254" w:lineRule="auto"/>
        <w:rPr>
          <w:sz w:val="20"/>
          <w:szCs w:val="20"/>
          <w:color w:val="auto"/>
        </w:rPr>
      </w:pPr>
      <w:r>
        <w:rPr>
          <w:rFonts w:ascii="Arial" w:cs="Arial" w:eastAsia="Arial" w:hAnsi="Arial"/>
          <w:sz w:val="14"/>
          <w:szCs w:val="14"/>
          <w:color w:val="auto"/>
        </w:rPr>
        <w:t>On January 27, 2010, the Company amended and restated its employment agreement with Mr. Nelson. In addition to providing for a minimum base salary of $1.0 million (pursuant to Committee discretion such salary has been increased to $1.15 million), and employee benefit plans generally available to our executive officers, the amended agreement generally provides Mr. Nelson and his dependents with continuation of certain health and welfare benefits until he reaches (or would have reached) age 75. Mr. Nelson’s agreement also provides for an annual incentive award with a target amount equal to 150% of his base salary, subject to attainment of performance goals. If Mr. Nelson’s employment with the Company is terminated by the Company without “Cause” or due to a “Constructive Discharge” (as summarized below), Mr. Nelson generally will be entitled to a lump-sum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420"/>
        <w:spacing w:after="0" w:line="274" w:lineRule="auto"/>
        <w:rPr>
          <w:sz w:val="20"/>
          <w:szCs w:val="20"/>
          <w:color w:val="auto"/>
        </w:rPr>
      </w:pPr>
      <w:r>
        <w:rPr>
          <w:rFonts w:ascii="Arial" w:cs="Arial" w:eastAsia="Arial" w:hAnsi="Arial"/>
          <w:sz w:val="14"/>
          <w:szCs w:val="14"/>
          <w:color w:val="auto"/>
        </w:rPr>
        <w:t>payment equal to 299% of the sum of his then-current base salary plus his then-current target annual bonus, and accelerated vesting of certain equity awards.</w:t>
      </w:r>
    </w:p>
    <w:p>
      <w:pPr>
        <w:spacing w:after="0" w:line="38" w:lineRule="exact"/>
        <w:rPr>
          <w:sz w:val="20"/>
          <w:szCs w:val="20"/>
          <w:color w:val="auto"/>
        </w:rPr>
      </w:pPr>
    </w:p>
    <w:p>
      <w:pPr>
        <w:ind w:right="300"/>
        <w:spacing w:after="0" w:line="234" w:lineRule="auto"/>
        <w:rPr>
          <w:sz w:val="20"/>
          <w:szCs w:val="20"/>
          <w:color w:val="auto"/>
        </w:rPr>
      </w:pPr>
      <w:r>
        <w:rPr>
          <w:rFonts w:ascii="Arial" w:cs="Arial" w:eastAsia="Arial" w:hAnsi="Arial"/>
          <w:sz w:val="15"/>
          <w:szCs w:val="15"/>
          <w:color w:val="auto"/>
        </w:rPr>
        <w:t>Currently, either the Board of Directors or Mr. Nelson may elect to transition him to serve solely as Chairman of the Board. If Mr. Nelson so elects, a fifty percent</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(50%) salary and bonus reduction will be imposed. If the Board so elects, such salary reduction will be made in specified increments over the remaining term, based on the year in which such election is made.</w:t>
      </w:r>
    </w:p>
    <w:p>
      <w:pPr>
        <w:spacing w:after="0" w:line="61"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Following a “Change in Control” (as described below) of the Company, the long-term incentives granted to Mr. Nelson generally will become fully vested if Mr. Nelson’s employment with the Company is terminated without “Cause” or due to a “Constructive Discharge.” The amended employment agreement provides for post-termination non-competition and non-solicitation covenants that will last for one year following Mr. Nelson’s completion of the full five-year employment term, subject to certain exceptions, or for two years from the date of termination if Mr. Nelson’s employment is terminated earlier for any reason.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Mr. Wyshner</w:t>
      </w:r>
    </w:p>
    <w:p>
      <w:pPr>
        <w:spacing w:after="0" w:line="82" w:lineRule="exact"/>
        <w:rPr>
          <w:sz w:val="20"/>
          <w:szCs w:val="20"/>
          <w:color w:val="auto"/>
        </w:rPr>
      </w:pPr>
    </w:p>
    <w:p>
      <w:pPr>
        <w:ind w:right="760"/>
        <w:spacing w:after="0"/>
        <w:rPr>
          <w:sz w:val="20"/>
          <w:szCs w:val="20"/>
          <w:color w:val="auto"/>
        </w:rPr>
      </w:pPr>
      <w:r>
        <w:rPr>
          <w:rFonts w:ascii="Arial" w:cs="Arial" w:eastAsia="Arial" w:hAnsi="Arial"/>
          <w:sz w:val="15"/>
          <w:szCs w:val="15"/>
          <w:color w:val="auto"/>
        </w:rPr>
        <w:t>On January 27, 2012, the Company amended and restated its employment agreement with Mr.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129540</wp:posOffset>
            </wp:positionV>
            <wp:extent cx="950595" cy="142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70" w:space="380"/>
            <w:col w:w="5600"/>
          </w:cols>
          <w:pgMar w:left="230" w:top="407" w:right="219" w:bottom="1440" w:gutter="0" w:footer="0" w:header="0"/>
          <w:type w:val="continuous"/>
        </w:sectPr>
      </w:pPr>
    </w:p>
    <w:p>
      <w:pPr>
        <w:spacing w:after="0" w:line="11"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35</w:t>
            </w:r>
          </w:p>
        </w:tc>
      </w:tr>
    </w:tbl>
    <w:p>
      <w:pPr>
        <w:sectPr>
          <w:pgSz w:w="11900" w:h="16838" w:orient="portrait"/>
          <w:cols w:equalWidth="0" w:num="1">
            <w:col w:w="11450"/>
          </w:cols>
          <w:pgMar w:left="230" w:top="407" w:right="219" w:bottom="1440" w:gutter="0" w:footer="0" w:header="0"/>
          <w:type w:val="continuous"/>
        </w:sectPr>
      </w:pPr>
    </w:p>
    <w:bookmarkStart w:id="41" w:name="page42"/>
    <w:bookmarkEnd w:id="4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 addition to providing for a minimum base salary of $600,000 (pursuant to Committee discretion such salary has been increased to $700,000),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 Mr. Wyshner’s agreement provides that if his employment with us is terminated by us without “Cause” or due to a “Constructive Discharge” (as described below), he will be entitled to a lump-sum payment equal to 299% of the sum of his then-current base salary plus his then-current target annual bonus. In addition, in this event, all of Mr. Wyshner’s then-outstanding equity awards will become fully vested. Mr. Wyshner’s agreement provides for post-termination non-competition and non-solicitation covenants which will last for two years following Mr. Wyshner’s employment with us.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Messrs. Gartland, De Shon and Siniscalchi</w:t>
      </w:r>
    </w:p>
    <w:p>
      <w:pPr>
        <w:spacing w:after="0" w:line="82"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Severance agreements for Messrs. Gartland, De Shon and Siniscalchi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In addition, in connection with such terminations, the agreements also generally provide for accelerated vesting on termination of the stock-based awards which would have vested in accordance with their original vesting schedule by the two-year anniversary of termination of employment. However, such awards that are intended to be performance-based compensation for purposes of 162(m) of the Code will instead remain outstanding following such terminations and become vested or be forfeited based on actual achievement of the applicable performance goals during the two-year period following such terminations. For more detail on the foregoing severance agreements, please see the section above captioned “Severance Agreements for Regional Presidents.” Severance is contingent upon execution of a separation agreement containing a release of claims against the Company and non-competition covenants.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36 </w:t>
      </w:r>
      <w:r>
        <w:rPr>
          <w:sz w:val="1"/>
          <w:szCs w:val="1"/>
          <w:color w:val="auto"/>
        </w:rPr>
        <w:drawing>
          <wp:inline distT="0" distB="0" distL="0" distR="0">
            <wp:extent cx="857885" cy="1143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As previously noted, no NEO is entitled to any tax gross-up or other payments for any “golden parachute” excise taxes, interest or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-848995</wp:posOffset>
            </wp:positionV>
            <wp:extent cx="73088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Defined Terms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For all our NEOs:</w:t>
      </w:r>
    </w:p>
    <w:p>
      <w:pPr>
        <w:spacing w:after="0" w:line="64"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“Cause” is defined in the agreement for each NEO and generally includes the willful failure to substantially perform duties, any act of fraud, embezzlement or similar conduct and conviction of a felony.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For Mr. Nelson:</w:t>
      </w:r>
    </w:p>
    <w:p>
      <w:pPr>
        <w:spacing w:after="0" w:line="64"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For Mr. Wyshner:</w:t>
      </w:r>
    </w:p>
    <w:p>
      <w:pPr>
        <w:spacing w:after="0" w:line="64"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or (d) the failure of a successor to the Company to assume the employment agreement.</w:t>
      </w:r>
    </w:p>
    <w:p>
      <w:pPr>
        <w:sectPr>
          <w:pgSz w:w="11900" w:h="16838" w:orient="portrait"/>
          <w:cols w:equalWidth="0" w:num="2">
            <w:col w:w="5460" w:space="380"/>
            <w:col w:w="5460"/>
          </w:cols>
          <w:pgMar w:left="240" w:top="407" w:right="3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right="2320"/>
        <w:spacing w:after="0" w:line="341" w:lineRule="auto"/>
        <w:rPr>
          <w:sz w:val="20"/>
          <w:szCs w:val="20"/>
          <w:color w:val="auto"/>
        </w:rPr>
      </w:pPr>
      <w:r>
        <w:rPr>
          <w:rFonts w:ascii="Arial" w:cs="Arial" w:eastAsia="Arial" w:hAnsi="Arial"/>
          <w:sz w:val="15"/>
          <w:szCs w:val="15"/>
          <w:b w:val="1"/>
          <w:bCs w:val="1"/>
          <w:color w:val="auto"/>
        </w:rPr>
        <w:t xml:space="preserve">Discussion of Change-in-Control Provisions </w:t>
      </w:r>
      <w:r>
        <w:rPr>
          <w:rFonts w:ascii="Arial" w:cs="Arial" w:eastAsia="Arial" w:hAnsi="Arial"/>
          <w:sz w:val="15"/>
          <w:szCs w:val="15"/>
          <w:i w:val="1"/>
          <w:iCs w:val="1"/>
          <w:color w:val="auto"/>
        </w:rPr>
        <w:t>Equity Awards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Company’s Amended and Restated 2007 Equity and Incentive Plan provides that equity awards accelerate following a Change in Control (as defined in the 2007 Equity and Incentive Plan) of the Company only if a participant is also terminated without cause or experiences a constructive discharge within two years following a Change in Control.</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Under the 2007 Equity and Incentive Plan “Change in Control” is generally defined as: (a) any person or entity is or becomes the “beneficial owner” of 50% or more of the combined voting power of the Company’s then outstanding voting securities; (b) a change in the majority of the members of the Board; (c) there is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280"/>
        <w:spacing w:after="0" w:line="237" w:lineRule="auto"/>
        <w:rPr>
          <w:sz w:val="20"/>
          <w:szCs w:val="20"/>
          <w:color w:val="auto"/>
        </w:rPr>
      </w:pPr>
      <w:r>
        <w:rPr>
          <w:rFonts w:ascii="Arial" w:cs="Arial" w:eastAsia="Arial" w:hAnsi="Arial"/>
          <w:sz w:val="15"/>
          <w:szCs w:val="15"/>
          <w:color w:val="auto"/>
        </w:rPr>
        <w:t>merger or consolidation of the Company; or (d) stockholders of the Company approve a plan of complete liquidation or dissolution of the Company or there is a sale or disposition by the Company of all or substantially all of the Company’s assets.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Severance</w:t>
      </w:r>
    </w:p>
    <w:p>
      <w:pPr>
        <w:spacing w:after="0" w:line="78"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Severance payments are described above, none of which are payable solely due to a Change in Control (as defined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558165</wp:posOffset>
            </wp:positionV>
            <wp:extent cx="950595" cy="142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37</w:t>
            </w:r>
          </w:p>
        </w:tc>
      </w:tr>
    </w:tbl>
    <w:p>
      <w:pPr>
        <w:sectPr>
          <w:pgSz w:w="11900" w:h="16838" w:orient="portrait"/>
          <w:cols w:equalWidth="0" w:num="2">
            <w:col w:w="5380" w:space="460"/>
            <w:col w:w="5540"/>
          </w:cols>
          <w:pgMar w:left="240" w:top="407" w:right="279" w:bottom="1440" w:gutter="0" w:footer="0" w:header="0"/>
        </w:sectPr>
      </w:pPr>
    </w:p>
    <w:bookmarkStart w:id="43" w:name="page44"/>
    <w:bookmarkEnd w:id="43"/>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Termination, Severance and Change of Control Arrangements</w:t>
      </w:r>
    </w:p>
    <w:p>
      <w:pPr>
        <w:spacing w:after="0" w:line="93" w:lineRule="exact"/>
        <w:rPr>
          <w:sz w:val="20"/>
          <w:szCs w:val="20"/>
          <w:color w:val="auto"/>
        </w:rPr>
      </w:pPr>
    </w:p>
    <w:p>
      <w:pPr>
        <w:ind w:left="10" w:right="260"/>
        <w:spacing w:after="0"/>
        <w:rPr>
          <w:sz w:val="20"/>
          <w:szCs w:val="20"/>
          <w:color w:val="auto"/>
        </w:rPr>
      </w:pPr>
      <w:r>
        <w:rPr>
          <w:rFonts w:ascii="Arial" w:cs="Arial" w:eastAsia="Arial" w:hAnsi="Arial"/>
          <w:sz w:val="15"/>
          <w:szCs w:val="15"/>
          <w:color w:val="auto"/>
        </w:rPr>
        <w:t>The table below shows the potential severance payments for each NEO as of December 31, 2013. All payments are contingent on the executive’s termination of employment and/or the identified triggering events.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6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center"/>
              <w:ind w:left="50"/>
              <w:spacing w:after="0"/>
              <w:rPr>
                <w:sz w:val="20"/>
                <w:szCs w:val="20"/>
                <w:color w:val="auto"/>
              </w:rPr>
            </w:pPr>
            <w:r>
              <w:rPr>
                <w:rFonts w:ascii="Arial" w:cs="Arial" w:eastAsia="Arial" w:hAnsi="Arial"/>
                <w:sz w:val="11"/>
                <w:szCs w:val="11"/>
                <w:b w:val="1"/>
                <w:bCs w:val="1"/>
                <w:color w:val="auto"/>
              </w:rPr>
              <w:t>Accelerated</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Continuation</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740" w:type="dxa"/>
            <w:vAlign w:val="bottom"/>
          </w:tcPr>
          <w:p>
            <w:pPr>
              <w:spacing w:after="0"/>
              <w:rPr>
                <w:sz w:val="10"/>
                <w:szCs w:val="10"/>
                <w:color w:val="auto"/>
              </w:rPr>
            </w:pPr>
          </w:p>
        </w:tc>
        <w:tc>
          <w:tcPr>
            <w:tcW w:w="1140" w:type="dxa"/>
            <w:vAlign w:val="bottom"/>
          </w:tcPr>
          <w:p>
            <w:pPr>
              <w:jc w:val="center"/>
              <w:ind w:left="189"/>
              <w:spacing w:after="0" w:line="124" w:lineRule="exact"/>
              <w:rPr>
                <w:sz w:val="20"/>
                <w:szCs w:val="20"/>
                <w:color w:val="auto"/>
              </w:rPr>
            </w:pPr>
            <w:r>
              <w:rPr>
                <w:rFonts w:ascii="Arial" w:cs="Arial" w:eastAsia="Arial" w:hAnsi="Arial"/>
                <w:sz w:val="11"/>
                <w:szCs w:val="11"/>
                <w:b w:val="1"/>
                <w:bCs w:val="1"/>
                <w:color w:val="auto"/>
              </w:rPr>
              <w:t>Lump-Sum</w:t>
            </w:r>
          </w:p>
        </w:tc>
        <w:tc>
          <w:tcPr>
            <w:tcW w:w="1360" w:type="dxa"/>
            <w:vAlign w:val="bottom"/>
          </w:tcPr>
          <w:p>
            <w:pPr>
              <w:jc w:val="center"/>
              <w:ind w:left="70"/>
              <w:spacing w:after="0" w:line="124" w:lineRule="exact"/>
              <w:rPr>
                <w:sz w:val="20"/>
                <w:szCs w:val="20"/>
                <w:color w:val="auto"/>
              </w:rPr>
            </w:pPr>
            <w:r>
              <w:rPr>
                <w:rFonts w:ascii="Arial" w:cs="Arial" w:eastAsia="Arial" w:hAnsi="Arial"/>
                <w:sz w:val="11"/>
                <w:szCs w:val="11"/>
                <w:b w:val="1"/>
                <w:bCs w:val="1"/>
                <w:color w:val="auto"/>
              </w:rPr>
              <w:t>Vesting of</w:t>
            </w:r>
          </w:p>
        </w:tc>
        <w:tc>
          <w:tcPr>
            <w:tcW w:w="11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of Benefits</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740" w:type="dxa"/>
            <w:vAlign w:val="bottom"/>
          </w:tcPr>
          <w:p>
            <w:pPr>
              <w:spacing w:after="0"/>
              <w:rPr>
                <w:sz w:val="10"/>
                <w:szCs w:val="10"/>
                <w:color w:val="auto"/>
              </w:rPr>
            </w:pPr>
          </w:p>
        </w:tc>
        <w:tc>
          <w:tcPr>
            <w:tcW w:w="1140" w:type="dxa"/>
            <w:vAlign w:val="bottom"/>
          </w:tcPr>
          <w:p>
            <w:pPr>
              <w:jc w:val="center"/>
              <w:ind w:left="189"/>
              <w:spacing w:after="0" w:line="124" w:lineRule="exact"/>
              <w:rPr>
                <w:sz w:val="20"/>
                <w:szCs w:val="20"/>
                <w:color w:val="auto"/>
              </w:rPr>
            </w:pPr>
            <w:r>
              <w:rPr>
                <w:rFonts w:ascii="Arial" w:cs="Arial" w:eastAsia="Arial" w:hAnsi="Arial"/>
                <w:sz w:val="11"/>
                <w:szCs w:val="11"/>
                <w:b w:val="1"/>
                <w:bCs w:val="1"/>
                <w:color w:val="auto"/>
              </w:rPr>
              <w:t>Severance</w:t>
            </w:r>
          </w:p>
        </w:tc>
        <w:tc>
          <w:tcPr>
            <w:tcW w:w="1360" w:type="dxa"/>
            <w:vAlign w:val="bottom"/>
          </w:tcPr>
          <w:p>
            <w:pPr>
              <w:jc w:val="center"/>
              <w:ind w:left="50"/>
              <w:spacing w:after="0" w:line="124" w:lineRule="exact"/>
              <w:rPr>
                <w:sz w:val="20"/>
                <w:szCs w:val="20"/>
                <w:color w:val="auto"/>
              </w:rPr>
            </w:pPr>
            <w:r>
              <w:rPr>
                <w:rFonts w:ascii="Arial" w:cs="Arial" w:eastAsia="Arial" w:hAnsi="Arial"/>
                <w:sz w:val="11"/>
                <w:szCs w:val="11"/>
                <w:b w:val="1"/>
                <w:bCs w:val="1"/>
                <w:color w:val="auto"/>
              </w:rPr>
              <w:t>Stock-based</w:t>
            </w:r>
          </w:p>
        </w:tc>
        <w:tc>
          <w:tcPr>
            <w:tcW w:w="11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and</w:t>
            </w:r>
          </w:p>
        </w:tc>
        <w:tc>
          <w:tcPr>
            <w:tcW w:w="1060" w:type="dxa"/>
            <w:vAlign w:val="bottom"/>
            <w:vMerge w:val="restart"/>
          </w:tcPr>
          <w:p>
            <w:pPr>
              <w:jc w:val="right"/>
              <w:ind w:right="32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6"/>
        </w:trPr>
        <w:tc>
          <w:tcPr>
            <w:tcW w:w="6740" w:type="dxa"/>
            <w:vAlign w:val="bottom"/>
          </w:tcPr>
          <w:p>
            <w:pPr>
              <w:spacing w:after="0"/>
              <w:rPr>
                <w:sz w:val="10"/>
                <w:szCs w:val="10"/>
                <w:color w:val="auto"/>
              </w:rPr>
            </w:pPr>
          </w:p>
        </w:tc>
        <w:tc>
          <w:tcPr>
            <w:tcW w:w="1140" w:type="dxa"/>
            <w:vAlign w:val="bottom"/>
          </w:tcPr>
          <w:p>
            <w:pPr>
              <w:jc w:val="center"/>
              <w:ind w:left="189"/>
              <w:spacing w:after="0" w:line="116" w:lineRule="exact"/>
              <w:rPr>
                <w:sz w:val="20"/>
                <w:szCs w:val="20"/>
                <w:color w:val="auto"/>
              </w:rPr>
            </w:pPr>
            <w:r>
              <w:rPr>
                <w:rFonts w:ascii="Arial" w:cs="Arial" w:eastAsia="Arial" w:hAnsi="Arial"/>
                <w:sz w:val="11"/>
                <w:szCs w:val="11"/>
                <w:b w:val="1"/>
                <w:bCs w:val="1"/>
                <w:color w:val="auto"/>
              </w:rPr>
              <w:t>Payment</w:t>
            </w:r>
          </w:p>
        </w:tc>
        <w:tc>
          <w:tcPr>
            <w:tcW w:w="1360" w:type="dxa"/>
            <w:vAlign w:val="bottom"/>
          </w:tcPr>
          <w:p>
            <w:pPr>
              <w:jc w:val="center"/>
              <w:ind w:left="50"/>
              <w:spacing w:after="0" w:line="116" w:lineRule="exact"/>
              <w:rPr>
                <w:sz w:val="20"/>
                <w:szCs w:val="20"/>
                <w:color w:val="auto"/>
              </w:rPr>
            </w:pPr>
            <w:r>
              <w:rPr>
                <w:rFonts w:ascii="Arial" w:cs="Arial" w:eastAsia="Arial" w:hAnsi="Arial"/>
                <w:sz w:val="11"/>
                <w:szCs w:val="11"/>
                <w:b w:val="1"/>
                <w:bCs w:val="1"/>
                <w:color w:val="auto"/>
              </w:rPr>
              <w:t>Awards</w:t>
            </w:r>
          </w:p>
        </w:tc>
        <w:tc>
          <w:tcPr>
            <w:tcW w:w="114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Perquisites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and Triggering Event(a)</w:t>
            </w:r>
          </w:p>
        </w:tc>
        <w:tc>
          <w:tcPr>
            <w:tcW w:w="1140" w:type="dxa"/>
            <w:vAlign w:val="bottom"/>
            <w:tcBorders>
              <w:bottom w:val="single" w:sz="8" w:color="auto"/>
            </w:tcBorders>
          </w:tcPr>
          <w:p>
            <w:pPr>
              <w:jc w:val="center"/>
              <w:ind w:left="189"/>
              <w:spacing w:after="0"/>
              <w:rPr>
                <w:sz w:val="20"/>
                <w:szCs w:val="20"/>
                <w:color w:val="auto"/>
              </w:rPr>
            </w:pPr>
            <w:r>
              <w:rPr>
                <w:rFonts w:ascii="Arial" w:cs="Arial" w:eastAsia="Arial" w:hAnsi="Arial"/>
                <w:sz w:val="11"/>
                <w:szCs w:val="11"/>
                <w:b w:val="1"/>
                <w:bCs w:val="1"/>
                <w:color w:val="auto"/>
              </w:rPr>
              <w:t>($)(b)</w:t>
            </w:r>
          </w:p>
        </w:tc>
        <w:tc>
          <w:tcPr>
            <w:tcW w:w="1360" w:type="dxa"/>
            <w:vAlign w:val="bottom"/>
            <w:tcBorders>
              <w:bottom w:val="single" w:sz="8" w:color="auto"/>
            </w:tcBorders>
          </w:tcPr>
          <w:p>
            <w:pPr>
              <w:jc w:val="center"/>
              <w:ind w:left="50"/>
              <w:spacing w:after="0"/>
              <w:rPr>
                <w:sz w:val="20"/>
                <w:szCs w:val="20"/>
                <w:color w:val="auto"/>
              </w:rPr>
            </w:pPr>
            <w:r>
              <w:rPr>
                <w:rFonts w:ascii="Arial" w:cs="Arial" w:eastAsia="Arial" w:hAnsi="Arial"/>
                <w:sz w:val="11"/>
                <w:szCs w:val="11"/>
                <w:b w:val="1"/>
                <w:bCs w:val="1"/>
                <w:color w:val="auto"/>
              </w:rPr>
              <w:t>($)(c)</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0"/>
        </w:trPr>
        <w:tc>
          <w:tcPr>
            <w:tcW w:w="6740" w:type="dxa"/>
            <w:vAlign w:val="bottom"/>
            <w:shd w:val="clear" w:color="auto" w:fill="D8D8D8"/>
          </w:tcPr>
          <w:p>
            <w:pPr>
              <w:spacing w:after="0" w:line="160" w:lineRule="exact"/>
              <w:rPr>
                <w:sz w:val="20"/>
                <w:szCs w:val="20"/>
                <w:color w:val="auto"/>
              </w:rPr>
            </w:pPr>
            <w:r>
              <w:rPr>
                <w:rFonts w:ascii="Arial" w:cs="Arial" w:eastAsia="Arial" w:hAnsi="Arial"/>
                <w:sz w:val="15"/>
                <w:szCs w:val="15"/>
                <w:b w:val="1"/>
                <w:bCs w:val="1"/>
                <w:color w:val="auto"/>
              </w:rPr>
              <w:t>Mr. Nelson</w:t>
            </w:r>
          </w:p>
        </w:tc>
        <w:tc>
          <w:tcPr>
            <w:tcW w:w="1140" w:type="dxa"/>
            <w:vAlign w:val="bottom"/>
            <w:shd w:val="clear" w:color="auto" w:fill="D8D8D8"/>
          </w:tcPr>
          <w:p>
            <w:pPr>
              <w:spacing w:after="0"/>
              <w:rPr>
                <w:sz w:val="13"/>
                <w:szCs w:val="13"/>
                <w:color w:val="auto"/>
              </w:rPr>
            </w:pPr>
          </w:p>
        </w:tc>
        <w:tc>
          <w:tcPr>
            <w:tcW w:w="136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0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Resignation or Termination by Company for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261,376</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261,376</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due to Death or Disability</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1,725,000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32,107,256</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329,796</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34,162,052</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by Company without Cause or due to Constructive Discharge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8,596,250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32,107,256</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329,796</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41,033,302</w:t>
            </w:r>
          </w:p>
        </w:tc>
        <w:tc>
          <w:tcPr>
            <w:tcW w:w="0" w:type="dxa"/>
            <w:vAlign w:val="bottom"/>
          </w:tcPr>
          <w:p>
            <w:pPr>
              <w:spacing w:after="0"/>
              <w:rPr>
                <w:sz w:val="1"/>
                <w:szCs w:val="1"/>
                <w:color w:val="auto"/>
              </w:rPr>
            </w:pPr>
          </w:p>
        </w:tc>
      </w:tr>
      <w:tr>
        <w:trPr>
          <w:trHeight w:val="171"/>
        </w:trPr>
        <w:tc>
          <w:tcPr>
            <w:tcW w:w="6740" w:type="dxa"/>
            <w:vAlign w:val="bottom"/>
            <w:shd w:val="clear" w:color="auto" w:fill="D8D8D8"/>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1140" w:type="dxa"/>
            <w:vAlign w:val="bottom"/>
            <w:shd w:val="clear" w:color="auto" w:fill="D8D8D8"/>
          </w:tcPr>
          <w:p>
            <w:pPr>
              <w:spacing w:after="0"/>
              <w:rPr>
                <w:sz w:val="14"/>
                <w:szCs w:val="14"/>
                <w:color w:val="auto"/>
              </w:rPr>
            </w:pPr>
          </w:p>
        </w:tc>
        <w:tc>
          <w:tcPr>
            <w:tcW w:w="1360" w:type="dxa"/>
            <w:vAlign w:val="bottom"/>
            <w:shd w:val="clear" w:color="auto" w:fill="D8D8D8"/>
          </w:tcPr>
          <w:p>
            <w:pPr>
              <w:spacing w:after="0"/>
              <w:rPr>
                <w:sz w:val="14"/>
                <w:szCs w:val="14"/>
                <w:color w:val="auto"/>
              </w:rPr>
            </w:pPr>
          </w:p>
        </w:tc>
        <w:tc>
          <w:tcPr>
            <w:tcW w:w="114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40" w:type="dxa"/>
            <w:vAlign w:val="bottom"/>
            <w:shd w:val="clear" w:color="auto" w:fill="D8D8D8"/>
          </w:tcPr>
          <w:p>
            <w:pPr>
              <w:ind w:left="180"/>
              <w:spacing w:after="0" w:line="167" w:lineRule="exact"/>
              <w:rPr>
                <w:sz w:val="20"/>
                <w:szCs w:val="20"/>
                <w:color w:val="auto"/>
              </w:rPr>
            </w:pPr>
            <w:r>
              <w:rPr>
                <w:rFonts w:ascii="Arial" w:cs="Arial" w:eastAsia="Arial" w:hAnsi="Arial"/>
                <w:sz w:val="15"/>
                <w:szCs w:val="15"/>
                <w:color w:val="auto"/>
              </w:rPr>
              <w:t>Discharge</w:t>
            </w:r>
          </w:p>
        </w:tc>
        <w:tc>
          <w:tcPr>
            <w:tcW w:w="1140" w:type="dxa"/>
            <w:vAlign w:val="bottom"/>
            <w:shd w:val="clear" w:color="auto" w:fill="D8D8D8"/>
          </w:tcPr>
          <w:p>
            <w:pPr>
              <w:jc w:val="right"/>
              <w:ind w:right="9"/>
              <w:spacing w:after="0" w:line="167" w:lineRule="exact"/>
              <w:rPr>
                <w:sz w:val="20"/>
                <w:szCs w:val="20"/>
                <w:color w:val="auto"/>
              </w:rPr>
            </w:pPr>
            <w:r>
              <w:rPr>
                <w:rFonts w:ascii="Arial" w:cs="Arial" w:eastAsia="Arial" w:hAnsi="Arial"/>
                <w:sz w:val="15"/>
                <w:szCs w:val="15"/>
                <w:color w:val="auto"/>
              </w:rPr>
              <w:t>8,596,250</w:t>
            </w:r>
          </w:p>
        </w:tc>
        <w:tc>
          <w:tcPr>
            <w:tcW w:w="1360" w:type="dxa"/>
            <w:vAlign w:val="bottom"/>
            <w:shd w:val="clear" w:color="auto" w:fill="D8D8D8"/>
          </w:tcPr>
          <w:p>
            <w:pPr>
              <w:jc w:val="right"/>
              <w:ind w:right="150"/>
              <w:spacing w:after="0" w:line="167" w:lineRule="exact"/>
              <w:rPr>
                <w:sz w:val="20"/>
                <w:szCs w:val="20"/>
                <w:color w:val="auto"/>
              </w:rPr>
            </w:pPr>
            <w:r>
              <w:rPr>
                <w:rFonts w:ascii="Arial" w:cs="Arial" w:eastAsia="Arial" w:hAnsi="Arial"/>
                <w:sz w:val="15"/>
                <w:szCs w:val="15"/>
                <w:color w:val="auto"/>
              </w:rPr>
              <w:t>32,107,256</w:t>
            </w:r>
          </w:p>
        </w:tc>
        <w:tc>
          <w:tcPr>
            <w:tcW w:w="1140" w:type="dxa"/>
            <w:vAlign w:val="bottom"/>
            <w:shd w:val="clear" w:color="auto" w:fill="D8D8D8"/>
          </w:tcPr>
          <w:p>
            <w:pPr>
              <w:jc w:val="right"/>
              <w:ind w:right="130"/>
              <w:spacing w:after="0" w:line="167" w:lineRule="exact"/>
              <w:rPr>
                <w:sz w:val="20"/>
                <w:szCs w:val="20"/>
                <w:color w:val="auto"/>
              </w:rPr>
            </w:pPr>
            <w:r>
              <w:rPr>
                <w:rFonts w:ascii="Arial" w:cs="Arial" w:eastAsia="Arial" w:hAnsi="Arial"/>
                <w:sz w:val="15"/>
                <w:szCs w:val="15"/>
                <w:color w:val="auto"/>
              </w:rPr>
              <w:t>329,796</w:t>
            </w:r>
          </w:p>
        </w:tc>
        <w:tc>
          <w:tcPr>
            <w:tcW w:w="1060" w:type="dxa"/>
            <w:vAlign w:val="bottom"/>
            <w:shd w:val="clear" w:color="auto" w:fill="D8D8D8"/>
          </w:tcPr>
          <w:p>
            <w:pPr>
              <w:jc w:val="right"/>
              <w:ind w:right="48"/>
              <w:spacing w:after="0" w:line="167" w:lineRule="exact"/>
              <w:rPr>
                <w:sz w:val="20"/>
                <w:szCs w:val="20"/>
                <w:color w:val="auto"/>
              </w:rPr>
            </w:pPr>
            <w:r>
              <w:rPr>
                <w:rFonts w:ascii="Arial" w:cs="Arial" w:eastAsia="Arial" w:hAnsi="Arial"/>
                <w:sz w:val="15"/>
                <w:szCs w:val="15"/>
                <w:color w:val="auto"/>
              </w:rPr>
              <w:t>41,033,302</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Change of Control Transaction without Termination</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28"/>
        </w:trPr>
        <w:tc>
          <w:tcPr>
            <w:tcW w:w="6740" w:type="dxa"/>
            <w:vAlign w:val="bottom"/>
          </w:tcPr>
          <w:p>
            <w:pPr>
              <w:spacing w:after="0"/>
              <w:rPr>
                <w:sz w:val="20"/>
                <w:szCs w:val="20"/>
                <w:color w:val="auto"/>
              </w:rPr>
            </w:pPr>
            <w:r>
              <w:rPr>
                <w:rFonts w:ascii="Arial" w:cs="Arial" w:eastAsia="Arial" w:hAnsi="Arial"/>
                <w:sz w:val="15"/>
                <w:szCs w:val="15"/>
                <w:b w:val="1"/>
                <w:bCs w:val="1"/>
                <w:color w:val="auto"/>
              </w:rPr>
              <w:t>Mr. Wyshner</w:t>
            </w: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Resignation or Termination by Company for Cause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Termination due to Death or Disability</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700,000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12,581,372</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86,297</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13,367,669</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Termination by Company without Cause or due to Constructive Discharge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4,186,000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12,581,372</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86,297</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16,853,669</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180"/>
              <w:spacing w:after="0" w:line="169" w:lineRule="exact"/>
              <w:rPr>
                <w:sz w:val="20"/>
                <w:szCs w:val="20"/>
                <w:color w:val="auto"/>
              </w:rPr>
            </w:pPr>
            <w:r>
              <w:rPr>
                <w:rFonts w:ascii="Arial" w:cs="Arial" w:eastAsia="Arial" w:hAnsi="Arial"/>
                <w:sz w:val="15"/>
                <w:szCs w:val="15"/>
                <w:color w:val="auto"/>
              </w:rPr>
              <w:t>Discharge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4,186,000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12,581,372</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86,297</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16,853,669</w:t>
            </w:r>
          </w:p>
        </w:tc>
        <w:tc>
          <w:tcPr>
            <w:tcW w:w="0" w:type="dxa"/>
            <w:vAlign w:val="bottom"/>
          </w:tcPr>
          <w:p>
            <w:pPr>
              <w:spacing w:after="0"/>
              <w:rPr>
                <w:sz w:val="1"/>
                <w:szCs w:val="1"/>
                <w:color w:val="auto"/>
              </w:rPr>
            </w:pPr>
          </w:p>
        </w:tc>
      </w:tr>
      <w:tr>
        <w:trPr>
          <w:trHeight w:val="166"/>
        </w:trPr>
        <w:tc>
          <w:tcPr>
            <w:tcW w:w="6740" w:type="dxa"/>
            <w:vAlign w:val="bottom"/>
          </w:tcPr>
          <w:p>
            <w:pPr>
              <w:spacing w:after="0" w:line="167" w:lineRule="exact"/>
              <w:rPr>
                <w:sz w:val="20"/>
                <w:szCs w:val="20"/>
                <w:color w:val="auto"/>
              </w:rPr>
            </w:pPr>
            <w:r>
              <w:rPr>
                <w:rFonts w:ascii="Arial" w:cs="Arial" w:eastAsia="Arial" w:hAnsi="Arial"/>
                <w:sz w:val="15"/>
                <w:szCs w:val="15"/>
                <w:color w:val="auto"/>
              </w:rPr>
              <w:t>Change of Control Transaction without Termination</w:t>
            </w:r>
          </w:p>
        </w:tc>
        <w:tc>
          <w:tcPr>
            <w:tcW w:w="1140" w:type="dxa"/>
            <w:vAlign w:val="bottom"/>
          </w:tcPr>
          <w:p>
            <w:pPr>
              <w:jc w:val="right"/>
              <w:ind w:right="9"/>
              <w:spacing w:after="0" w:line="167" w:lineRule="exact"/>
              <w:rPr>
                <w:sz w:val="20"/>
                <w:szCs w:val="20"/>
                <w:color w:val="auto"/>
              </w:rPr>
            </w:pPr>
            <w:r>
              <w:rPr>
                <w:rFonts w:ascii="Arial" w:cs="Arial" w:eastAsia="Arial" w:hAnsi="Arial"/>
                <w:sz w:val="15"/>
                <w:szCs w:val="15"/>
                <w:color w:val="auto"/>
              </w:rPr>
              <w:t>0</w:t>
            </w:r>
          </w:p>
        </w:tc>
        <w:tc>
          <w:tcPr>
            <w:tcW w:w="1360" w:type="dxa"/>
            <w:vAlign w:val="bottom"/>
          </w:tcPr>
          <w:p>
            <w:pPr>
              <w:jc w:val="right"/>
              <w:ind w:right="150"/>
              <w:spacing w:after="0" w:line="167" w:lineRule="exact"/>
              <w:rPr>
                <w:sz w:val="20"/>
                <w:szCs w:val="20"/>
                <w:color w:val="auto"/>
              </w:rPr>
            </w:pPr>
            <w:r>
              <w:rPr>
                <w:rFonts w:ascii="Arial" w:cs="Arial" w:eastAsia="Arial" w:hAnsi="Arial"/>
                <w:sz w:val="15"/>
                <w:szCs w:val="15"/>
                <w:color w:val="auto"/>
              </w:rPr>
              <w:t>0</w:t>
            </w:r>
          </w:p>
        </w:tc>
        <w:tc>
          <w:tcPr>
            <w:tcW w:w="1140" w:type="dxa"/>
            <w:vAlign w:val="bottom"/>
          </w:tcPr>
          <w:p>
            <w:pPr>
              <w:jc w:val="right"/>
              <w:ind w:right="130"/>
              <w:spacing w:after="0" w:line="167" w:lineRule="exact"/>
              <w:rPr>
                <w:sz w:val="20"/>
                <w:szCs w:val="20"/>
                <w:color w:val="auto"/>
              </w:rPr>
            </w:pPr>
            <w:r>
              <w:rPr>
                <w:rFonts w:ascii="Arial" w:cs="Arial" w:eastAsia="Arial" w:hAnsi="Arial"/>
                <w:sz w:val="15"/>
                <w:szCs w:val="15"/>
                <w:color w:val="auto"/>
              </w:rPr>
              <w:t>0</w:t>
            </w:r>
          </w:p>
        </w:tc>
        <w:tc>
          <w:tcPr>
            <w:tcW w:w="1060" w:type="dxa"/>
            <w:vAlign w:val="bottom"/>
          </w:tcPr>
          <w:p>
            <w:pPr>
              <w:jc w:val="right"/>
              <w:ind w:right="48"/>
              <w:spacing w:after="0" w:line="167"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25"/>
        </w:trPr>
        <w:tc>
          <w:tcPr>
            <w:tcW w:w="6740" w:type="dxa"/>
            <w:vAlign w:val="bottom"/>
            <w:shd w:val="clear" w:color="auto" w:fill="D8D8D8"/>
          </w:tcPr>
          <w:p>
            <w:pPr>
              <w:spacing w:after="0"/>
              <w:rPr>
                <w:sz w:val="20"/>
                <w:szCs w:val="20"/>
                <w:color w:val="auto"/>
              </w:rPr>
            </w:pPr>
            <w:r>
              <w:rPr>
                <w:rFonts w:ascii="Arial" w:cs="Arial" w:eastAsia="Arial" w:hAnsi="Arial"/>
                <w:sz w:val="15"/>
                <w:szCs w:val="15"/>
                <w:b w:val="1"/>
                <w:bCs w:val="1"/>
                <w:color w:val="auto"/>
              </w:rPr>
              <w:t>Mr. Gartland</w:t>
            </w:r>
          </w:p>
        </w:tc>
        <w:tc>
          <w:tcPr>
            <w:tcW w:w="1140" w:type="dxa"/>
            <w:vAlign w:val="bottom"/>
            <w:shd w:val="clear" w:color="auto" w:fill="D8D8D8"/>
          </w:tcPr>
          <w:p>
            <w:pPr>
              <w:spacing w:after="0"/>
              <w:rPr>
                <w:sz w:val="19"/>
                <w:szCs w:val="19"/>
                <w:color w:val="auto"/>
              </w:rPr>
            </w:pPr>
          </w:p>
        </w:tc>
        <w:tc>
          <w:tcPr>
            <w:tcW w:w="136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Resignation or Termination by Company for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due to Death or Disability</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740,337</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12,113,268</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12,853,604</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by Company without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2,800,000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10,587,979</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83,255</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13,471,234</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Change of Control Transaction and Termination by Company without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2,800,000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12,113,268</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83,255</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14,996,523</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Change of Control Transaction without Termination</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28"/>
        </w:trPr>
        <w:tc>
          <w:tcPr>
            <w:tcW w:w="6740" w:type="dxa"/>
            <w:vAlign w:val="bottom"/>
          </w:tcPr>
          <w:p>
            <w:pPr>
              <w:spacing w:after="0"/>
              <w:rPr>
                <w:sz w:val="20"/>
                <w:szCs w:val="20"/>
                <w:color w:val="auto"/>
              </w:rPr>
            </w:pPr>
            <w:r>
              <w:rPr>
                <w:rFonts w:ascii="Arial" w:cs="Arial" w:eastAsia="Arial" w:hAnsi="Arial"/>
                <w:sz w:val="15"/>
                <w:szCs w:val="15"/>
                <w:b w:val="1"/>
                <w:bCs w:val="1"/>
                <w:color w:val="auto"/>
              </w:rPr>
              <w:t>Mr. De Shon</w:t>
            </w: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Resignation or Termination by Company for Cause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Termination due to Death or Disability</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816,923</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12,113,268</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12,930,191</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Termination by Company without Cause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2,800,000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10,587,979</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90,905</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13,478,883</w:t>
            </w: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Change of Control Transaction and Termination by Company without Cause</w:t>
            </w:r>
          </w:p>
        </w:tc>
        <w:tc>
          <w:tcPr>
            <w:tcW w:w="1140" w:type="dxa"/>
            <w:vAlign w:val="bottom"/>
          </w:tcPr>
          <w:p>
            <w:pPr>
              <w:jc w:val="right"/>
              <w:ind w:right="9"/>
              <w:spacing w:after="0" w:line="169" w:lineRule="exact"/>
              <w:rPr>
                <w:sz w:val="20"/>
                <w:szCs w:val="20"/>
                <w:color w:val="auto"/>
              </w:rPr>
            </w:pPr>
            <w:r>
              <w:rPr>
                <w:rFonts w:ascii="Arial" w:cs="Arial" w:eastAsia="Arial" w:hAnsi="Arial"/>
                <w:sz w:val="15"/>
                <w:szCs w:val="15"/>
                <w:color w:val="auto"/>
              </w:rPr>
              <w:t>2,800,000</w:t>
            </w:r>
          </w:p>
        </w:tc>
        <w:tc>
          <w:tcPr>
            <w:tcW w:w="1360" w:type="dxa"/>
            <w:vAlign w:val="bottom"/>
          </w:tcPr>
          <w:p>
            <w:pPr>
              <w:jc w:val="right"/>
              <w:ind w:right="150"/>
              <w:spacing w:after="0" w:line="169" w:lineRule="exact"/>
              <w:rPr>
                <w:sz w:val="20"/>
                <w:szCs w:val="20"/>
                <w:color w:val="auto"/>
              </w:rPr>
            </w:pPr>
            <w:r>
              <w:rPr>
                <w:rFonts w:ascii="Arial" w:cs="Arial" w:eastAsia="Arial" w:hAnsi="Arial"/>
                <w:sz w:val="15"/>
                <w:szCs w:val="15"/>
                <w:color w:val="auto"/>
              </w:rPr>
              <w:t>12,113,268</w:t>
            </w:r>
          </w:p>
        </w:tc>
        <w:tc>
          <w:tcPr>
            <w:tcW w:w="1140" w:type="dxa"/>
            <w:vAlign w:val="bottom"/>
          </w:tcPr>
          <w:p>
            <w:pPr>
              <w:jc w:val="right"/>
              <w:ind w:right="130"/>
              <w:spacing w:after="0" w:line="169" w:lineRule="exact"/>
              <w:rPr>
                <w:sz w:val="20"/>
                <w:szCs w:val="20"/>
                <w:color w:val="auto"/>
              </w:rPr>
            </w:pPr>
            <w:r>
              <w:rPr>
                <w:rFonts w:ascii="Arial" w:cs="Arial" w:eastAsia="Arial" w:hAnsi="Arial"/>
                <w:sz w:val="15"/>
                <w:szCs w:val="15"/>
                <w:color w:val="auto"/>
              </w:rPr>
              <w:t>90,905</w:t>
            </w:r>
          </w:p>
        </w:tc>
        <w:tc>
          <w:tcPr>
            <w:tcW w:w="106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15,004,172</w:t>
            </w:r>
          </w:p>
        </w:tc>
        <w:tc>
          <w:tcPr>
            <w:tcW w:w="0" w:type="dxa"/>
            <w:vAlign w:val="bottom"/>
          </w:tcPr>
          <w:p>
            <w:pPr>
              <w:spacing w:after="0"/>
              <w:rPr>
                <w:sz w:val="1"/>
                <w:szCs w:val="1"/>
                <w:color w:val="auto"/>
              </w:rPr>
            </w:pPr>
          </w:p>
        </w:tc>
      </w:tr>
      <w:tr>
        <w:trPr>
          <w:trHeight w:val="166"/>
        </w:trPr>
        <w:tc>
          <w:tcPr>
            <w:tcW w:w="6740" w:type="dxa"/>
            <w:vAlign w:val="bottom"/>
          </w:tcPr>
          <w:p>
            <w:pPr>
              <w:spacing w:after="0" w:line="167" w:lineRule="exact"/>
              <w:rPr>
                <w:sz w:val="20"/>
                <w:szCs w:val="20"/>
                <w:color w:val="auto"/>
              </w:rPr>
            </w:pPr>
            <w:r>
              <w:rPr>
                <w:rFonts w:ascii="Arial" w:cs="Arial" w:eastAsia="Arial" w:hAnsi="Arial"/>
                <w:sz w:val="15"/>
                <w:szCs w:val="15"/>
                <w:color w:val="auto"/>
              </w:rPr>
              <w:t>Change of Control Transaction without Termination</w:t>
            </w:r>
          </w:p>
        </w:tc>
        <w:tc>
          <w:tcPr>
            <w:tcW w:w="1140" w:type="dxa"/>
            <w:vAlign w:val="bottom"/>
          </w:tcPr>
          <w:p>
            <w:pPr>
              <w:jc w:val="right"/>
              <w:ind w:right="9"/>
              <w:spacing w:after="0" w:line="167" w:lineRule="exact"/>
              <w:rPr>
                <w:sz w:val="20"/>
                <w:szCs w:val="20"/>
                <w:color w:val="auto"/>
              </w:rPr>
            </w:pPr>
            <w:r>
              <w:rPr>
                <w:rFonts w:ascii="Arial" w:cs="Arial" w:eastAsia="Arial" w:hAnsi="Arial"/>
                <w:sz w:val="15"/>
                <w:szCs w:val="15"/>
                <w:color w:val="auto"/>
              </w:rPr>
              <w:t>0</w:t>
            </w:r>
          </w:p>
        </w:tc>
        <w:tc>
          <w:tcPr>
            <w:tcW w:w="1360" w:type="dxa"/>
            <w:vAlign w:val="bottom"/>
          </w:tcPr>
          <w:p>
            <w:pPr>
              <w:jc w:val="right"/>
              <w:ind w:right="150"/>
              <w:spacing w:after="0" w:line="167" w:lineRule="exact"/>
              <w:rPr>
                <w:sz w:val="20"/>
                <w:szCs w:val="20"/>
                <w:color w:val="auto"/>
              </w:rPr>
            </w:pPr>
            <w:r>
              <w:rPr>
                <w:rFonts w:ascii="Arial" w:cs="Arial" w:eastAsia="Arial" w:hAnsi="Arial"/>
                <w:sz w:val="15"/>
                <w:szCs w:val="15"/>
                <w:color w:val="auto"/>
              </w:rPr>
              <w:t>0</w:t>
            </w:r>
          </w:p>
        </w:tc>
        <w:tc>
          <w:tcPr>
            <w:tcW w:w="1140" w:type="dxa"/>
            <w:vAlign w:val="bottom"/>
          </w:tcPr>
          <w:p>
            <w:pPr>
              <w:jc w:val="right"/>
              <w:ind w:right="130"/>
              <w:spacing w:after="0" w:line="167" w:lineRule="exact"/>
              <w:rPr>
                <w:sz w:val="20"/>
                <w:szCs w:val="20"/>
                <w:color w:val="auto"/>
              </w:rPr>
            </w:pPr>
            <w:r>
              <w:rPr>
                <w:rFonts w:ascii="Arial" w:cs="Arial" w:eastAsia="Arial" w:hAnsi="Arial"/>
                <w:sz w:val="15"/>
                <w:szCs w:val="15"/>
                <w:color w:val="auto"/>
              </w:rPr>
              <w:t>0</w:t>
            </w:r>
          </w:p>
        </w:tc>
        <w:tc>
          <w:tcPr>
            <w:tcW w:w="1060" w:type="dxa"/>
            <w:vAlign w:val="bottom"/>
          </w:tcPr>
          <w:p>
            <w:pPr>
              <w:jc w:val="right"/>
              <w:ind w:right="48"/>
              <w:spacing w:after="0" w:line="167"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25"/>
        </w:trPr>
        <w:tc>
          <w:tcPr>
            <w:tcW w:w="6740" w:type="dxa"/>
            <w:vAlign w:val="bottom"/>
            <w:shd w:val="clear" w:color="auto" w:fill="D8D8D8"/>
          </w:tcPr>
          <w:p>
            <w:pPr>
              <w:spacing w:after="0"/>
              <w:rPr>
                <w:sz w:val="20"/>
                <w:szCs w:val="20"/>
                <w:color w:val="auto"/>
              </w:rPr>
            </w:pPr>
            <w:r>
              <w:rPr>
                <w:rFonts w:ascii="Arial" w:cs="Arial" w:eastAsia="Arial" w:hAnsi="Arial"/>
                <w:sz w:val="15"/>
                <w:szCs w:val="15"/>
                <w:b w:val="1"/>
                <w:bCs w:val="1"/>
                <w:color w:val="auto"/>
              </w:rPr>
              <w:t>Mr. Siniscalchi</w:t>
            </w:r>
          </w:p>
        </w:tc>
        <w:tc>
          <w:tcPr>
            <w:tcW w:w="1140" w:type="dxa"/>
            <w:vAlign w:val="bottom"/>
            <w:shd w:val="clear" w:color="auto" w:fill="D8D8D8"/>
          </w:tcPr>
          <w:p>
            <w:pPr>
              <w:spacing w:after="0"/>
              <w:rPr>
                <w:sz w:val="19"/>
                <w:szCs w:val="19"/>
                <w:color w:val="auto"/>
              </w:rPr>
            </w:pPr>
          </w:p>
        </w:tc>
        <w:tc>
          <w:tcPr>
            <w:tcW w:w="136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Resignation or Termination by Company for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due to Death or Disability</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522,606</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8,063,830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8,586,436</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Termination by Company without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2,080,000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6,792,743</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70,871</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8,943,614</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Change of Control Transaction and Termination by Company without Cause</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2,080,000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8,063,830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70,871</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10,214,702</w:t>
            </w:r>
          </w:p>
        </w:tc>
        <w:tc>
          <w:tcPr>
            <w:tcW w:w="0" w:type="dxa"/>
            <w:vAlign w:val="bottom"/>
          </w:tcPr>
          <w:p>
            <w:pPr>
              <w:spacing w:after="0"/>
              <w:rPr>
                <w:sz w:val="1"/>
                <w:szCs w:val="1"/>
                <w:color w:val="auto"/>
              </w:rPr>
            </w:pPr>
          </w:p>
        </w:tc>
      </w:tr>
      <w:tr>
        <w:trPr>
          <w:trHeight w:val="169"/>
        </w:trPr>
        <w:tc>
          <w:tcPr>
            <w:tcW w:w="67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Change of Control Transaction without Termination</w:t>
            </w:r>
          </w:p>
        </w:tc>
        <w:tc>
          <w:tcPr>
            <w:tcW w:w="1140" w:type="dxa"/>
            <w:vAlign w:val="bottom"/>
            <w:shd w:val="clear" w:color="auto" w:fill="D8D8D8"/>
          </w:tcPr>
          <w:p>
            <w:pPr>
              <w:jc w:val="right"/>
              <w:ind w:right="9"/>
              <w:spacing w:after="0" w:line="169" w:lineRule="exact"/>
              <w:rPr>
                <w:sz w:val="20"/>
                <w:szCs w:val="20"/>
                <w:color w:val="auto"/>
              </w:rPr>
            </w:pPr>
            <w:r>
              <w:rPr>
                <w:rFonts w:ascii="Arial" w:cs="Arial" w:eastAsia="Arial" w:hAnsi="Arial"/>
                <w:sz w:val="15"/>
                <w:szCs w:val="15"/>
                <w:color w:val="auto"/>
              </w:rPr>
              <w:t>0</w:t>
            </w:r>
          </w:p>
        </w:tc>
        <w:tc>
          <w:tcPr>
            <w:tcW w:w="1360" w:type="dxa"/>
            <w:vAlign w:val="bottom"/>
            <w:shd w:val="clear" w:color="auto" w:fill="D8D8D8"/>
          </w:tcPr>
          <w:p>
            <w:pPr>
              <w:jc w:val="right"/>
              <w:ind w:right="150"/>
              <w:spacing w:after="0" w:line="169" w:lineRule="exact"/>
              <w:rPr>
                <w:sz w:val="20"/>
                <w:szCs w:val="20"/>
                <w:color w:val="auto"/>
              </w:rPr>
            </w:pPr>
            <w:r>
              <w:rPr>
                <w:rFonts w:ascii="Arial" w:cs="Arial" w:eastAsia="Arial" w:hAnsi="Arial"/>
                <w:sz w:val="15"/>
                <w:szCs w:val="15"/>
                <w:color w:val="auto"/>
              </w:rPr>
              <w:t>0</w:t>
            </w:r>
          </w:p>
        </w:tc>
        <w:tc>
          <w:tcPr>
            <w:tcW w:w="1140" w:type="dxa"/>
            <w:vAlign w:val="bottom"/>
            <w:shd w:val="clear" w:color="auto" w:fill="D8D8D8"/>
          </w:tcPr>
          <w:p>
            <w:pPr>
              <w:jc w:val="right"/>
              <w:ind w:right="130"/>
              <w:spacing w:after="0" w:line="169" w:lineRule="exact"/>
              <w:rPr>
                <w:sz w:val="20"/>
                <w:szCs w:val="20"/>
                <w:color w:val="auto"/>
              </w:rPr>
            </w:pPr>
            <w:r>
              <w:rPr>
                <w:rFonts w:ascii="Arial" w:cs="Arial" w:eastAsia="Arial" w:hAnsi="Arial"/>
                <w:sz w:val="15"/>
                <w:szCs w:val="15"/>
                <w:color w:val="auto"/>
              </w:rPr>
              <w:t>0</w:t>
            </w:r>
          </w:p>
        </w:tc>
        <w:tc>
          <w:tcPr>
            <w:tcW w:w="1060" w:type="dxa"/>
            <w:vAlign w:val="bottom"/>
            <w:shd w:val="clear" w:color="auto" w:fill="D8D8D8"/>
          </w:tcPr>
          <w:p>
            <w:pPr>
              <w:jc w:val="right"/>
              <w:ind w:right="48"/>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63"/>
        </w:numPr>
        <w:rPr>
          <w:rFonts w:ascii="Arial" w:cs="Arial" w:eastAsia="Arial" w:hAnsi="Arial"/>
          <w:sz w:val="11"/>
          <w:szCs w:val="11"/>
          <w:color w:val="auto"/>
        </w:rPr>
      </w:pPr>
      <w:r>
        <w:rPr>
          <w:rFonts w:ascii="Arial" w:cs="Arial" w:eastAsia="Arial" w:hAnsi="Arial"/>
          <w:sz w:val="11"/>
          <w:szCs w:val="11"/>
          <w:color w:val="auto"/>
        </w:rPr>
        <w:t>Descriptions of the terms “Cause” and “Constructive Discharge” are provided above under the section captioned “Employment Agreements and Other Arrangements—Certain Defined Terms.”</w:t>
      </w:r>
    </w:p>
    <w:p>
      <w:pPr>
        <w:ind w:left="330" w:right="220" w:hanging="330"/>
        <w:spacing w:after="0" w:line="248" w:lineRule="auto"/>
        <w:tabs>
          <w:tab w:leader="none" w:pos="330"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lump-sum severance payments, other than due to death or disability, were calculated based on each executive’s base salary and target annual incentive as of December 31, 2013 and multiplied by 299% or 200% as applicable. Severance due to death and disability is calculated based on target annual incentives for NEOs with employment agreements and based on actual annual incentives for NEOs with severance agreements.</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38 </w:t>
      </w:r>
      <w:r>
        <w:rPr>
          <w:sz w:val="1"/>
          <w:szCs w:val="1"/>
          <w:color w:val="auto"/>
        </w:rPr>
        <w:drawing>
          <wp:inline distT="0" distB="0" distL="0" distR="0">
            <wp:extent cx="857885" cy="1143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44" w:name="page45"/>
    <w:bookmarkEnd w:id="4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EXECUTIVE COMPENSATION</w:t>
      </w:r>
    </w:p>
    <w:p>
      <w:pPr>
        <w:spacing w:after="0" w:line="135" w:lineRule="exact"/>
        <w:rPr>
          <w:sz w:val="20"/>
          <w:szCs w:val="20"/>
          <w:color w:val="auto"/>
        </w:rPr>
      </w:pPr>
    </w:p>
    <w:p>
      <w:pPr>
        <w:ind w:left="330" w:right="20" w:hanging="330"/>
        <w:spacing w:after="0" w:line="234" w:lineRule="auto"/>
        <w:tabs>
          <w:tab w:leader="none" w:pos="33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values of stock-based awards were calculated assuming accelerated vesting as of December 31, 2013 and based on the closing price of our Common Stock of $40.42. The value for the restricted cash units awarded to Mr. Nelson in 2012 and 2013 was calculated using the average 90-trading day closing stock price ending on December 31, 2013 of $32.14. The value for all performance-based awards was calculated assuming target vesting. Descriptions of the accelerated vesting provisions are provided under “Employment Agreements and Other Arrangements.” Amounts for Messrs. Gartland, De Shon and Siniscalchi are reflective of changes to their severance arrangements with the Company, which were approved by the Committee in fourth quarter 2013.</w:t>
      </w:r>
    </w:p>
    <w:p>
      <w:pPr>
        <w:spacing w:after="0" w:line="2" w:lineRule="exact"/>
        <w:rPr>
          <w:rFonts w:ascii="Arial" w:cs="Arial" w:eastAsia="Arial" w:hAnsi="Arial"/>
          <w:sz w:val="11"/>
          <w:szCs w:val="11"/>
          <w:color w:val="auto"/>
        </w:rPr>
      </w:pPr>
    </w:p>
    <w:p>
      <w:pPr>
        <w:ind w:left="330" w:hanging="330"/>
        <w:spacing w:after="0" w:line="241" w:lineRule="auto"/>
        <w:tabs>
          <w:tab w:leader="none" w:pos="330" w:val="left"/>
        </w:tabs>
        <w:numPr>
          <w:ilvl w:val="0"/>
          <w:numId w:val="64"/>
        </w:numPr>
        <w:rPr>
          <w:rFonts w:ascii="Arial" w:cs="Arial" w:eastAsia="Arial" w:hAnsi="Arial"/>
          <w:sz w:val="11"/>
          <w:szCs w:val="11"/>
          <w:color w:val="auto"/>
        </w:rPr>
      </w:pPr>
      <w:r>
        <w:rPr>
          <w:rFonts w:ascii="Arial" w:cs="Arial" w:eastAsia="Arial" w:hAnsi="Arial"/>
          <w:sz w:val="11"/>
          <w:szCs w:val="11"/>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the other NEOs, reflects 24 months of continued health, dental and car benefits and financial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73025</wp:posOffset>
            </wp:positionV>
            <wp:extent cx="950595" cy="142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2"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39</w:t>
            </w:r>
          </w:p>
        </w:tc>
      </w:tr>
    </w:tbl>
    <w:p>
      <w:pPr>
        <w:sectPr>
          <w:pgSz w:w="11900" w:h="16838" w:orient="portrait"/>
          <w:cols w:equalWidth="0" w:num="1">
            <w:col w:w="11390"/>
          </w:cols>
          <w:pgMar w:left="230" w:top="407" w:right="2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2013 DIRECTOR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Non-employee directors are compensated for their service on the Board as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Compensation</w:t>
      </w:r>
    </w:p>
    <w:p>
      <w:pPr>
        <w:spacing w:after="0" w:line="93" w:lineRule="exact"/>
        <w:rPr>
          <w:sz w:val="20"/>
          <w:szCs w:val="20"/>
          <w:color w:val="auto"/>
        </w:rPr>
      </w:pPr>
    </w:p>
    <w:p>
      <w:pPr>
        <w:ind w:right="80"/>
        <w:spacing w:after="0"/>
        <w:rPr>
          <w:sz w:val="20"/>
          <w:szCs w:val="20"/>
          <w:color w:val="auto"/>
        </w:rPr>
      </w:pPr>
      <w:r>
        <w:rPr>
          <w:rFonts w:ascii="Arial" w:cs="Arial" w:eastAsia="Arial" w:hAnsi="Arial"/>
          <w:sz w:val="15"/>
          <w:szCs w:val="15"/>
          <w:color w:val="auto"/>
        </w:rPr>
        <w:t>For 2013, our directors received an annual director retainer of $180,000. To reflect their additional responsibilities, the Presiding Director and the chairs and members of each of the Audit, Compensation, Corporate Governance and Executive Committees, respectively, received additional annual retainers as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820" w:type="dxa"/>
            <w:vAlign w:val="bottom"/>
          </w:tcPr>
          <w:p>
            <w:pPr>
              <w:ind w:left="4660"/>
              <w:spacing w:after="0"/>
              <w:rPr>
                <w:sz w:val="20"/>
                <w:szCs w:val="20"/>
                <w:color w:val="auto"/>
              </w:rPr>
            </w:pPr>
            <w:r>
              <w:rPr>
                <w:rFonts w:ascii="Arial" w:cs="Arial" w:eastAsia="Arial" w:hAnsi="Arial"/>
                <w:sz w:val="11"/>
                <w:szCs w:val="11"/>
                <w:b w:val="1"/>
                <w:bCs w:val="1"/>
                <w:color w:val="auto"/>
              </w:rPr>
              <w:t>Annual Retainers</w:t>
            </w:r>
          </w:p>
        </w:tc>
        <w:tc>
          <w:tcPr>
            <w:tcW w:w="0" w:type="dxa"/>
            <w:vAlign w:val="bottom"/>
          </w:tcPr>
          <w:p>
            <w:pPr>
              <w:spacing w:after="0"/>
              <w:rPr>
                <w:sz w:val="1"/>
                <w:szCs w:val="1"/>
                <w:color w:val="auto"/>
              </w:rPr>
            </w:pPr>
          </w:p>
        </w:tc>
      </w:tr>
      <w:tr>
        <w:trPr>
          <w:trHeight w:val="138"/>
        </w:trPr>
        <w:tc>
          <w:tcPr>
            <w:tcW w:w="1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5820" w:type="dxa"/>
            <w:vAlign w:val="bottom"/>
            <w:tcBorders>
              <w:bottom w:val="single" w:sz="8" w:color="auto"/>
            </w:tcBorders>
          </w:tcPr>
          <w:p>
            <w:pPr>
              <w:ind w:left="506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0"/>
        </w:trPr>
        <w:tc>
          <w:tcPr>
            <w:tcW w:w="170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Presiding Director</w:t>
            </w:r>
          </w:p>
        </w:tc>
        <w:tc>
          <w:tcPr>
            <w:tcW w:w="20" w:type="dxa"/>
            <w:vAlign w:val="bottom"/>
            <w:shd w:val="clear" w:color="auto" w:fill="D8D8D8"/>
          </w:tcPr>
          <w:p>
            <w:pPr>
              <w:spacing w:after="0"/>
              <w:rPr>
                <w:sz w:val="13"/>
                <w:szCs w:val="13"/>
                <w:color w:val="auto"/>
              </w:rPr>
            </w:pPr>
          </w:p>
        </w:tc>
        <w:tc>
          <w:tcPr>
            <w:tcW w:w="3900" w:type="dxa"/>
            <w:vAlign w:val="bottom"/>
            <w:shd w:val="clear" w:color="auto" w:fill="D8D8D8"/>
          </w:tcPr>
          <w:p>
            <w:pPr>
              <w:spacing w:after="0"/>
              <w:rPr>
                <w:sz w:val="13"/>
                <w:szCs w:val="13"/>
                <w:color w:val="auto"/>
              </w:rPr>
            </w:pPr>
          </w:p>
        </w:tc>
        <w:tc>
          <w:tcPr>
            <w:tcW w:w="5820" w:type="dxa"/>
            <w:vAlign w:val="bottom"/>
            <w:shd w:val="clear" w:color="auto" w:fill="D8D8D8"/>
          </w:tcPr>
          <w:p>
            <w:pPr>
              <w:jc w:val="right"/>
              <w:ind w:right="147"/>
              <w:spacing w:after="0" w:line="160" w:lineRule="exact"/>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Audit Committee Chair</w:t>
            </w:r>
          </w:p>
        </w:tc>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20" w:type="dxa"/>
            <w:vAlign w:val="bottom"/>
          </w:tcPr>
          <w:p>
            <w:pPr>
              <w:jc w:val="right"/>
              <w:ind w:right="147"/>
              <w:spacing w:after="0" w:line="169" w:lineRule="exact"/>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69"/>
        </w:trPr>
        <w:tc>
          <w:tcPr>
            <w:tcW w:w="170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w w:val="98"/>
              </w:rPr>
              <w:t>Audit Committee Member</w:t>
            </w:r>
          </w:p>
        </w:tc>
        <w:tc>
          <w:tcPr>
            <w:tcW w:w="20" w:type="dxa"/>
            <w:vAlign w:val="bottom"/>
            <w:shd w:val="clear" w:color="auto" w:fill="D8D8D8"/>
          </w:tcPr>
          <w:p>
            <w:pPr>
              <w:spacing w:after="0"/>
              <w:rPr>
                <w:sz w:val="14"/>
                <w:szCs w:val="14"/>
                <w:color w:val="auto"/>
              </w:rPr>
            </w:pPr>
          </w:p>
        </w:tc>
        <w:tc>
          <w:tcPr>
            <w:tcW w:w="3900" w:type="dxa"/>
            <w:vAlign w:val="bottom"/>
            <w:shd w:val="clear" w:color="auto" w:fill="D8D8D8"/>
          </w:tcPr>
          <w:p>
            <w:pPr>
              <w:spacing w:after="0"/>
              <w:rPr>
                <w:sz w:val="14"/>
                <w:szCs w:val="14"/>
                <w:color w:val="auto"/>
              </w:rPr>
            </w:pPr>
          </w:p>
        </w:tc>
        <w:tc>
          <w:tcPr>
            <w:tcW w:w="5820" w:type="dxa"/>
            <w:vAlign w:val="bottom"/>
            <w:shd w:val="clear" w:color="auto" w:fill="D8D8D8"/>
          </w:tcPr>
          <w:p>
            <w:pPr>
              <w:jc w:val="right"/>
              <w:ind w:right="147"/>
              <w:spacing w:after="0" w:line="169" w:lineRule="exact"/>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Compensation Committee Chair</w:t>
            </w:r>
          </w:p>
        </w:tc>
        <w:tc>
          <w:tcPr>
            <w:tcW w:w="5820" w:type="dxa"/>
            <w:vAlign w:val="bottom"/>
          </w:tcPr>
          <w:p>
            <w:pPr>
              <w:jc w:val="right"/>
              <w:ind w:right="147"/>
              <w:spacing w:after="0" w:line="169" w:lineRule="exact"/>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169"/>
        </w:trPr>
        <w:tc>
          <w:tcPr>
            <w:tcW w:w="5620" w:type="dxa"/>
            <w:vAlign w:val="bottom"/>
            <w:gridSpan w:val="3"/>
            <w:shd w:val="clear" w:color="auto" w:fill="D8D8D8"/>
          </w:tcPr>
          <w:p>
            <w:pPr>
              <w:spacing w:after="0" w:line="169" w:lineRule="exact"/>
              <w:rPr>
                <w:sz w:val="20"/>
                <w:szCs w:val="20"/>
                <w:color w:val="auto"/>
              </w:rPr>
            </w:pPr>
            <w:r>
              <w:rPr>
                <w:rFonts w:ascii="Arial" w:cs="Arial" w:eastAsia="Arial" w:hAnsi="Arial"/>
                <w:sz w:val="15"/>
                <w:szCs w:val="15"/>
                <w:color w:val="auto"/>
              </w:rPr>
              <w:t>Compensation Committee Member</w:t>
            </w:r>
          </w:p>
        </w:tc>
        <w:tc>
          <w:tcPr>
            <w:tcW w:w="5820" w:type="dxa"/>
            <w:vAlign w:val="bottom"/>
            <w:shd w:val="clear" w:color="auto" w:fill="D8D8D8"/>
          </w:tcPr>
          <w:p>
            <w:pPr>
              <w:jc w:val="right"/>
              <w:ind w:right="147"/>
              <w:spacing w:after="0" w:line="169" w:lineRule="exact"/>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Corporate Governance Committee Chair</w:t>
            </w:r>
          </w:p>
        </w:tc>
        <w:tc>
          <w:tcPr>
            <w:tcW w:w="5820" w:type="dxa"/>
            <w:vAlign w:val="bottom"/>
          </w:tcPr>
          <w:p>
            <w:pPr>
              <w:jc w:val="right"/>
              <w:ind w:right="147"/>
              <w:spacing w:after="0" w:line="169" w:lineRule="exact"/>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69"/>
        </w:trPr>
        <w:tc>
          <w:tcPr>
            <w:tcW w:w="5620" w:type="dxa"/>
            <w:vAlign w:val="bottom"/>
            <w:gridSpan w:val="3"/>
            <w:shd w:val="clear" w:color="auto" w:fill="D8D8D8"/>
          </w:tcPr>
          <w:p>
            <w:pPr>
              <w:spacing w:after="0" w:line="169" w:lineRule="exact"/>
              <w:rPr>
                <w:sz w:val="20"/>
                <w:szCs w:val="20"/>
                <w:color w:val="auto"/>
              </w:rPr>
            </w:pPr>
            <w:r>
              <w:rPr>
                <w:rFonts w:ascii="Arial" w:cs="Arial" w:eastAsia="Arial" w:hAnsi="Arial"/>
                <w:sz w:val="15"/>
                <w:szCs w:val="15"/>
                <w:color w:val="auto"/>
              </w:rPr>
              <w:t>Corporate Governance Committee Member</w:t>
            </w:r>
          </w:p>
        </w:tc>
        <w:tc>
          <w:tcPr>
            <w:tcW w:w="5820" w:type="dxa"/>
            <w:vAlign w:val="bottom"/>
            <w:shd w:val="clear" w:color="auto" w:fill="D8D8D8"/>
          </w:tcPr>
          <w:p>
            <w:pPr>
              <w:jc w:val="right"/>
              <w:ind w:right="147"/>
              <w:spacing w:after="0" w:line="169" w:lineRule="exact"/>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69"/>
        </w:trPr>
        <w:tc>
          <w:tcPr>
            <w:tcW w:w="5620" w:type="dxa"/>
            <w:vAlign w:val="bottom"/>
            <w:tcBorders>
              <w:bottom w:val="single" w:sz="8" w:color="auto"/>
            </w:tcBorders>
            <w:gridSpan w:val="3"/>
          </w:tcPr>
          <w:p>
            <w:pPr>
              <w:spacing w:after="0" w:line="169" w:lineRule="exact"/>
              <w:rPr>
                <w:sz w:val="20"/>
                <w:szCs w:val="20"/>
                <w:color w:val="auto"/>
              </w:rPr>
            </w:pPr>
            <w:r>
              <w:rPr>
                <w:rFonts w:ascii="Arial" w:cs="Arial" w:eastAsia="Arial" w:hAnsi="Arial"/>
                <w:sz w:val="15"/>
                <w:szCs w:val="15"/>
                <w:color w:val="auto"/>
              </w:rPr>
              <w:t>Executive Committee Member</w:t>
            </w:r>
          </w:p>
        </w:tc>
        <w:tc>
          <w:tcPr>
            <w:tcW w:w="582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264"/>
        </w:trPr>
        <w:tc>
          <w:tcPr>
            <w:tcW w:w="5620" w:type="dxa"/>
            <w:vAlign w:val="bottom"/>
            <w:gridSpan w:val="3"/>
          </w:tcPr>
          <w:p>
            <w:pPr>
              <w:spacing w:after="0"/>
              <w:rPr>
                <w:sz w:val="20"/>
                <w:szCs w:val="20"/>
                <w:color w:val="auto"/>
              </w:rPr>
            </w:pPr>
            <w:r>
              <w:rPr>
                <w:rFonts w:ascii="Arial" w:cs="Arial" w:eastAsia="Arial" w:hAnsi="Arial"/>
                <w:sz w:val="15"/>
                <w:szCs w:val="15"/>
                <w:color w:val="auto"/>
              </w:rPr>
              <w:t>Director compensation is paid quarterly, 50% in cash and 50% in equity, subject to a</w:t>
            </w:r>
          </w:p>
        </w:tc>
        <w:tc>
          <w:tcPr>
            <w:tcW w:w="5820" w:type="dxa"/>
            <w:vAlign w:val="bottom"/>
          </w:tcPr>
          <w:p>
            <w:pPr>
              <w:ind w:left="220"/>
              <w:spacing w:after="0"/>
              <w:rPr>
                <w:sz w:val="20"/>
                <w:szCs w:val="20"/>
                <w:color w:val="auto"/>
              </w:rPr>
            </w:pPr>
            <w:r>
              <w:rPr>
                <w:rFonts w:ascii="Arial" w:cs="Arial" w:eastAsia="Arial" w:hAnsi="Arial"/>
                <w:sz w:val="15"/>
                <w:szCs w:val="15"/>
                <w:color w:val="auto"/>
              </w:rPr>
              <w:t>headquarters. Directors are eligible for matching of charitable contributions through</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cap of 7,500 shares per quarter (the “Stock Award Cap”). Under the Company’s</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w w:val="99"/>
              </w:rPr>
              <w:t>the Avis Budget Group Charitable Foundation. Directors are also eligible to purchase</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deferred compensation plan applicable to non-employee directors, a director may</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vehicles through the auto lease program we make available to our employees;</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elect to defer any or all of the cash portion of his or her compensation and direct</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however, such purchases do not result in an associated incremental cost to the</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such deferred amounts among a pre-selected group of investment options similar to</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Company.</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those available in the deferred compensation plan available to the NEOs. Directors</w:t>
            </w:r>
          </w:p>
        </w:tc>
        <w:tc>
          <w:tcPr>
            <w:tcW w:w="58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Stock Ownership Guidelines</w:t>
            </w:r>
          </w:p>
        </w:tc>
        <w:tc>
          <w:tcPr>
            <w:tcW w:w="0" w:type="dxa"/>
            <w:vAlign w:val="bottom"/>
          </w:tcPr>
          <w:p>
            <w:pPr>
              <w:spacing w:after="0"/>
              <w:rPr>
                <w:sz w:val="1"/>
                <w:szCs w:val="1"/>
                <w:color w:val="auto"/>
              </w:rPr>
            </w:pPr>
          </w:p>
        </w:tc>
      </w:tr>
      <w:tr>
        <w:trPr>
          <w:trHeight w:val="176"/>
        </w:trPr>
        <w:tc>
          <w:tcPr>
            <w:tcW w:w="5620" w:type="dxa"/>
            <w:vAlign w:val="bottom"/>
            <w:gridSpan w:val="3"/>
          </w:tcPr>
          <w:p>
            <w:pPr>
              <w:spacing w:after="0"/>
              <w:rPr>
                <w:sz w:val="20"/>
                <w:szCs w:val="20"/>
                <w:color w:val="auto"/>
              </w:rPr>
            </w:pPr>
            <w:r>
              <w:rPr>
                <w:rFonts w:ascii="Arial" w:cs="Arial" w:eastAsia="Arial" w:hAnsi="Arial"/>
                <w:sz w:val="15"/>
                <w:szCs w:val="15"/>
                <w:color w:val="auto"/>
              </w:rPr>
              <w:t>may also elect to receive up to 100% of their compensation in the form of equity.</w:t>
            </w:r>
          </w:p>
        </w:tc>
        <w:tc>
          <w:tcPr>
            <w:tcW w:w="5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gridSpan w:val="3"/>
          </w:tcPr>
          <w:p>
            <w:pPr>
              <w:spacing w:after="0"/>
              <w:rPr>
                <w:sz w:val="20"/>
                <w:szCs w:val="20"/>
                <w:color w:val="auto"/>
              </w:rPr>
            </w:pPr>
            <w:r>
              <w:rPr>
                <w:rFonts w:ascii="Arial" w:cs="Arial" w:eastAsia="Arial" w:hAnsi="Arial"/>
                <w:sz w:val="15"/>
                <w:szCs w:val="15"/>
                <w:color w:val="auto"/>
              </w:rPr>
              <w:t>Under the Company’s deferred compensation plan applicable to non-employee</w:t>
            </w:r>
          </w:p>
        </w:tc>
        <w:tc>
          <w:tcPr>
            <w:tcW w:w="5820" w:type="dxa"/>
            <w:vAlign w:val="bottom"/>
          </w:tcPr>
          <w:p>
            <w:pPr>
              <w:ind w:left="220"/>
              <w:spacing w:after="0"/>
              <w:rPr>
                <w:sz w:val="20"/>
                <w:szCs w:val="20"/>
                <w:color w:val="auto"/>
              </w:rPr>
            </w:pPr>
            <w:r>
              <w:rPr>
                <w:rFonts w:ascii="Arial" w:cs="Arial" w:eastAsia="Arial" w:hAnsi="Arial"/>
                <w:sz w:val="15"/>
                <w:szCs w:val="15"/>
                <w:color w:val="auto"/>
              </w:rPr>
              <w:t>Minimum stock ownership guidelines require each non-employee director to acquire</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directors, the equity portion of director compensation is automatically deferred into</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w w:val="99"/>
              </w:rPr>
              <w:t>and hold designated levels of our Company’s stock. Under such guidelines, our non-</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the form of deferred stock units. Such units convert on a one-on-one basis into the</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w w:val="99"/>
              </w:rPr>
              <w:t>employee directors are required to retain a minimum of 50% of the net shares (net of</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Company’s Common Stock upon termination of service, a change in control, or at a</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taxes) awarded in connection with their director compensation, until reaching an</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different time based on a director’s election. In lieu of the default treatment of the</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w w:val="98"/>
              </w:rPr>
              <w:t>ownership threshold of five times the annual cash retainer. Given the mandatory hold</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equity portion of the director compensation discussed above, directors may elect to</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provision until the threshold is obtained, there is no specified deadline for achieving</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receive the equity portion of their compensation in the form of the Company’s</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designated thresholds. For purposes of non-employee director stock ownership</w:t>
            </w:r>
          </w:p>
        </w:tc>
        <w:tc>
          <w:tcPr>
            <w:tcW w:w="0" w:type="dxa"/>
            <w:vAlign w:val="bottom"/>
          </w:tcPr>
          <w:p>
            <w:pPr>
              <w:spacing w:after="0"/>
              <w:rPr>
                <w:sz w:val="1"/>
                <w:szCs w:val="1"/>
                <w:color w:val="auto"/>
              </w:rPr>
            </w:pPr>
          </w:p>
        </w:tc>
      </w:tr>
      <w:tr>
        <w:trPr>
          <w:trHeight w:val="169"/>
        </w:trPr>
        <w:tc>
          <w:tcPr>
            <w:tcW w:w="5620" w:type="dxa"/>
            <w:vAlign w:val="bottom"/>
            <w:gridSpan w:val="3"/>
          </w:tcPr>
          <w:p>
            <w:pPr>
              <w:spacing w:after="0" w:line="169" w:lineRule="exact"/>
              <w:rPr>
                <w:sz w:val="20"/>
                <w:szCs w:val="20"/>
                <w:color w:val="auto"/>
              </w:rPr>
            </w:pPr>
            <w:r>
              <w:rPr>
                <w:rFonts w:ascii="Arial" w:cs="Arial" w:eastAsia="Arial" w:hAnsi="Arial"/>
                <w:sz w:val="15"/>
                <w:szCs w:val="15"/>
                <w:color w:val="auto"/>
              </w:rPr>
              <w:t>Common Stock on each quarterly payment date.</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w w:val="99"/>
              </w:rPr>
              <w:t>guidelines, stock ownership is defined to include stock owned by the director directly,</w:t>
            </w:r>
          </w:p>
        </w:tc>
        <w:tc>
          <w:tcPr>
            <w:tcW w:w="0" w:type="dxa"/>
            <w:vAlign w:val="bottom"/>
          </w:tcPr>
          <w:p>
            <w:pPr>
              <w:spacing w:after="0"/>
              <w:rPr>
                <w:sz w:val="1"/>
                <w:szCs w:val="1"/>
                <w:color w:val="auto"/>
              </w:rPr>
            </w:pPr>
          </w:p>
        </w:tc>
      </w:tr>
      <w:tr>
        <w:trPr>
          <w:trHeight w:val="169"/>
        </w:trPr>
        <w:tc>
          <w:tcPr>
            <w:tcW w:w="5620" w:type="dxa"/>
            <w:vAlign w:val="bottom"/>
            <w:gridSpan w:val="3"/>
            <w:vMerge w:val="restart"/>
          </w:tcPr>
          <w:p>
            <w:pPr>
              <w:spacing w:after="0"/>
              <w:rPr>
                <w:sz w:val="20"/>
                <w:szCs w:val="20"/>
                <w:color w:val="auto"/>
              </w:rPr>
            </w:pPr>
            <w:r>
              <w:rPr>
                <w:rFonts w:ascii="Arial" w:cs="Arial" w:eastAsia="Arial" w:hAnsi="Arial"/>
                <w:sz w:val="15"/>
                <w:szCs w:val="15"/>
                <w:color w:val="auto"/>
              </w:rPr>
              <w:t>Directors do not receive any meeting fees or any benefits such as life or medical</w:t>
            </w:r>
          </w:p>
        </w:tc>
        <w:tc>
          <w:tcPr>
            <w:tcW w:w="5820" w:type="dxa"/>
            <w:vAlign w:val="bottom"/>
          </w:tcPr>
          <w:p>
            <w:pPr>
              <w:ind w:left="220"/>
              <w:spacing w:after="0" w:line="169" w:lineRule="exact"/>
              <w:rPr>
                <w:sz w:val="20"/>
                <w:szCs w:val="20"/>
                <w:color w:val="auto"/>
              </w:rPr>
            </w:pPr>
            <w:r>
              <w:rPr>
                <w:rFonts w:ascii="Arial" w:cs="Arial" w:eastAsia="Arial" w:hAnsi="Arial"/>
                <w:sz w:val="15"/>
                <w:szCs w:val="15"/>
                <w:color w:val="auto"/>
              </w:rPr>
              <w:t>stock owned indirectly through the Company’s deferred compensation plan</w:t>
            </w:r>
          </w:p>
        </w:tc>
        <w:tc>
          <w:tcPr>
            <w:tcW w:w="0" w:type="dxa"/>
            <w:vAlign w:val="bottom"/>
          </w:tcPr>
          <w:p>
            <w:pPr>
              <w:spacing w:after="0"/>
              <w:rPr>
                <w:sz w:val="1"/>
                <w:szCs w:val="1"/>
                <w:color w:val="auto"/>
              </w:rPr>
            </w:pPr>
          </w:p>
        </w:tc>
      </w:tr>
      <w:tr>
        <w:trPr>
          <w:trHeight w:val="68"/>
        </w:trPr>
        <w:tc>
          <w:tcPr>
            <w:tcW w:w="5620" w:type="dxa"/>
            <w:vAlign w:val="bottom"/>
            <w:gridSpan w:val="3"/>
            <w:vMerge w:val="continue"/>
          </w:tcPr>
          <w:p>
            <w:pPr>
              <w:spacing w:after="0"/>
              <w:rPr>
                <w:sz w:val="5"/>
                <w:szCs w:val="5"/>
                <w:color w:val="auto"/>
              </w:rPr>
            </w:pPr>
          </w:p>
        </w:tc>
        <w:tc>
          <w:tcPr>
            <w:tcW w:w="5820" w:type="dxa"/>
            <w:vAlign w:val="bottom"/>
            <w:vMerge w:val="restart"/>
          </w:tcPr>
          <w:p>
            <w:pPr>
              <w:ind w:left="220"/>
              <w:spacing w:after="0" w:line="169" w:lineRule="exact"/>
              <w:rPr>
                <w:sz w:val="20"/>
                <w:szCs w:val="20"/>
                <w:color w:val="auto"/>
              </w:rPr>
            </w:pPr>
            <w:r>
              <w:rPr>
                <w:rFonts w:ascii="Arial" w:cs="Arial" w:eastAsia="Arial" w:hAnsi="Arial"/>
                <w:sz w:val="15"/>
                <w:szCs w:val="15"/>
                <w:color w:val="auto"/>
                <w:w w:val="99"/>
              </w:rPr>
              <w:t>applicable to non-employee directors, and the “in-the-money” portion of vested stock</w:t>
            </w:r>
          </w:p>
        </w:tc>
        <w:tc>
          <w:tcPr>
            <w:tcW w:w="0" w:type="dxa"/>
            <w:vAlign w:val="bottom"/>
          </w:tcPr>
          <w:p>
            <w:pPr>
              <w:spacing w:after="0"/>
              <w:rPr>
                <w:sz w:val="1"/>
                <w:szCs w:val="1"/>
                <w:color w:val="auto"/>
              </w:rPr>
            </w:pPr>
          </w:p>
        </w:tc>
      </w:tr>
      <w:tr>
        <w:trPr>
          <w:trHeight w:val="101"/>
        </w:trPr>
        <w:tc>
          <w:tcPr>
            <w:tcW w:w="5620" w:type="dxa"/>
            <w:vAlign w:val="bottom"/>
            <w:gridSpan w:val="3"/>
            <w:vMerge w:val="restart"/>
          </w:tcPr>
          <w:p>
            <w:pPr>
              <w:spacing w:after="0" w:line="169" w:lineRule="exact"/>
              <w:rPr>
                <w:sz w:val="20"/>
                <w:szCs w:val="20"/>
                <w:color w:val="auto"/>
              </w:rPr>
            </w:pPr>
            <w:r>
              <w:rPr>
                <w:rFonts w:ascii="Arial" w:cs="Arial" w:eastAsia="Arial" w:hAnsi="Arial"/>
                <w:sz w:val="15"/>
                <w:szCs w:val="15"/>
                <w:color w:val="auto"/>
              </w:rPr>
              <w:t>insurance. Members of the Board who are also officers or employees of our</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20" w:type="dxa"/>
            <w:vAlign w:val="bottom"/>
            <w:gridSpan w:val="3"/>
            <w:vMerge w:val="continue"/>
          </w:tcPr>
          <w:p>
            <w:pPr>
              <w:spacing w:after="0"/>
              <w:rPr>
                <w:sz w:val="5"/>
                <w:szCs w:val="5"/>
                <w:color w:val="auto"/>
              </w:rPr>
            </w:pPr>
          </w:p>
        </w:tc>
        <w:tc>
          <w:tcPr>
            <w:tcW w:w="5820" w:type="dxa"/>
            <w:vAlign w:val="bottom"/>
            <w:vMerge w:val="restart"/>
          </w:tcPr>
          <w:p>
            <w:pPr>
              <w:ind w:left="220"/>
              <w:spacing w:after="0" w:line="169" w:lineRule="exact"/>
              <w:rPr>
                <w:sz w:val="20"/>
                <w:szCs w:val="20"/>
                <w:color w:val="auto"/>
              </w:rPr>
            </w:pPr>
            <w:r>
              <w:rPr>
                <w:rFonts w:ascii="Arial" w:cs="Arial" w:eastAsia="Arial" w:hAnsi="Arial"/>
                <w:sz w:val="15"/>
                <w:szCs w:val="15"/>
                <w:color w:val="auto"/>
              </w:rPr>
              <w:t>options. All directors with more than one year of Board service have exceeded such</w:t>
            </w:r>
          </w:p>
        </w:tc>
        <w:tc>
          <w:tcPr>
            <w:tcW w:w="0" w:type="dxa"/>
            <w:vAlign w:val="bottom"/>
          </w:tcPr>
          <w:p>
            <w:pPr>
              <w:spacing w:after="0"/>
              <w:rPr>
                <w:sz w:val="1"/>
                <w:szCs w:val="1"/>
                <w:color w:val="auto"/>
              </w:rPr>
            </w:pPr>
          </w:p>
        </w:tc>
      </w:tr>
      <w:tr>
        <w:trPr>
          <w:trHeight w:val="101"/>
        </w:trPr>
        <w:tc>
          <w:tcPr>
            <w:tcW w:w="5620" w:type="dxa"/>
            <w:vAlign w:val="bottom"/>
            <w:gridSpan w:val="3"/>
            <w:vMerge w:val="restart"/>
          </w:tcPr>
          <w:p>
            <w:pPr>
              <w:spacing w:after="0" w:line="169" w:lineRule="exact"/>
              <w:rPr>
                <w:sz w:val="20"/>
                <w:szCs w:val="20"/>
                <w:color w:val="auto"/>
              </w:rPr>
            </w:pPr>
            <w:r>
              <w:rPr>
                <w:rFonts w:ascii="Arial" w:cs="Arial" w:eastAsia="Arial" w:hAnsi="Arial"/>
                <w:sz w:val="15"/>
                <w:szCs w:val="15"/>
                <w:color w:val="auto"/>
              </w:rPr>
              <w:t>Company do not receive compensation for serving as directors, other than</w:t>
            </w:r>
          </w:p>
        </w:tc>
        <w:tc>
          <w:tcPr>
            <w:tcW w:w="5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20" w:type="dxa"/>
            <w:vAlign w:val="bottom"/>
            <w:gridSpan w:val="3"/>
            <w:vMerge w:val="continue"/>
          </w:tcPr>
          <w:p>
            <w:pPr>
              <w:spacing w:after="0"/>
              <w:rPr>
                <w:sz w:val="5"/>
                <w:szCs w:val="5"/>
                <w:color w:val="auto"/>
              </w:rPr>
            </w:pPr>
          </w:p>
        </w:tc>
        <w:tc>
          <w:tcPr>
            <w:tcW w:w="5820" w:type="dxa"/>
            <w:vAlign w:val="bottom"/>
            <w:vMerge w:val="restart"/>
          </w:tcPr>
          <w:p>
            <w:pPr>
              <w:ind w:left="220"/>
              <w:spacing w:after="0"/>
              <w:rPr>
                <w:sz w:val="20"/>
                <w:szCs w:val="20"/>
                <w:color w:val="auto"/>
              </w:rPr>
            </w:pPr>
            <w:r>
              <w:rPr>
                <w:rFonts w:ascii="Arial" w:cs="Arial" w:eastAsia="Arial" w:hAnsi="Arial"/>
                <w:sz w:val="15"/>
                <w:szCs w:val="15"/>
                <w:color w:val="auto"/>
              </w:rPr>
              <w:t>minimum ownership threshold.</w:t>
            </w:r>
          </w:p>
        </w:tc>
        <w:tc>
          <w:tcPr>
            <w:tcW w:w="0" w:type="dxa"/>
            <w:vAlign w:val="bottom"/>
          </w:tcPr>
          <w:p>
            <w:pPr>
              <w:spacing w:after="0"/>
              <w:rPr>
                <w:sz w:val="1"/>
                <w:szCs w:val="1"/>
                <w:color w:val="auto"/>
              </w:rPr>
            </w:pPr>
          </w:p>
        </w:tc>
      </w:tr>
      <w:tr>
        <w:trPr>
          <w:trHeight w:val="109"/>
        </w:trPr>
        <w:tc>
          <w:tcPr>
            <w:tcW w:w="5620" w:type="dxa"/>
            <w:vAlign w:val="bottom"/>
            <w:gridSpan w:val="3"/>
            <w:vMerge w:val="restart"/>
          </w:tcPr>
          <w:p>
            <w:pPr>
              <w:spacing w:after="0"/>
              <w:rPr>
                <w:sz w:val="20"/>
                <w:szCs w:val="20"/>
                <w:color w:val="auto"/>
              </w:rPr>
            </w:pPr>
            <w:r>
              <w:rPr>
                <w:rFonts w:ascii="Arial" w:cs="Arial" w:eastAsia="Arial" w:hAnsi="Arial"/>
                <w:sz w:val="15"/>
                <w:szCs w:val="15"/>
                <w:color w:val="auto"/>
              </w:rPr>
              <w:t>reimbursement of travel-related expenses for meetings held outside the Company’s</w:t>
            </w:r>
          </w:p>
        </w:tc>
        <w:tc>
          <w:tcPr>
            <w:tcW w:w="5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620" w:type="dxa"/>
            <w:vAlign w:val="bottom"/>
            <w:gridSpan w:val="3"/>
            <w:vMerge w:val="continue"/>
          </w:tcPr>
          <w:p>
            <w:pPr>
              <w:spacing w:after="0"/>
              <w:rPr>
                <w:sz w:val="5"/>
                <w:szCs w:val="5"/>
                <w:color w:val="auto"/>
              </w:rPr>
            </w:pPr>
          </w:p>
        </w:tc>
        <w:tc>
          <w:tcPr>
            <w:tcW w:w="5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00" w:type="dxa"/>
            <w:vAlign w:val="bottom"/>
            <w:vMerge w:val="restart"/>
          </w:tcPr>
          <w:p>
            <w:pPr>
              <w:spacing w:after="0"/>
              <w:rPr>
                <w:sz w:val="20"/>
                <w:szCs w:val="20"/>
                <w:color w:val="auto"/>
              </w:rPr>
            </w:pPr>
            <w:r>
              <w:rPr>
                <w:rFonts w:ascii="Arial" w:cs="Arial" w:eastAsia="Arial" w:hAnsi="Arial"/>
                <w:sz w:val="15"/>
                <w:szCs w:val="15"/>
                <w:b w:val="1"/>
                <w:bCs w:val="1"/>
                <w:color w:val="auto"/>
              </w:rPr>
              <w:t>40</w:t>
            </w:r>
          </w:p>
        </w:tc>
        <w:tc>
          <w:tcPr>
            <w:tcW w:w="20" w:type="dxa"/>
            <w:vAlign w:val="bottom"/>
          </w:tcPr>
          <w:p>
            <w:pPr>
              <w:spacing w:after="0"/>
              <w:rPr>
                <w:sz w:val="17"/>
                <w:szCs w:val="17"/>
                <w:color w:val="auto"/>
              </w:rPr>
            </w:pPr>
          </w:p>
        </w:tc>
        <w:tc>
          <w:tcPr>
            <w:tcW w:w="3900" w:type="dxa"/>
            <w:vAlign w:val="bottom"/>
            <w:vMerge w:val="restart"/>
          </w:tcPr>
          <w:p>
            <w:pPr>
              <w:ind w:left="120"/>
              <w:spacing w:after="0"/>
              <w:rPr>
                <w:sz w:val="20"/>
                <w:szCs w:val="20"/>
                <w:color w:val="auto"/>
              </w:rPr>
            </w:pPr>
            <w:r>
              <w:rPr>
                <w:rFonts w:ascii="Arial" w:cs="Arial" w:eastAsia="Arial" w:hAnsi="Arial"/>
                <w:sz w:val="15"/>
                <w:szCs w:val="15"/>
                <w:i w:val="1"/>
                <w:iCs w:val="1"/>
                <w:color w:val="auto"/>
              </w:rPr>
              <w:t>2014 Proxy Statement</w:t>
            </w: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900" w:type="dxa"/>
            <w:vAlign w:val="bottom"/>
            <w:vMerge w:val="continue"/>
          </w:tcPr>
          <w:p>
            <w:pPr>
              <w:spacing w:after="0"/>
              <w:rPr>
                <w:sz w:val="17"/>
                <w:szCs w:val="17"/>
                <w:color w:val="auto"/>
              </w:rPr>
            </w:pP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-142240</wp:posOffset>
            </wp:positionV>
            <wp:extent cx="857885" cy="114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46" w:name="page47"/>
    <w:bookmarkEnd w:id="46"/>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9570"/>
        <w:spacing w:after="0"/>
        <w:rPr>
          <w:sz w:val="20"/>
          <w:szCs w:val="20"/>
          <w:color w:val="auto"/>
        </w:rPr>
      </w:pPr>
      <w:r>
        <w:rPr>
          <w:rFonts w:ascii="Arial" w:cs="Arial" w:eastAsia="Arial" w:hAnsi="Arial"/>
          <w:sz w:val="11"/>
          <w:szCs w:val="11"/>
          <w:b w:val="1"/>
          <w:bCs w:val="1"/>
          <w:color w:val="FFFFFF"/>
          <w:highlight w:val="black"/>
        </w:rPr>
        <w:t>2013 DIRECTOR COMPENSATION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2013 Director Compensation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Change in Pension</w:t>
            </w: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Value and</w:t>
            </w: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Nonqualified</w:t>
            </w:r>
          </w:p>
        </w:tc>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Deferred</w:t>
            </w:r>
          </w:p>
        </w:tc>
        <w:tc>
          <w:tcPr>
            <w:tcW w:w="1420" w:type="dxa"/>
            <w:vAlign w:val="bottom"/>
            <w:vMerge w:val="restart"/>
          </w:tcPr>
          <w:p>
            <w:pPr>
              <w:jc w:val="right"/>
              <w:ind w:right="431"/>
              <w:spacing w:after="0"/>
              <w:rPr>
                <w:sz w:val="20"/>
                <w:szCs w:val="20"/>
                <w:color w:val="auto"/>
              </w:rPr>
            </w:pPr>
            <w:r>
              <w:rPr>
                <w:rFonts w:ascii="Arial" w:cs="Arial" w:eastAsia="Arial" w:hAnsi="Arial"/>
                <w:sz w:val="11"/>
                <w:szCs w:val="11"/>
                <w:b w:val="1"/>
                <w:bCs w:val="1"/>
                <w:color w:val="auto"/>
              </w:rPr>
              <w:t>All Other</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2860" w:type="dxa"/>
            <w:vAlign w:val="bottom"/>
          </w:tcPr>
          <w:p>
            <w:pPr>
              <w:jc w:val="center"/>
              <w:ind w:left="1311"/>
              <w:spacing w:after="0" w:line="116" w:lineRule="exact"/>
              <w:rPr>
                <w:sz w:val="20"/>
                <w:szCs w:val="20"/>
                <w:color w:val="auto"/>
              </w:rPr>
            </w:pPr>
            <w:r>
              <w:rPr>
                <w:rFonts w:ascii="Arial" w:cs="Arial" w:eastAsia="Arial" w:hAnsi="Arial"/>
                <w:sz w:val="11"/>
                <w:szCs w:val="11"/>
                <w:b w:val="1"/>
                <w:bCs w:val="1"/>
                <w:color w:val="auto"/>
              </w:rPr>
              <w:t>Fees Earned or</w:t>
            </w:r>
          </w:p>
        </w:tc>
        <w:tc>
          <w:tcPr>
            <w:tcW w:w="1420" w:type="dxa"/>
            <w:vAlign w:val="bottom"/>
          </w:tcPr>
          <w:p>
            <w:pPr>
              <w:spacing w:after="0"/>
              <w:rPr>
                <w:sz w:val="10"/>
                <w:szCs w:val="10"/>
                <w:color w:val="auto"/>
              </w:rPr>
            </w:pPr>
          </w:p>
        </w:tc>
        <w:tc>
          <w:tcPr>
            <w:tcW w:w="164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Compensation</w:t>
            </w:r>
          </w:p>
        </w:tc>
        <w:tc>
          <w:tcPr>
            <w:tcW w:w="14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Pr>
          <w:p>
            <w:pPr>
              <w:spacing w:after="0"/>
              <w:rPr>
                <w:sz w:val="10"/>
                <w:szCs w:val="10"/>
                <w:color w:val="auto"/>
              </w:rPr>
            </w:pPr>
          </w:p>
        </w:tc>
        <w:tc>
          <w:tcPr>
            <w:tcW w:w="2860" w:type="dxa"/>
            <w:vAlign w:val="bottom"/>
          </w:tcPr>
          <w:p>
            <w:pPr>
              <w:jc w:val="center"/>
              <w:ind w:left="1311"/>
              <w:spacing w:after="0" w:line="124" w:lineRule="exact"/>
              <w:rPr>
                <w:sz w:val="20"/>
                <w:szCs w:val="20"/>
                <w:color w:val="auto"/>
              </w:rPr>
            </w:pPr>
            <w:r>
              <w:rPr>
                <w:rFonts w:ascii="Arial" w:cs="Arial" w:eastAsia="Arial" w:hAnsi="Arial"/>
                <w:sz w:val="11"/>
                <w:szCs w:val="11"/>
                <w:b w:val="1"/>
                <w:bCs w:val="1"/>
                <w:color w:val="auto"/>
              </w:rPr>
              <w:t>Paid In Cash</w:t>
            </w:r>
          </w:p>
        </w:tc>
        <w:tc>
          <w:tcPr>
            <w:tcW w:w="1420" w:type="dxa"/>
            <w:vAlign w:val="bottom"/>
          </w:tcPr>
          <w:p>
            <w:pPr>
              <w:jc w:val="right"/>
              <w:ind w:right="270"/>
              <w:spacing w:after="0" w:line="124" w:lineRule="exact"/>
              <w:rPr>
                <w:sz w:val="20"/>
                <w:szCs w:val="20"/>
                <w:color w:val="auto"/>
              </w:rPr>
            </w:pPr>
            <w:r>
              <w:rPr>
                <w:rFonts w:ascii="Arial" w:cs="Arial" w:eastAsia="Arial" w:hAnsi="Arial"/>
                <w:sz w:val="11"/>
                <w:szCs w:val="11"/>
                <w:b w:val="1"/>
                <w:bCs w:val="1"/>
                <w:color w:val="auto"/>
              </w:rPr>
              <w:t>Stock Awards</w:t>
            </w:r>
          </w:p>
        </w:tc>
        <w:tc>
          <w:tcPr>
            <w:tcW w:w="1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Earnings</w:t>
            </w:r>
          </w:p>
        </w:tc>
        <w:tc>
          <w:tcPr>
            <w:tcW w:w="1420" w:type="dxa"/>
            <w:vAlign w:val="bottom"/>
          </w:tcPr>
          <w:p>
            <w:pPr>
              <w:jc w:val="right"/>
              <w:ind w:right="291"/>
              <w:spacing w:after="0" w:line="124" w:lineRule="exact"/>
              <w:rPr>
                <w:sz w:val="20"/>
                <w:szCs w:val="20"/>
                <w:color w:val="auto"/>
              </w:rPr>
            </w:pPr>
            <w:r>
              <w:rPr>
                <w:rFonts w:ascii="Arial" w:cs="Arial" w:eastAsia="Arial" w:hAnsi="Arial"/>
                <w:sz w:val="11"/>
                <w:szCs w:val="11"/>
                <w:b w:val="1"/>
                <w:bCs w:val="1"/>
                <w:color w:val="auto"/>
              </w:rPr>
              <w:t>Compensation</w:t>
            </w:r>
          </w:p>
        </w:tc>
        <w:tc>
          <w:tcPr>
            <w:tcW w:w="980" w:type="dxa"/>
            <w:vAlign w:val="bottom"/>
          </w:tcPr>
          <w:p>
            <w:pPr>
              <w:jc w:val="right"/>
              <w:ind w:right="170"/>
              <w:spacing w:after="0" w:line="124"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Director</w:t>
            </w:r>
          </w:p>
        </w:tc>
        <w:tc>
          <w:tcPr>
            <w:tcW w:w="2860" w:type="dxa"/>
            <w:vAlign w:val="bottom"/>
            <w:tcBorders>
              <w:bottom w:val="single" w:sz="8" w:color="auto"/>
            </w:tcBorders>
          </w:tcPr>
          <w:p>
            <w:pPr>
              <w:jc w:val="center"/>
              <w:ind w:left="1331"/>
              <w:spacing w:after="0"/>
              <w:rPr>
                <w:sz w:val="20"/>
                <w:szCs w:val="20"/>
                <w:color w:val="auto"/>
              </w:rPr>
            </w:pPr>
            <w:r>
              <w:rPr>
                <w:rFonts w:ascii="Arial" w:cs="Arial" w:eastAsia="Arial" w:hAnsi="Arial"/>
                <w:sz w:val="11"/>
                <w:szCs w:val="11"/>
                <w:b w:val="1"/>
                <w:bCs w:val="1"/>
                <w:color w:val="auto"/>
              </w:rPr>
              <w:t>($)(a)(d)</w:t>
            </w: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($)(b)</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($)(d)</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0"/>
        </w:trPr>
        <w:tc>
          <w:tcPr>
            <w:tcW w:w="312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Cathcart, Alun (e)</w:t>
            </w:r>
          </w:p>
        </w:tc>
        <w:tc>
          <w:tcPr>
            <w:tcW w:w="2860" w:type="dxa"/>
            <w:vAlign w:val="bottom"/>
            <w:shd w:val="clear" w:color="auto" w:fill="D8D8D8"/>
          </w:tcPr>
          <w:p>
            <w:pPr>
              <w:jc w:val="right"/>
              <w:ind w:right="251"/>
              <w:spacing w:after="0" w:line="160" w:lineRule="exact"/>
              <w:rPr>
                <w:sz w:val="20"/>
                <w:szCs w:val="20"/>
                <w:color w:val="auto"/>
              </w:rPr>
            </w:pPr>
            <w:r>
              <w:rPr>
                <w:rFonts w:ascii="Arial" w:cs="Arial" w:eastAsia="Arial" w:hAnsi="Arial"/>
                <w:sz w:val="15"/>
                <w:szCs w:val="15"/>
                <w:color w:val="auto"/>
              </w:rPr>
              <w:t>90,000</w:t>
            </w:r>
          </w:p>
        </w:tc>
        <w:tc>
          <w:tcPr>
            <w:tcW w:w="1420" w:type="dxa"/>
            <w:vAlign w:val="bottom"/>
            <w:shd w:val="clear" w:color="auto" w:fill="D8D8D8"/>
          </w:tcPr>
          <w:p>
            <w:pPr>
              <w:jc w:val="right"/>
              <w:ind w:right="270"/>
              <w:spacing w:after="0" w:line="160" w:lineRule="exact"/>
              <w:rPr>
                <w:sz w:val="20"/>
                <w:szCs w:val="20"/>
                <w:color w:val="auto"/>
              </w:rPr>
            </w:pPr>
            <w:r>
              <w:rPr>
                <w:rFonts w:ascii="Arial" w:cs="Arial" w:eastAsia="Arial" w:hAnsi="Arial"/>
                <w:sz w:val="15"/>
                <w:szCs w:val="15"/>
                <w:color w:val="auto"/>
              </w:rPr>
              <w:t>89,987</w:t>
            </w:r>
          </w:p>
        </w:tc>
        <w:tc>
          <w:tcPr>
            <w:tcW w:w="1640" w:type="dxa"/>
            <w:vAlign w:val="bottom"/>
            <w:shd w:val="clear" w:color="auto" w:fill="D8D8D8"/>
          </w:tcPr>
          <w:p>
            <w:pPr>
              <w:jc w:val="center"/>
              <w:spacing w:after="0" w:line="160" w:lineRule="exact"/>
              <w:rPr>
                <w:sz w:val="20"/>
                <w:szCs w:val="20"/>
                <w:color w:val="auto"/>
              </w:rPr>
            </w:pPr>
            <w:r>
              <w:rPr>
                <w:rFonts w:ascii="Arial" w:cs="Arial" w:eastAsia="Arial" w:hAnsi="Arial"/>
                <w:sz w:val="15"/>
                <w:szCs w:val="15"/>
                <w:color w:val="auto"/>
                <w:w w:val="93"/>
              </w:rPr>
              <w:t>—</w:t>
            </w:r>
          </w:p>
        </w:tc>
        <w:tc>
          <w:tcPr>
            <w:tcW w:w="1420" w:type="dxa"/>
            <w:vAlign w:val="bottom"/>
            <w:shd w:val="clear" w:color="auto" w:fill="D8D8D8"/>
          </w:tcPr>
          <w:p>
            <w:pPr>
              <w:jc w:val="right"/>
              <w:ind w:right="291"/>
              <w:spacing w:after="0" w:line="160" w:lineRule="exact"/>
              <w:rPr>
                <w:sz w:val="20"/>
                <w:szCs w:val="20"/>
                <w:color w:val="auto"/>
              </w:rPr>
            </w:pPr>
            <w:r>
              <w:rPr>
                <w:rFonts w:ascii="Arial" w:cs="Arial" w:eastAsia="Arial" w:hAnsi="Arial"/>
                <w:sz w:val="15"/>
                <w:szCs w:val="15"/>
                <w:color w:val="auto"/>
              </w:rPr>
              <w:t>5,000</w:t>
            </w:r>
          </w:p>
        </w:tc>
        <w:tc>
          <w:tcPr>
            <w:tcW w:w="980" w:type="dxa"/>
            <w:vAlign w:val="bottom"/>
            <w:shd w:val="clear" w:color="auto" w:fill="D8D8D8"/>
          </w:tcPr>
          <w:p>
            <w:pPr>
              <w:jc w:val="right"/>
              <w:ind w:right="30"/>
              <w:spacing w:after="0" w:line="160" w:lineRule="exact"/>
              <w:rPr>
                <w:sz w:val="20"/>
                <w:szCs w:val="20"/>
                <w:color w:val="auto"/>
              </w:rPr>
            </w:pPr>
            <w:r>
              <w:rPr>
                <w:rFonts w:ascii="Arial" w:cs="Arial" w:eastAsia="Arial" w:hAnsi="Arial"/>
                <w:sz w:val="15"/>
                <w:szCs w:val="15"/>
                <w:color w:val="auto"/>
              </w:rPr>
              <w:t>184,987</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Choksi, Mary C.</w:t>
            </w:r>
          </w:p>
        </w:tc>
        <w:tc>
          <w:tcPr>
            <w:tcW w:w="2860" w:type="dxa"/>
            <w:vAlign w:val="bottom"/>
          </w:tcPr>
          <w:p>
            <w:pPr>
              <w:jc w:val="right"/>
              <w:ind w:right="251"/>
              <w:spacing w:after="0" w:line="169" w:lineRule="exact"/>
              <w:rPr>
                <w:sz w:val="20"/>
                <w:szCs w:val="20"/>
                <w:color w:val="auto"/>
              </w:rPr>
            </w:pPr>
            <w:r>
              <w:rPr>
                <w:rFonts w:ascii="Arial" w:cs="Arial" w:eastAsia="Arial" w:hAnsi="Arial"/>
                <w:sz w:val="15"/>
                <w:szCs w:val="15"/>
                <w:color w:val="auto"/>
              </w:rPr>
              <w:t>97,500</w:t>
            </w:r>
          </w:p>
        </w:tc>
        <w:tc>
          <w:tcPr>
            <w:tcW w:w="1420" w:type="dxa"/>
            <w:vAlign w:val="bottom"/>
          </w:tcPr>
          <w:p>
            <w:pPr>
              <w:jc w:val="right"/>
              <w:ind w:right="270"/>
              <w:spacing w:after="0" w:line="169" w:lineRule="exact"/>
              <w:rPr>
                <w:sz w:val="20"/>
                <w:szCs w:val="20"/>
                <w:color w:val="auto"/>
              </w:rPr>
            </w:pPr>
            <w:r>
              <w:rPr>
                <w:rFonts w:ascii="Arial" w:cs="Arial" w:eastAsia="Arial" w:hAnsi="Arial"/>
                <w:sz w:val="15"/>
                <w:szCs w:val="15"/>
                <w:color w:val="auto"/>
              </w:rPr>
              <w:t>97,504</w:t>
            </w:r>
          </w:p>
        </w:tc>
        <w:tc>
          <w:tcPr>
            <w:tcW w:w="164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tcPr>
          <w:p>
            <w:pPr>
              <w:jc w:val="right"/>
              <w:ind w:right="30"/>
              <w:spacing w:after="0" w:line="169" w:lineRule="exact"/>
              <w:rPr>
                <w:sz w:val="20"/>
                <w:szCs w:val="20"/>
                <w:color w:val="auto"/>
              </w:rPr>
            </w:pPr>
            <w:r>
              <w:rPr>
                <w:rFonts w:ascii="Arial" w:cs="Arial" w:eastAsia="Arial" w:hAnsi="Arial"/>
                <w:sz w:val="15"/>
                <w:szCs w:val="15"/>
                <w:color w:val="auto"/>
              </w:rPr>
              <w:t>200,004</w:t>
            </w:r>
          </w:p>
        </w:tc>
        <w:tc>
          <w:tcPr>
            <w:tcW w:w="0" w:type="dxa"/>
            <w:vAlign w:val="bottom"/>
          </w:tcPr>
          <w:p>
            <w:pPr>
              <w:spacing w:after="0"/>
              <w:rPr>
                <w:sz w:val="1"/>
                <w:szCs w:val="1"/>
                <w:color w:val="auto"/>
              </w:rPr>
            </w:pPr>
          </w:p>
        </w:tc>
      </w:tr>
      <w:tr>
        <w:trPr>
          <w:trHeight w:val="169"/>
        </w:trPr>
        <w:tc>
          <w:tcPr>
            <w:tcW w:w="31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Coleman, Leonard S.</w:t>
            </w:r>
          </w:p>
        </w:tc>
        <w:tc>
          <w:tcPr>
            <w:tcW w:w="2860" w:type="dxa"/>
            <w:vAlign w:val="bottom"/>
            <w:shd w:val="clear" w:color="auto" w:fill="D8D8D8"/>
          </w:tcPr>
          <w:p>
            <w:pPr>
              <w:jc w:val="right"/>
              <w:ind w:right="251"/>
              <w:spacing w:after="0" w:line="169" w:lineRule="exact"/>
              <w:rPr>
                <w:sz w:val="20"/>
                <w:szCs w:val="20"/>
                <w:color w:val="auto"/>
              </w:rPr>
            </w:pPr>
            <w:r>
              <w:rPr>
                <w:rFonts w:ascii="Arial" w:cs="Arial" w:eastAsia="Arial" w:hAnsi="Arial"/>
                <w:sz w:val="15"/>
                <w:szCs w:val="15"/>
                <w:color w:val="auto"/>
              </w:rPr>
              <w:t>108,750</w:t>
            </w:r>
          </w:p>
        </w:tc>
        <w:tc>
          <w:tcPr>
            <w:tcW w:w="1420" w:type="dxa"/>
            <w:vAlign w:val="bottom"/>
            <w:shd w:val="clear" w:color="auto" w:fill="D8D8D8"/>
          </w:tcPr>
          <w:p>
            <w:pPr>
              <w:jc w:val="right"/>
              <w:ind w:right="270"/>
              <w:spacing w:after="0" w:line="169" w:lineRule="exact"/>
              <w:rPr>
                <w:sz w:val="20"/>
                <w:szCs w:val="20"/>
                <w:color w:val="auto"/>
              </w:rPr>
            </w:pPr>
            <w:r>
              <w:rPr>
                <w:rFonts w:ascii="Arial" w:cs="Arial" w:eastAsia="Arial" w:hAnsi="Arial"/>
                <w:sz w:val="15"/>
                <w:szCs w:val="15"/>
                <w:color w:val="auto"/>
              </w:rPr>
              <w:t>108,747</w:t>
            </w:r>
          </w:p>
        </w:tc>
        <w:tc>
          <w:tcPr>
            <w:tcW w:w="164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shd w:val="clear" w:color="auto" w:fill="D8D8D8"/>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shd w:val="clear" w:color="auto" w:fill="D8D8D8"/>
          </w:tcPr>
          <w:p>
            <w:pPr>
              <w:jc w:val="right"/>
              <w:ind w:right="30"/>
              <w:spacing w:after="0" w:line="169" w:lineRule="exact"/>
              <w:rPr>
                <w:sz w:val="20"/>
                <w:szCs w:val="20"/>
                <w:color w:val="auto"/>
              </w:rPr>
            </w:pPr>
            <w:r>
              <w:rPr>
                <w:rFonts w:ascii="Arial" w:cs="Arial" w:eastAsia="Arial" w:hAnsi="Arial"/>
                <w:sz w:val="15"/>
                <w:szCs w:val="15"/>
                <w:color w:val="auto"/>
              </w:rPr>
              <w:t>222,497</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Edelman, Martin L (f)</w:t>
            </w:r>
          </w:p>
        </w:tc>
        <w:tc>
          <w:tcPr>
            <w:tcW w:w="2860" w:type="dxa"/>
            <w:vAlign w:val="bottom"/>
          </w:tcPr>
          <w:p>
            <w:pPr>
              <w:jc w:val="right"/>
              <w:ind w:right="251"/>
              <w:spacing w:after="0" w:line="169" w:lineRule="exact"/>
              <w:rPr>
                <w:sz w:val="20"/>
                <w:szCs w:val="20"/>
                <w:color w:val="auto"/>
              </w:rPr>
            </w:pPr>
            <w:r>
              <w:rPr>
                <w:rFonts w:ascii="Arial" w:cs="Arial" w:eastAsia="Arial" w:hAnsi="Arial"/>
                <w:sz w:val="15"/>
                <w:szCs w:val="15"/>
                <w:color w:val="auto"/>
              </w:rPr>
              <w:t>23,500</w:t>
            </w:r>
          </w:p>
        </w:tc>
        <w:tc>
          <w:tcPr>
            <w:tcW w:w="1420" w:type="dxa"/>
            <w:vAlign w:val="bottom"/>
          </w:tcPr>
          <w:p>
            <w:pPr>
              <w:jc w:val="right"/>
              <w:ind w:right="270"/>
              <w:spacing w:after="0" w:line="169" w:lineRule="exact"/>
              <w:rPr>
                <w:sz w:val="20"/>
                <w:szCs w:val="20"/>
                <w:color w:val="auto"/>
              </w:rPr>
            </w:pPr>
            <w:r>
              <w:rPr>
                <w:rFonts w:ascii="Arial" w:cs="Arial" w:eastAsia="Arial" w:hAnsi="Arial"/>
                <w:sz w:val="15"/>
                <w:szCs w:val="15"/>
                <w:color w:val="auto"/>
              </w:rPr>
              <w:t>23,506</w:t>
            </w:r>
          </w:p>
        </w:tc>
        <w:tc>
          <w:tcPr>
            <w:tcW w:w="164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tcPr>
          <w:p>
            <w:pPr>
              <w:jc w:val="right"/>
              <w:ind w:right="30"/>
              <w:spacing w:after="0" w:line="169" w:lineRule="exact"/>
              <w:rPr>
                <w:sz w:val="20"/>
                <w:szCs w:val="20"/>
                <w:color w:val="auto"/>
              </w:rPr>
            </w:pPr>
            <w:r>
              <w:rPr>
                <w:rFonts w:ascii="Arial" w:cs="Arial" w:eastAsia="Arial" w:hAnsi="Arial"/>
                <w:sz w:val="15"/>
                <w:szCs w:val="15"/>
                <w:color w:val="auto"/>
              </w:rPr>
              <w:t>52,006</w:t>
            </w:r>
          </w:p>
        </w:tc>
        <w:tc>
          <w:tcPr>
            <w:tcW w:w="0" w:type="dxa"/>
            <w:vAlign w:val="bottom"/>
          </w:tcPr>
          <w:p>
            <w:pPr>
              <w:spacing w:after="0"/>
              <w:rPr>
                <w:sz w:val="1"/>
                <w:szCs w:val="1"/>
                <w:color w:val="auto"/>
              </w:rPr>
            </w:pPr>
          </w:p>
        </w:tc>
      </w:tr>
      <w:tr>
        <w:trPr>
          <w:trHeight w:val="169"/>
        </w:trPr>
        <w:tc>
          <w:tcPr>
            <w:tcW w:w="31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Fox, Jeffrey H. (g)</w:t>
            </w:r>
          </w:p>
        </w:tc>
        <w:tc>
          <w:tcPr>
            <w:tcW w:w="2860" w:type="dxa"/>
            <w:vAlign w:val="bottom"/>
            <w:shd w:val="clear" w:color="auto" w:fill="D8D8D8"/>
          </w:tcPr>
          <w:p>
            <w:pPr>
              <w:jc w:val="right"/>
              <w:ind w:right="251"/>
              <w:spacing w:after="0" w:line="169" w:lineRule="exact"/>
              <w:rPr>
                <w:sz w:val="20"/>
                <w:szCs w:val="20"/>
                <w:color w:val="auto"/>
              </w:rPr>
            </w:pPr>
            <w:r>
              <w:rPr>
                <w:rFonts w:ascii="Arial" w:cs="Arial" w:eastAsia="Arial" w:hAnsi="Arial"/>
                <w:sz w:val="15"/>
                <w:szCs w:val="15"/>
                <w:color w:val="auto"/>
              </w:rPr>
              <w:t>37,500</w:t>
            </w:r>
          </w:p>
        </w:tc>
        <w:tc>
          <w:tcPr>
            <w:tcW w:w="1420" w:type="dxa"/>
            <w:vAlign w:val="bottom"/>
            <w:shd w:val="clear" w:color="auto" w:fill="D8D8D8"/>
          </w:tcPr>
          <w:p>
            <w:pPr>
              <w:jc w:val="right"/>
              <w:ind w:right="270"/>
              <w:spacing w:after="0" w:line="169" w:lineRule="exact"/>
              <w:rPr>
                <w:sz w:val="20"/>
                <w:szCs w:val="20"/>
                <w:color w:val="auto"/>
              </w:rPr>
            </w:pPr>
            <w:r>
              <w:rPr>
                <w:rFonts w:ascii="Arial" w:cs="Arial" w:eastAsia="Arial" w:hAnsi="Arial"/>
                <w:sz w:val="15"/>
                <w:szCs w:val="15"/>
                <w:color w:val="auto"/>
              </w:rPr>
              <w:t>37,488</w:t>
            </w:r>
          </w:p>
        </w:tc>
        <w:tc>
          <w:tcPr>
            <w:tcW w:w="164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shd w:val="clear" w:color="auto" w:fill="D8D8D8"/>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shd w:val="clear" w:color="auto" w:fill="D8D8D8"/>
          </w:tcPr>
          <w:p>
            <w:pPr>
              <w:jc w:val="right"/>
              <w:ind w:right="30"/>
              <w:spacing w:after="0" w:line="169" w:lineRule="exact"/>
              <w:rPr>
                <w:sz w:val="20"/>
                <w:szCs w:val="20"/>
                <w:color w:val="auto"/>
              </w:rPr>
            </w:pPr>
            <w:r>
              <w:rPr>
                <w:rFonts w:ascii="Arial" w:cs="Arial" w:eastAsia="Arial" w:hAnsi="Arial"/>
                <w:sz w:val="15"/>
                <w:szCs w:val="15"/>
                <w:color w:val="auto"/>
              </w:rPr>
              <w:t>79,988</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Hardy, John D.</w:t>
            </w:r>
          </w:p>
        </w:tc>
        <w:tc>
          <w:tcPr>
            <w:tcW w:w="2860" w:type="dxa"/>
            <w:vAlign w:val="bottom"/>
          </w:tcPr>
          <w:p>
            <w:pPr>
              <w:jc w:val="right"/>
              <w:ind w:right="251"/>
              <w:spacing w:after="0" w:line="169" w:lineRule="exact"/>
              <w:rPr>
                <w:sz w:val="20"/>
                <w:szCs w:val="20"/>
                <w:color w:val="auto"/>
              </w:rPr>
            </w:pPr>
            <w:r>
              <w:rPr>
                <w:rFonts w:ascii="Arial" w:cs="Arial" w:eastAsia="Arial" w:hAnsi="Arial"/>
                <w:sz w:val="15"/>
                <w:szCs w:val="15"/>
                <w:color w:val="auto"/>
              </w:rPr>
              <w:t>97,500</w:t>
            </w:r>
          </w:p>
        </w:tc>
        <w:tc>
          <w:tcPr>
            <w:tcW w:w="1420" w:type="dxa"/>
            <w:vAlign w:val="bottom"/>
          </w:tcPr>
          <w:p>
            <w:pPr>
              <w:jc w:val="right"/>
              <w:ind w:right="270"/>
              <w:spacing w:after="0" w:line="169" w:lineRule="exact"/>
              <w:rPr>
                <w:sz w:val="20"/>
                <w:szCs w:val="20"/>
                <w:color w:val="auto"/>
              </w:rPr>
            </w:pPr>
            <w:r>
              <w:rPr>
                <w:rFonts w:ascii="Arial" w:cs="Arial" w:eastAsia="Arial" w:hAnsi="Arial"/>
                <w:sz w:val="15"/>
                <w:szCs w:val="15"/>
                <w:color w:val="auto"/>
              </w:rPr>
              <w:t>97,504</w:t>
            </w:r>
          </w:p>
        </w:tc>
        <w:tc>
          <w:tcPr>
            <w:tcW w:w="164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tcPr>
          <w:p>
            <w:pPr>
              <w:jc w:val="right"/>
              <w:ind w:right="30"/>
              <w:spacing w:after="0" w:line="169" w:lineRule="exact"/>
              <w:rPr>
                <w:sz w:val="20"/>
                <w:szCs w:val="20"/>
                <w:color w:val="auto"/>
              </w:rPr>
            </w:pPr>
            <w:r>
              <w:rPr>
                <w:rFonts w:ascii="Arial" w:cs="Arial" w:eastAsia="Arial" w:hAnsi="Arial"/>
                <w:sz w:val="15"/>
                <w:szCs w:val="15"/>
                <w:color w:val="auto"/>
              </w:rPr>
              <w:t>200,004</w:t>
            </w:r>
          </w:p>
        </w:tc>
        <w:tc>
          <w:tcPr>
            <w:tcW w:w="0" w:type="dxa"/>
            <w:vAlign w:val="bottom"/>
          </w:tcPr>
          <w:p>
            <w:pPr>
              <w:spacing w:after="0"/>
              <w:rPr>
                <w:sz w:val="1"/>
                <w:szCs w:val="1"/>
                <w:color w:val="auto"/>
              </w:rPr>
            </w:pPr>
          </w:p>
        </w:tc>
      </w:tr>
      <w:tr>
        <w:trPr>
          <w:trHeight w:val="169"/>
        </w:trPr>
        <w:tc>
          <w:tcPr>
            <w:tcW w:w="31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Krominga, Lynn</w:t>
            </w:r>
          </w:p>
        </w:tc>
        <w:tc>
          <w:tcPr>
            <w:tcW w:w="2860" w:type="dxa"/>
            <w:vAlign w:val="bottom"/>
            <w:shd w:val="clear" w:color="auto" w:fill="D8D8D8"/>
          </w:tcPr>
          <w:p>
            <w:pPr>
              <w:jc w:val="right"/>
              <w:ind w:right="251"/>
              <w:spacing w:after="0" w:line="169" w:lineRule="exact"/>
              <w:rPr>
                <w:sz w:val="20"/>
                <w:szCs w:val="20"/>
                <w:color w:val="auto"/>
              </w:rPr>
            </w:pPr>
            <w:r>
              <w:rPr>
                <w:rFonts w:ascii="Arial" w:cs="Arial" w:eastAsia="Arial" w:hAnsi="Arial"/>
                <w:sz w:val="15"/>
                <w:szCs w:val="15"/>
                <w:color w:val="auto"/>
              </w:rPr>
              <w:t>98,750</w:t>
            </w:r>
          </w:p>
        </w:tc>
        <w:tc>
          <w:tcPr>
            <w:tcW w:w="1420" w:type="dxa"/>
            <w:vAlign w:val="bottom"/>
            <w:shd w:val="clear" w:color="auto" w:fill="D8D8D8"/>
          </w:tcPr>
          <w:p>
            <w:pPr>
              <w:jc w:val="right"/>
              <w:ind w:right="270"/>
              <w:spacing w:after="0" w:line="169" w:lineRule="exact"/>
              <w:rPr>
                <w:sz w:val="20"/>
                <w:szCs w:val="20"/>
                <w:color w:val="auto"/>
              </w:rPr>
            </w:pPr>
            <w:r>
              <w:rPr>
                <w:rFonts w:ascii="Arial" w:cs="Arial" w:eastAsia="Arial" w:hAnsi="Arial"/>
                <w:sz w:val="15"/>
                <w:szCs w:val="15"/>
                <w:color w:val="auto"/>
              </w:rPr>
              <w:t>98,750</w:t>
            </w:r>
          </w:p>
        </w:tc>
        <w:tc>
          <w:tcPr>
            <w:tcW w:w="164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shd w:val="clear" w:color="auto" w:fill="D8D8D8"/>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shd w:val="clear" w:color="auto" w:fill="D8D8D8"/>
          </w:tcPr>
          <w:p>
            <w:pPr>
              <w:jc w:val="right"/>
              <w:ind w:right="30"/>
              <w:spacing w:after="0" w:line="169" w:lineRule="exact"/>
              <w:rPr>
                <w:sz w:val="20"/>
                <w:szCs w:val="20"/>
                <w:color w:val="auto"/>
              </w:rPr>
            </w:pPr>
            <w:r>
              <w:rPr>
                <w:rFonts w:ascii="Arial" w:cs="Arial" w:eastAsia="Arial" w:hAnsi="Arial"/>
                <w:sz w:val="15"/>
                <w:szCs w:val="15"/>
                <w:color w:val="auto"/>
              </w:rPr>
              <w:t>202,500</w:t>
            </w:r>
          </w:p>
        </w:tc>
        <w:tc>
          <w:tcPr>
            <w:tcW w:w="0" w:type="dxa"/>
            <w:vAlign w:val="bottom"/>
          </w:tcPr>
          <w:p>
            <w:pPr>
              <w:spacing w:after="0"/>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Mestre, Eduardo G.</w:t>
            </w:r>
          </w:p>
        </w:tc>
        <w:tc>
          <w:tcPr>
            <w:tcW w:w="2860" w:type="dxa"/>
            <w:vAlign w:val="bottom"/>
          </w:tcPr>
          <w:p>
            <w:pPr>
              <w:jc w:val="right"/>
              <w:ind w:right="251"/>
              <w:spacing w:after="0" w:line="169" w:lineRule="exact"/>
              <w:rPr>
                <w:sz w:val="20"/>
                <w:szCs w:val="20"/>
                <w:color w:val="auto"/>
              </w:rPr>
            </w:pPr>
            <w:r>
              <w:rPr>
                <w:rFonts w:ascii="Arial" w:cs="Arial" w:eastAsia="Arial" w:hAnsi="Arial"/>
                <w:sz w:val="15"/>
                <w:szCs w:val="15"/>
                <w:color w:val="auto"/>
              </w:rPr>
              <w:t>—</w:t>
            </w:r>
          </w:p>
        </w:tc>
        <w:tc>
          <w:tcPr>
            <w:tcW w:w="1420" w:type="dxa"/>
            <w:vAlign w:val="bottom"/>
          </w:tcPr>
          <w:p>
            <w:pPr>
              <w:jc w:val="right"/>
              <w:ind w:right="270"/>
              <w:spacing w:after="0" w:line="169" w:lineRule="exact"/>
              <w:rPr>
                <w:sz w:val="20"/>
                <w:szCs w:val="20"/>
                <w:color w:val="auto"/>
              </w:rPr>
            </w:pPr>
            <w:r>
              <w:rPr>
                <w:rFonts w:ascii="Arial" w:cs="Arial" w:eastAsia="Arial" w:hAnsi="Arial"/>
                <w:sz w:val="15"/>
                <w:szCs w:val="15"/>
                <w:color w:val="auto"/>
              </w:rPr>
              <w:t>185,991</w:t>
            </w:r>
          </w:p>
        </w:tc>
        <w:tc>
          <w:tcPr>
            <w:tcW w:w="164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tcPr>
          <w:p>
            <w:pPr>
              <w:jc w:val="right"/>
              <w:ind w:right="30"/>
              <w:spacing w:after="0" w:line="169" w:lineRule="exact"/>
              <w:rPr>
                <w:sz w:val="20"/>
                <w:szCs w:val="20"/>
                <w:color w:val="auto"/>
              </w:rPr>
            </w:pPr>
            <w:r>
              <w:rPr>
                <w:rFonts w:ascii="Arial" w:cs="Arial" w:eastAsia="Arial" w:hAnsi="Arial"/>
                <w:sz w:val="15"/>
                <w:szCs w:val="15"/>
                <w:color w:val="auto"/>
              </w:rPr>
              <w:t>190,991</w:t>
            </w:r>
          </w:p>
        </w:tc>
        <w:tc>
          <w:tcPr>
            <w:tcW w:w="0" w:type="dxa"/>
            <w:vAlign w:val="bottom"/>
          </w:tcPr>
          <w:p>
            <w:pPr>
              <w:spacing w:after="0"/>
              <w:rPr>
                <w:sz w:val="1"/>
                <w:szCs w:val="1"/>
                <w:color w:val="auto"/>
              </w:rPr>
            </w:pPr>
          </w:p>
        </w:tc>
      </w:tr>
      <w:tr>
        <w:trPr>
          <w:trHeight w:val="169"/>
        </w:trPr>
        <w:tc>
          <w:tcPr>
            <w:tcW w:w="312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Salerno, F. Robert (e)</w:t>
            </w:r>
          </w:p>
        </w:tc>
        <w:tc>
          <w:tcPr>
            <w:tcW w:w="2860" w:type="dxa"/>
            <w:vAlign w:val="bottom"/>
            <w:shd w:val="clear" w:color="auto" w:fill="D8D8D8"/>
          </w:tcPr>
          <w:p>
            <w:pPr>
              <w:jc w:val="right"/>
              <w:ind w:right="251"/>
              <w:spacing w:after="0" w:line="169" w:lineRule="exact"/>
              <w:rPr>
                <w:sz w:val="20"/>
                <w:szCs w:val="20"/>
                <w:color w:val="auto"/>
              </w:rPr>
            </w:pPr>
            <w:r>
              <w:rPr>
                <w:rFonts w:ascii="Arial" w:cs="Arial" w:eastAsia="Arial" w:hAnsi="Arial"/>
                <w:sz w:val="15"/>
                <w:szCs w:val="15"/>
                <w:color w:val="auto"/>
              </w:rPr>
              <w:t>94,000</w:t>
            </w:r>
          </w:p>
        </w:tc>
        <w:tc>
          <w:tcPr>
            <w:tcW w:w="1420" w:type="dxa"/>
            <w:vAlign w:val="bottom"/>
            <w:shd w:val="clear" w:color="auto" w:fill="D8D8D8"/>
          </w:tcPr>
          <w:p>
            <w:pPr>
              <w:jc w:val="right"/>
              <w:ind w:right="270"/>
              <w:spacing w:after="0" w:line="169" w:lineRule="exact"/>
              <w:rPr>
                <w:sz w:val="20"/>
                <w:szCs w:val="20"/>
                <w:color w:val="auto"/>
              </w:rPr>
            </w:pPr>
            <w:r>
              <w:rPr>
                <w:rFonts w:ascii="Arial" w:cs="Arial" w:eastAsia="Arial" w:hAnsi="Arial"/>
                <w:sz w:val="15"/>
                <w:szCs w:val="15"/>
                <w:color w:val="auto"/>
              </w:rPr>
              <w:t>94,012</w:t>
            </w:r>
          </w:p>
        </w:tc>
        <w:tc>
          <w:tcPr>
            <w:tcW w:w="1640" w:type="dxa"/>
            <w:vAlign w:val="bottom"/>
            <w:shd w:val="clear" w:color="auto" w:fill="D8D8D8"/>
          </w:tcPr>
          <w:p>
            <w:pPr>
              <w:jc w:val="center"/>
              <w:spacing w:after="0" w:line="169" w:lineRule="exact"/>
              <w:rPr>
                <w:sz w:val="20"/>
                <w:szCs w:val="20"/>
                <w:color w:val="auto"/>
              </w:rPr>
            </w:pPr>
            <w:r>
              <w:rPr>
                <w:rFonts w:ascii="Arial" w:cs="Arial" w:eastAsia="Arial" w:hAnsi="Arial"/>
                <w:sz w:val="15"/>
                <w:szCs w:val="15"/>
                <w:color w:val="auto"/>
                <w:w w:val="93"/>
              </w:rPr>
              <w:t>—</w:t>
            </w:r>
          </w:p>
        </w:tc>
        <w:tc>
          <w:tcPr>
            <w:tcW w:w="1420" w:type="dxa"/>
            <w:vAlign w:val="bottom"/>
            <w:shd w:val="clear" w:color="auto" w:fill="D8D8D8"/>
          </w:tcPr>
          <w:p>
            <w:pPr>
              <w:jc w:val="right"/>
              <w:ind w:right="291"/>
              <w:spacing w:after="0" w:line="169" w:lineRule="exact"/>
              <w:rPr>
                <w:sz w:val="20"/>
                <w:szCs w:val="20"/>
                <w:color w:val="auto"/>
              </w:rPr>
            </w:pPr>
            <w:r>
              <w:rPr>
                <w:rFonts w:ascii="Arial" w:cs="Arial" w:eastAsia="Arial" w:hAnsi="Arial"/>
                <w:sz w:val="15"/>
                <w:szCs w:val="15"/>
                <w:color w:val="auto"/>
              </w:rPr>
              <w:t>5,000</w:t>
            </w:r>
          </w:p>
        </w:tc>
        <w:tc>
          <w:tcPr>
            <w:tcW w:w="980" w:type="dxa"/>
            <w:vAlign w:val="bottom"/>
            <w:shd w:val="clear" w:color="auto" w:fill="D8D8D8"/>
          </w:tcPr>
          <w:p>
            <w:pPr>
              <w:jc w:val="right"/>
              <w:ind w:right="30"/>
              <w:spacing w:after="0" w:line="169" w:lineRule="exact"/>
              <w:rPr>
                <w:sz w:val="20"/>
                <w:szCs w:val="20"/>
                <w:color w:val="auto"/>
              </w:rPr>
            </w:pPr>
            <w:r>
              <w:rPr>
                <w:rFonts w:ascii="Arial" w:cs="Arial" w:eastAsia="Arial" w:hAnsi="Arial"/>
                <w:sz w:val="15"/>
                <w:szCs w:val="15"/>
                <w:color w:val="auto"/>
              </w:rPr>
              <w:t>193,012</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Arial" w:cs="Arial" w:eastAsia="Arial" w:hAnsi="Arial"/>
                <w:sz w:val="15"/>
                <w:szCs w:val="15"/>
                <w:color w:val="auto"/>
              </w:rPr>
              <w:t>Sweeney, Stender E.</w:t>
            </w:r>
          </w:p>
        </w:tc>
        <w:tc>
          <w:tcPr>
            <w:tcW w:w="2860" w:type="dxa"/>
            <w:vAlign w:val="bottom"/>
          </w:tcPr>
          <w:p>
            <w:pPr>
              <w:jc w:val="right"/>
              <w:ind w:right="251"/>
              <w:spacing w:after="0"/>
              <w:rPr>
                <w:sz w:val="20"/>
                <w:szCs w:val="20"/>
                <w:color w:val="auto"/>
              </w:rPr>
            </w:pPr>
            <w:r>
              <w:rPr>
                <w:rFonts w:ascii="Arial" w:cs="Arial" w:eastAsia="Arial" w:hAnsi="Arial"/>
                <w:sz w:val="15"/>
                <w:szCs w:val="15"/>
                <w:color w:val="auto"/>
              </w:rPr>
              <w:t>102,500</w:t>
            </w:r>
          </w:p>
        </w:tc>
        <w:tc>
          <w:tcPr>
            <w:tcW w:w="1420" w:type="dxa"/>
            <w:vAlign w:val="bottom"/>
          </w:tcPr>
          <w:p>
            <w:pPr>
              <w:jc w:val="right"/>
              <w:ind w:right="270"/>
              <w:spacing w:after="0"/>
              <w:rPr>
                <w:sz w:val="20"/>
                <w:szCs w:val="20"/>
                <w:color w:val="auto"/>
              </w:rPr>
            </w:pPr>
            <w:r>
              <w:rPr>
                <w:rFonts w:ascii="Arial" w:cs="Arial" w:eastAsia="Arial" w:hAnsi="Arial"/>
                <w:sz w:val="15"/>
                <w:szCs w:val="15"/>
                <w:color w:val="auto"/>
              </w:rPr>
              <w:t>102,494</w:t>
            </w: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420" w:type="dxa"/>
            <w:vAlign w:val="bottom"/>
          </w:tcPr>
          <w:p>
            <w:pPr>
              <w:jc w:val="right"/>
              <w:ind w:right="291"/>
              <w:spacing w:after="0"/>
              <w:rPr>
                <w:sz w:val="20"/>
                <w:szCs w:val="20"/>
                <w:color w:val="auto"/>
              </w:rPr>
            </w:pPr>
            <w:r>
              <w:rPr>
                <w:rFonts w:ascii="Arial" w:cs="Arial" w:eastAsia="Arial" w:hAnsi="Arial"/>
                <w:sz w:val="15"/>
                <w:szCs w:val="15"/>
                <w:color w:val="auto"/>
              </w:rPr>
              <w:t>5,000</w:t>
            </w:r>
          </w:p>
        </w:tc>
        <w:tc>
          <w:tcPr>
            <w:tcW w:w="980" w:type="dxa"/>
            <w:vAlign w:val="bottom"/>
          </w:tcPr>
          <w:p>
            <w:pPr>
              <w:jc w:val="right"/>
              <w:ind w:right="30"/>
              <w:spacing w:after="0"/>
              <w:rPr>
                <w:sz w:val="20"/>
                <w:szCs w:val="20"/>
                <w:color w:val="auto"/>
              </w:rPr>
            </w:pPr>
            <w:r>
              <w:rPr>
                <w:rFonts w:ascii="Arial" w:cs="Arial" w:eastAsia="Arial" w:hAnsi="Arial"/>
                <w:sz w:val="15"/>
                <w:szCs w:val="15"/>
                <w:color w:val="auto"/>
              </w:rPr>
              <w:t>209,994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94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line="235" w:lineRule="auto"/>
        <w:tabs>
          <w:tab w:leader="none" w:pos="33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cash portion of fees paid represents: 50% of the annual retainer and 50% of committee chair and membership stipends. Directors may elect to defer some or all fees earned or paid in cash under the Company’s deferred</w:t>
      </w:r>
    </w:p>
    <w:p>
      <w:pPr>
        <w:ind w:left="330" w:right="260"/>
        <w:spacing w:after="0" w:line="234" w:lineRule="auto"/>
        <w:rPr>
          <w:rFonts w:ascii="Arial" w:cs="Arial" w:eastAsia="Arial" w:hAnsi="Arial"/>
          <w:sz w:val="11"/>
          <w:szCs w:val="11"/>
          <w:color w:val="auto"/>
        </w:rPr>
      </w:pPr>
      <w:r>
        <w:rPr>
          <w:rFonts w:ascii="Arial" w:cs="Arial" w:eastAsia="Arial" w:hAnsi="Arial"/>
          <w:sz w:val="11"/>
          <w:szCs w:val="11"/>
          <w:color w:val="auto"/>
        </w:rPr>
        <w:t>compensation plan applicable to non-employee directors. For 2013, the following directors elected to defer their 2013 cash compensation: Mr. Mestre deferred all such fees and elected to receive such fees in the form of deferred stock units; and Mr. Sweeney deferred all such fees and elected to direct his deferred cash compensation into investment options selected from those offered under the deferred compensation plan.</w:t>
      </w:r>
    </w:p>
    <w:p>
      <w:pPr>
        <w:ind w:left="330" w:hanging="330"/>
        <w:spacing w:after="0" w:line="234" w:lineRule="auto"/>
        <w:tabs>
          <w:tab w:leader="none" w:pos="33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stock awards represent: 50% of the annual retainer and 50% of committee chair and membership stipends. Such amounts represent the aggregate grant date fair value computed in accordance with FASB ASC Topic 718. The number of deferred stock units to be received pursuant to the equity portion of the retainer or any other compensation to be paid in the form of equity is equal to the value of the compensation being paid in the form of equity, divided by the fair market value of the Common Stock on the date of grant. For 2013, directors had the opportunity to receive the equity portion of their compensation in the form of the Company’s Common Stock on each quarterly payment date. Ms. Krominga made such an election with respect to the equity portion of her 2013 director compensation.</w:t>
      </w:r>
    </w:p>
    <w:p>
      <w:pPr>
        <w:spacing w:after="0" w:line="2" w:lineRule="exact"/>
        <w:rPr>
          <w:rFonts w:ascii="Arial" w:cs="Arial" w:eastAsia="Arial" w:hAnsi="Arial"/>
          <w:sz w:val="11"/>
          <w:szCs w:val="11"/>
          <w:color w:val="auto"/>
        </w:rPr>
      </w:pPr>
    </w:p>
    <w:p>
      <w:pPr>
        <w:ind w:left="330" w:right="60"/>
        <w:spacing w:after="0" w:line="234" w:lineRule="auto"/>
        <w:rPr>
          <w:rFonts w:ascii="Arial" w:cs="Arial" w:eastAsia="Arial" w:hAnsi="Arial"/>
          <w:sz w:val="11"/>
          <w:szCs w:val="11"/>
          <w:color w:val="auto"/>
        </w:rPr>
      </w:pPr>
      <w:r>
        <w:rPr>
          <w:rFonts w:ascii="Arial" w:cs="Arial" w:eastAsia="Arial" w:hAnsi="Arial"/>
          <w:sz w:val="11"/>
          <w:szCs w:val="11"/>
          <w:color w:val="auto"/>
        </w:rPr>
        <w:t>Outstanding stock awards at fiscal year-end are as follows: for Mr. Cathcart, 17,045 deferred stock units; for Ms. Choksi, 54,770 deferred stock units; for Mr. Coleman, 67,048 deferred stock units; for Mr. Fox, 1,235 deferred stock units; for Mr. Hardy, 54,075 deferred stock units; for Ms. Krominga, 53,906 deferred stock units; for Mr. Mestre, 53,851 deferred stock units; for Mr. Salerno, 8,658 deferred stock units; and for Mr. Sweeney, 91,711 deferred stock units.</w:t>
      </w:r>
    </w:p>
    <w:p>
      <w:pPr>
        <w:spacing w:after="0" w:line="1" w:lineRule="exact"/>
        <w:rPr>
          <w:rFonts w:ascii="Arial" w:cs="Arial" w:eastAsia="Arial" w:hAnsi="Arial"/>
          <w:sz w:val="11"/>
          <w:szCs w:val="11"/>
          <w:color w:val="auto"/>
        </w:rPr>
      </w:pPr>
    </w:p>
    <w:p>
      <w:pPr>
        <w:ind w:left="330" w:right="460" w:hanging="330"/>
        <w:spacing w:after="0" w:line="234" w:lineRule="auto"/>
        <w:tabs>
          <w:tab w:leader="none" w:pos="330" w:val="left"/>
        </w:tabs>
        <w:numPr>
          <w:ilvl w:val="0"/>
          <w:numId w:val="65"/>
        </w:numPr>
        <w:rPr>
          <w:rFonts w:ascii="Arial" w:cs="Arial" w:eastAsia="Arial" w:hAnsi="Arial"/>
          <w:sz w:val="11"/>
          <w:szCs w:val="11"/>
          <w:color w:val="auto"/>
        </w:rPr>
      </w:pPr>
      <w:r>
        <w:rPr>
          <w:rFonts w:ascii="Arial" w:cs="Arial" w:eastAsia="Arial" w:hAnsi="Arial"/>
          <w:sz w:val="11"/>
          <w:szCs w:val="11"/>
          <w:color w:val="auto"/>
        </w:rPr>
        <w:t>As described above, Mr. Sweeney elected to defer the cash portion of his 2013 director compensation into certain investment options available under the deferred compensation plan. There were no above-market or preferential earnings in 2013 as any earnings were market-based, consistent with the investment options selected by Mr. Sweeney.</w:t>
      </w:r>
    </w:p>
    <w:p>
      <w:pPr>
        <w:spacing w:after="0" w:line="1" w:lineRule="exact"/>
        <w:rPr>
          <w:rFonts w:ascii="Arial" w:cs="Arial" w:eastAsia="Arial" w:hAnsi="Arial"/>
          <w:sz w:val="11"/>
          <w:szCs w:val="11"/>
          <w:color w:val="auto"/>
        </w:rPr>
      </w:pPr>
    </w:p>
    <w:p>
      <w:pPr>
        <w:ind w:left="330" w:hanging="330"/>
        <w:spacing w:after="0" w:line="234" w:lineRule="auto"/>
        <w:tabs>
          <w:tab w:leader="none" w:pos="330" w:val="left"/>
        </w:tabs>
        <w:numPr>
          <w:ilvl w:val="0"/>
          <w:numId w:val="65"/>
        </w:numPr>
        <w:rPr>
          <w:rFonts w:ascii="Arial" w:cs="Arial" w:eastAsia="Arial" w:hAnsi="Arial"/>
          <w:sz w:val="11"/>
          <w:szCs w:val="11"/>
          <w:color w:val="auto"/>
        </w:rPr>
      </w:pPr>
      <w:r>
        <w:rPr>
          <w:rFonts w:ascii="Arial" w:cs="Arial" w:eastAsia="Arial" w:hAnsi="Arial"/>
          <w:sz w:val="11"/>
          <w:szCs w:val="11"/>
          <w:color w:val="auto"/>
        </w:rPr>
        <w:t>Represents discretionary matching contributions available through The Avis Budget Group Charitable Foundation.</w:t>
      </w:r>
    </w:p>
    <w:p>
      <w:pPr>
        <w:ind w:left="330" w:right="80" w:hanging="330"/>
        <w:spacing w:after="0" w:line="248" w:lineRule="auto"/>
        <w:tabs>
          <w:tab w:leader="none" w:pos="330" w:val="left"/>
        </w:tabs>
        <w:numPr>
          <w:ilvl w:val="0"/>
          <w:numId w:val="65"/>
        </w:numPr>
        <w:rPr>
          <w:rFonts w:ascii="Arial" w:cs="Arial" w:eastAsia="Arial" w:hAnsi="Arial"/>
          <w:sz w:val="11"/>
          <w:szCs w:val="11"/>
          <w:color w:val="auto"/>
        </w:rPr>
      </w:pPr>
      <w:r>
        <w:rPr>
          <w:rFonts w:ascii="Arial" w:cs="Arial" w:eastAsia="Arial" w:hAnsi="Arial"/>
          <w:sz w:val="11"/>
          <w:szCs w:val="11"/>
          <w:color w:val="auto"/>
        </w:rPr>
        <w:t>In addition to the compensation reflected above, Messrs. Salerno and Cathcart were also paid the following amounts in 2013, which were previously earned and accrued during their prior employment with the Company and Avis Europe, respectively:</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73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1"/>
                <w:szCs w:val="11"/>
                <w:color w:val="auto"/>
              </w:rPr>
              <w:t>Avis Rent A Car System, LLC Pension Plan (Mr. Salerno)</w:t>
            </w:r>
          </w:p>
        </w:tc>
        <w:tc>
          <w:tcPr>
            <w:tcW w:w="34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shd w:val="clear" w:color="auto" w:fill="D8D8D8"/>
          </w:tcPr>
          <w:p>
            <w:pPr>
              <w:jc w:val="right"/>
              <w:ind w:right="164"/>
              <w:spacing w:after="0"/>
              <w:rPr>
                <w:sz w:val="20"/>
                <w:szCs w:val="20"/>
                <w:color w:val="auto"/>
              </w:rPr>
            </w:pPr>
            <w:r>
              <w:rPr>
                <w:rFonts w:ascii="Arial" w:cs="Arial" w:eastAsia="Arial" w:hAnsi="Arial"/>
                <w:sz w:val="11"/>
                <w:szCs w:val="11"/>
                <w:color w:val="auto"/>
              </w:rPr>
              <w:t>40,597</w:t>
            </w:r>
          </w:p>
        </w:tc>
      </w:tr>
      <w:tr>
        <w:trPr>
          <w:trHeight w:val="124"/>
        </w:trPr>
        <w:tc>
          <w:tcPr>
            <w:tcW w:w="7320" w:type="dxa"/>
            <w:vAlign w:val="bottom"/>
          </w:tcPr>
          <w:p>
            <w:pPr>
              <w:spacing w:after="0" w:line="124" w:lineRule="exact"/>
              <w:rPr>
                <w:sz w:val="20"/>
                <w:szCs w:val="20"/>
                <w:color w:val="auto"/>
              </w:rPr>
            </w:pPr>
            <w:r>
              <w:rPr>
                <w:rFonts w:ascii="Arial" w:cs="Arial" w:eastAsia="Arial" w:hAnsi="Arial"/>
                <w:sz w:val="11"/>
                <w:szCs w:val="11"/>
                <w:color w:val="auto"/>
              </w:rPr>
              <w:t>Avis Rent A Car System, LLC Retirement Equalization Benefit Plan (Mr. Salerno)</w:t>
            </w:r>
          </w:p>
        </w:tc>
        <w:tc>
          <w:tcPr>
            <w:tcW w:w="34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700" w:type="dxa"/>
            <w:vAlign w:val="bottom"/>
          </w:tcPr>
          <w:p>
            <w:pPr>
              <w:jc w:val="right"/>
              <w:ind w:right="164"/>
              <w:spacing w:after="0" w:line="124" w:lineRule="exact"/>
              <w:rPr>
                <w:sz w:val="20"/>
                <w:szCs w:val="20"/>
                <w:color w:val="auto"/>
              </w:rPr>
            </w:pPr>
            <w:r>
              <w:rPr>
                <w:rFonts w:ascii="Arial" w:cs="Arial" w:eastAsia="Arial" w:hAnsi="Arial"/>
                <w:sz w:val="11"/>
                <w:szCs w:val="11"/>
                <w:color w:val="auto"/>
              </w:rPr>
              <w:t>59,074</w:t>
            </w:r>
          </w:p>
        </w:tc>
      </w:tr>
      <w:tr>
        <w:trPr>
          <w:trHeight w:val="124"/>
        </w:trPr>
        <w:tc>
          <w:tcPr>
            <w:tcW w:w="7320" w:type="dxa"/>
            <w:vAlign w:val="bottom"/>
            <w:shd w:val="clear" w:color="auto" w:fill="D8D8D8"/>
          </w:tcPr>
          <w:p>
            <w:pPr>
              <w:spacing w:after="0" w:line="124" w:lineRule="exact"/>
              <w:rPr>
                <w:sz w:val="20"/>
                <w:szCs w:val="20"/>
                <w:color w:val="auto"/>
              </w:rPr>
            </w:pPr>
            <w:r>
              <w:rPr>
                <w:rFonts w:ascii="Arial" w:cs="Arial" w:eastAsia="Arial" w:hAnsi="Arial"/>
                <w:sz w:val="11"/>
                <w:szCs w:val="11"/>
                <w:color w:val="auto"/>
              </w:rPr>
              <w:t>Avis U.K. Pension Plan (Mr. Cathcart)</w:t>
            </w:r>
          </w:p>
        </w:tc>
        <w:tc>
          <w:tcPr>
            <w:tcW w:w="3420" w:type="dxa"/>
            <w:vAlign w:val="bottom"/>
            <w:shd w:val="clear" w:color="auto" w:fill="D8D8D8"/>
          </w:tcPr>
          <w:p>
            <w:pPr>
              <w:jc w:val="right"/>
              <w:spacing w:after="0" w:line="124" w:lineRule="exact"/>
              <w:rPr>
                <w:sz w:val="20"/>
                <w:szCs w:val="20"/>
                <w:color w:val="auto"/>
              </w:rPr>
            </w:pPr>
            <w:r>
              <w:rPr>
                <w:rFonts w:ascii="Arial" w:cs="Arial" w:eastAsia="Arial" w:hAnsi="Arial"/>
                <w:sz w:val="11"/>
                <w:szCs w:val="11"/>
                <w:color w:val="auto"/>
              </w:rPr>
              <w:t>$</w:t>
            </w:r>
          </w:p>
        </w:tc>
        <w:tc>
          <w:tcPr>
            <w:tcW w:w="700" w:type="dxa"/>
            <w:vAlign w:val="bottom"/>
            <w:shd w:val="clear" w:color="auto" w:fill="D8D8D8"/>
          </w:tcPr>
          <w:p>
            <w:pPr>
              <w:jc w:val="right"/>
              <w:ind w:right="124"/>
              <w:spacing w:after="0" w:line="124" w:lineRule="exact"/>
              <w:rPr>
                <w:sz w:val="20"/>
                <w:szCs w:val="20"/>
                <w:color w:val="auto"/>
              </w:rPr>
            </w:pPr>
            <w:r>
              <w:rPr>
                <w:rFonts w:ascii="Arial" w:cs="Arial" w:eastAsia="Arial" w:hAnsi="Arial"/>
                <w:sz w:val="11"/>
                <w:szCs w:val="11"/>
                <w:color w:val="auto"/>
              </w:rPr>
              <w:t>553,423*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66"/>
        </w:numPr>
        <w:rPr>
          <w:rFonts w:ascii="Arial" w:cs="Arial" w:eastAsia="Arial" w:hAnsi="Arial"/>
          <w:sz w:val="11"/>
          <w:szCs w:val="11"/>
          <w:color w:val="auto"/>
        </w:rPr>
      </w:pPr>
      <w:r>
        <w:rPr>
          <w:rFonts w:ascii="Arial" w:cs="Arial" w:eastAsia="Arial" w:hAnsi="Arial"/>
          <w:sz w:val="11"/>
          <w:szCs w:val="11"/>
          <w:color w:val="auto"/>
        </w:rPr>
        <w:t>Reflects a £/$ exchange rate as of December 31, 2013 of 1.6495.</w:t>
      </w:r>
    </w:p>
    <w:p>
      <w:pPr>
        <w:ind w:left="330" w:hanging="330"/>
        <w:spacing w:after="0" w:line="234" w:lineRule="auto"/>
        <w:tabs>
          <w:tab w:leader="none" w:pos="330" w:val="left"/>
        </w:tabs>
        <w:numPr>
          <w:ilvl w:val="0"/>
          <w:numId w:val="67"/>
        </w:numPr>
        <w:rPr>
          <w:rFonts w:ascii="Arial" w:cs="Arial" w:eastAsia="Arial" w:hAnsi="Arial"/>
          <w:sz w:val="11"/>
          <w:szCs w:val="11"/>
          <w:color w:val="auto"/>
        </w:rPr>
      </w:pPr>
      <w:r>
        <w:rPr>
          <w:rFonts w:ascii="Arial" w:cs="Arial" w:eastAsia="Arial" w:hAnsi="Arial"/>
          <w:sz w:val="11"/>
          <w:szCs w:val="11"/>
          <w:color w:val="auto"/>
        </w:rPr>
        <w:t>Mr. Edelman resigned effective March 15, 2013.</w:t>
      </w:r>
    </w:p>
    <w:p>
      <w:pPr>
        <w:ind w:left="330" w:hanging="330"/>
        <w:spacing w:after="0"/>
        <w:tabs>
          <w:tab w:leader="none" w:pos="330" w:val="left"/>
        </w:tabs>
        <w:numPr>
          <w:ilvl w:val="0"/>
          <w:numId w:val="67"/>
        </w:numPr>
        <w:rPr>
          <w:rFonts w:ascii="Arial" w:cs="Arial" w:eastAsia="Arial" w:hAnsi="Arial"/>
          <w:sz w:val="11"/>
          <w:szCs w:val="11"/>
          <w:color w:val="auto"/>
        </w:rPr>
      </w:pPr>
      <w:r>
        <w:rPr>
          <w:rFonts w:ascii="Arial" w:cs="Arial" w:eastAsia="Arial" w:hAnsi="Arial"/>
          <w:sz w:val="11"/>
          <w:szCs w:val="11"/>
          <w:color w:val="auto"/>
        </w:rPr>
        <w:t>Mr. Fox joined the Board effective July 30, 2013.</w:t>
      </w:r>
    </w:p>
    <w:p>
      <w:pPr>
        <w:spacing w:after="0" w:line="1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3" w:lineRule="exact"/>
        <w:rPr>
          <w:sz w:val="20"/>
          <w:szCs w:val="20"/>
          <w:color w:val="auto"/>
        </w:rPr>
      </w:pPr>
    </w:p>
    <w:p>
      <w:pPr>
        <w:ind w:left="10" w:right="20"/>
        <w:spacing w:after="0" w:line="259" w:lineRule="auto"/>
        <w:rPr>
          <w:sz w:val="20"/>
          <w:szCs w:val="20"/>
          <w:color w:val="auto"/>
        </w:rPr>
      </w:pPr>
      <w:r>
        <w:rPr>
          <w:rFonts w:ascii="Arial" w:cs="Arial" w:eastAsia="Arial" w:hAnsi="Arial"/>
          <w:sz w:val="14"/>
          <w:szCs w:val="14"/>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None of these Directors were officers or employees of the Company or any of the Company’s subsidiaries or had any relationship requiring disclosure by the Company under Item 404 of the SEC’s Regulation S-K during 2013 or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64770</wp:posOffset>
            </wp:positionV>
            <wp:extent cx="950595" cy="142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89"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41</w:t>
            </w:r>
          </w:p>
        </w:tc>
      </w:tr>
    </w:tbl>
    <w:p>
      <w:pPr>
        <w:sectPr>
          <w:pgSz w:w="11900" w:h="16838" w:orient="portrait"/>
          <w:cols w:equalWidth="0" w:num="1">
            <w:col w:w="11450"/>
          </w:cols>
          <w:pgMar w:left="230" w:top="407"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REPORT OF AUDIT COMMITTEE</w:t>
      </w:r>
    </w:p>
    <w:p>
      <w:pPr>
        <w:spacing w:after="0" w:line="106"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60" w:lineRule="exact"/>
        <w:rPr>
          <w:sz w:val="20"/>
          <w:szCs w:val="20"/>
          <w:color w:val="auto"/>
        </w:rPr>
      </w:pPr>
    </w:p>
    <w:p>
      <w:pPr>
        <w:ind w:right="260"/>
        <w:spacing w:after="0"/>
        <w:rPr>
          <w:sz w:val="20"/>
          <w:szCs w:val="20"/>
          <w:color w:val="auto"/>
        </w:rPr>
      </w:pPr>
      <w:r>
        <w:rPr>
          <w:rFonts w:ascii="Arial" w:cs="Arial" w:eastAsia="Arial" w:hAnsi="Arial"/>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60"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38"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2013 for filing with the SEC. The Audit Committee also has recommended the selection of the Company’s independent registered public accounting firm for fiscal year 2014.</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THE AUDIT COMMITTEE</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5"/>
          <w:szCs w:val="15"/>
          <w:i w:val="1"/>
          <w:iCs w:val="1"/>
          <w:color w:val="auto"/>
        </w:rPr>
        <w:t>Stender E. Sweeney, Chairman</w:t>
      </w:r>
    </w:p>
    <w:p>
      <w:pPr>
        <w:jc w:val="center"/>
        <w:ind w:right="-59"/>
        <w:spacing w:after="0" w:line="234" w:lineRule="auto"/>
        <w:rPr>
          <w:sz w:val="20"/>
          <w:szCs w:val="20"/>
          <w:color w:val="auto"/>
        </w:rPr>
      </w:pPr>
      <w:r>
        <w:rPr>
          <w:rFonts w:ascii="Arial" w:cs="Arial" w:eastAsia="Arial" w:hAnsi="Arial"/>
          <w:sz w:val="15"/>
          <w:szCs w:val="15"/>
          <w:i w:val="1"/>
          <w:iCs w:val="1"/>
          <w:color w:val="auto"/>
        </w:rPr>
        <w:t>Mary C. Choksi</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5"/>
          <w:szCs w:val="15"/>
          <w:i w:val="1"/>
          <w:iCs w:val="1"/>
          <w:color w:val="auto"/>
        </w:rPr>
        <w:t>Lynn Krominga</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42 </w:t>
      </w:r>
      <w:r>
        <w:rPr>
          <w:sz w:val="1"/>
          <w:szCs w:val="1"/>
          <w:color w:val="auto"/>
        </w:rPr>
        <w:drawing>
          <wp:inline distT="0" distB="0" distL="0" distR="0">
            <wp:extent cx="857885" cy="1143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360"/>
          </w:cols>
          <w:pgMar w:left="240" w:top="407" w:right="2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PROPOSALS TO BE VOTED ON AT MEETING</w:t>
      </w:r>
    </w:p>
    <w:p>
      <w:pPr>
        <w:sectPr>
          <w:pgSz w:w="11900" w:h="16838" w:orient="portrait"/>
          <w:cols w:equalWidth="0" w:num="1">
            <w:col w:w="11340"/>
          </w:cols>
          <w:pgMar w:left="240" w:top="407" w:right="31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NO. 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OF DIRECTORS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Board of Directors has nominated Mses. Choksi and Krominga and Messrs. Cathcart, Coleman, Fox, Hardy, Mestre, Nelson, Salerno and Sweeney to be elected at the Meeting to serve as directors for a one-year term ending at the 2015 annual meeting of stockholders and until his or her successor is duly elected and qualified or until his or her earlier resignation or removal. All of the nominees for director are incumbent nominees and were each elected for one-year terms at the 2013 annual meeting, other than Mr. Fox, who joined the Board in July 2013. For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20"/>
        <w:spacing w:after="0"/>
        <w:rPr>
          <w:sz w:val="20"/>
          <w:szCs w:val="20"/>
          <w:color w:val="auto"/>
        </w:rPr>
      </w:pPr>
      <w:r>
        <w:rPr>
          <w:rFonts w:ascii="Arial" w:cs="Arial" w:eastAsia="Arial" w:hAnsi="Arial"/>
          <w:sz w:val="15"/>
          <w:szCs w:val="15"/>
          <w:color w:val="auto"/>
        </w:rPr>
        <w:t>information regarding each nominee, see “Board of Directors—Biographical Information for Nominees” above.</w:t>
      </w:r>
    </w:p>
    <w:p>
      <w:pPr>
        <w:spacing w:after="0" w:line="60"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proxies may be voted for another person designated as an alternative by the Board or the Board may reduce the number of directors in accordance with the Company’s Amended and Restated Certificate of Incorporation and by-laws.</w:t>
      </w:r>
    </w:p>
    <w:p>
      <w:pPr>
        <w:spacing w:after="0" w:line="200" w:lineRule="exact"/>
        <w:rPr>
          <w:sz w:val="20"/>
          <w:szCs w:val="20"/>
          <w:color w:val="auto"/>
        </w:rPr>
      </w:pPr>
    </w:p>
    <w:p>
      <w:pPr>
        <w:sectPr>
          <w:pgSz w:w="11900" w:h="16838" w:orient="portrait"/>
          <w:cols w:equalWidth="0" w:num="2">
            <w:col w:w="5460" w:space="380"/>
            <w:col w:w="5500"/>
          </w:cols>
          <w:pgMar w:left="240" w:top="407" w:right="319" w:bottom="1440" w:gutter="0" w:footer="0" w:header="0"/>
          <w:type w:val="continuous"/>
        </w:sectPr>
      </w:pP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BOARD OF DIRECTORS RECOMMENDS A VOTE “FOR”</w:t>
      </w:r>
    </w:p>
    <w:p>
      <w:pPr>
        <w:jc w:val="center"/>
        <w:ind w:right="-79"/>
        <w:spacing w:after="0"/>
        <w:rPr>
          <w:sz w:val="20"/>
          <w:szCs w:val="20"/>
          <w:color w:val="auto"/>
        </w:rPr>
      </w:pPr>
      <w:r>
        <w:rPr>
          <w:rFonts w:ascii="Arial" w:cs="Arial" w:eastAsia="Arial" w:hAnsi="Arial"/>
          <w:sz w:val="18"/>
          <w:szCs w:val="18"/>
          <w:color w:val="auto"/>
        </w:rPr>
        <w:t>THE ELECTION OF EACH NOMINEE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79375</wp:posOffset>
            </wp:positionV>
            <wp:extent cx="950595" cy="142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12" w:lineRule="exact"/>
        <w:rPr>
          <w:sz w:val="20"/>
          <w:szCs w:val="20"/>
          <w:color w:val="auto"/>
        </w:rPr>
      </w:pPr>
    </w:p>
    <w:tbl>
      <w:tblPr>
        <w:tblLayout w:type="fixed"/>
        <w:tblInd w:w="948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43</w:t>
            </w:r>
          </w:p>
        </w:tc>
      </w:tr>
    </w:tbl>
    <w:p>
      <w:pPr>
        <w:sectPr>
          <w:pgSz w:w="11900" w:h="16838" w:orient="portrait"/>
          <w:cols w:equalWidth="0" w:num="1">
            <w:col w:w="11340"/>
          </w:cols>
          <w:pgMar w:left="240" w:top="407" w:right="319" w:bottom="1440" w:gutter="0" w:footer="0" w:header="0"/>
          <w:type w:val="continuous"/>
        </w:sectPr>
      </w:pPr>
    </w:p>
    <w:bookmarkStart w:id="49" w:name="page50"/>
    <w:bookmarkEnd w:id="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40"/>
          </w:cols>
          <w:pgMar w:left="240" w:top="407" w:right="219" w:bottom="1440" w:gutter="0" w:footer="0" w:header="0"/>
        </w:sect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NO. 2</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RATIFICATION OF APPOINTMENT OF AUDITORS</w:t>
      </w:r>
    </w:p>
    <w:p>
      <w:pPr>
        <w:spacing w:after="0" w:line="138"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Deloitte &amp; Touche LLP has been appointed by the Audit Committee as the Company’s independent registered public accounting firm for fiscal year 2014. A representative of Deloitte &amp; Touche LLP is expected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auto"/>
        </w:rPr>
        <w:t>be present at the Meeting and will have the opportunity to make a statement if he or she desires to do so and will be available to respond to appropriate questions of stockholders.</w:t>
      </w:r>
    </w:p>
    <w:p>
      <w:pPr>
        <w:spacing w:after="0" w:line="137" w:lineRule="exact"/>
        <w:rPr>
          <w:sz w:val="20"/>
          <w:szCs w:val="20"/>
          <w:color w:val="auto"/>
        </w:rPr>
      </w:pPr>
    </w:p>
    <w:p>
      <w:pPr>
        <w:sectPr>
          <w:pgSz w:w="11900" w:h="16838" w:orient="portrait"/>
          <w:cols w:equalWidth="0" w:num="2">
            <w:col w:w="5160" w:space="680"/>
            <w:col w:w="5600"/>
          </w:cols>
          <w:pgMar w:left="240" w:top="407" w:right="219" w:bottom="1440" w:gutter="0" w:footer="0" w:header="0"/>
          <w:type w:val="continuous"/>
        </w:sectPr>
      </w:pPr>
    </w:p>
    <w:p>
      <w:pPr>
        <w:ind w:right="40"/>
        <w:spacing w:after="0" w:line="259"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 respective affiliates (collectively,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“Deloitte Entities”) for the years ended December 31, 2013 and 2012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ind w:right="474"/>
              <w:spacing w:after="0"/>
              <w:rPr>
                <w:sz w:val="20"/>
                <w:szCs w:val="20"/>
                <w:color w:val="auto"/>
              </w:rPr>
            </w:pPr>
            <w:r>
              <w:rPr>
                <w:rFonts w:ascii="Arial" w:cs="Arial" w:eastAsia="Arial" w:hAnsi="Arial"/>
                <w:sz w:val="11"/>
                <w:szCs w:val="11"/>
                <w:b w:val="1"/>
                <w:bCs w:val="1"/>
                <w:color w:val="auto"/>
              </w:rPr>
              <w:t>Fee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640" w:type="dxa"/>
            <w:vAlign w:val="bottom"/>
            <w:vMerge w:val="restart"/>
          </w:tcPr>
          <w:p>
            <w:pPr>
              <w:spacing w:after="0"/>
              <w:rPr>
                <w:sz w:val="20"/>
                <w:szCs w:val="20"/>
                <w:color w:val="auto"/>
              </w:rPr>
            </w:pPr>
            <w:r>
              <w:rPr>
                <w:rFonts w:ascii="Arial" w:cs="Arial" w:eastAsia="Arial" w:hAnsi="Arial"/>
                <w:sz w:val="11"/>
                <w:szCs w:val="11"/>
                <w:b w:val="1"/>
                <w:bCs w:val="1"/>
                <w:color w:val="auto"/>
              </w:rPr>
              <w:t>Type of Fees</w:t>
            </w:r>
          </w:p>
        </w:tc>
        <w:tc>
          <w:tcPr>
            <w:tcW w:w="1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64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gridSpan w:val="2"/>
          </w:tcPr>
          <w:p>
            <w:pPr>
              <w:jc w:val="right"/>
              <w:ind w:right="67"/>
              <w:spacing w:after="0" w:line="115" w:lineRule="exact"/>
              <w:rPr>
                <w:sz w:val="20"/>
                <w:szCs w:val="20"/>
                <w:color w:val="auto"/>
              </w:rPr>
            </w:pPr>
            <w:r>
              <w:rPr>
                <w:rFonts w:ascii="Arial" w:cs="Arial" w:eastAsia="Arial" w:hAnsi="Arial"/>
                <w:sz w:val="11"/>
                <w:szCs w:val="11"/>
                <w:b w:val="1"/>
                <w:bCs w:val="1"/>
                <w:color w:val="auto"/>
              </w:rPr>
              <w:t>2013</w:t>
            </w:r>
          </w:p>
        </w:tc>
        <w:tc>
          <w:tcPr>
            <w:tcW w:w="1380" w:type="dxa"/>
            <w:vAlign w:val="bottom"/>
            <w:tcBorders>
              <w:bottom w:val="single" w:sz="8" w:color="auto"/>
            </w:tcBorders>
            <w:gridSpan w:val="2"/>
          </w:tcPr>
          <w:p>
            <w:pPr>
              <w:jc w:val="right"/>
              <w:ind w:right="47"/>
              <w:spacing w:after="0" w:line="115" w:lineRule="exact"/>
              <w:rPr>
                <w:sz w:val="20"/>
                <w:szCs w:val="20"/>
                <w:color w:val="auto"/>
              </w:rPr>
            </w:pPr>
            <w:r>
              <w:rPr>
                <w:rFonts w:ascii="Arial" w:cs="Arial" w:eastAsia="Arial" w:hAnsi="Arial"/>
                <w:sz w:val="11"/>
                <w:szCs w:val="11"/>
                <w:b w:val="1"/>
                <w:bCs w:val="1"/>
                <w:color w:val="auto"/>
              </w:rPr>
              <w:t>2012</w:t>
            </w:r>
          </w:p>
        </w:tc>
        <w:tc>
          <w:tcPr>
            <w:tcW w:w="0" w:type="dxa"/>
            <w:vAlign w:val="bottom"/>
          </w:tcPr>
          <w:p>
            <w:pPr>
              <w:spacing w:after="0"/>
              <w:rPr>
                <w:sz w:val="1"/>
                <w:szCs w:val="1"/>
                <w:color w:val="auto"/>
              </w:rPr>
            </w:pPr>
          </w:p>
        </w:tc>
      </w:tr>
      <w:tr>
        <w:trPr>
          <w:trHeight w:val="160"/>
        </w:trPr>
        <w:tc>
          <w:tcPr>
            <w:tcW w:w="864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Audit Fees</w:t>
            </w:r>
          </w:p>
        </w:tc>
        <w:tc>
          <w:tcPr>
            <w:tcW w:w="1100" w:type="dxa"/>
            <w:vAlign w:val="bottom"/>
            <w:shd w:val="clear" w:color="auto" w:fill="D8D8D8"/>
          </w:tcPr>
          <w:p>
            <w:pPr>
              <w:jc w:val="right"/>
              <w:spacing w:after="0" w:line="160" w:lineRule="exact"/>
              <w:rPr>
                <w:sz w:val="20"/>
                <w:szCs w:val="20"/>
                <w:color w:val="auto"/>
              </w:rPr>
            </w:pPr>
            <w:r>
              <w:rPr>
                <w:rFonts w:ascii="Arial" w:cs="Arial" w:eastAsia="Arial" w:hAnsi="Arial"/>
                <w:sz w:val="15"/>
                <w:szCs w:val="15"/>
                <w:color w:val="auto"/>
              </w:rPr>
              <w:t>$</w:t>
            </w:r>
          </w:p>
        </w:tc>
        <w:tc>
          <w:tcPr>
            <w:tcW w:w="320" w:type="dxa"/>
            <w:vAlign w:val="bottom"/>
            <w:shd w:val="clear" w:color="auto" w:fill="D8D8D8"/>
          </w:tcPr>
          <w:p>
            <w:pPr>
              <w:jc w:val="right"/>
              <w:ind w:right="27"/>
              <w:spacing w:after="0" w:line="160" w:lineRule="exact"/>
              <w:rPr>
                <w:sz w:val="20"/>
                <w:szCs w:val="20"/>
                <w:color w:val="auto"/>
              </w:rPr>
            </w:pPr>
            <w:r>
              <w:rPr>
                <w:rFonts w:ascii="Arial" w:cs="Arial" w:eastAsia="Arial" w:hAnsi="Arial"/>
                <w:sz w:val="15"/>
                <w:szCs w:val="15"/>
                <w:color w:val="auto"/>
                <w:w w:val="95"/>
              </w:rPr>
              <w:t>7.8</w:t>
            </w:r>
          </w:p>
        </w:tc>
        <w:tc>
          <w:tcPr>
            <w:tcW w:w="1080" w:type="dxa"/>
            <w:vAlign w:val="bottom"/>
            <w:shd w:val="clear" w:color="auto" w:fill="D8D8D8"/>
          </w:tcPr>
          <w:p>
            <w:pPr>
              <w:jc w:val="right"/>
              <w:spacing w:after="0" w:line="160" w:lineRule="exact"/>
              <w:rPr>
                <w:sz w:val="20"/>
                <w:szCs w:val="20"/>
                <w:color w:val="auto"/>
              </w:rPr>
            </w:pPr>
            <w:r>
              <w:rPr>
                <w:rFonts w:ascii="Arial" w:cs="Arial" w:eastAsia="Arial" w:hAnsi="Arial"/>
                <w:sz w:val="15"/>
                <w:szCs w:val="15"/>
                <w:color w:val="auto"/>
              </w:rPr>
              <w:t>$</w:t>
            </w:r>
          </w:p>
        </w:tc>
        <w:tc>
          <w:tcPr>
            <w:tcW w:w="300" w:type="dxa"/>
            <w:vAlign w:val="bottom"/>
            <w:shd w:val="clear" w:color="auto" w:fill="D8D8D8"/>
          </w:tcPr>
          <w:p>
            <w:pPr>
              <w:jc w:val="right"/>
              <w:ind w:right="27"/>
              <w:spacing w:after="0" w:line="160" w:lineRule="exact"/>
              <w:rPr>
                <w:sz w:val="20"/>
                <w:szCs w:val="20"/>
                <w:color w:val="auto"/>
              </w:rPr>
            </w:pPr>
            <w:r>
              <w:rPr>
                <w:rFonts w:ascii="Arial" w:cs="Arial" w:eastAsia="Arial" w:hAnsi="Arial"/>
                <w:sz w:val="15"/>
                <w:szCs w:val="15"/>
                <w:color w:val="auto"/>
                <w:w w:val="86"/>
              </w:rPr>
              <w:t>7.0</w:t>
            </w:r>
          </w:p>
        </w:tc>
        <w:tc>
          <w:tcPr>
            <w:tcW w:w="0" w:type="dxa"/>
            <w:vAlign w:val="bottom"/>
          </w:tcPr>
          <w:p>
            <w:pPr>
              <w:spacing w:after="0"/>
              <w:rPr>
                <w:sz w:val="1"/>
                <w:szCs w:val="1"/>
                <w:color w:val="auto"/>
              </w:rPr>
            </w:pPr>
          </w:p>
        </w:tc>
      </w:tr>
      <w:tr>
        <w:trPr>
          <w:trHeight w:val="169"/>
        </w:trPr>
        <w:tc>
          <w:tcPr>
            <w:tcW w:w="8640" w:type="dxa"/>
            <w:vAlign w:val="bottom"/>
          </w:tcPr>
          <w:p>
            <w:pPr>
              <w:spacing w:after="0" w:line="169" w:lineRule="exact"/>
              <w:rPr>
                <w:sz w:val="20"/>
                <w:szCs w:val="20"/>
                <w:color w:val="auto"/>
              </w:rPr>
            </w:pPr>
            <w:r>
              <w:rPr>
                <w:rFonts w:ascii="Arial" w:cs="Arial" w:eastAsia="Arial" w:hAnsi="Arial"/>
                <w:sz w:val="15"/>
                <w:szCs w:val="15"/>
                <w:color w:val="auto"/>
              </w:rPr>
              <w:t>Audit-Related Fees</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27"/>
              <w:spacing w:after="0" w:line="169" w:lineRule="exact"/>
              <w:rPr>
                <w:sz w:val="20"/>
                <w:szCs w:val="20"/>
                <w:color w:val="auto"/>
              </w:rPr>
            </w:pPr>
            <w:r>
              <w:rPr>
                <w:rFonts w:ascii="Arial" w:cs="Arial" w:eastAsia="Arial" w:hAnsi="Arial"/>
                <w:sz w:val="15"/>
                <w:szCs w:val="15"/>
                <w:color w:val="auto"/>
                <w:w w:val="95"/>
              </w:rPr>
              <w:t>1.9</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27"/>
              <w:spacing w:after="0" w:line="169" w:lineRule="exact"/>
              <w:rPr>
                <w:sz w:val="20"/>
                <w:szCs w:val="20"/>
                <w:color w:val="auto"/>
              </w:rPr>
            </w:pPr>
            <w:r>
              <w:rPr>
                <w:rFonts w:ascii="Arial" w:cs="Arial" w:eastAsia="Arial" w:hAnsi="Arial"/>
                <w:sz w:val="15"/>
                <w:szCs w:val="15"/>
                <w:color w:val="auto"/>
                <w:w w:val="86"/>
              </w:rPr>
              <w:t>1.8</w:t>
            </w:r>
          </w:p>
        </w:tc>
        <w:tc>
          <w:tcPr>
            <w:tcW w:w="0" w:type="dxa"/>
            <w:vAlign w:val="bottom"/>
          </w:tcPr>
          <w:p>
            <w:pPr>
              <w:spacing w:after="0"/>
              <w:rPr>
                <w:sz w:val="1"/>
                <w:szCs w:val="1"/>
                <w:color w:val="auto"/>
              </w:rPr>
            </w:pPr>
          </w:p>
        </w:tc>
      </w:tr>
      <w:tr>
        <w:trPr>
          <w:trHeight w:val="169"/>
        </w:trPr>
        <w:tc>
          <w:tcPr>
            <w:tcW w:w="864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Tax Fees</w:t>
            </w:r>
          </w:p>
        </w:tc>
        <w:tc>
          <w:tcPr>
            <w:tcW w:w="110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D8D8D8"/>
          </w:tcPr>
          <w:p>
            <w:pPr>
              <w:jc w:val="right"/>
              <w:ind w:right="27"/>
              <w:spacing w:after="0" w:line="169" w:lineRule="exact"/>
              <w:rPr>
                <w:sz w:val="20"/>
                <w:szCs w:val="20"/>
                <w:color w:val="auto"/>
              </w:rPr>
            </w:pPr>
            <w:r>
              <w:rPr>
                <w:rFonts w:ascii="Arial" w:cs="Arial" w:eastAsia="Arial" w:hAnsi="Arial"/>
                <w:sz w:val="15"/>
                <w:szCs w:val="15"/>
                <w:color w:val="auto"/>
                <w:w w:val="95"/>
              </w:rPr>
              <w:t>3.9</w:t>
            </w:r>
          </w:p>
        </w:tc>
        <w:tc>
          <w:tcPr>
            <w:tcW w:w="1080" w:type="dxa"/>
            <w:vAlign w:val="bottom"/>
            <w:shd w:val="clear" w:color="auto" w:fill="D8D8D8"/>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D8D8D8"/>
          </w:tcPr>
          <w:p>
            <w:pPr>
              <w:jc w:val="right"/>
              <w:ind w:right="27"/>
              <w:spacing w:after="0" w:line="169" w:lineRule="exact"/>
              <w:rPr>
                <w:sz w:val="20"/>
                <w:szCs w:val="20"/>
                <w:color w:val="auto"/>
              </w:rPr>
            </w:pPr>
            <w:r>
              <w:rPr>
                <w:rFonts w:ascii="Arial" w:cs="Arial" w:eastAsia="Arial" w:hAnsi="Arial"/>
                <w:sz w:val="15"/>
                <w:szCs w:val="15"/>
                <w:color w:val="auto"/>
                <w:w w:val="86"/>
              </w:rPr>
              <w:t>5.1</w:t>
            </w:r>
          </w:p>
        </w:tc>
        <w:tc>
          <w:tcPr>
            <w:tcW w:w="0" w:type="dxa"/>
            <w:vAlign w:val="bottom"/>
          </w:tcPr>
          <w:p>
            <w:pPr>
              <w:spacing w:after="0"/>
              <w:rPr>
                <w:sz w:val="1"/>
                <w:szCs w:val="1"/>
                <w:color w:val="auto"/>
              </w:rPr>
            </w:pPr>
          </w:p>
        </w:tc>
      </w:tr>
      <w:tr>
        <w:trPr>
          <w:trHeight w:val="169"/>
        </w:trPr>
        <w:tc>
          <w:tcPr>
            <w:tcW w:w="86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All Other Fees</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40"/>
          </w:cols>
          <w:pgMar w:left="240" w:top="407" w:right="219" w:bottom="1440" w:gutter="0" w:footer="0" w:header="0"/>
          <w:type w:val="continuous"/>
        </w:sectPr>
      </w:pPr>
    </w:p>
    <w:p>
      <w:pPr>
        <w:spacing w:after="0" w:line="239"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audit fees primarily relate to the audit of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consolidated financial statements for the fiscal years ended December 31, 2013 and 2012 and for the reviews of the consolidated condensed financial statements included in the Company’s Quarterly Reports on Form 10-Q and for other attest services, including services related to regulatory and statutory filings and financings.</w:t>
      </w:r>
    </w:p>
    <w:p>
      <w:pPr>
        <w:spacing w:after="0" w:line="50" w:lineRule="exact"/>
        <w:rPr>
          <w:sz w:val="20"/>
          <w:szCs w:val="20"/>
          <w:color w:val="auto"/>
        </w:rPr>
      </w:pPr>
    </w:p>
    <w:p>
      <w:pPr>
        <w:spacing w:after="0" w:line="247" w:lineRule="auto"/>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The aggregate audit-related fees for 2013 and 2012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relate to services in connection with due diligence pertaining to potential transactions or investments and audits of employee benefit plans.</w:t>
      </w:r>
    </w:p>
    <w:p>
      <w:pPr>
        <w:spacing w:after="0" w:line="42"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The aggregate fees billed for tax services for the fiscal years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2013 and 2012 relate to tax compliance, tax advice and tax planning. For the fiscal year ended December 31, 2013, approximately $2.9 million of such fees related to tax compliance and approximately $1.0 million related to tax advice and tax planning. For the fiscal year ended December 31, 2012, approximately $4.1 million of such fees related to tax compliance and approximately $1.0 million related to tax advice and tax planning.</w:t>
      </w:r>
    </w:p>
    <w:p>
      <w:pPr>
        <w:spacing w:after="0" w:line="47" w:lineRule="exact"/>
        <w:rPr>
          <w:sz w:val="20"/>
          <w:szCs w:val="20"/>
          <w:color w:val="auto"/>
        </w:rPr>
      </w:pPr>
    </w:p>
    <w:p>
      <w:pPr>
        <w:ind w:right="200"/>
        <w:spacing w:after="0" w:line="259" w:lineRule="auto"/>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fees for the fiscal years ended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2013 and 2012.</w:t>
      </w:r>
    </w:p>
    <w:p>
      <w:pPr>
        <w:spacing w:after="0" w:line="47" w:lineRule="exact"/>
        <w:rPr>
          <w:sz w:val="20"/>
          <w:szCs w:val="20"/>
          <w:color w:val="auto"/>
        </w:rPr>
      </w:pPr>
    </w:p>
    <w:p>
      <w:pPr>
        <w:ind w:right="140"/>
        <w:spacing w:after="0" w:line="237" w:lineRule="auto"/>
        <w:rPr>
          <w:sz w:val="20"/>
          <w:szCs w:val="20"/>
          <w:color w:val="auto"/>
        </w:rPr>
      </w:pPr>
      <w:r>
        <w:rPr>
          <w:rFonts w:ascii="Arial" w:cs="Arial" w:eastAsia="Arial" w:hAnsi="Arial"/>
          <w:sz w:val="15"/>
          <w:szCs w:val="15"/>
          <w:color w:val="auto"/>
        </w:rPr>
        <w:t>Approximately $1.4 million and $1.1 million of tax fees for 2013 and 2012, respectively, were related to the separation of our company in 2006. The Company was reimbursed for virtually all of such costs by two former subsidiaries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44 </w:t>
      </w:r>
      <w:r>
        <w:rPr>
          <w:sz w:val="1"/>
          <w:szCs w:val="1"/>
          <w:color w:val="auto"/>
        </w:rPr>
        <w:drawing>
          <wp:inline distT="0" distB="0" distL="0" distR="0">
            <wp:extent cx="857885" cy="1143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ind w:right="140"/>
        <w:spacing w:after="0" w:line="236" w:lineRule="auto"/>
        <w:rPr>
          <w:sz w:val="20"/>
          <w:szCs w:val="20"/>
          <w:color w:val="auto"/>
        </w:rPr>
      </w:pPr>
      <w:r>
        <w:rPr>
          <w:rFonts w:ascii="Arial" w:cs="Arial" w:eastAsia="Arial" w:hAnsi="Arial"/>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61"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auto"/>
        </w:rPr>
        <w:t>The Company’s Audit Committee is responsible for appointing the Company’s independent registered public accounting firm and approving the terms of the independent registered public accounting firm’s services. The Audit Committee has established a policy for the pre-approval of all audit and permissible non-audit services to be provided by the independent registered public accounting firm, as described below.</w:t>
      </w:r>
    </w:p>
    <w:p>
      <w:pPr>
        <w:spacing w:after="0" w:line="63" w:lineRule="exact"/>
        <w:rPr>
          <w:sz w:val="20"/>
          <w:szCs w:val="20"/>
          <w:color w:val="auto"/>
        </w:rPr>
      </w:pPr>
    </w:p>
    <w:p>
      <w:pPr>
        <w:ind w:right="180"/>
        <w:spacing w:after="0" w:line="236" w:lineRule="auto"/>
        <w:rPr>
          <w:sz w:val="20"/>
          <w:szCs w:val="20"/>
          <w:color w:val="auto"/>
        </w:rPr>
      </w:pPr>
      <w:r>
        <w:rPr>
          <w:rFonts w:ascii="Arial" w:cs="Arial" w:eastAsia="Arial" w:hAnsi="Arial"/>
          <w:sz w:val="15"/>
          <w:szCs w:val="15"/>
          <w:color w:val="auto"/>
        </w:rPr>
        <w:t>All services performed by the independent registered public accounting firm in 2013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The policy requires that prior to the beginning of each fiscal year, a description of the services (the “Service List”) anticipated to be performed by the independent registered public accounting firm in each of the Disclosure Categories in the ensuing fiscal year be presented to the Audit Committee for approval.</w:t>
      </w:r>
    </w:p>
    <w:p>
      <w:pPr>
        <w:sectPr>
          <w:pgSz w:w="11900" w:h="16838" w:orient="portrait"/>
          <w:cols w:equalWidth="0" w:num="2">
            <w:col w:w="5480" w:space="360"/>
            <w:col w:w="5600"/>
          </w:cols>
          <w:pgMar w:left="240" w:top="407" w:right="219" w:bottom="1440" w:gutter="0" w:footer="0" w:header="0"/>
          <w:type w:val="continuous"/>
        </w:sectPr>
      </w:pPr>
    </w:p>
    <w:bookmarkStart w:id="50" w:name="page51"/>
    <w:bookmarkEnd w:id="5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61"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On a quarterly basis, the Audit Committee reviews the status of services and fees incurred year-to-date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220" w:lineRule="exact"/>
        <w:rPr>
          <w:sz w:val="20"/>
          <w:szCs w:val="20"/>
          <w:color w:val="auto"/>
        </w:rPr>
      </w:pPr>
    </w:p>
    <w:p>
      <w:pPr>
        <w:ind w:right="60"/>
        <w:spacing w:after="0"/>
        <w:rPr>
          <w:sz w:val="20"/>
          <w:szCs w:val="20"/>
          <w:color w:val="auto"/>
        </w:rPr>
      </w:pPr>
      <w:r>
        <w:rPr>
          <w:rFonts w:ascii="Arial" w:cs="Arial" w:eastAsia="Arial" w:hAnsi="Arial"/>
          <w:sz w:val="15"/>
          <w:szCs w:val="15"/>
          <w:color w:val="auto"/>
        </w:rPr>
        <w:t>compared to the original Service List and the forecast of remaining services and fees for the fiscal year.</w:t>
      </w:r>
    </w:p>
    <w:p>
      <w:pPr>
        <w:spacing w:after="0" w:line="60" w:lineRule="exact"/>
        <w:rPr>
          <w:sz w:val="20"/>
          <w:szCs w:val="20"/>
          <w:color w:val="auto"/>
        </w:rPr>
      </w:pPr>
    </w:p>
    <w:p>
      <w:pPr>
        <w:ind w:right="320"/>
        <w:spacing w:after="0" w:line="237"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2013 and 2012 under such provision.</w:t>
      </w:r>
    </w:p>
    <w:p>
      <w:pPr>
        <w:spacing w:after="0" w:line="62"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Although not required by the Company’s by-laws or otherwise, the Board of Directors is submitting for stockholder ratification the selection of Deloitte &amp; Touche LLP as the Company’s independent registered public accounting firm. If the selection is not ratified, the Audit Committee will consider whether it is appropriate to select another independent registered public accounting firm.</w:t>
      </w:r>
    </w:p>
    <w:p>
      <w:pPr>
        <w:spacing w:after="0" w:line="200" w:lineRule="exact"/>
        <w:rPr>
          <w:sz w:val="20"/>
          <w:szCs w:val="20"/>
          <w:color w:val="auto"/>
        </w:rPr>
      </w:pPr>
    </w:p>
    <w:p>
      <w:pPr>
        <w:sectPr>
          <w:pgSz w:w="11900" w:h="16838" w:orient="portrait"/>
          <w:cols w:equalWidth="0" w:num="2">
            <w:col w:w="5460" w:space="380"/>
            <w:col w:w="5540"/>
          </w:cols>
          <w:pgMar w:left="240" w:top="407" w:right="279" w:bottom="1440" w:gutter="0" w:footer="0" w:header="0"/>
        </w:sectPr>
      </w:pPr>
    </w:p>
    <w:p>
      <w:pPr>
        <w:spacing w:after="0" w:line="43" w:lineRule="exact"/>
        <w:rPr>
          <w:sz w:val="20"/>
          <w:szCs w:val="20"/>
          <w:color w:val="auto"/>
        </w:rPr>
      </w:pPr>
    </w:p>
    <w:p>
      <w:pPr>
        <w:jc w:val="center"/>
        <w:ind w:left="2320" w:right="2280"/>
        <w:spacing w:after="0" w:line="239" w:lineRule="auto"/>
        <w:rPr>
          <w:sz w:val="20"/>
          <w:szCs w:val="20"/>
          <w:color w:val="auto"/>
        </w:rPr>
      </w:pPr>
      <w:r>
        <w:rPr>
          <w:rFonts w:ascii="Arial" w:cs="Arial" w:eastAsia="Arial" w:hAnsi="Arial"/>
          <w:sz w:val="18"/>
          <w:szCs w:val="18"/>
          <w:color w:val="auto"/>
        </w:rPr>
        <w:t>THE BOARD OF DIRECTORS RECOMMENDS A VOTE “FOR” THE RATIFICATION OF DELOITTE &amp; TOUCHE LLP AS THE COMPANY’S INDEPENDENT REGISTERED PUBLIC ACCOUNTING FIRM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73025</wp:posOffset>
            </wp:positionV>
            <wp:extent cx="950595" cy="142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2" w:lineRule="exact"/>
        <w:rPr>
          <w:sz w:val="20"/>
          <w:szCs w:val="20"/>
          <w:color w:val="auto"/>
        </w:rPr>
      </w:pPr>
    </w:p>
    <w:tbl>
      <w:tblPr>
        <w:tblLayout w:type="fixed"/>
        <w:tblInd w:w="948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45</w:t>
            </w:r>
          </w:p>
        </w:tc>
      </w:tr>
    </w:tbl>
    <w:p>
      <w:pPr>
        <w:sectPr>
          <w:pgSz w:w="11900" w:h="16838" w:orient="portrait"/>
          <w:cols w:equalWidth="0" w:num="1">
            <w:col w:w="11380"/>
          </w:cols>
          <w:pgMar w:left="240" w:top="407" w:right="279" w:bottom="1440" w:gutter="0" w:footer="0" w:header="0"/>
          <w:type w:val="continuous"/>
        </w:sectPr>
      </w:pPr>
    </w:p>
    <w:bookmarkStart w:id="51" w:name="page52"/>
    <w:bookmarkEnd w:id="5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NO. 3</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ADVISORY APPROVAL OF EXECUTIVE COMPENSATION</w:t>
      </w:r>
    </w:p>
    <w:p>
      <w:pPr>
        <w:spacing w:after="0" w:line="138"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As required by Section 14A of the Exchange Act, the Company is asking its stockholders to approve an advisory resolution to approve the compensation of our named executive officers as follows:</w:t>
      </w:r>
    </w:p>
    <w:p>
      <w:pPr>
        <w:spacing w:after="0" w:line="47"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60"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This vote is not intended to address any specific item of compensation, but rather the overall compensation of our named executive officers, as described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-1985645</wp:posOffset>
            </wp:positionV>
            <wp:extent cx="73088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5440" w:space="400"/>
            <w:col w:w="5380"/>
          </w:cols>
          <w:pgMar w:left="240" w:top="407" w:right="439" w:bottom="1440" w:gutter="0" w:footer="0" w:header="0"/>
        </w:sectPr>
      </w:pPr>
    </w:p>
    <w:p>
      <w:pPr>
        <w:spacing w:after="0" w:line="4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THE BOARD OF DIRECTORS RECOMMENDS A VOTE “FOR” THE</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APPROVAL OF THE RESOLUTION SET FORTH ABOVE.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46 </w:t>
      </w:r>
      <w:r>
        <w:rPr>
          <w:sz w:val="1"/>
          <w:szCs w:val="1"/>
          <w:color w:val="auto"/>
        </w:rPr>
        <w:drawing>
          <wp:inline distT="0" distB="0" distL="0" distR="0">
            <wp:extent cx="857885" cy="1143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220"/>
          </w:cols>
          <w:pgMar w:left="240" w:top="407" w:right="439" w:bottom="1440" w:gutter="0" w:footer="0" w:header="0"/>
          <w:type w:val="continuous"/>
        </w:sectPr>
      </w:pPr>
    </w:p>
    <w:bookmarkStart w:id="52" w:name="page53"/>
    <w:bookmarkEnd w:id="52"/>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PROPOSAL NO. 4</w:t>
      </w:r>
    </w:p>
    <w:p>
      <w:pPr>
        <w:spacing w:after="0" w:line="74" w:lineRule="exact"/>
        <w:rPr>
          <w:sz w:val="20"/>
          <w:szCs w:val="20"/>
          <w:color w:val="auto"/>
        </w:rPr>
      </w:pPr>
    </w:p>
    <w:p>
      <w:pPr>
        <w:ind w:left="10"/>
        <w:spacing w:after="0" w:line="334" w:lineRule="auto"/>
        <w:rPr>
          <w:sz w:val="20"/>
          <w:szCs w:val="20"/>
          <w:color w:val="auto"/>
        </w:rPr>
      </w:pPr>
      <w:r>
        <w:rPr>
          <w:rFonts w:ascii="Arial" w:cs="Arial" w:eastAsia="Arial" w:hAnsi="Arial"/>
          <w:sz w:val="20"/>
          <w:szCs w:val="20"/>
          <w:b w:val="1"/>
          <w:bCs w:val="1"/>
          <w:color w:val="auto"/>
        </w:rPr>
        <w:t>PROPOSAL TO APPROVE THE AVIS BUDGET GROUP, INC. AMENDED AND RESTATED EQUITY AND INCENTIVE PLAN</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Introduction</w:t>
      </w:r>
    </w:p>
    <w:p>
      <w:pPr>
        <w:spacing w:after="0" w:line="93" w:lineRule="exact"/>
        <w:rPr>
          <w:sz w:val="20"/>
          <w:szCs w:val="20"/>
          <w:color w:val="auto"/>
        </w:rPr>
      </w:pPr>
    </w:p>
    <w:p>
      <w:pPr>
        <w:ind w:left="10" w:right="360"/>
        <w:spacing w:after="0" w:line="237" w:lineRule="auto"/>
        <w:rPr>
          <w:sz w:val="20"/>
          <w:szCs w:val="20"/>
          <w:color w:val="auto"/>
        </w:rPr>
      </w:pPr>
      <w:r>
        <w:rPr>
          <w:rFonts w:ascii="Arial" w:cs="Arial" w:eastAsia="Arial" w:hAnsi="Arial"/>
          <w:sz w:val="15"/>
          <w:szCs w:val="15"/>
          <w:color w:val="auto"/>
        </w:rPr>
        <w:t>In March 2014, the Board approved, subject to stockholder approval at the Annual Meeting, an amendment and restatement to the Avis Budget Group, Inc. Amended and Restated 2007 Equity and Incentive Plan (the “Plan”), initially approved by stockholders in 2007 and most recently amended and restated with stockholder approval in 2012, to:</w:t>
      </w:r>
    </w:p>
    <w:p>
      <w:pPr>
        <w:spacing w:after="0" w:line="60" w:lineRule="exact"/>
        <w:rPr>
          <w:sz w:val="20"/>
          <w:szCs w:val="20"/>
          <w:color w:val="auto"/>
        </w:rPr>
      </w:pPr>
    </w:p>
    <w:p>
      <w:pPr>
        <w:ind w:left="210" w:right="760" w:hanging="210"/>
        <w:spacing w:after="0"/>
        <w:tabs>
          <w:tab w:leader="none" w:pos="2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increase the number of shares authorized for issuance under the Plan by 2,500,000 shares;</w:t>
      </w:r>
    </w:p>
    <w:p>
      <w:pPr>
        <w:spacing w:after="0" w:line="60" w:lineRule="exact"/>
        <w:rPr>
          <w:rFonts w:ascii="Arial" w:cs="Arial" w:eastAsia="Arial" w:hAnsi="Arial"/>
          <w:sz w:val="15"/>
          <w:szCs w:val="15"/>
          <w:color w:val="auto"/>
        </w:rPr>
      </w:pPr>
    </w:p>
    <w:p>
      <w:pPr>
        <w:ind w:left="210" w:hanging="210"/>
        <w:spacing w:after="0"/>
        <w:tabs>
          <w:tab w:leader="none" w:pos="2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extend the term to May 23, 2024;</w:t>
      </w:r>
    </w:p>
    <w:p>
      <w:pPr>
        <w:spacing w:after="0" w:line="63" w:lineRule="exact"/>
        <w:rPr>
          <w:rFonts w:ascii="Arial" w:cs="Arial" w:eastAsia="Arial" w:hAnsi="Arial"/>
          <w:sz w:val="15"/>
          <w:szCs w:val="15"/>
          <w:color w:val="auto"/>
        </w:rPr>
      </w:pPr>
    </w:p>
    <w:p>
      <w:pPr>
        <w:ind w:left="210" w:right="200" w:hanging="210"/>
        <w:spacing w:after="0" w:line="237" w:lineRule="auto"/>
        <w:tabs>
          <w:tab w:leader="none" w:pos="2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provide for annual limits on equity awards to non-employee directors of $1.0 million, and increase the limit on cash awards intended to qualify as performance-based compensation for purposes of Section 162(m) of the Internal Revenue Code of 1986, as amended (“Section162(m)”) to $10 million for any annual performance period; and</w:t>
      </w:r>
    </w:p>
    <w:p>
      <w:pPr>
        <w:spacing w:after="0" w:line="60" w:lineRule="exact"/>
        <w:rPr>
          <w:rFonts w:ascii="Arial" w:cs="Arial" w:eastAsia="Arial" w:hAnsi="Arial"/>
          <w:sz w:val="15"/>
          <w:szCs w:val="15"/>
          <w:color w:val="auto"/>
        </w:rPr>
      </w:pPr>
    </w:p>
    <w:p>
      <w:pPr>
        <w:ind w:left="210" w:right="300" w:hanging="210"/>
        <w:spacing w:after="0" w:line="237" w:lineRule="auto"/>
        <w:tabs>
          <w:tab w:leader="none" w:pos="2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re-approve the material terms of the performance goals under the Plan for purposes of preserving the ability to grant awards to covered executives under the Plan that are intended to qualify as performance-based compensation that is deductible under Section 162(m).</w:t>
      </w:r>
    </w:p>
    <w:p>
      <w:pPr>
        <w:spacing w:after="0" w:line="62" w:lineRule="exact"/>
        <w:rPr>
          <w:sz w:val="20"/>
          <w:szCs w:val="20"/>
          <w:color w:val="auto"/>
        </w:rPr>
      </w:pPr>
    </w:p>
    <w:p>
      <w:pPr>
        <w:ind w:left="10" w:right="240"/>
        <w:spacing w:after="0" w:line="237" w:lineRule="auto"/>
        <w:rPr>
          <w:sz w:val="20"/>
          <w:szCs w:val="20"/>
          <w:color w:val="auto"/>
        </w:rPr>
      </w:pPr>
      <w:r>
        <w:rPr>
          <w:rFonts w:ascii="Arial" w:cs="Arial" w:eastAsia="Arial" w:hAnsi="Arial"/>
          <w:sz w:val="15"/>
          <w:szCs w:val="15"/>
          <w:color w:val="auto"/>
        </w:rPr>
        <w:t>Under Section 162(m), we must seek your approval at five-year intervals to preserve the federal income tax deduction. Failure to attain stockholder approval for this proposal, however, will not impact our ability to grant awards to covered executives under the Plan that are intended to qualify as performance-based compensation that is deductible under Section 162(m) until 2017.</w:t>
      </w:r>
    </w:p>
    <w:p>
      <w:pPr>
        <w:spacing w:after="0" w:line="60" w:lineRule="exact"/>
        <w:rPr>
          <w:sz w:val="20"/>
          <w:szCs w:val="20"/>
          <w:color w:val="auto"/>
        </w:rPr>
      </w:pPr>
    </w:p>
    <w:p>
      <w:pPr>
        <w:ind w:left="10" w:right="320"/>
        <w:spacing w:after="0" w:line="237" w:lineRule="auto"/>
        <w:rPr>
          <w:sz w:val="20"/>
          <w:szCs w:val="20"/>
          <w:color w:val="auto"/>
        </w:rPr>
      </w:pPr>
      <w:r>
        <w:rPr>
          <w:rFonts w:ascii="Arial" w:cs="Arial" w:eastAsia="Arial" w:hAnsi="Arial"/>
          <w:sz w:val="15"/>
          <w:szCs w:val="15"/>
          <w:color w:val="auto"/>
        </w:rPr>
        <w:t>Upon stockholder approval, the Plan will be renamed the “Avis Budget Group, Inc. Amended and Restated Equity and Incentive Plan” and the Plan will also be amended to require that dividends and dividend equivalents be deferred during any restricted period applicable to awards subject to the attainment of performance goals.</w:t>
      </w:r>
    </w:p>
    <w:p>
      <w:pPr>
        <w:spacing w:after="0" w:line="60" w:lineRule="exact"/>
        <w:rPr>
          <w:sz w:val="20"/>
          <w:szCs w:val="20"/>
          <w:color w:val="auto"/>
        </w:rPr>
      </w:pPr>
    </w:p>
    <w:p>
      <w:pPr>
        <w:ind w:left="10" w:right="340"/>
        <w:spacing w:after="0" w:line="259" w:lineRule="auto"/>
        <w:rPr>
          <w:sz w:val="20"/>
          <w:szCs w:val="20"/>
          <w:color w:val="auto"/>
        </w:rPr>
      </w:pPr>
      <w:r>
        <w:rPr>
          <w:rFonts w:ascii="Arial" w:cs="Arial" w:eastAsia="Arial" w:hAnsi="Arial"/>
          <w:sz w:val="14"/>
          <w:szCs w:val="14"/>
          <w:color w:val="auto"/>
        </w:rPr>
        <w:t>In recent years, we have grown organically as well as through acquisitions that provide profitable growth opportunities, most notably the acquisition of Avis Europe Plc in 2011 and more recently the acquisition of Zipcar, Inc., the world leader in car sharing, in 2013. Our Company’s growth over the past several years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led to a significant increase in shareholder value. Over the course of 2012 and 2013, our market capitalization more than doubled to over $4.0 billion driven by a more than 250% increase in our stock price, making us one of the top-performing U.S. stocks over that period. The Board believes the Company’s performance is due, in large part, to its highly engaged and service-focused employees and that our future success depends on our ability to attract and retain talented employees. The Board believes that equity awards can be a powerful recruiting and retention tool, while recognizing the need to be cognizant of the dilutive effect of such awards. The Board authorized a $200 million share repurchase program in 2013, and we repurchased 1.6 million shares of our Common Stock under such program last year. Share repurchases can have the effect of offsetting or neutralizing the impact of dilution from equity awards.</w:t>
      </w:r>
    </w:p>
    <w:p>
      <w:pPr>
        <w:spacing w:after="0" w:line="67"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The Plan includes key provisions designed to protect stockholder interests, promote effective corporate governance and reflect use of corporate governance best practices including, but not limited to, the following:</w:t>
      </w:r>
    </w:p>
    <w:p>
      <w:pPr>
        <w:spacing w:after="0" w:line="47" w:lineRule="exact"/>
        <w:rPr>
          <w:sz w:val="20"/>
          <w:szCs w:val="20"/>
          <w:color w:val="auto"/>
        </w:rPr>
      </w:pPr>
    </w:p>
    <w:p>
      <w:pPr>
        <w:ind w:left="200" w:right="260" w:hanging="198"/>
        <w:spacing w:after="0" w:line="295" w:lineRule="auto"/>
        <w:tabs>
          <w:tab w:leader="none" w:pos="20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No Discounted Options. </w:t>
      </w:r>
      <w:r>
        <w:rPr>
          <w:rFonts w:ascii="Arial" w:cs="Arial" w:eastAsia="Arial" w:hAnsi="Arial"/>
          <w:sz w:val="14"/>
          <w:szCs w:val="14"/>
          <w:color w:val="auto"/>
        </w:rPr>
        <w:t>Stock options may not be granted with exercise prices</w:t>
      </w:r>
      <w:r>
        <w:rPr>
          <w:rFonts w:ascii="Arial" w:cs="Arial" w:eastAsia="Arial" w:hAnsi="Arial"/>
          <w:sz w:val="14"/>
          <w:szCs w:val="14"/>
          <w:i w:val="1"/>
          <w:iCs w:val="1"/>
          <w:color w:val="auto"/>
        </w:rPr>
        <w:t xml:space="preserve"> </w:t>
      </w:r>
      <w:r>
        <w:rPr>
          <w:rFonts w:ascii="Arial" w:cs="Arial" w:eastAsia="Arial" w:hAnsi="Arial"/>
          <w:sz w:val="14"/>
          <w:szCs w:val="14"/>
          <w:color w:val="auto"/>
        </w:rPr>
        <w:t>lower than the fair market value of the underlying shares on the grant date.</w:t>
      </w:r>
    </w:p>
    <w:p>
      <w:pPr>
        <w:spacing w:after="0" w:line="9" w:lineRule="exact"/>
        <w:rPr>
          <w:rFonts w:ascii="Arial" w:cs="Arial" w:eastAsia="Arial" w:hAnsi="Arial"/>
          <w:sz w:val="14"/>
          <w:szCs w:val="14"/>
          <w:color w:val="auto"/>
        </w:rPr>
      </w:pPr>
    </w:p>
    <w:p>
      <w:pPr>
        <w:ind w:left="200" w:right="180" w:hanging="198"/>
        <w:spacing w:after="0" w:line="243" w:lineRule="auto"/>
        <w:tabs>
          <w:tab w:leader="none" w:pos="20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No Repricing of Under-water Options. </w:t>
      </w:r>
      <w:r>
        <w:rPr>
          <w:rFonts w:ascii="Arial" w:cs="Arial" w:eastAsia="Arial" w:hAnsi="Arial"/>
          <w:sz w:val="15"/>
          <w:szCs w:val="15"/>
          <w:color w:val="auto"/>
        </w:rPr>
        <w:t>The terms of the Plan do not allow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repricing of “under-water” options, including the cancellation and reissuance of new options in exchange for stock options whose stock price is above the then-current fair value of the Company’s Common Stock.</w:t>
      </w:r>
    </w:p>
    <w:p>
      <w:pPr>
        <w:spacing w:after="0" w:line="44" w:lineRule="exact"/>
        <w:rPr>
          <w:rFonts w:ascii="Arial" w:cs="Arial" w:eastAsia="Arial" w:hAnsi="Arial"/>
          <w:sz w:val="15"/>
          <w:szCs w:val="15"/>
          <w:color w:val="auto"/>
        </w:rPr>
      </w:pPr>
    </w:p>
    <w:p>
      <w:pPr>
        <w:ind w:left="200" w:right="60" w:hanging="198"/>
        <w:spacing w:after="0" w:line="243" w:lineRule="auto"/>
        <w:tabs>
          <w:tab w:leader="none" w:pos="20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No Share Recycling for Net Exercise or Tax Withholding. </w:t>
      </w:r>
      <w:r>
        <w:rPr>
          <w:rFonts w:ascii="Arial" w:cs="Arial" w:eastAsia="Arial" w:hAnsi="Arial"/>
          <w:sz w:val="15"/>
          <w:szCs w:val="15"/>
          <w:color w:val="auto"/>
        </w:rPr>
        <w:t>Shares surrendered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withheld to pay either the exercise price of an award or to withhold taxes in respect of an award do not become available for issuance as future awards under our plan.</w:t>
      </w:r>
    </w:p>
    <w:p>
      <w:pPr>
        <w:spacing w:after="0" w:line="44" w:lineRule="exact"/>
        <w:rPr>
          <w:rFonts w:ascii="Arial" w:cs="Arial" w:eastAsia="Arial" w:hAnsi="Arial"/>
          <w:sz w:val="15"/>
          <w:szCs w:val="15"/>
          <w:color w:val="auto"/>
        </w:rPr>
      </w:pPr>
    </w:p>
    <w:p>
      <w:pPr>
        <w:ind w:left="200" w:right="300" w:hanging="198"/>
        <w:spacing w:after="0" w:line="247" w:lineRule="auto"/>
        <w:tabs>
          <w:tab w:leader="none" w:pos="20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No Evergreen Provision. </w:t>
      </w:r>
      <w:r>
        <w:rPr>
          <w:rFonts w:ascii="Arial" w:cs="Arial" w:eastAsia="Arial" w:hAnsi="Arial"/>
          <w:sz w:val="15"/>
          <w:szCs w:val="15"/>
          <w:color w:val="auto"/>
        </w:rPr>
        <w:t>There is no “evergreen” or automatic replenishment</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 pursuant to which the shares authorized for issuance under the Plan are automatically replenished.</w:t>
      </w:r>
    </w:p>
    <w:p>
      <w:pPr>
        <w:spacing w:after="0" w:line="41" w:lineRule="exact"/>
        <w:rPr>
          <w:rFonts w:ascii="Arial" w:cs="Arial" w:eastAsia="Arial" w:hAnsi="Arial"/>
          <w:sz w:val="15"/>
          <w:szCs w:val="15"/>
          <w:color w:val="auto"/>
        </w:rPr>
      </w:pPr>
    </w:p>
    <w:p>
      <w:pPr>
        <w:ind w:left="200" w:right="420" w:hanging="198"/>
        <w:spacing w:after="0" w:line="259" w:lineRule="auto"/>
        <w:tabs>
          <w:tab w:leader="none" w:pos="20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No Automatic Grants. </w:t>
      </w:r>
      <w:r>
        <w:rPr>
          <w:rFonts w:ascii="Arial" w:cs="Arial" w:eastAsia="Arial" w:hAnsi="Arial"/>
          <w:sz w:val="15"/>
          <w:szCs w:val="15"/>
          <w:color w:val="auto"/>
        </w:rPr>
        <w:t>The Plan does not provide for automatic grants to any</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w:t>
      </w:r>
    </w:p>
    <w:p>
      <w:pPr>
        <w:spacing w:after="0" w:line="32" w:lineRule="exact"/>
        <w:rPr>
          <w:rFonts w:ascii="Arial" w:cs="Arial" w:eastAsia="Arial" w:hAnsi="Arial"/>
          <w:sz w:val="15"/>
          <w:szCs w:val="15"/>
          <w:color w:val="auto"/>
        </w:rPr>
      </w:pPr>
    </w:p>
    <w:p>
      <w:pPr>
        <w:ind w:left="200" w:right="420" w:hanging="198"/>
        <w:spacing w:after="0" w:line="273" w:lineRule="auto"/>
        <w:tabs>
          <w:tab w:leader="none" w:pos="20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No Dividend Payments on Unearned Performance Awards. </w:t>
      </w:r>
      <w:r>
        <w:rPr>
          <w:rFonts w:ascii="Arial" w:cs="Arial" w:eastAsia="Arial" w:hAnsi="Arial"/>
          <w:sz w:val="14"/>
          <w:szCs w:val="14"/>
          <w:color w:val="auto"/>
        </w:rPr>
        <w:t>Dividends and</w:t>
      </w:r>
      <w:r>
        <w:rPr>
          <w:rFonts w:ascii="Arial" w:cs="Arial" w:eastAsia="Arial" w:hAnsi="Arial"/>
          <w:sz w:val="14"/>
          <w:szCs w:val="14"/>
          <w:i w:val="1"/>
          <w:iCs w:val="1"/>
          <w:color w:val="auto"/>
        </w:rPr>
        <w:t xml:space="preserve"> </w:t>
      </w:r>
      <w:r>
        <w:rPr>
          <w:rFonts w:ascii="Arial" w:cs="Arial" w:eastAsia="Arial" w:hAnsi="Arial"/>
          <w:sz w:val="14"/>
          <w:szCs w:val="14"/>
          <w:color w:val="auto"/>
        </w:rPr>
        <w:t>dividend equivalents are required to be deferred during any restricted period applicable to awards subject to the attainment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115570</wp:posOffset>
            </wp:positionV>
            <wp:extent cx="950595" cy="142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70"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47</w:t>
            </w:r>
          </w:p>
        </w:tc>
      </w:tr>
    </w:tbl>
    <w:p>
      <w:pPr>
        <w:sectPr>
          <w:pgSz w:w="11900" w:h="16838" w:orient="portrait"/>
          <w:cols w:equalWidth="0" w:num="2">
            <w:col w:w="5690" w:space="160"/>
            <w:col w:w="5540"/>
          </w:cols>
          <w:pgMar w:left="230" w:top="407" w:right="279" w:bottom="1440" w:gutter="0" w:footer="0" w:header="0"/>
        </w:sectPr>
      </w:pPr>
    </w:p>
    <w:bookmarkStart w:id="53" w:name="page54"/>
    <w:bookmarkEnd w:id="53"/>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158" w:lineRule="exact"/>
        <w:rPr>
          <w:sz w:val="20"/>
          <w:szCs w:val="20"/>
          <w:color w:val="auto"/>
        </w:rPr>
      </w:pPr>
    </w:p>
    <w:p>
      <w:pPr>
        <w:ind w:left="210" w:hanging="210"/>
        <w:spacing w:after="0" w:line="243" w:lineRule="auto"/>
        <w:tabs>
          <w:tab w:leader="none" w:pos="21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Limits on Equity Awards to Non-Employee Directors. </w:t>
      </w:r>
      <w:r>
        <w:rPr>
          <w:rFonts w:ascii="Arial" w:cs="Arial" w:eastAsia="Arial" w:hAnsi="Arial"/>
          <w:sz w:val="15"/>
          <w:szCs w:val="15"/>
          <w:color w:val="auto"/>
        </w:rPr>
        <w:t>The grant date fair value of</w:t>
      </w:r>
      <w:r>
        <w:rPr>
          <w:rFonts w:ascii="Arial" w:cs="Arial" w:eastAsia="Arial" w:hAnsi="Arial"/>
          <w:sz w:val="15"/>
          <w:szCs w:val="15"/>
          <w:i w:val="1"/>
          <w:iCs w:val="1"/>
          <w:color w:val="auto"/>
        </w:rPr>
        <w:t xml:space="preserve"> </w:t>
      </w:r>
      <w:r>
        <w:rPr>
          <w:rFonts w:ascii="Arial" w:cs="Arial" w:eastAsia="Arial" w:hAnsi="Arial"/>
          <w:sz w:val="15"/>
          <w:szCs w:val="15"/>
          <w:color w:val="auto"/>
        </w:rPr>
        <w:t>awards granted to any individual non-employee director in any year cannot exceed $1.0 million, excluding awards in lieu of cash retainers and any stock dividends.</w:t>
      </w:r>
    </w:p>
    <w:p>
      <w:pPr>
        <w:spacing w:after="0" w:line="58" w:lineRule="exact"/>
        <w:rPr>
          <w:sz w:val="20"/>
          <w:szCs w:val="20"/>
          <w:color w:val="auto"/>
        </w:rPr>
      </w:pPr>
    </w:p>
    <w:p>
      <w:pPr>
        <w:ind w:left="10" w:right="280"/>
        <w:spacing w:after="0"/>
        <w:rPr>
          <w:sz w:val="20"/>
          <w:szCs w:val="20"/>
          <w:color w:val="auto"/>
        </w:rPr>
      </w:pPr>
      <w:r>
        <w:rPr>
          <w:rFonts w:ascii="Arial" w:cs="Arial" w:eastAsia="Arial" w:hAnsi="Arial"/>
          <w:sz w:val="15"/>
          <w:szCs w:val="15"/>
          <w:color w:val="auto"/>
        </w:rPr>
        <w:t xml:space="preserve">The text of the proposed amendment and restatement of the Plan is set forth in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to this Proxy Statement, and the description of the Plan set forth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herein is qualified in its entirety by reference to the text thereof. If approved by stockholders, the Plan, as amended, will become effective as of May 23, 2014. If we do not obtain requisite stockholder approval of the amended Plan, the current Plan (without giving effect to the proposed share increase, term extension or any of the other changes described above) will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-1170940</wp:posOffset>
            </wp:positionV>
            <wp:extent cx="73088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436" w:lineRule="exact"/>
        <w:rPr>
          <w:sz w:val="20"/>
          <w:szCs w:val="20"/>
          <w:color w:val="auto"/>
        </w:rPr>
      </w:pPr>
    </w:p>
    <w:p>
      <w:pPr>
        <w:sectPr>
          <w:pgSz w:w="11900" w:h="16838" w:orient="portrait"/>
          <w:cols w:equalWidth="0" w:num="2">
            <w:col w:w="5390" w:space="460"/>
            <w:col w:w="5600"/>
          </w:cols>
          <w:pgMar w:left="230" w:top="407" w:right="219" w:bottom="1440" w:gutter="0" w:footer="0" w:header="0"/>
        </w:sectPr>
      </w:pPr>
    </w:p>
    <w:p>
      <w:pPr>
        <w:spacing w:after="0" w:line="8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3" w:lineRule="exact"/>
        <w:rPr>
          <w:sz w:val="20"/>
          <w:szCs w:val="20"/>
          <w:color w:val="auto"/>
        </w:rPr>
      </w:pPr>
    </w:p>
    <w:p>
      <w:pPr>
        <w:ind w:left="10" w:right="460"/>
        <w:spacing w:after="0"/>
        <w:rPr>
          <w:sz w:val="20"/>
          <w:szCs w:val="20"/>
          <w:color w:val="auto"/>
        </w:rPr>
      </w:pPr>
      <w:r>
        <w:rPr>
          <w:rFonts w:ascii="Arial" w:cs="Arial" w:eastAsia="Arial" w:hAnsi="Arial"/>
          <w:sz w:val="15"/>
          <w:szCs w:val="15"/>
          <w:color w:val="auto"/>
        </w:rPr>
        <w:t>The following table provides information about our shares or our Common Stock that may be issued upon the exercise of options and restricted stock units under all of our existing equity compensation plans as of December 31, 2013.</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960" w:type="dxa"/>
            <w:vAlign w:val="bottom"/>
          </w:tcPr>
          <w:p>
            <w:pPr>
              <w:jc w:val="center"/>
              <w:ind w:left="439"/>
              <w:spacing w:after="0"/>
              <w:rPr>
                <w:sz w:val="20"/>
                <w:szCs w:val="20"/>
                <w:color w:val="auto"/>
              </w:rPr>
            </w:pPr>
            <w:r>
              <w:rPr>
                <w:rFonts w:ascii="Arial" w:cs="Arial" w:eastAsia="Arial" w:hAnsi="Arial"/>
                <w:sz w:val="11"/>
                <w:szCs w:val="11"/>
                <w:b w:val="1"/>
                <w:bCs w:val="1"/>
                <w:color w:val="auto"/>
              </w:rPr>
              <w:t>Number of Securities</w:t>
            </w:r>
          </w:p>
        </w:tc>
      </w:tr>
      <w:tr>
        <w:trPr>
          <w:trHeight w:val="124"/>
        </w:trPr>
        <w:tc>
          <w:tcPr>
            <w:tcW w:w="4680" w:type="dxa"/>
            <w:vAlign w:val="bottom"/>
          </w:tcPr>
          <w:p>
            <w:pPr>
              <w:spacing w:after="0"/>
              <w:rPr>
                <w:sz w:val="10"/>
                <w:szCs w:val="10"/>
                <w:color w:val="auto"/>
              </w:rPr>
            </w:pPr>
          </w:p>
        </w:tc>
        <w:tc>
          <w:tcPr>
            <w:tcW w:w="2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Number of Securities to</w:t>
            </w:r>
          </w:p>
        </w:tc>
        <w:tc>
          <w:tcPr>
            <w:tcW w:w="2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Weighted-Average</w:t>
            </w:r>
          </w:p>
        </w:tc>
        <w:tc>
          <w:tcPr>
            <w:tcW w:w="1960" w:type="dxa"/>
            <w:vAlign w:val="bottom"/>
          </w:tcPr>
          <w:p>
            <w:pPr>
              <w:jc w:val="center"/>
              <w:ind w:left="419"/>
              <w:spacing w:after="0" w:line="124" w:lineRule="exact"/>
              <w:rPr>
                <w:sz w:val="20"/>
                <w:szCs w:val="20"/>
                <w:color w:val="auto"/>
              </w:rPr>
            </w:pPr>
            <w:r>
              <w:rPr>
                <w:rFonts w:ascii="Arial" w:cs="Arial" w:eastAsia="Arial" w:hAnsi="Arial"/>
                <w:sz w:val="11"/>
                <w:szCs w:val="11"/>
                <w:b w:val="1"/>
                <w:bCs w:val="1"/>
                <w:color w:val="auto"/>
              </w:rPr>
              <w:t>Remaining Available for</w:t>
            </w:r>
          </w:p>
        </w:tc>
      </w:tr>
      <w:tr>
        <w:trPr>
          <w:trHeight w:val="124"/>
        </w:trPr>
        <w:tc>
          <w:tcPr>
            <w:tcW w:w="4680" w:type="dxa"/>
            <w:vAlign w:val="bottom"/>
          </w:tcPr>
          <w:p>
            <w:pPr>
              <w:spacing w:after="0"/>
              <w:rPr>
                <w:sz w:val="10"/>
                <w:szCs w:val="10"/>
                <w:color w:val="auto"/>
              </w:rPr>
            </w:pPr>
          </w:p>
        </w:tc>
        <w:tc>
          <w:tcPr>
            <w:tcW w:w="2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be Issued Upon</w:t>
            </w:r>
          </w:p>
        </w:tc>
        <w:tc>
          <w:tcPr>
            <w:tcW w:w="2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Exercise Price of</w:t>
            </w:r>
          </w:p>
        </w:tc>
        <w:tc>
          <w:tcPr>
            <w:tcW w:w="1960" w:type="dxa"/>
            <w:vAlign w:val="bottom"/>
          </w:tcPr>
          <w:p>
            <w:pPr>
              <w:jc w:val="center"/>
              <w:ind w:left="439"/>
              <w:spacing w:after="0" w:line="124" w:lineRule="exact"/>
              <w:rPr>
                <w:sz w:val="20"/>
                <w:szCs w:val="20"/>
                <w:color w:val="auto"/>
              </w:rPr>
            </w:pPr>
            <w:r>
              <w:rPr>
                <w:rFonts w:ascii="Arial" w:cs="Arial" w:eastAsia="Arial" w:hAnsi="Arial"/>
                <w:sz w:val="11"/>
                <w:szCs w:val="11"/>
                <w:b w:val="1"/>
                <w:bCs w:val="1"/>
                <w:color w:val="auto"/>
              </w:rPr>
              <w:t>Future Issuance Under</w:t>
            </w:r>
          </w:p>
        </w:tc>
      </w:tr>
      <w:tr>
        <w:trPr>
          <w:trHeight w:val="124"/>
        </w:trPr>
        <w:tc>
          <w:tcPr>
            <w:tcW w:w="4680" w:type="dxa"/>
            <w:vAlign w:val="bottom"/>
          </w:tcPr>
          <w:p>
            <w:pPr>
              <w:spacing w:after="0"/>
              <w:rPr>
                <w:sz w:val="10"/>
                <w:szCs w:val="10"/>
                <w:color w:val="auto"/>
              </w:rPr>
            </w:pPr>
          </w:p>
        </w:tc>
        <w:tc>
          <w:tcPr>
            <w:tcW w:w="2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Exercise of Outstanding</w:t>
            </w:r>
          </w:p>
        </w:tc>
        <w:tc>
          <w:tcPr>
            <w:tcW w:w="2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Outstanding Options,</w:t>
            </w:r>
          </w:p>
        </w:tc>
        <w:tc>
          <w:tcPr>
            <w:tcW w:w="1960" w:type="dxa"/>
            <w:vAlign w:val="bottom"/>
          </w:tcPr>
          <w:p>
            <w:pPr>
              <w:jc w:val="center"/>
              <w:ind w:left="419"/>
              <w:spacing w:after="0" w:line="124" w:lineRule="exact"/>
              <w:rPr>
                <w:sz w:val="20"/>
                <w:szCs w:val="20"/>
                <w:color w:val="auto"/>
              </w:rPr>
            </w:pPr>
            <w:r>
              <w:rPr>
                <w:rFonts w:ascii="Arial" w:cs="Arial" w:eastAsia="Arial" w:hAnsi="Arial"/>
                <w:sz w:val="11"/>
                <w:szCs w:val="11"/>
                <w:b w:val="1"/>
                <w:bCs w:val="1"/>
                <w:color w:val="auto"/>
              </w:rPr>
              <w:t>Equity Compensation</w:t>
            </w:r>
          </w:p>
        </w:tc>
      </w:tr>
      <w:tr>
        <w:trPr>
          <w:trHeight w:val="124"/>
        </w:trPr>
        <w:tc>
          <w:tcPr>
            <w:tcW w:w="4680" w:type="dxa"/>
            <w:vAlign w:val="bottom"/>
          </w:tcPr>
          <w:p>
            <w:pPr>
              <w:spacing w:after="0"/>
              <w:rPr>
                <w:sz w:val="10"/>
                <w:szCs w:val="10"/>
                <w:color w:val="auto"/>
              </w:rPr>
            </w:pPr>
          </w:p>
        </w:tc>
        <w:tc>
          <w:tcPr>
            <w:tcW w:w="2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Options, Warrants,</w:t>
            </w:r>
          </w:p>
        </w:tc>
        <w:tc>
          <w:tcPr>
            <w:tcW w:w="2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Warrants and Rights</w:t>
            </w:r>
          </w:p>
        </w:tc>
        <w:tc>
          <w:tcPr>
            <w:tcW w:w="1960" w:type="dxa"/>
            <w:vAlign w:val="bottom"/>
          </w:tcPr>
          <w:p>
            <w:pPr>
              <w:jc w:val="center"/>
              <w:ind w:left="439"/>
              <w:spacing w:after="0" w:line="124" w:lineRule="exact"/>
              <w:rPr>
                <w:sz w:val="20"/>
                <w:szCs w:val="20"/>
                <w:color w:val="auto"/>
              </w:rPr>
            </w:pPr>
            <w:r>
              <w:rPr>
                <w:rFonts w:ascii="Arial" w:cs="Arial" w:eastAsia="Arial" w:hAnsi="Arial"/>
                <w:sz w:val="11"/>
                <w:szCs w:val="11"/>
                <w:b w:val="1"/>
                <w:bCs w:val="1"/>
                <w:color w:val="auto"/>
              </w:rPr>
              <w:t>Plans (Excluding</w:t>
            </w:r>
          </w:p>
        </w:tc>
      </w:tr>
      <w:tr>
        <w:trPr>
          <w:trHeight w:val="124"/>
        </w:trPr>
        <w:tc>
          <w:tcPr>
            <w:tcW w:w="4680" w:type="dxa"/>
            <w:vAlign w:val="bottom"/>
          </w:tcPr>
          <w:p>
            <w:pPr>
              <w:spacing w:after="0"/>
              <w:rPr>
                <w:sz w:val="10"/>
                <w:szCs w:val="10"/>
                <w:color w:val="auto"/>
              </w:rPr>
            </w:pPr>
          </w:p>
        </w:tc>
        <w:tc>
          <w:tcPr>
            <w:tcW w:w="2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Rights and Restricted</w:t>
            </w:r>
          </w:p>
        </w:tc>
        <w:tc>
          <w:tcPr>
            <w:tcW w:w="2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(Excludes Restricted</w:t>
            </w:r>
          </w:p>
        </w:tc>
        <w:tc>
          <w:tcPr>
            <w:tcW w:w="1960" w:type="dxa"/>
            <w:vAlign w:val="bottom"/>
          </w:tcPr>
          <w:p>
            <w:pPr>
              <w:jc w:val="center"/>
              <w:ind w:left="439"/>
              <w:spacing w:after="0" w:line="124" w:lineRule="exact"/>
              <w:rPr>
                <w:sz w:val="20"/>
                <w:szCs w:val="20"/>
                <w:color w:val="auto"/>
              </w:rPr>
            </w:pPr>
            <w:r>
              <w:rPr>
                <w:rFonts w:ascii="Arial" w:cs="Arial" w:eastAsia="Arial" w:hAnsi="Arial"/>
                <w:sz w:val="11"/>
                <w:szCs w:val="11"/>
                <w:b w:val="1"/>
                <w:bCs w:val="1"/>
                <w:color w:val="auto"/>
              </w:rPr>
              <w:t>Securities Reflected in</w:t>
            </w:r>
          </w:p>
        </w:tc>
      </w:tr>
      <w:tr>
        <w:trPr>
          <w:trHeight w:val="138"/>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Plan Category</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 Units(a)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Stock Units) ($)</w:t>
            </w:r>
          </w:p>
        </w:tc>
        <w:tc>
          <w:tcPr>
            <w:tcW w:w="1960" w:type="dxa"/>
            <w:vAlign w:val="bottom"/>
            <w:tcBorders>
              <w:bottom w:val="single" w:sz="8" w:color="auto"/>
            </w:tcBorders>
          </w:tcPr>
          <w:p>
            <w:pPr>
              <w:jc w:val="center"/>
              <w:ind w:left="419"/>
              <w:spacing w:after="0"/>
              <w:rPr>
                <w:sz w:val="20"/>
                <w:szCs w:val="20"/>
                <w:color w:val="auto"/>
              </w:rPr>
            </w:pPr>
            <w:r>
              <w:rPr>
                <w:rFonts w:ascii="Arial" w:cs="Arial" w:eastAsia="Arial" w:hAnsi="Arial"/>
                <w:sz w:val="11"/>
                <w:szCs w:val="11"/>
                <w:b w:val="1"/>
                <w:bCs w:val="1"/>
                <w:color w:val="auto"/>
              </w:rPr>
              <w:t>First Column)(b)</w:t>
            </w:r>
          </w:p>
        </w:tc>
      </w:tr>
      <w:tr>
        <w:trPr>
          <w:trHeight w:val="160"/>
        </w:trPr>
        <w:tc>
          <w:tcPr>
            <w:tcW w:w="4680" w:type="dxa"/>
            <w:vAlign w:val="bottom"/>
            <w:shd w:val="clear" w:color="auto" w:fill="D8D8D8"/>
          </w:tcPr>
          <w:p>
            <w:pPr>
              <w:spacing w:after="0" w:line="160" w:lineRule="exact"/>
              <w:rPr>
                <w:sz w:val="20"/>
                <w:szCs w:val="20"/>
                <w:color w:val="auto"/>
              </w:rPr>
            </w:pPr>
            <w:r>
              <w:rPr>
                <w:rFonts w:ascii="Arial" w:cs="Arial" w:eastAsia="Arial" w:hAnsi="Arial"/>
                <w:sz w:val="15"/>
                <w:szCs w:val="15"/>
                <w:color w:val="auto"/>
              </w:rPr>
              <w:t>Equity compensation plans approved by Company stockholders</w:t>
            </w:r>
          </w:p>
        </w:tc>
        <w:tc>
          <w:tcPr>
            <w:tcW w:w="2480" w:type="dxa"/>
            <w:vAlign w:val="bottom"/>
            <w:shd w:val="clear" w:color="auto" w:fill="D8D8D8"/>
          </w:tcPr>
          <w:p>
            <w:pPr>
              <w:jc w:val="right"/>
              <w:ind w:right="538"/>
              <w:spacing w:after="0" w:line="160" w:lineRule="exact"/>
              <w:rPr>
                <w:sz w:val="20"/>
                <w:szCs w:val="20"/>
                <w:color w:val="auto"/>
              </w:rPr>
            </w:pPr>
            <w:r>
              <w:rPr>
                <w:rFonts w:ascii="Arial" w:cs="Arial" w:eastAsia="Arial" w:hAnsi="Arial"/>
                <w:sz w:val="15"/>
                <w:szCs w:val="15"/>
                <w:color w:val="auto"/>
              </w:rPr>
              <w:t>4,734,867</w:t>
            </w:r>
          </w:p>
        </w:tc>
        <w:tc>
          <w:tcPr>
            <w:tcW w:w="2320" w:type="dxa"/>
            <w:vAlign w:val="bottom"/>
            <w:shd w:val="clear" w:color="auto" w:fill="D8D8D8"/>
          </w:tcPr>
          <w:p>
            <w:pPr>
              <w:jc w:val="right"/>
              <w:ind w:right="518"/>
              <w:spacing w:after="0" w:line="160" w:lineRule="exact"/>
              <w:rPr>
                <w:sz w:val="20"/>
                <w:szCs w:val="20"/>
                <w:color w:val="auto"/>
              </w:rPr>
            </w:pPr>
            <w:r>
              <w:rPr>
                <w:rFonts w:ascii="Arial" w:cs="Arial" w:eastAsia="Arial" w:hAnsi="Arial"/>
                <w:sz w:val="15"/>
                <w:szCs w:val="15"/>
                <w:color w:val="auto"/>
              </w:rPr>
              <w:t>2.82</w:t>
            </w:r>
          </w:p>
        </w:tc>
        <w:tc>
          <w:tcPr>
            <w:tcW w:w="1960" w:type="dxa"/>
            <w:vAlign w:val="bottom"/>
            <w:shd w:val="clear" w:color="auto" w:fill="D8D8D8"/>
          </w:tcPr>
          <w:p>
            <w:pPr>
              <w:jc w:val="right"/>
              <w:ind w:right="39"/>
              <w:spacing w:after="0" w:line="160" w:lineRule="exact"/>
              <w:rPr>
                <w:sz w:val="20"/>
                <w:szCs w:val="20"/>
                <w:color w:val="auto"/>
              </w:rPr>
            </w:pPr>
            <w:r>
              <w:rPr>
                <w:rFonts w:ascii="Arial" w:cs="Arial" w:eastAsia="Arial" w:hAnsi="Arial"/>
                <w:sz w:val="15"/>
                <w:szCs w:val="15"/>
                <w:color w:val="auto"/>
              </w:rPr>
              <w:t>6,023,674</w:t>
            </w:r>
          </w:p>
        </w:tc>
      </w:tr>
      <w:tr>
        <w:trPr>
          <w:trHeight w:val="171"/>
        </w:trPr>
        <w:tc>
          <w:tcPr>
            <w:tcW w:w="4680" w:type="dxa"/>
            <w:vAlign w:val="bottom"/>
          </w:tcPr>
          <w:p>
            <w:pPr>
              <w:spacing w:after="0"/>
              <w:rPr>
                <w:sz w:val="20"/>
                <w:szCs w:val="20"/>
                <w:color w:val="auto"/>
              </w:rPr>
            </w:pPr>
            <w:r>
              <w:rPr>
                <w:rFonts w:ascii="Arial" w:cs="Arial" w:eastAsia="Arial" w:hAnsi="Arial"/>
                <w:sz w:val="15"/>
                <w:szCs w:val="15"/>
                <w:color w:val="auto"/>
              </w:rPr>
              <w:t>Equity compensation plans not approved by Company</w:t>
            </w:r>
          </w:p>
        </w:tc>
        <w:tc>
          <w:tcPr>
            <w:tcW w:w="2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6"/>
        </w:trPr>
        <w:tc>
          <w:tcPr>
            <w:tcW w:w="4680" w:type="dxa"/>
            <w:vAlign w:val="bottom"/>
          </w:tcPr>
          <w:p>
            <w:pPr>
              <w:ind w:left="180"/>
              <w:spacing w:after="0" w:line="167" w:lineRule="exact"/>
              <w:rPr>
                <w:sz w:val="20"/>
                <w:szCs w:val="20"/>
                <w:color w:val="auto"/>
              </w:rPr>
            </w:pPr>
            <w:r>
              <w:rPr>
                <w:rFonts w:ascii="Arial" w:cs="Arial" w:eastAsia="Arial" w:hAnsi="Arial"/>
                <w:sz w:val="15"/>
                <w:szCs w:val="15"/>
                <w:color w:val="auto"/>
              </w:rPr>
              <w:t>stockholders</w:t>
            </w:r>
          </w:p>
        </w:tc>
        <w:tc>
          <w:tcPr>
            <w:tcW w:w="2480" w:type="dxa"/>
            <w:vAlign w:val="bottom"/>
          </w:tcPr>
          <w:p>
            <w:pPr>
              <w:jc w:val="right"/>
              <w:ind w:right="538"/>
              <w:spacing w:after="0" w:line="167" w:lineRule="exact"/>
              <w:rPr>
                <w:sz w:val="20"/>
                <w:szCs w:val="20"/>
                <w:color w:val="auto"/>
              </w:rPr>
            </w:pPr>
            <w:r>
              <w:rPr>
                <w:rFonts w:ascii="Arial" w:cs="Arial" w:eastAsia="Arial" w:hAnsi="Arial"/>
                <w:sz w:val="15"/>
                <w:szCs w:val="15"/>
                <w:color w:val="auto"/>
              </w:rPr>
              <w:t>—</w:t>
            </w:r>
          </w:p>
        </w:tc>
        <w:tc>
          <w:tcPr>
            <w:tcW w:w="2320" w:type="dxa"/>
            <w:vAlign w:val="bottom"/>
          </w:tcPr>
          <w:p>
            <w:pPr>
              <w:jc w:val="right"/>
              <w:ind w:right="518"/>
              <w:spacing w:after="0" w:line="167" w:lineRule="exact"/>
              <w:rPr>
                <w:sz w:val="20"/>
                <w:szCs w:val="20"/>
                <w:color w:val="auto"/>
              </w:rPr>
            </w:pPr>
            <w:r>
              <w:rPr>
                <w:rFonts w:ascii="Arial" w:cs="Arial" w:eastAsia="Arial" w:hAnsi="Arial"/>
                <w:sz w:val="15"/>
                <w:szCs w:val="15"/>
                <w:color w:val="auto"/>
              </w:rPr>
              <w:t>—</w:t>
            </w:r>
          </w:p>
        </w:tc>
        <w:tc>
          <w:tcPr>
            <w:tcW w:w="1960" w:type="dxa"/>
            <w:vAlign w:val="bottom"/>
          </w:tcPr>
          <w:p>
            <w:pPr>
              <w:jc w:val="right"/>
              <w:ind w:right="39"/>
              <w:spacing w:after="0" w:line="167" w:lineRule="exact"/>
              <w:rPr>
                <w:sz w:val="20"/>
                <w:szCs w:val="20"/>
                <w:color w:val="auto"/>
              </w:rPr>
            </w:pPr>
            <w:r>
              <w:rPr>
                <w:rFonts w:ascii="Arial" w:cs="Arial" w:eastAsia="Arial" w:hAnsi="Arial"/>
                <w:sz w:val="15"/>
                <w:szCs w:val="15"/>
                <w:color w:val="auto"/>
              </w:rPr>
              <w:t>—</w:t>
            </w:r>
          </w:p>
        </w:tc>
      </w:tr>
      <w:tr>
        <w:trPr>
          <w:trHeight w:val="169"/>
        </w:trPr>
        <w:tc>
          <w:tcPr>
            <w:tcW w:w="4680" w:type="dxa"/>
            <w:vAlign w:val="bottom"/>
            <w:shd w:val="clear" w:color="auto" w:fill="D8D8D8"/>
          </w:tcPr>
          <w:p>
            <w:pPr>
              <w:spacing w:after="0" w:line="169" w:lineRule="exact"/>
              <w:rPr>
                <w:sz w:val="20"/>
                <w:szCs w:val="20"/>
                <w:color w:val="auto"/>
              </w:rPr>
            </w:pPr>
            <w:r>
              <w:rPr>
                <w:rFonts w:ascii="Arial" w:cs="Arial" w:eastAsia="Arial" w:hAnsi="Arial"/>
                <w:sz w:val="15"/>
                <w:szCs w:val="15"/>
                <w:color w:val="auto"/>
              </w:rPr>
              <w:t>Total</w:t>
            </w:r>
          </w:p>
        </w:tc>
        <w:tc>
          <w:tcPr>
            <w:tcW w:w="2480" w:type="dxa"/>
            <w:vAlign w:val="bottom"/>
            <w:shd w:val="clear" w:color="auto" w:fill="D8D8D8"/>
          </w:tcPr>
          <w:p>
            <w:pPr>
              <w:jc w:val="right"/>
              <w:ind w:right="538"/>
              <w:spacing w:after="0" w:line="169" w:lineRule="exact"/>
              <w:rPr>
                <w:sz w:val="20"/>
                <w:szCs w:val="20"/>
                <w:color w:val="auto"/>
              </w:rPr>
            </w:pPr>
            <w:r>
              <w:rPr>
                <w:rFonts w:ascii="Arial" w:cs="Arial" w:eastAsia="Arial" w:hAnsi="Arial"/>
                <w:sz w:val="15"/>
                <w:szCs w:val="15"/>
                <w:color w:val="auto"/>
              </w:rPr>
              <w:t>4,734,867</w:t>
            </w:r>
          </w:p>
        </w:tc>
        <w:tc>
          <w:tcPr>
            <w:tcW w:w="2320" w:type="dxa"/>
            <w:vAlign w:val="bottom"/>
            <w:shd w:val="clear" w:color="auto" w:fill="D8D8D8"/>
          </w:tcPr>
          <w:p>
            <w:pPr>
              <w:jc w:val="right"/>
              <w:ind w:right="518"/>
              <w:spacing w:after="0" w:line="169" w:lineRule="exact"/>
              <w:rPr>
                <w:sz w:val="20"/>
                <w:szCs w:val="20"/>
                <w:color w:val="auto"/>
              </w:rPr>
            </w:pPr>
            <w:r>
              <w:rPr>
                <w:rFonts w:ascii="Arial" w:cs="Arial" w:eastAsia="Arial" w:hAnsi="Arial"/>
                <w:sz w:val="15"/>
                <w:szCs w:val="15"/>
                <w:color w:val="auto"/>
              </w:rPr>
              <w:t>2.82</w:t>
            </w:r>
          </w:p>
        </w:tc>
        <w:tc>
          <w:tcPr>
            <w:tcW w:w="1960" w:type="dxa"/>
            <w:vAlign w:val="bottom"/>
            <w:shd w:val="clear" w:color="auto" w:fill="D8D8D8"/>
          </w:tcPr>
          <w:p>
            <w:pPr>
              <w:jc w:val="right"/>
              <w:ind w:right="39"/>
              <w:spacing w:after="0" w:line="169" w:lineRule="exact"/>
              <w:rPr>
                <w:sz w:val="20"/>
                <w:szCs w:val="20"/>
                <w:color w:val="auto"/>
              </w:rPr>
            </w:pPr>
            <w:r>
              <w:rPr>
                <w:rFonts w:ascii="Arial" w:cs="Arial" w:eastAsia="Arial" w:hAnsi="Arial"/>
                <w:sz w:val="15"/>
                <w:szCs w:val="15"/>
                <w:color w:val="auto"/>
              </w:rPr>
              <w:t>6,023,674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948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line="234" w:lineRule="auto"/>
        <w:tabs>
          <w:tab w:leader="none" w:pos="33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number of securities to be issued include options and other awards granted under the following plans approved by stockholders: the Amended and Restated 2007 Equity and Incentive Plan, the 1997 Stock Incentive Plan, the 1997 Stock Option Plan and the Directors Deferred Compensation Plan. The 1997 Stock Incentive Plan, the 1997 Stock Option Plan and the Directors Deferred Compensation Plan were each approved with respect to an initial allocation of shares.</w:t>
      </w:r>
    </w:p>
    <w:p>
      <w:pPr>
        <w:spacing w:after="0" w:line="1" w:lineRule="exact"/>
        <w:rPr>
          <w:rFonts w:ascii="Arial" w:cs="Arial" w:eastAsia="Arial" w:hAnsi="Arial"/>
          <w:sz w:val="11"/>
          <w:szCs w:val="11"/>
          <w:color w:val="auto"/>
        </w:rPr>
      </w:pPr>
    </w:p>
    <w:p>
      <w:pPr>
        <w:ind w:left="330" w:right="160" w:hanging="330"/>
        <w:spacing w:after="0" w:line="241" w:lineRule="auto"/>
        <w:tabs>
          <w:tab w:leader="none" w:pos="33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number of securities remaining available for future issuance under equity compensation plans represents 3,546,821 million shares available for issuance under the current Plan (without giving effect to any of the amendments described in this Proposal) and 2,476,853 million shares available for issuance under the 2009 Employee Stock Purchase Plan, which is a tax-qualified employee stock purchase plan under Section 423(b) of the Internal Revenue Code.</w:t>
      </w:r>
    </w:p>
    <w:p>
      <w:pPr>
        <w:sectPr>
          <w:pgSz w:w="11900" w:h="16838" w:orient="portrait"/>
          <w:cols w:equalWidth="0" w:num="1">
            <w:col w:w="11450"/>
          </w:cols>
          <w:pgMar w:left="230" w:top="407" w:right="219" w:bottom="1440" w:gutter="0" w:footer="0" w:header="0"/>
          <w:type w:val="continuous"/>
        </w:sectPr>
      </w:pPr>
    </w:p>
    <w:p>
      <w:pPr>
        <w:spacing w:after="0" w:line="166" w:lineRule="exact"/>
        <w:rPr>
          <w:sz w:val="20"/>
          <w:szCs w:val="20"/>
          <w:color w:val="auto"/>
        </w:rPr>
      </w:pPr>
    </w:p>
    <w:p>
      <w:pPr>
        <w:ind w:left="10" w:right="640"/>
        <w:spacing w:after="0" w:line="272" w:lineRule="auto"/>
        <w:rPr>
          <w:sz w:val="20"/>
          <w:szCs w:val="20"/>
          <w:color w:val="auto"/>
        </w:rPr>
      </w:pPr>
      <w:r>
        <w:rPr>
          <w:rFonts w:ascii="Arial" w:cs="Arial" w:eastAsia="Arial" w:hAnsi="Arial"/>
          <w:sz w:val="18"/>
          <w:szCs w:val="18"/>
          <w:b w:val="1"/>
          <w:bCs w:val="1"/>
          <w:color w:val="auto"/>
        </w:rPr>
        <w:t>Summary of the Amended and Restated 2007 Equity and Incentive Plan</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General</w:t>
      </w:r>
    </w:p>
    <w:p>
      <w:pPr>
        <w:spacing w:after="0" w:line="82" w:lineRule="exact"/>
        <w:rPr>
          <w:sz w:val="20"/>
          <w:szCs w:val="20"/>
          <w:color w:val="auto"/>
        </w:rPr>
      </w:pPr>
    </w:p>
    <w:p>
      <w:pPr>
        <w:ind w:left="10" w:right="60"/>
        <w:spacing w:after="0" w:line="238" w:lineRule="auto"/>
        <w:rPr>
          <w:sz w:val="20"/>
          <w:szCs w:val="20"/>
          <w:color w:val="auto"/>
        </w:rPr>
      </w:pPr>
      <w:r>
        <w:rPr>
          <w:rFonts w:ascii="Arial" w:cs="Arial" w:eastAsia="Arial" w:hAnsi="Arial"/>
          <w:sz w:val="15"/>
          <w:szCs w:val="15"/>
          <w:color w:val="auto"/>
        </w:rPr>
        <w:t>The Plan, initially adopted by the Board and approved by stockholders in 2007, was subsequently amended in 2009 and 2012 to increase the shares available for issuance. Such amendments were approved by stockholders.</w:t>
      </w:r>
    </w:p>
    <w:p>
      <w:pPr>
        <w:spacing w:after="0" w:line="61"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The purpose of the Plan is to facilitate the attraction and retention of key executive talent critical to our long-term success, to tie a significant portion of executives’ compensation to the performance of the Company, including long-term performance, to align compensation with stockholder interests and to provide the Company with a strong long-term retention strategy.</w:t>
      </w:r>
    </w:p>
    <w:p>
      <w:pPr>
        <w:spacing w:after="0" w:line="60" w:lineRule="exact"/>
        <w:rPr>
          <w:sz w:val="20"/>
          <w:szCs w:val="20"/>
          <w:color w:val="auto"/>
        </w:rPr>
      </w:pPr>
    </w:p>
    <w:p>
      <w:pPr>
        <w:ind w:left="10" w:right="580"/>
        <w:spacing w:after="0"/>
        <w:rPr>
          <w:sz w:val="20"/>
          <w:szCs w:val="20"/>
          <w:color w:val="auto"/>
        </w:rPr>
      </w:pPr>
      <w:r>
        <w:rPr>
          <w:rFonts w:ascii="Arial" w:cs="Arial" w:eastAsia="Arial" w:hAnsi="Arial"/>
          <w:sz w:val="15"/>
          <w:szCs w:val="15"/>
          <w:color w:val="auto"/>
        </w:rPr>
        <w:t>The Plan provides for the grant of equity-based and other awards, including restricted stock, restricted stock</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00"/>
        <w:spacing w:after="0" w:line="235" w:lineRule="auto"/>
        <w:rPr>
          <w:sz w:val="20"/>
          <w:szCs w:val="20"/>
          <w:color w:val="auto"/>
        </w:rPr>
      </w:pPr>
      <w:r>
        <w:rPr>
          <w:rFonts w:ascii="Arial" w:cs="Arial" w:eastAsia="Arial" w:hAnsi="Arial"/>
          <w:sz w:val="15"/>
          <w:szCs w:val="15"/>
          <w:color w:val="auto"/>
        </w:rPr>
        <w:t>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the Plan. Currently, there are nine non-employee directors, nine executive officers, approximately 200 other key employees and no consultants, independent contractors or other individuals who perform services for the Company who receive equity-based awards, however, any of the individuals mentioned in the previous sentence may receive equity-based or other awards under the Plan in the future in the discretion of the Committee.</w:t>
      </w:r>
    </w:p>
    <w:p>
      <w:pPr>
        <w:spacing w:after="0" w:line="67" w:lineRule="exact"/>
        <w:rPr>
          <w:sz w:val="20"/>
          <w:szCs w:val="20"/>
          <w:color w:val="auto"/>
        </w:rPr>
      </w:pPr>
    </w:p>
    <w:p>
      <w:pPr>
        <w:ind w:right="260"/>
        <w:spacing w:after="0" w:line="238" w:lineRule="auto"/>
        <w:rPr>
          <w:sz w:val="20"/>
          <w:szCs w:val="20"/>
          <w:color w:val="auto"/>
        </w:rPr>
      </w:pPr>
      <w:r>
        <w:rPr>
          <w:rFonts w:ascii="Arial" w:cs="Arial" w:eastAsia="Arial" w:hAnsi="Arial"/>
          <w:sz w:val="15"/>
          <w:szCs w:val="15"/>
          <w:color w:val="auto"/>
        </w:rPr>
        <w:t>Under the Plan, the aggregate grant date fair value of all awards granted to any individual non-employee director in any calendar year shall not exceed $1.0 million (excluding awards made in lieu of cash retainers</w:t>
      </w:r>
    </w:p>
    <w:p>
      <w:pPr>
        <w:spacing w:after="0" w:line="442" w:lineRule="exact"/>
        <w:rPr>
          <w:sz w:val="20"/>
          <w:szCs w:val="20"/>
          <w:color w:val="auto"/>
        </w:rPr>
      </w:pPr>
    </w:p>
    <w:p>
      <w:pPr>
        <w:sectPr>
          <w:pgSz w:w="11900" w:h="16838" w:orient="portrait"/>
          <w:cols w:equalWidth="0" w:num="2">
            <w:col w:w="5470" w:space="380"/>
            <w:col w:w="5600"/>
          </w:cols>
          <w:pgMar w:left="230" w:top="407" w:right="219" w:bottom="1440" w:gutter="0" w:footer="0" w:header="0"/>
          <w:type w:val="continuous"/>
        </w:sectPr>
      </w:pPr>
    </w:p>
    <w:p>
      <w:pPr>
        <w:ind w:left="10"/>
        <w:spacing w:after="0"/>
        <w:rPr>
          <w:sz w:val="20"/>
          <w:szCs w:val="20"/>
          <w:color w:val="auto"/>
        </w:rPr>
      </w:pPr>
      <w:r>
        <w:rPr>
          <w:rFonts w:ascii="Arial" w:cs="Arial" w:eastAsia="Arial" w:hAnsi="Arial"/>
          <w:sz w:val="15"/>
          <w:szCs w:val="15"/>
          <w:b w:val="1"/>
          <w:bCs w:val="1"/>
          <w:color w:val="auto"/>
        </w:rPr>
        <w:t xml:space="preserve">48 </w:t>
      </w:r>
      <w:r>
        <w:rPr>
          <w:sz w:val="1"/>
          <w:szCs w:val="1"/>
          <w:color w:val="auto"/>
        </w:rPr>
        <w:drawing>
          <wp:inline distT="0" distB="0" distL="0" distR="0">
            <wp:extent cx="857885" cy="1143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type w:val="continuous"/>
        </w:sectPr>
      </w:pPr>
    </w:p>
    <w:bookmarkStart w:id="54" w:name="page55"/>
    <w:bookmarkEnd w:id="5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and any stock dividends payable in respect of outstanding awards).</w:t>
      </w:r>
    </w:p>
    <w:p>
      <w:pPr>
        <w:spacing w:after="0" w:line="64"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The closing price of the Company’s Common Stock as of December 31, 2013 was $40.42.</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w:t>
      </w:r>
    </w:p>
    <w:p>
      <w:pPr>
        <w:spacing w:after="0" w:line="82"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color w:val="auto"/>
        </w:rPr>
        <w:t>The Plan is administered by our Compensation Committee, which has the authority, among other things, to determine who will be granted awards and all of the terms and conditions of the awards. The Compensation Committee is also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is responsible for certifying that the performance goals have been attained. Neither the Compensation Committee nor our Board has the authority under the Plan to reprice, or to cancel and re-grant, any stock option or, if applicable, other award granted under the Plan, that would lower the exercise, base or purchase price without first obtaining the approval of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Programs</w:t>
      </w:r>
    </w:p>
    <w:p>
      <w:pPr>
        <w:spacing w:after="0" w:line="82"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Upon approval of the proposed amendment, we will have approximately 6.0 million shares available for future issuance under the Plan, comprised of the shares available for issuance under the current Plan (without giving effect to any of the amendments described in this proposal) plus the shares which will become authorized for issuance upon such approval. Including aggregate past grants under the current Plan, the maximum number of shares of Common Stock reserved for the grant of awards under the Plan would be 18.5 million upon approval of the proposed amendment, subject to adjustment as provided in the Plan.</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The Plan places limits of the maximum amount of awards that may be granted to any participant in any plan year. Under the Plan, no participant may receive awards that cover in the aggregate more than 1.0 million shares in any plan year. Shares issued under the Plan may be authorized but unissued shares or treasury shares. Awards granted after June 2009, except options and stock appreciation rights, must be counted against the foregoing share limit as 1.18 shares for every one share actually issued in connection with such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If any shares subject to an award granted under the Plan are forfeited, cancelled or surrendered or if an award terminates or expires without a distribution of shares, those shares of Common Stock will again be available for awards under the Plan. Shares of stock that are surrendered or withheld as payment of either the exercise price of an award or withholding taxes in respect of an award (including shares underlying a stock appreciation right that are retained by the Company to account for the grant price of the stock appreciation right) are no longer available for awards under the Plan. In the event that the Compensation Committee determines that 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spacing w:after="0" w:line="226" w:lineRule="exact"/>
        <w:rPr>
          <w:sz w:val="20"/>
          <w:szCs w:val="20"/>
          <w:color w:val="auto"/>
        </w:rPr>
      </w:pPr>
    </w:p>
    <w:p>
      <w:pPr>
        <w:ind w:left="200" w:right="140" w:hanging="197"/>
        <w:spacing w:after="0"/>
        <w:tabs>
          <w:tab w:leader="none" w:pos="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number and kind of shares or other property that may thereafter be issued in connection with future awards;</w:t>
      </w:r>
    </w:p>
    <w:p>
      <w:pPr>
        <w:spacing w:after="0" w:line="60" w:lineRule="exact"/>
        <w:rPr>
          <w:rFonts w:ascii="Arial" w:cs="Arial" w:eastAsia="Arial" w:hAnsi="Arial"/>
          <w:sz w:val="15"/>
          <w:szCs w:val="15"/>
          <w:color w:val="auto"/>
        </w:rPr>
      </w:pPr>
    </w:p>
    <w:p>
      <w:pPr>
        <w:ind w:left="200" w:hanging="197"/>
        <w:spacing w:after="0"/>
        <w:tabs>
          <w:tab w:leader="none" w:pos="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exercise price or purchase price of any outstanding award;</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performance goals applicable to outstanding awards; and</w:t>
      </w:r>
    </w:p>
    <w:p>
      <w:pPr>
        <w:spacing w:after="0" w:line="63" w:lineRule="exact"/>
        <w:rPr>
          <w:rFonts w:ascii="Arial" w:cs="Arial" w:eastAsia="Arial" w:hAnsi="Arial"/>
          <w:sz w:val="15"/>
          <w:szCs w:val="15"/>
          <w:color w:val="auto"/>
        </w:rPr>
      </w:pPr>
    </w:p>
    <w:p>
      <w:pPr>
        <w:ind w:left="200" w:right="180" w:hanging="197"/>
        <w:spacing w:after="0"/>
        <w:tabs>
          <w:tab w:leader="none" w:pos="2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maximum number of shares that can be issued to any one participant in any one year.</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The Compensation Committee determines all of the terms and conditions of equity-based awards under the Plan, including whether the vesting or payment of an award will be subject to the attainment of performance goals. The performance goals that may be applicable to the equity incentive program under the Plan can be based on one or more of the following criteria, as more fully described in the Plan:</w:t>
      </w:r>
    </w:p>
    <w:p>
      <w:pPr>
        <w:spacing w:after="0" w:line="50" w:lineRule="exact"/>
        <w:rPr>
          <w:sz w:val="20"/>
          <w:szCs w:val="20"/>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Return on total stockholder equity;</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Earnings per share;</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Net income (before or after taxes);</w:t>
      </w:r>
    </w:p>
    <w:p>
      <w:pPr>
        <w:spacing w:after="0" w:line="63" w:lineRule="exact"/>
        <w:rPr>
          <w:rFonts w:ascii="Arial" w:cs="Arial" w:eastAsia="Arial" w:hAnsi="Arial"/>
          <w:sz w:val="15"/>
          <w:szCs w:val="15"/>
          <w:color w:val="auto"/>
        </w:rPr>
      </w:pPr>
    </w:p>
    <w:p>
      <w:pPr>
        <w:ind w:left="200" w:right="28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Earnings before any or all of interest, taxes, minority interest, depreciation and amortization;</w:t>
      </w:r>
    </w:p>
    <w:p>
      <w:pPr>
        <w:spacing w:after="0" w:line="60"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Sales or revenues;</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Return on assets, capital or investment;</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Market share;</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Cost reduction goals;</w:t>
      </w:r>
    </w:p>
    <w:p>
      <w:pPr>
        <w:spacing w:after="0" w:line="63" w:lineRule="exact"/>
        <w:rPr>
          <w:rFonts w:ascii="Arial" w:cs="Arial" w:eastAsia="Arial" w:hAnsi="Arial"/>
          <w:sz w:val="15"/>
          <w:szCs w:val="15"/>
          <w:color w:val="auto"/>
        </w:rPr>
      </w:pPr>
    </w:p>
    <w:p>
      <w:pPr>
        <w:ind w:left="200" w:hanging="197"/>
        <w:spacing w:after="0"/>
        <w:tabs>
          <w:tab w:leader="none" w:pos="2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Implementation or completion of critical projects or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132080</wp:posOffset>
            </wp:positionV>
            <wp:extent cx="950595" cy="142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95"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49</w:t>
            </w:r>
          </w:p>
        </w:tc>
      </w:tr>
    </w:tbl>
    <w:p>
      <w:pPr>
        <w:sectPr>
          <w:pgSz w:w="11900" w:h="16838" w:orient="portrait"/>
          <w:cols w:equalWidth="0" w:num="2">
            <w:col w:w="5480" w:space="360"/>
            <w:col w:w="5540"/>
          </w:cols>
          <w:pgMar w:left="240" w:top="407" w:right="279" w:bottom="1440" w:gutter="0" w:footer="0" w:header="0"/>
        </w:sectPr>
      </w:pPr>
    </w:p>
    <w:bookmarkStart w:id="55" w:name="page56"/>
    <w:bookmarkEnd w:id="55"/>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7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240" w:lineRule="exact"/>
        <w:rPr>
          <w:sz w:val="20"/>
          <w:szCs w:val="20"/>
          <w:color w:val="auto"/>
        </w:rPr>
      </w:pPr>
    </w:p>
    <w:p>
      <w:pPr>
        <w:ind w:left="210" w:hanging="210"/>
        <w:spacing w:after="0"/>
        <w:tabs>
          <w:tab w:leader="none" w:pos="2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Cash flow;</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Gross or net profit margin;</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Total stockholder return; and</w:t>
      </w:r>
    </w:p>
    <w:p>
      <w:pPr>
        <w:spacing w:after="0" w:line="63" w:lineRule="exact"/>
        <w:rPr>
          <w:rFonts w:ascii="Arial" w:cs="Arial" w:eastAsia="Arial" w:hAnsi="Arial"/>
          <w:sz w:val="15"/>
          <w:szCs w:val="15"/>
          <w:color w:val="auto"/>
        </w:rPr>
      </w:pPr>
    </w:p>
    <w:p>
      <w:pPr>
        <w:ind w:left="210" w:hanging="210"/>
        <w:spacing w:after="0"/>
        <w:tabs>
          <w:tab w:leader="none" w:pos="2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Share price.</w:t>
      </w:r>
    </w:p>
    <w:p>
      <w:pPr>
        <w:spacing w:after="0" w:line="64" w:lineRule="exact"/>
        <w:rPr>
          <w:sz w:val="20"/>
          <w:szCs w:val="20"/>
          <w:color w:val="auto"/>
        </w:rPr>
      </w:pPr>
    </w:p>
    <w:p>
      <w:pPr>
        <w:ind w:left="10"/>
        <w:spacing w:after="0" w:line="236" w:lineRule="auto"/>
        <w:rPr>
          <w:sz w:val="20"/>
          <w:szCs w:val="20"/>
          <w:color w:val="auto"/>
        </w:rPr>
      </w:pPr>
      <w:r>
        <w:rPr>
          <w:rFonts w:ascii="Arial" w:cs="Arial" w:eastAsia="Arial" w:hAnsi="Arial"/>
          <w:sz w:val="15"/>
          <w:szCs w:val="15"/>
          <w:color w:val="auto"/>
        </w:rPr>
        <w:t>All performance goals may be based upon the attainment of specified levels of our performance, or the performance of a subsidiary, division or other business unit, under one or more of the measures described above either on an absolute basis or relative to the performance of other entities. The Committee also has the authority to make adjustments to performance goals, including, but not limited to, in response to changes in applicable laws, regulations or accounting principles, to exclude the impact of restructuring, transaction costs, events not directly related to our operations or not within the reasonable control of management, and discontinued operations.</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Stock Options and Stock Appreciation Rights</w:t>
      </w:r>
    </w:p>
    <w:p>
      <w:pPr>
        <w:spacing w:after="0" w:line="82" w:lineRule="exact"/>
        <w:rPr>
          <w:sz w:val="20"/>
          <w:szCs w:val="20"/>
          <w:color w:val="auto"/>
        </w:rPr>
      </w:pPr>
    </w:p>
    <w:p>
      <w:pPr>
        <w:ind w:left="10" w:right="40"/>
        <w:spacing w:after="0" w:line="253" w:lineRule="auto"/>
        <w:rPr>
          <w:sz w:val="20"/>
          <w:szCs w:val="20"/>
          <w:color w:val="auto"/>
        </w:rPr>
      </w:pPr>
      <w:r>
        <w:rPr>
          <w:rFonts w:ascii="Arial" w:cs="Arial" w:eastAsia="Arial" w:hAnsi="Arial"/>
          <w:sz w:val="14"/>
          <w:szCs w:val="14"/>
          <w:color w:val="auto"/>
        </w:rPr>
        <w:t>The terms and conditions of stock options and stock appreciation rights granted under the Plan are determined by our Compensation Committee and set forth in an award agreement. Stock options, granted under the Plan may be “incentive stock options,” or non-qualified stock options. A stock appreciation right confers on the participant the right to receive an amount, in cash or shares of our Common Stock, equal to the excess of the fair market value of a share of our Common Stock on the date of exercise over the exercise price of the stock 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57"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The vesting of a stock option or stock appreciation right is subject to such conditions as the Compensation Committee may determine, which may include the attainment of performance goals, but such vesting shall generally not occur prior to the first anniversary of the date of grant.</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Restricted Stock</w:t>
      </w:r>
    </w:p>
    <w:p>
      <w:pPr>
        <w:spacing w:after="0" w:line="82" w:lineRule="exact"/>
        <w:rPr>
          <w:sz w:val="20"/>
          <w:szCs w:val="20"/>
          <w:color w:val="auto"/>
        </w:rPr>
      </w:pPr>
    </w:p>
    <w:p>
      <w:pPr>
        <w:ind w:left="10" w:right="160"/>
        <w:spacing w:after="0"/>
        <w:rPr>
          <w:sz w:val="20"/>
          <w:szCs w:val="20"/>
          <w:color w:val="auto"/>
        </w:rPr>
      </w:pPr>
      <w:r>
        <w:rPr>
          <w:rFonts w:ascii="Arial" w:cs="Arial" w:eastAsia="Arial" w:hAnsi="Arial"/>
          <w:sz w:val="15"/>
          <w:szCs w:val="15"/>
          <w:color w:val="auto"/>
        </w:rPr>
        <w:t>The terms and conditions of awards of restricted stock granted under the Plan are determined by our Compensation Committee and set forth in an award</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50 </w:t>
      </w:r>
      <w:r>
        <w:rPr>
          <w:sz w:val="1"/>
          <w:szCs w:val="1"/>
          <w:color w:val="auto"/>
        </w:rPr>
        <w:drawing>
          <wp:inline distT="0" distB="0" distL="0" distR="0">
            <wp:extent cx="857885" cy="1143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agreement. A restricted stock award granted under the Plan consists of shares of our Common Stock that may not be sold, assigned, transferred, pledged or otherwise encumbered, except as provided in the applicable award agreement or until such time as the restrictions applicable to the award lapse. Under the Plan, the Compensation Committee has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first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-1604010</wp:posOffset>
            </wp:positionV>
            <wp:extent cx="73088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Units</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 restricted stock unit is an award of a right to receive a share of our Common Stock. These awards are subject to such restrictions on transferability and other restrictions, if any, as the Compensation Committee may impose at the date or grant or thereafter, which restrictions may lapse separately or in combination at such times, under such circumstances (including without limitation a specified period of employment or the satisfaction of pre-established performance goals), in such installments, or otherwise, as the Compensation Committee may determine but such lapse of restrictions shall generally not occur prior to the first anniversary of the date of grant.</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82"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The Compensation Committee may determine that the holder of restricted stock or restricted stock units may receive dividends (or dividend equivalents, in the case of restricted stock units), which may be deferred during the restricted period applicable to these awards, except that with respect to awards subject to performance goals, dividends or dividend equivalents shall be deferred during the restricted period applicable to these awards.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Cash and Equity-Based Awards</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The Plan provides for other cash and equity-based awards, the form and terms of which will be as determined by the Compensation Committee, consistent with the purposes of the Plan. The vesting or payment of one of these awards may be made subject to the attainment of performance goals. The maximum amount that any participant may receive under a cash award under the Plan for any annual performance period is $10 million.</w:t>
      </w:r>
    </w:p>
    <w:p>
      <w:pPr>
        <w:sectPr>
          <w:pgSz w:w="11900" w:h="16838" w:orient="portrait"/>
          <w:cols w:equalWidth="0" w:num="2">
            <w:col w:w="5450" w:space="400"/>
            <w:col w:w="5460"/>
          </w:cols>
          <w:pgMar w:left="230" w:top="407" w:right="359" w:bottom="1440" w:gutter="0" w:footer="0" w:header="0"/>
        </w:sectPr>
      </w:pPr>
    </w:p>
    <w:bookmarkStart w:id="56" w:name="page57"/>
    <w:bookmarkEnd w:id="56"/>
    <w:p>
      <w:pPr>
        <w:ind w:left="10"/>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Change in Control</w:t>
      </w:r>
    </w:p>
    <w:p>
      <w:pPr>
        <w:spacing w:after="0" w:line="82" w:lineRule="exact"/>
        <w:rPr>
          <w:sz w:val="20"/>
          <w:szCs w:val="20"/>
          <w:color w:val="auto"/>
        </w:rPr>
      </w:pPr>
    </w:p>
    <w:p>
      <w:pPr>
        <w:ind w:left="10" w:right="80"/>
        <w:spacing w:after="0" w:line="256" w:lineRule="auto"/>
        <w:rPr>
          <w:sz w:val="20"/>
          <w:szCs w:val="20"/>
          <w:color w:val="auto"/>
        </w:rPr>
      </w:pPr>
      <w:r>
        <w:rPr>
          <w:rFonts w:ascii="Arial" w:cs="Arial" w:eastAsia="Arial" w:hAnsi="Arial"/>
          <w:sz w:val="14"/>
          <w:szCs w:val="14"/>
          <w:color w:val="auto"/>
        </w:rPr>
        <w:t>The Plan provides that, unless otherwise provided in an award or other agreement, including an employment agreement, or for awards that do not constitute deferred compensation under Section 409A of the Code, unless determined by the Compensation Committee in its discretion, in the event of a change in control (as defined in the Plan), each award outstanding as of the change in control shall be assumed, continued, or substituted with a new award that has:</w:t>
      </w:r>
    </w:p>
    <w:p>
      <w:pPr>
        <w:spacing w:after="0" w:line="50" w:lineRule="exact"/>
        <w:rPr>
          <w:sz w:val="20"/>
          <w:szCs w:val="20"/>
          <w:color w:val="auto"/>
        </w:rPr>
      </w:pPr>
    </w:p>
    <w:p>
      <w:pPr>
        <w:ind w:left="210" w:hanging="210"/>
        <w:spacing w:after="0"/>
        <w:tabs>
          <w:tab w:leader="none" w:pos="2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 intrinsic value equivalent to that of the original award; and</w:t>
      </w:r>
    </w:p>
    <w:p>
      <w:pPr>
        <w:spacing w:after="0" w:line="63" w:lineRule="exact"/>
        <w:rPr>
          <w:rFonts w:ascii="Arial" w:cs="Arial" w:eastAsia="Arial" w:hAnsi="Arial"/>
          <w:sz w:val="15"/>
          <w:szCs w:val="15"/>
          <w:color w:val="auto"/>
        </w:rPr>
      </w:pPr>
    </w:p>
    <w:p>
      <w:pPr>
        <w:ind w:left="210" w:right="400" w:hanging="210"/>
        <w:spacing w:after="0"/>
        <w:tabs>
          <w:tab w:leader="none" w:pos="2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terms at least as beneficial to the grantee as those contained in the original award agreement.</w:t>
      </w:r>
    </w:p>
    <w:p>
      <w:pPr>
        <w:spacing w:after="0" w:line="60"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If within two years following a change in control, a grantee is terminated for any of the reasons described below, all of the grantee’s outstanding awards which have not yet vested shall immediately vest and become exercisable and all restrictions on such awards shall immediately lapse:</w:t>
      </w:r>
    </w:p>
    <w:p>
      <w:pPr>
        <w:spacing w:after="0" w:line="62" w:lineRule="exact"/>
        <w:rPr>
          <w:sz w:val="20"/>
          <w:szCs w:val="20"/>
          <w:color w:val="auto"/>
        </w:rPr>
      </w:pPr>
    </w:p>
    <w:p>
      <w:pPr>
        <w:ind w:left="210" w:hanging="210"/>
        <w:spacing w:after="0"/>
        <w:tabs>
          <w:tab w:leader="none" w:pos="21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by the Company, for any reason other than for cause (as defined in the Plan); or</w:t>
      </w:r>
    </w:p>
    <w:p>
      <w:pPr>
        <w:spacing w:after="0" w:line="75" w:lineRule="exact"/>
        <w:rPr>
          <w:rFonts w:ascii="Arial" w:cs="Arial" w:eastAsia="Arial" w:hAnsi="Arial"/>
          <w:sz w:val="14"/>
          <w:szCs w:val="14"/>
          <w:color w:val="auto"/>
        </w:rPr>
      </w:pPr>
    </w:p>
    <w:p>
      <w:pPr>
        <w:ind w:left="210" w:hanging="210"/>
        <w:spacing w:after="0"/>
        <w:tabs>
          <w:tab w:leader="none" w:pos="2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by the grantee as a result of a constructive discharge (as defined in the Plan).</w:t>
      </w:r>
    </w:p>
    <w:p>
      <w:pPr>
        <w:spacing w:after="0" w:line="11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Term</w:t>
      </w:r>
    </w:p>
    <w:p>
      <w:pPr>
        <w:spacing w:after="0" w:line="82" w:lineRule="exact"/>
        <w:rPr>
          <w:sz w:val="20"/>
          <w:szCs w:val="20"/>
          <w:color w:val="auto"/>
        </w:rPr>
      </w:pPr>
    </w:p>
    <w:p>
      <w:pPr>
        <w:ind w:left="10" w:right="80"/>
        <w:spacing w:after="0" w:line="256" w:lineRule="auto"/>
        <w:rPr>
          <w:sz w:val="20"/>
          <w:szCs w:val="20"/>
          <w:color w:val="auto"/>
        </w:rPr>
      </w:pPr>
      <w:r>
        <w:rPr>
          <w:rFonts w:ascii="Arial" w:cs="Arial" w:eastAsia="Arial" w:hAnsi="Arial"/>
          <w:sz w:val="14"/>
          <w:szCs w:val="14"/>
          <w:color w:val="auto"/>
        </w:rPr>
        <w:t>No awards will be made under the Plan following May 23, 2024. Our Board or the Compensation Committee may amend or terminate the Plan at any time, provided that the amendment or termination does not adversely affect any award that is then outstanding without the award holder’s consent. We must obtain stockholder approval of an additional amendment to the Plan if stockholder approval is required to comply with any applicable law, regulation or stock exchange rule.</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Tax Consequences</w:t>
      </w:r>
    </w:p>
    <w:p>
      <w:pPr>
        <w:spacing w:after="0" w:line="82" w:lineRule="exact"/>
        <w:rPr>
          <w:sz w:val="20"/>
          <w:szCs w:val="20"/>
          <w:color w:val="auto"/>
        </w:rPr>
      </w:pPr>
    </w:p>
    <w:p>
      <w:pPr>
        <w:ind w:left="10" w:right="140"/>
        <w:spacing w:after="0" w:line="237" w:lineRule="auto"/>
        <w:rPr>
          <w:sz w:val="20"/>
          <w:szCs w:val="20"/>
          <w:color w:val="auto"/>
        </w:rPr>
      </w:pPr>
      <w:r>
        <w:rPr>
          <w:rFonts w:ascii="Arial" w:cs="Arial" w:eastAsia="Arial" w:hAnsi="Arial"/>
          <w:sz w:val="15"/>
          <w:szCs w:val="15"/>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46" w:lineRule="exact"/>
        <w:rPr>
          <w:sz w:val="20"/>
          <w:szCs w:val="20"/>
          <w:color w:val="auto"/>
        </w:rPr>
      </w:pPr>
    </w:p>
    <w:p>
      <w:pPr>
        <w:ind w:left="10" w:right="360"/>
        <w:spacing w:after="0" w:line="295" w:lineRule="auto"/>
        <w:rPr>
          <w:sz w:val="20"/>
          <w:szCs w:val="20"/>
          <w:color w:val="auto"/>
        </w:rPr>
      </w:pPr>
      <w:r>
        <w:rPr>
          <w:rFonts w:ascii="Arial" w:cs="Arial" w:eastAsia="Arial" w:hAnsi="Arial"/>
          <w:sz w:val="14"/>
          <w:szCs w:val="14"/>
          <w:i w:val="1"/>
          <w:iCs w:val="1"/>
          <w:color w:val="auto"/>
        </w:rPr>
        <w:t xml:space="preserve">Incentive Stock Options. </w:t>
      </w:r>
      <w:r>
        <w:rPr>
          <w:rFonts w:ascii="Arial" w:cs="Arial" w:eastAsia="Arial" w:hAnsi="Arial"/>
          <w:sz w:val="14"/>
          <w:szCs w:val="14"/>
          <w:color w:val="auto"/>
        </w:rPr>
        <w:t>An optionee recognizes no taxable income for regular</w:t>
      </w:r>
      <w:r>
        <w:rPr>
          <w:rFonts w:ascii="Arial" w:cs="Arial" w:eastAsia="Arial" w:hAnsi="Arial"/>
          <w:sz w:val="14"/>
          <w:szCs w:val="14"/>
          <w:i w:val="1"/>
          <w:iCs w:val="1"/>
          <w:color w:val="auto"/>
        </w:rPr>
        <w:t xml:space="preserve"> </w:t>
      </w:r>
      <w:r>
        <w:rPr>
          <w:rFonts w:ascii="Arial" w:cs="Arial" w:eastAsia="Arial" w:hAnsi="Arial"/>
          <w:sz w:val="14"/>
          <w:szCs w:val="14"/>
          <w:color w:val="auto"/>
        </w:rPr>
        <w:t>income tax purposes as the result of the grant or exercise of an incentive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-520700</wp:posOffset>
            </wp:positionV>
            <wp:extent cx="73088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option qualifying under Section 422 of the Code (unless the optionee is subject to the alternative minimum tax). Optionees who dispose of their shares acquired upon the exercise of an incentive stock option (“ISO shares”) more than two years after the stock option grant date and more than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The Company will be entitled to a deduction in connection with the disposition of the ISO shares only to the extent that the optionee recognizes ordinary income on a disqualifying disposition of the ISO shares.</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i w:val="1"/>
          <w:iCs w:val="1"/>
          <w:color w:val="auto"/>
        </w:rPr>
        <w:t xml:space="preserve">Non-Qualified Stock Options. </w:t>
      </w:r>
      <w:r>
        <w:rPr>
          <w:rFonts w:ascii="Arial" w:cs="Arial" w:eastAsia="Arial" w:hAnsi="Arial"/>
          <w:sz w:val="15"/>
          <w:szCs w:val="15"/>
          <w:color w:val="auto"/>
        </w:rPr>
        <w:t>An optionee generally recognizes no taxable income</w:t>
      </w:r>
      <w:r>
        <w:rPr>
          <w:rFonts w:ascii="Arial" w:cs="Arial" w:eastAsia="Arial" w:hAnsi="Arial"/>
          <w:sz w:val="15"/>
          <w:szCs w:val="15"/>
          <w:i w:val="1"/>
          <w:iCs w:val="1"/>
          <w:color w:val="auto"/>
        </w:rPr>
        <w:t xml:space="preserve"> </w:t>
      </w:r>
      <w:r>
        <w:rPr>
          <w:rFonts w:ascii="Arial" w:cs="Arial" w:eastAsia="Arial" w:hAnsi="Arial"/>
          <w:sz w:val="15"/>
          <w:szCs w:val="15"/>
          <w:color w:val="auto"/>
        </w:rPr>
        <w:t>as the result of the grant of a non-qualified stock option. Upon the exercise of a non-qualified stock 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non-qualified stock option, any subsequent gain or loss, generally based on the difference between the sale price and the fair market value on the exercise date, will be taxed as capital gain or loss. The Company generally should be entitled to a deduction equal to the amount of ordinary income recognized by the optionee as a result of the exercise of a non-qualified stock option, except to the extent such deduction is limited by applicable provisions of the Code.</w:t>
      </w:r>
    </w:p>
    <w:p>
      <w:pPr>
        <w:spacing w:after="0" w:line="48" w:lineRule="exact"/>
        <w:rPr>
          <w:sz w:val="20"/>
          <w:szCs w:val="20"/>
          <w:color w:val="auto"/>
        </w:rPr>
      </w:pPr>
    </w:p>
    <w:p>
      <w:pPr>
        <w:ind w:right="300"/>
        <w:spacing w:after="0" w:line="256" w:lineRule="auto"/>
        <w:rPr>
          <w:sz w:val="20"/>
          <w:szCs w:val="20"/>
          <w:color w:val="auto"/>
        </w:rPr>
      </w:pPr>
      <w:r>
        <w:rPr>
          <w:rFonts w:ascii="Arial" w:cs="Arial" w:eastAsia="Arial" w:hAnsi="Arial"/>
          <w:sz w:val="14"/>
          <w:szCs w:val="14"/>
          <w:i w:val="1"/>
          <w:iCs w:val="1"/>
          <w:color w:val="auto"/>
        </w:rPr>
        <w:t xml:space="preserve">Certain Other Tax Issues. </w:t>
      </w:r>
      <w:r>
        <w:rPr>
          <w:rFonts w:ascii="Arial" w:cs="Arial" w:eastAsia="Arial" w:hAnsi="Arial"/>
          <w:sz w:val="14"/>
          <w:szCs w:val="14"/>
          <w:color w:val="auto"/>
        </w:rPr>
        <w:t>In addition to the matters described above, (i) any</w:t>
      </w:r>
      <w:r>
        <w:rPr>
          <w:rFonts w:ascii="Arial" w:cs="Arial" w:eastAsia="Arial" w:hAnsi="Arial"/>
          <w:sz w:val="14"/>
          <w:szCs w:val="14"/>
          <w:i w:val="1"/>
          <w:iCs w:val="1"/>
          <w:color w:val="auto"/>
        </w:rPr>
        <w:t xml:space="preserve"> </w:t>
      </w:r>
      <w:r>
        <w:rPr>
          <w:rFonts w:ascii="Arial" w:cs="Arial" w:eastAsia="Arial" w:hAnsi="Arial"/>
          <w:sz w:val="14"/>
          <w:szCs w:val="14"/>
          <w:color w:val="auto"/>
        </w:rPr>
        <w:t>entitlement to a tax deduction on the part of the Company is subject to applicable federal tax rules (including, without any limitation, Section 162(m) of the Code regarding the $1,000,000 limitation on the Company’s deductible compensation);</w:t>
      </w:r>
    </w:p>
    <w:p>
      <w:pPr>
        <w:spacing w:after="0" w:line="2" w:lineRule="exact"/>
        <w:rPr>
          <w:sz w:val="20"/>
          <w:szCs w:val="20"/>
          <w:color w:val="auto"/>
        </w:rPr>
      </w:pPr>
    </w:p>
    <w:p>
      <w:pPr>
        <w:ind w:right="440" w:firstLine="3"/>
        <w:spacing w:after="0" w:line="274" w:lineRule="auto"/>
        <w:tabs>
          <w:tab w:leader="none" w:pos="201"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exercise of an incentive stock option may have implications in the computation of the Company’s alternative minimum taxable income; (iii)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158115</wp:posOffset>
            </wp:positionV>
            <wp:extent cx="950595" cy="142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236" w:lineRule="exact"/>
        <w:rPr>
          <w:sz w:val="20"/>
          <w:szCs w:val="20"/>
          <w:color w:val="auto"/>
        </w:rPr>
      </w:pPr>
    </w:p>
    <w:tbl>
      <w:tblPr>
        <w:tblLayout w:type="fixed"/>
        <w:tblInd w:w="364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51</w:t>
            </w:r>
          </w:p>
        </w:tc>
      </w:tr>
    </w:tbl>
    <w:p>
      <w:pPr>
        <w:sectPr>
          <w:pgSz w:w="11900" w:h="16838" w:orient="portrait"/>
          <w:cols w:equalWidth="0" w:num="2">
            <w:col w:w="5450" w:space="400"/>
            <w:col w:w="5540"/>
          </w:cols>
          <w:pgMar w:left="230" w:top="407" w:right="2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awards under the Plan may be subject to the requirements of Section 409A of the Code (regarding nonqualified deferred compensation); and (iv) if the exercisability or vesting of any option is accelerated because of a change in control, such option (or a portion thereof), either alone or together with certain other payments, may constitute parachute payments under Section 280G of the Code, which excess amounts may be subject to excise taxes payable by the recipient. Officers and directors of the Company subject to Section 16(b) of the Securities Exchange Act of 1934, as amended, may be subject to special tax rules regarding the income tax consequences concerning their options. The Plan is not, nor is it intended to be, qualified under Section 401(a) of the Code, and is not subject to any of the requirements of the Employee Retirement Income Security Act of 1974, as amended.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52 </w:t>
      </w:r>
      <w:r>
        <w:rPr>
          <w:sz w:val="1"/>
          <w:szCs w:val="1"/>
          <w:color w:val="auto"/>
        </w:rPr>
        <w:drawing>
          <wp:inline distT="0" distB="0" distL="0" distR="0">
            <wp:extent cx="857885" cy="1143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-728345</wp:posOffset>
            </wp:positionV>
            <wp:extent cx="73088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spacing w:after="0" w:line="62"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No awards have been granted, and no shares have been issued, on the basis of the proposed 2,500,000 share increase. 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benefits that might be received by participants receiving discretionary grants under the Plan.</w:t>
      </w:r>
    </w:p>
    <w:p>
      <w:pPr>
        <w:sectPr>
          <w:pgSz w:w="11900" w:h="16838" w:orient="portrait"/>
          <w:cols w:equalWidth="0" w:num="2">
            <w:col w:w="5480" w:space="360"/>
            <w:col w:w="5480"/>
          </w:cols>
          <w:pgMar w:left="240" w:top="407" w:right="339" w:bottom="1440" w:gutter="0" w:footer="0" w:header="0"/>
        </w:sectPr>
      </w:pPr>
    </w:p>
    <w:bookmarkStart w:id="58" w:name="page59"/>
    <w:bookmarkEnd w:id="58"/>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8970"/>
        <w:spacing w:after="0"/>
        <w:rPr>
          <w:sz w:val="20"/>
          <w:szCs w:val="20"/>
          <w:color w:val="auto"/>
        </w:rPr>
      </w:pPr>
      <w:r>
        <w:rPr>
          <w:rFonts w:ascii="Arial" w:cs="Arial" w:eastAsia="Arial" w:hAnsi="Arial"/>
          <w:sz w:val="11"/>
          <w:szCs w:val="11"/>
          <w:b w:val="1"/>
          <w:bCs w:val="1"/>
          <w:color w:val="FFFFFF"/>
          <w:highlight w:val="black"/>
        </w:rPr>
        <w:t>PROPOSALS TO BE VOTED ON AT MEETING</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Aggregate Past Grants Under the Plan</w:t>
      </w:r>
    </w:p>
    <w:p>
      <w:pPr>
        <w:spacing w:after="0" w:line="93" w:lineRule="exact"/>
        <w:rPr>
          <w:sz w:val="20"/>
          <w:szCs w:val="20"/>
          <w:color w:val="auto"/>
        </w:rPr>
      </w:pPr>
    </w:p>
    <w:p>
      <w:pPr>
        <w:ind w:left="10" w:right="280"/>
        <w:spacing w:after="0" w:line="237" w:lineRule="auto"/>
        <w:rPr>
          <w:sz w:val="20"/>
          <w:szCs w:val="20"/>
          <w:color w:val="auto"/>
        </w:rPr>
      </w:pPr>
      <w:r>
        <w:rPr>
          <w:rFonts w:ascii="Arial" w:cs="Arial" w:eastAsia="Arial" w:hAnsi="Arial"/>
          <w:sz w:val="15"/>
          <w:szCs w:val="15"/>
          <w:color w:val="auto"/>
        </w:rPr>
        <w:t>As of February 10, 2014, awards covering approximately 12.3 million shares of the Company’s Common Stock had been granted under the Plan, including shares subject to awards that expired or terminated without having been exercised or paid and became available for new award grants under the Plan. The following table shows information regarding the distribution of those awards among the persons and groups identified, option exercises and RSUs (including both time and performance-based) vesting prior to that date, and any option and RSU holdings as of such date.</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gridSpan w:val="4"/>
          </w:tcPr>
          <w:p>
            <w:pPr>
              <w:ind w:left="480"/>
              <w:spacing w:after="0"/>
              <w:rPr>
                <w:sz w:val="20"/>
                <w:szCs w:val="20"/>
                <w:color w:val="auto"/>
              </w:rPr>
            </w:pPr>
            <w:r>
              <w:rPr>
                <w:rFonts w:ascii="Arial" w:cs="Arial" w:eastAsia="Arial" w:hAnsi="Arial"/>
                <w:sz w:val="11"/>
                <w:szCs w:val="11"/>
                <w:b w:val="1"/>
                <w:bCs w:val="1"/>
                <w:color w:val="auto"/>
              </w:rPr>
              <w:t>STOCK OPTIONS</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1"/>
                <w:szCs w:val="11"/>
                <w:b w:val="1"/>
                <w:bCs w:val="1"/>
                <w:color w:val="auto"/>
              </w:rPr>
              <w:t>RESTRICTED STOCK UNITS</w:t>
            </w:r>
          </w:p>
        </w:tc>
        <w:tc>
          <w:tcPr>
            <w:tcW w:w="0" w:type="dxa"/>
            <w:vAlign w:val="bottom"/>
          </w:tcPr>
          <w:p>
            <w:pPr>
              <w:spacing w:after="0"/>
              <w:rPr>
                <w:sz w:val="1"/>
                <w:szCs w:val="1"/>
                <w:color w:val="auto"/>
              </w:rPr>
            </w:pPr>
          </w:p>
        </w:tc>
      </w:tr>
      <w:tr>
        <w:trPr>
          <w:trHeight w:val="101"/>
        </w:trPr>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top w:val="single" w:sz="8" w:color="auto"/>
            </w:tcBorders>
            <w:gridSpan w:val="2"/>
          </w:tcPr>
          <w:p>
            <w:pPr>
              <w:jc w:val="center"/>
              <w:ind w:right="400"/>
              <w:spacing w:after="0" w:line="101" w:lineRule="exact"/>
              <w:rPr>
                <w:sz w:val="20"/>
                <w:szCs w:val="20"/>
                <w:color w:val="auto"/>
              </w:rPr>
            </w:pPr>
            <w:r>
              <w:rPr>
                <w:rFonts w:ascii="Arial" w:cs="Arial" w:eastAsia="Arial" w:hAnsi="Arial"/>
                <w:sz w:val="11"/>
                <w:szCs w:val="11"/>
                <w:b w:val="1"/>
                <w:bCs w:val="1"/>
                <w:color w:val="auto"/>
              </w:rPr>
              <w:t>Number</w:t>
            </w:r>
          </w:p>
        </w:tc>
        <w:tc>
          <w:tcPr>
            <w:tcW w:w="5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center"/>
              <w:ind w:right="200"/>
              <w:spacing w:after="0" w:line="101" w:lineRule="exact"/>
              <w:rPr>
                <w:sz w:val="20"/>
                <w:szCs w:val="20"/>
                <w:color w:val="auto"/>
              </w:rPr>
            </w:pPr>
            <w:r>
              <w:rPr>
                <w:rFonts w:ascii="Arial" w:cs="Arial" w:eastAsia="Arial" w:hAnsi="Arial"/>
                <w:sz w:val="11"/>
                <w:szCs w:val="11"/>
                <w:b w:val="1"/>
                <w:bCs w:val="1"/>
                <w:color w:val="auto"/>
              </w:rPr>
              <w:t>Number of</w:t>
            </w:r>
          </w:p>
        </w:tc>
        <w:tc>
          <w:tcPr>
            <w:tcW w:w="9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400"/>
              <w:spacing w:after="0" w:line="124" w:lineRule="exact"/>
              <w:rPr>
                <w:sz w:val="20"/>
                <w:szCs w:val="20"/>
                <w:color w:val="auto"/>
              </w:rPr>
            </w:pPr>
            <w:r>
              <w:rPr>
                <w:rFonts w:ascii="Arial" w:cs="Arial" w:eastAsia="Arial" w:hAnsi="Arial"/>
                <w:sz w:val="11"/>
                <w:szCs w:val="11"/>
                <w:b w:val="1"/>
                <w:bCs w:val="1"/>
                <w:color w:val="auto"/>
              </w:rPr>
              <w:t>of Shares</w:t>
            </w:r>
          </w:p>
        </w:tc>
        <w:tc>
          <w:tcPr>
            <w:tcW w:w="980" w:type="dxa"/>
            <w:vAlign w:val="bottom"/>
            <w:gridSpan w:val="2"/>
          </w:tcPr>
          <w:p>
            <w:pPr>
              <w:jc w:val="center"/>
              <w:ind w:right="400"/>
              <w:spacing w:after="0" w:line="124" w:lineRule="exact"/>
              <w:rPr>
                <w:sz w:val="20"/>
                <w:szCs w:val="20"/>
                <w:color w:val="auto"/>
              </w:rPr>
            </w:pPr>
            <w:r>
              <w:rPr>
                <w:rFonts w:ascii="Arial" w:cs="Arial" w:eastAsia="Arial" w:hAnsi="Arial"/>
                <w:sz w:val="11"/>
                <w:szCs w:val="11"/>
                <w:b w:val="1"/>
                <w:bCs w:val="1"/>
                <w:color w:val="auto"/>
              </w:rPr>
              <w:t>Number</w:t>
            </w:r>
          </w:p>
        </w:tc>
        <w:tc>
          <w:tcPr>
            <w:tcW w:w="2260" w:type="dxa"/>
            <w:vAlign w:val="bottom"/>
            <w:gridSpan w:val="4"/>
            <w:vMerge w:val="restart"/>
          </w:tcPr>
          <w:p>
            <w:pPr>
              <w:jc w:val="center"/>
              <w:ind w:right="400"/>
              <w:spacing w:after="0"/>
              <w:rPr>
                <w:sz w:val="20"/>
                <w:szCs w:val="20"/>
                <w:color w:val="auto"/>
              </w:rPr>
            </w:pPr>
            <w:r>
              <w:rPr>
                <w:rFonts w:ascii="Arial" w:cs="Arial" w:eastAsia="Arial" w:hAnsi="Arial"/>
                <w:sz w:val="11"/>
                <w:szCs w:val="11"/>
                <w:b w:val="1"/>
                <w:bCs w:val="1"/>
                <w:color w:val="auto"/>
              </w:rPr>
              <w:t>Number of Shares</w:t>
            </w:r>
          </w:p>
        </w:tc>
        <w:tc>
          <w:tcPr>
            <w:tcW w:w="68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rPr>
              <w:t>Number of</w:t>
            </w:r>
          </w:p>
        </w:tc>
        <w:tc>
          <w:tcPr>
            <w:tcW w:w="34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Arial" w:cs="Arial" w:eastAsia="Arial" w:hAnsi="Arial"/>
                <w:sz w:val="11"/>
                <w:szCs w:val="11"/>
                <w:b w:val="1"/>
                <w:bCs w:val="1"/>
                <w:color w:val="auto"/>
              </w:rPr>
              <w:t>RSUs</w:t>
            </w:r>
          </w:p>
        </w:tc>
        <w:tc>
          <w:tcPr>
            <w:tcW w:w="12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rPr>
              <w:t>Number of RSUs</w:t>
            </w: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rPr>
              <w:t>Subject</w:t>
            </w:r>
          </w:p>
        </w:tc>
        <w:tc>
          <w:tcPr>
            <w:tcW w:w="98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w w:val="99"/>
              </w:rPr>
              <w:t>of Shares</w:t>
            </w:r>
          </w:p>
        </w:tc>
        <w:tc>
          <w:tcPr>
            <w:tcW w:w="2260" w:type="dxa"/>
            <w:vAlign w:val="bottom"/>
            <w:gridSpan w:val="4"/>
            <w:vMerge w:val="continue"/>
          </w:tcPr>
          <w:p>
            <w:pPr>
              <w:spacing w:after="0"/>
              <w:rPr>
                <w:sz w:val="3"/>
                <w:szCs w:val="3"/>
                <w:color w:val="auto"/>
              </w:rPr>
            </w:pPr>
          </w:p>
        </w:tc>
        <w:tc>
          <w:tcPr>
            <w:tcW w:w="680" w:type="dxa"/>
            <w:vAlign w:val="bottom"/>
            <w:gridSpan w:val="2"/>
            <w:vMerge w:val="restart"/>
          </w:tcPr>
          <w:p>
            <w:pPr>
              <w:jc w:val="center"/>
              <w:ind w:right="60"/>
              <w:spacing w:after="0" w:line="124" w:lineRule="exact"/>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3"/>
                <w:szCs w:val="3"/>
                <w:color w:val="auto"/>
              </w:rPr>
            </w:pPr>
          </w:p>
        </w:tc>
        <w:tc>
          <w:tcPr>
            <w:tcW w:w="920" w:type="dxa"/>
            <w:vAlign w:val="bottom"/>
            <w:gridSpan w:val="2"/>
            <w:vMerge w:val="restart"/>
          </w:tcPr>
          <w:p>
            <w:pPr>
              <w:jc w:val="center"/>
              <w:ind w:right="200"/>
              <w:spacing w:after="0" w:line="124" w:lineRule="exact"/>
              <w:rPr>
                <w:sz w:val="20"/>
                <w:szCs w:val="20"/>
                <w:color w:val="auto"/>
              </w:rPr>
            </w:pPr>
            <w:r>
              <w:rPr>
                <w:rFonts w:ascii="Arial" w:cs="Arial" w:eastAsia="Arial" w:hAnsi="Arial"/>
                <w:sz w:val="11"/>
                <w:szCs w:val="11"/>
                <w:b w:val="1"/>
                <w:bCs w:val="1"/>
                <w:color w:val="auto"/>
              </w:rPr>
              <w:t>Vested/Paid</w:t>
            </w:r>
          </w:p>
        </w:tc>
        <w:tc>
          <w:tcPr>
            <w:tcW w:w="1200" w:type="dxa"/>
            <w:vAlign w:val="bottom"/>
            <w:gridSpan w:val="2"/>
            <w:vMerge w:val="restart"/>
          </w:tcPr>
          <w:p>
            <w:pPr>
              <w:jc w:val="center"/>
              <w:ind w:right="220"/>
              <w:spacing w:after="0" w:line="124" w:lineRule="exact"/>
              <w:rPr>
                <w:sz w:val="20"/>
                <w:szCs w:val="20"/>
                <w:color w:val="auto"/>
              </w:rPr>
            </w:pPr>
            <w:r>
              <w:rPr>
                <w:rFonts w:ascii="Arial" w:cs="Arial" w:eastAsia="Arial" w:hAnsi="Arial"/>
                <w:sz w:val="11"/>
                <w:szCs w:val="11"/>
                <w:b w:val="1"/>
                <w:bCs w:val="1"/>
                <w:color w:val="auto"/>
              </w:rPr>
              <w:t>Outstanding and</w:t>
            </w:r>
          </w:p>
        </w:tc>
        <w:tc>
          <w:tcPr>
            <w:tcW w:w="0" w:type="dxa"/>
            <w:vAlign w:val="bottom"/>
          </w:tcPr>
          <w:p>
            <w:pPr>
              <w:spacing w:after="0"/>
              <w:rPr>
                <w:sz w:val="1"/>
                <w:szCs w:val="1"/>
                <w:color w:val="auto"/>
              </w:rPr>
            </w:pPr>
          </w:p>
        </w:tc>
      </w:tr>
      <w:tr>
        <w:trPr>
          <w:trHeight w:val="79"/>
        </w:trPr>
        <w:tc>
          <w:tcPr>
            <w:tcW w:w="3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60" w:type="dxa"/>
            <w:vAlign w:val="bottom"/>
            <w:gridSpan w:val="4"/>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rPr>
              <w:t>Underlying Options</w:t>
            </w:r>
          </w:p>
        </w:tc>
        <w:tc>
          <w:tcPr>
            <w:tcW w:w="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w w:val="98"/>
              </w:rPr>
              <w:t>to Past</w:t>
            </w:r>
          </w:p>
        </w:tc>
        <w:tc>
          <w:tcPr>
            <w:tcW w:w="98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rPr>
              <w:t>Acquired</w:t>
            </w:r>
          </w:p>
        </w:tc>
        <w:tc>
          <w:tcPr>
            <w:tcW w:w="2260" w:type="dxa"/>
            <w:vAlign w:val="bottom"/>
            <w:gridSpan w:val="4"/>
            <w:vMerge w:val="continue"/>
          </w:tcPr>
          <w:p>
            <w:pPr>
              <w:spacing w:after="0"/>
              <w:rPr>
                <w:sz w:val="3"/>
                <w:szCs w:val="3"/>
                <w:color w:val="auto"/>
              </w:rPr>
            </w:pPr>
          </w:p>
        </w:tc>
        <w:tc>
          <w:tcPr>
            <w:tcW w:w="680" w:type="dxa"/>
            <w:vAlign w:val="bottom"/>
            <w:gridSpan w:val="2"/>
            <w:vMerge w:val="restart"/>
          </w:tcPr>
          <w:p>
            <w:pPr>
              <w:jc w:val="center"/>
              <w:ind w:right="60"/>
              <w:spacing w:after="0" w:line="124" w:lineRule="exact"/>
              <w:rPr>
                <w:sz w:val="20"/>
                <w:szCs w:val="20"/>
                <w:color w:val="auto"/>
              </w:rPr>
            </w:pPr>
            <w:r>
              <w:rPr>
                <w:rFonts w:ascii="Arial" w:cs="Arial" w:eastAsia="Arial" w:hAnsi="Arial"/>
                <w:sz w:val="11"/>
                <w:szCs w:val="11"/>
                <w:b w:val="1"/>
                <w:bCs w:val="1"/>
                <w:color w:val="auto"/>
              </w:rPr>
              <w:t>Subject to</w:t>
            </w:r>
          </w:p>
        </w:tc>
        <w:tc>
          <w:tcPr>
            <w:tcW w:w="340" w:type="dxa"/>
            <w:vAlign w:val="bottom"/>
          </w:tcPr>
          <w:p>
            <w:pPr>
              <w:spacing w:after="0"/>
              <w:rPr>
                <w:sz w:val="3"/>
                <w:szCs w:val="3"/>
                <w:color w:val="auto"/>
              </w:rPr>
            </w:pPr>
          </w:p>
        </w:tc>
        <w:tc>
          <w:tcPr>
            <w:tcW w:w="920" w:type="dxa"/>
            <w:vAlign w:val="bottom"/>
            <w:gridSpan w:val="2"/>
            <w:vMerge w:val="restart"/>
          </w:tcPr>
          <w:p>
            <w:pPr>
              <w:jc w:val="center"/>
              <w:ind w:right="180"/>
              <w:spacing w:after="0" w:line="124" w:lineRule="exact"/>
              <w:rPr>
                <w:sz w:val="20"/>
                <w:szCs w:val="20"/>
                <w:color w:val="auto"/>
              </w:rPr>
            </w:pPr>
            <w:r>
              <w:rPr>
                <w:rFonts w:ascii="Arial" w:cs="Arial" w:eastAsia="Arial" w:hAnsi="Arial"/>
                <w:sz w:val="11"/>
                <w:szCs w:val="11"/>
                <w:b w:val="1"/>
                <w:bCs w:val="1"/>
                <w:color w:val="auto"/>
              </w:rPr>
              <w:t>as of</w:t>
            </w:r>
          </w:p>
        </w:tc>
        <w:tc>
          <w:tcPr>
            <w:tcW w:w="1200" w:type="dxa"/>
            <w:vAlign w:val="bottom"/>
            <w:gridSpan w:val="2"/>
            <w:vMerge w:val="restart"/>
          </w:tcPr>
          <w:p>
            <w:pPr>
              <w:jc w:val="center"/>
              <w:ind w:right="240"/>
              <w:spacing w:after="0" w:line="124" w:lineRule="exact"/>
              <w:rPr>
                <w:sz w:val="20"/>
                <w:szCs w:val="20"/>
                <w:color w:val="auto"/>
              </w:rPr>
            </w:pPr>
            <w:r>
              <w:rPr>
                <w:rFonts w:ascii="Arial" w:cs="Arial" w:eastAsia="Arial" w:hAnsi="Arial"/>
                <w:sz w:val="11"/>
                <w:szCs w:val="11"/>
                <w:b w:val="1"/>
                <w:bCs w:val="1"/>
                <w:color w:val="auto"/>
              </w:rPr>
              <w:t>Unvested as of</w:t>
            </w:r>
          </w:p>
        </w:tc>
        <w:tc>
          <w:tcPr>
            <w:tcW w:w="0" w:type="dxa"/>
            <w:vAlign w:val="bottom"/>
          </w:tcPr>
          <w:p>
            <w:pPr>
              <w:spacing w:after="0"/>
              <w:rPr>
                <w:sz w:val="1"/>
                <w:szCs w:val="1"/>
                <w:color w:val="auto"/>
              </w:rPr>
            </w:pPr>
          </w:p>
        </w:tc>
      </w:tr>
      <w:tr>
        <w:trPr>
          <w:trHeight w:val="79"/>
        </w:trPr>
        <w:tc>
          <w:tcPr>
            <w:tcW w:w="3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60" w:type="dxa"/>
            <w:vAlign w:val="bottom"/>
            <w:gridSpan w:val="4"/>
            <w:vMerge w:val="restart"/>
          </w:tcPr>
          <w:p>
            <w:pPr>
              <w:jc w:val="center"/>
              <w:ind w:right="400"/>
              <w:spacing w:after="0"/>
              <w:rPr>
                <w:sz w:val="20"/>
                <w:szCs w:val="20"/>
                <w:color w:val="auto"/>
              </w:rPr>
            </w:pPr>
            <w:r>
              <w:rPr>
                <w:rFonts w:ascii="Arial" w:cs="Arial" w:eastAsia="Arial" w:hAnsi="Arial"/>
                <w:sz w:val="11"/>
                <w:szCs w:val="11"/>
                <w:b w:val="1"/>
                <w:bCs w:val="1"/>
                <w:color w:val="auto"/>
              </w:rPr>
              <w:t>as of February 10, 2014</w:t>
            </w:r>
          </w:p>
        </w:tc>
        <w:tc>
          <w:tcPr>
            <w:tcW w:w="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rPr>
              <w:t>Option</w:t>
            </w:r>
          </w:p>
        </w:tc>
        <w:tc>
          <w:tcPr>
            <w:tcW w:w="980" w:type="dxa"/>
            <w:vAlign w:val="bottom"/>
            <w:gridSpan w:val="2"/>
            <w:vMerge w:val="restart"/>
          </w:tcPr>
          <w:p>
            <w:pPr>
              <w:jc w:val="center"/>
              <w:ind w:right="400"/>
              <w:spacing w:after="0" w:line="124" w:lineRule="exact"/>
              <w:rPr>
                <w:sz w:val="20"/>
                <w:szCs w:val="20"/>
                <w:color w:val="auto"/>
              </w:rPr>
            </w:pPr>
            <w:r>
              <w:rPr>
                <w:rFonts w:ascii="Arial" w:cs="Arial" w:eastAsia="Arial" w:hAnsi="Arial"/>
                <w:sz w:val="11"/>
                <w:szCs w:val="11"/>
                <w:b w:val="1"/>
                <w:bCs w:val="1"/>
                <w:color w:val="auto"/>
              </w:rPr>
              <w:t>on</w:t>
            </w:r>
          </w:p>
        </w:tc>
        <w:tc>
          <w:tcPr>
            <w:tcW w:w="2260" w:type="dxa"/>
            <w:vAlign w:val="bottom"/>
            <w:gridSpan w:val="4"/>
            <w:vMerge w:val="continue"/>
          </w:tcPr>
          <w:p>
            <w:pPr>
              <w:spacing w:after="0"/>
              <w:rPr>
                <w:sz w:val="5"/>
                <w:szCs w:val="5"/>
                <w:color w:val="auto"/>
              </w:rPr>
            </w:pPr>
          </w:p>
        </w:tc>
        <w:tc>
          <w:tcPr>
            <w:tcW w:w="680" w:type="dxa"/>
            <w:vAlign w:val="bottom"/>
            <w:gridSpan w:val="2"/>
            <w:vMerge w:val="restart"/>
          </w:tcPr>
          <w:p>
            <w:pPr>
              <w:jc w:val="center"/>
              <w:ind w:right="80"/>
              <w:spacing w:after="0" w:line="124" w:lineRule="exact"/>
              <w:rPr>
                <w:sz w:val="20"/>
                <w:szCs w:val="20"/>
                <w:color w:val="auto"/>
              </w:rPr>
            </w:pPr>
            <w:r>
              <w:rPr>
                <w:rFonts w:ascii="Arial" w:cs="Arial" w:eastAsia="Arial" w:hAnsi="Arial"/>
                <w:sz w:val="11"/>
                <w:szCs w:val="11"/>
                <w:b w:val="1"/>
                <w:bCs w:val="1"/>
                <w:color w:val="auto"/>
              </w:rPr>
              <w:t>Past</w:t>
            </w:r>
          </w:p>
        </w:tc>
        <w:tc>
          <w:tcPr>
            <w:tcW w:w="340" w:type="dxa"/>
            <w:vAlign w:val="bottom"/>
          </w:tcPr>
          <w:p>
            <w:pPr>
              <w:spacing w:after="0"/>
              <w:rPr>
                <w:sz w:val="5"/>
                <w:szCs w:val="5"/>
                <w:color w:val="auto"/>
              </w:rPr>
            </w:pPr>
          </w:p>
        </w:tc>
        <w:tc>
          <w:tcPr>
            <w:tcW w:w="920" w:type="dxa"/>
            <w:vAlign w:val="bottom"/>
            <w:gridSpan w:val="2"/>
            <w:vMerge w:val="restart"/>
          </w:tcPr>
          <w:p>
            <w:pPr>
              <w:jc w:val="center"/>
              <w:ind w:right="200"/>
              <w:spacing w:after="0" w:line="124" w:lineRule="exact"/>
              <w:rPr>
                <w:sz w:val="20"/>
                <w:szCs w:val="20"/>
                <w:color w:val="auto"/>
              </w:rPr>
            </w:pPr>
            <w:r>
              <w:rPr>
                <w:rFonts w:ascii="Arial" w:cs="Arial" w:eastAsia="Arial" w:hAnsi="Arial"/>
                <w:sz w:val="11"/>
                <w:szCs w:val="11"/>
                <w:b w:val="1"/>
                <w:bCs w:val="1"/>
                <w:color w:val="auto"/>
              </w:rPr>
              <w:t>February 10,</w:t>
            </w:r>
          </w:p>
        </w:tc>
        <w:tc>
          <w:tcPr>
            <w:tcW w:w="1200" w:type="dxa"/>
            <w:vAlign w:val="bottom"/>
            <w:gridSpan w:val="2"/>
            <w:vMerge w:val="restart"/>
          </w:tcPr>
          <w:p>
            <w:pPr>
              <w:jc w:val="center"/>
              <w:ind w:right="240"/>
              <w:spacing w:after="0" w:line="124" w:lineRule="exact"/>
              <w:rPr>
                <w:sz w:val="20"/>
                <w:szCs w:val="20"/>
                <w:color w:val="auto"/>
              </w:rPr>
            </w:pPr>
            <w:r>
              <w:rPr>
                <w:rFonts w:ascii="Arial" w:cs="Arial" w:eastAsia="Arial" w:hAnsi="Arial"/>
                <w:sz w:val="11"/>
                <w:szCs w:val="11"/>
                <w:b w:val="1"/>
                <w:bCs w:val="1"/>
                <w:color w:val="auto"/>
              </w:rPr>
              <w:t>February 10,</w:t>
            </w:r>
          </w:p>
        </w:tc>
        <w:tc>
          <w:tcPr>
            <w:tcW w:w="0" w:type="dxa"/>
            <w:vAlign w:val="bottom"/>
          </w:tcPr>
          <w:p>
            <w:pPr>
              <w:spacing w:after="0"/>
              <w:rPr>
                <w:sz w:val="1"/>
                <w:szCs w:val="1"/>
                <w:color w:val="auto"/>
              </w:rPr>
            </w:pPr>
          </w:p>
        </w:tc>
      </w:tr>
      <w:tr>
        <w:trPr>
          <w:trHeight w:val="44"/>
        </w:trPr>
        <w:tc>
          <w:tcPr>
            <w:tcW w:w="3760" w:type="dxa"/>
            <w:vAlign w:val="bottom"/>
            <w:vMerge w:val="restart"/>
          </w:tcPr>
          <w:p>
            <w:pPr>
              <w:spacing w:after="0"/>
              <w:rPr>
                <w:sz w:val="20"/>
                <w:szCs w:val="20"/>
                <w:color w:val="auto"/>
              </w:rPr>
            </w:pPr>
            <w:r>
              <w:rPr>
                <w:rFonts w:ascii="Arial" w:cs="Arial" w:eastAsia="Arial" w:hAnsi="Arial"/>
                <w:sz w:val="11"/>
                <w:szCs w:val="11"/>
                <w:b w:val="1"/>
                <w:bCs w:val="1"/>
                <w:color w:val="auto"/>
              </w:rPr>
              <w:t>Name and Position</w:t>
            </w:r>
          </w:p>
        </w:tc>
        <w:tc>
          <w:tcPr>
            <w:tcW w:w="3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Grants</w:t>
            </w:r>
          </w:p>
        </w:tc>
        <w:tc>
          <w:tcPr>
            <w:tcW w:w="9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Exercise</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12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Unexercisable</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Awards</w:t>
            </w:r>
          </w:p>
        </w:tc>
        <w:tc>
          <w:tcPr>
            <w:tcW w:w="1060" w:type="dxa"/>
            <w:vAlign w:val="bottom"/>
            <w:gridSpan w:val="2"/>
          </w:tcPr>
          <w:p>
            <w:pPr>
              <w:jc w:val="center"/>
              <w:ind w:left="284"/>
              <w:spacing w:after="0"/>
              <w:rPr>
                <w:sz w:val="20"/>
                <w:szCs w:val="20"/>
                <w:color w:val="auto"/>
              </w:rPr>
            </w:pPr>
            <w:r>
              <w:rPr>
                <w:rFonts w:ascii="Arial" w:cs="Arial" w:eastAsia="Arial" w:hAnsi="Arial"/>
                <w:sz w:val="11"/>
                <w:szCs w:val="11"/>
                <w:b w:val="1"/>
                <w:bCs w:val="1"/>
                <w:color w:val="auto"/>
                <w:w w:val="97"/>
              </w:rPr>
              <w:t>2014</w:t>
            </w:r>
          </w:p>
        </w:tc>
        <w:tc>
          <w:tcPr>
            <w:tcW w:w="2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7"/>
              </w:rPr>
              <w:t>2014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60" w:type="dxa"/>
            <w:vAlign w:val="bottom"/>
            <w:tcBorders>
              <w:top w:val="single" w:sz="8" w:color="auto"/>
            </w:tcBorders>
            <w:shd w:val="clear" w:color="auto" w:fill="D8D8D8"/>
          </w:tcPr>
          <w:p>
            <w:pPr>
              <w:spacing w:after="0" w:line="115" w:lineRule="exact"/>
              <w:rPr>
                <w:sz w:val="20"/>
                <w:szCs w:val="20"/>
                <w:color w:val="auto"/>
              </w:rPr>
            </w:pPr>
            <w:r>
              <w:rPr>
                <w:rFonts w:ascii="Arial" w:cs="Arial" w:eastAsia="Arial" w:hAnsi="Arial"/>
                <w:sz w:val="11"/>
                <w:szCs w:val="11"/>
                <w:b w:val="1"/>
                <w:bCs w:val="1"/>
                <w:color w:val="auto"/>
              </w:rPr>
              <w:t>Named Executive Officers:</w:t>
            </w:r>
          </w:p>
        </w:tc>
        <w:tc>
          <w:tcPr>
            <w:tcW w:w="340" w:type="dxa"/>
            <w:vAlign w:val="bottom"/>
            <w:tcBorders>
              <w:top w:val="single" w:sz="8" w:color="D8D8D8"/>
            </w:tcBorders>
            <w:shd w:val="clear" w:color="auto" w:fill="D8D8D8"/>
          </w:tcPr>
          <w:p>
            <w:pPr>
              <w:spacing w:after="0"/>
              <w:rPr>
                <w:sz w:val="10"/>
                <w:szCs w:val="10"/>
                <w:color w:val="auto"/>
              </w:rPr>
            </w:pPr>
          </w:p>
        </w:tc>
        <w:tc>
          <w:tcPr>
            <w:tcW w:w="560" w:type="dxa"/>
            <w:vAlign w:val="bottom"/>
            <w:tcBorders>
              <w:top w:val="single" w:sz="8" w:color="auto"/>
            </w:tcBorders>
            <w:shd w:val="clear" w:color="auto" w:fill="D8D8D8"/>
          </w:tcPr>
          <w:p>
            <w:pPr>
              <w:spacing w:after="0"/>
              <w:rPr>
                <w:sz w:val="10"/>
                <w:szCs w:val="10"/>
                <w:color w:val="auto"/>
              </w:rPr>
            </w:pPr>
          </w:p>
        </w:tc>
        <w:tc>
          <w:tcPr>
            <w:tcW w:w="400" w:type="dxa"/>
            <w:vAlign w:val="bottom"/>
            <w:tcBorders>
              <w:top w:val="single" w:sz="8" w:color="D8D8D8"/>
            </w:tcBorders>
            <w:shd w:val="clear" w:color="auto" w:fill="D8D8D8"/>
          </w:tcPr>
          <w:p>
            <w:pPr>
              <w:spacing w:after="0"/>
              <w:rPr>
                <w:sz w:val="10"/>
                <w:szCs w:val="10"/>
                <w:color w:val="auto"/>
              </w:rPr>
            </w:pPr>
          </w:p>
        </w:tc>
        <w:tc>
          <w:tcPr>
            <w:tcW w:w="560" w:type="dxa"/>
            <w:vAlign w:val="bottom"/>
            <w:tcBorders>
              <w:top w:val="single" w:sz="8" w:color="auto"/>
            </w:tcBorders>
            <w:shd w:val="clear" w:color="auto" w:fill="D8D8D8"/>
          </w:tcPr>
          <w:p>
            <w:pPr>
              <w:spacing w:after="0"/>
              <w:rPr>
                <w:sz w:val="10"/>
                <w:szCs w:val="10"/>
                <w:color w:val="auto"/>
              </w:rPr>
            </w:pPr>
          </w:p>
        </w:tc>
        <w:tc>
          <w:tcPr>
            <w:tcW w:w="420" w:type="dxa"/>
            <w:vAlign w:val="bottom"/>
            <w:tcBorders>
              <w:top w:val="single" w:sz="8" w:color="D8D8D8"/>
            </w:tcBorders>
            <w:shd w:val="clear" w:color="auto" w:fill="D8D8D8"/>
          </w:tcPr>
          <w:p>
            <w:pPr>
              <w:spacing w:after="0"/>
              <w:rPr>
                <w:sz w:val="10"/>
                <w:szCs w:val="10"/>
                <w:color w:val="auto"/>
              </w:rPr>
            </w:pPr>
          </w:p>
        </w:tc>
        <w:tc>
          <w:tcPr>
            <w:tcW w:w="660" w:type="dxa"/>
            <w:vAlign w:val="bottom"/>
            <w:tcBorders>
              <w:top w:val="single" w:sz="8" w:color="auto"/>
            </w:tcBorders>
            <w:shd w:val="clear" w:color="auto" w:fill="D8D8D8"/>
          </w:tcPr>
          <w:p>
            <w:pPr>
              <w:spacing w:after="0"/>
              <w:rPr>
                <w:sz w:val="10"/>
                <w:szCs w:val="10"/>
                <w:color w:val="auto"/>
              </w:rPr>
            </w:pPr>
          </w:p>
        </w:tc>
        <w:tc>
          <w:tcPr>
            <w:tcW w:w="400" w:type="dxa"/>
            <w:vAlign w:val="bottom"/>
            <w:tcBorders>
              <w:top w:val="single" w:sz="8" w:color="D8D8D8"/>
            </w:tcBorders>
            <w:shd w:val="clear" w:color="auto" w:fill="D8D8D8"/>
          </w:tcPr>
          <w:p>
            <w:pPr>
              <w:spacing w:after="0"/>
              <w:rPr>
                <w:sz w:val="10"/>
                <w:szCs w:val="10"/>
                <w:color w:val="auto"/>
              </w:rPr>
            </w:pPr>
          </w:p>
        </w:tc>
        <w:tc>
          <w:tcPr>
            <w:tcW w:w="800" w:type="dxa"/>
            <w:vAlign w:val="bottom"/>
            <w:tcBorders>
              <w:top w:val="single" w:sz="8" w:color="auto"/>
            </w:tcBorders>
            <w:shd w:val="clear" w:color="auto" w:fill="D8D8D8"/>
          </w:tcPr>
          <w:p>
            <w:pPr>
              <w:spacing w:after="0"/>
              <w:rPr>
                <w:sz w:val="10"/>
                <w:szCs w:val="10"/>
                <w:color w:val="auto"/>
              </w:rPr>
            </w:pPr>
          </w:p>
        </w:tc>
        <w:tc>
          <w:tcPr>
            <w:tcW w:w="400" w:type="dxa"/>
            <w:vAlign w:val="bottom"/>
            <w:tcBorders>
              <w:top w:val="single" w:sz="8" w:color="D8D8D8"/>
            </w:tcBorders>
            <w:shd w:val="clear" w:color="auto" w:fill="D8D8D8"/>
          </w:tcPr>
          <w:p>
            <w:pPr>
              <w:spacing w:after="0"/>
              <w:rPr>
                <w:sz w:val="10"/>
                <w:szCs w:val="10"/>
                <w:color w:val="auto"/>
              </w:rPr>
            </w:pPr>
          </w:p>
        </w:tc>
        <w:tc>
          <w:tcPr>
            <w:tcW w:w="600" w:type="dxa"/>
            <w:vAlign w:val="bottom"/>
            <w:tcBorders>
              <w:top w:val="single" w:sz="8" w:color="auto"/>
            </w:tcBorders>
            <w:shd w:val="clear" w:color="auto" w:fill="D8D8D8"/>
          </w:tcPr>
          <w:p>
            <w:pPr>
              <w:spacing w:after="0"/>
              <w:rPr>
                <w:sz w:val="10"/>
                <w:szCs w:val="10"/>
                <w:color w:val="auto"/>
              </w:rPr>
            </w:pPr>
          </w:p>
        </w:tc>
        <w:tc>
          <w:tcPr>
            <w:tcW w:w="80" w:type="dxa"/>
            <w:vAlign w:val="bottom"/>
            <w:tcBorders>
              <w:top w:val="single" w:sz="8" w:color="D8D8D8"/>
            </w:tcBorders>
            <w:shd w:val="clear" w:color="auto" w:fill="D8D8D8"/>
          </w:tcPr>
          <w:p>
            <w:pPr>
              <w:spacing w:after="0"/>
              <w:rPr>
                <w:sz w:val="10"/>
                <w:szCs w:val="10"/>
                <w:color w:val="auto"/>
              </w:rPr>
            </w:pPr>
          </w:p>
        </w:tc>
        <w:tc>
          <w:tcPr>
            <w:tcW w:w="340" w:type="dxa"/>
            <w:vAlign w:val="bottom"/>
            <w:tcBorders>
              <w:top w:val="single" w:sz="8" w:color="D8D8D8"/>
            </w:tcBorders>
            <w:shd w:val="clear" w:color="auto" w:fill="D8D8D8"/>
          </w:tcPr>
          <w:p>
            <w:pPr>
              <w:spacing w:after="0"/>
              <w:rPr>
                <w:sz w:val="10"/>
                <w:szCs w:val="10"/>
                <w:color w:val="auto"/>
              </w:rPr>
            </w:pPr>
          </w:p>
        </w:tc>
        <w:tc>
          <w:tcPr>
            <w:tcW w:w="720" w:type="dxa"/>
            <w:vAlign w:val="bottom"/>
            <w:tcBorders>
              <w:top w:val="single" w:sz="8" w:color="auto"/>
            </w:tcBorders>
            <w:shd w:val="clear" w:color="auto" w:fill="D8D8D8"/>
          </w:tcPr>
          <w:p>
            <w:pPr>
              <w:spacing w:after="0"/>
              <w:rPr>
                <w:sz w:val="10"/>
                <w:szCs w:val="10"/>
                <w:color w:val="auto"/>
              </w:rPr>
            </w:pPr>
          </w:p>
        </w:tc>
        <w:tc>
          <w:tcPr>
            <w:tcW w:w="200" w:type="dxa"/>
            <w:vAlign w:val="bottom"/>
            <w:tcBorders>
              <w:top w:val="single" w:sz="8" w:color="D8D8D8"/>
            </w:tcBorders>
            <w:shd w:val="clear" w:color="auto" w:fill="D8D8D8"/>
          </w:tcPr>
          <w:p>
            <w:pPr>
              <w:spacing w:after="0"/>
              <w:rPr>
                <w:sz w:val="10"/>
                <w:szCs w:val="10"/>
                <w:color w:val="auto"/>
              </w:rPr>
            </w:pPr>
          </w:p>
        </w:tc>
        <w:tc>
          <w:tcPr>
            <w:tcW w:w="980" w:type="dxa"/>
            <w:vAlign w:val="bottom"/>
            <w:tcBorders>
              <w:top w:val="single" w:sz="8" w:color="auto"/>
            </w:tcBorders>
            <w:shd w:val="clear" w:color="auto" w:fill="D8D8D8"/>
          </w:tcPr>
          <w:p>
            <w:pPr>
              <w:spacing w:after="0"/>
              <w:rPr>
                <w:sz w:val="10"/>
                <w:szCs w:val="10"/>
                <w:color w:val="auto"/>
              </w:rPr>
            </w:pPr>
          </w:p>
        </w:tc>
        <w:tc>
          <w:tcPr>
            <w:tcW w:w="220" w:type="dxa"/>
            <w:vAlign w:val="bottom"/>
            <w:tcBorders>
              <w:top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760" w:type="dxa"/>
            <w:vAlign w:val="bottom"/>
          </w:tcPr>
          <w:p>
            <w:pPr>
              <w:spacing w:after="0" w:line="123" w:lineRule="exact"/>
              <w:rPr>
                <w:sz w:val="20"/>
                <w:szCs w:val="20"/>
                <w:color w:val="auto"/>
              </w:rPr>
            </w:pPr>
            <w:r>
              <w:rPr>
                <w:rFonts w:ascii="Arial" w:cs="Arial" w:eastAsia="Arial" w:hAnsi="Arial"/>
                <w:sz w:val="11"/>
                <w:szCs w:val="11"/>
                <w:color w:val="auto"/>
              </w:rPr>
              <w:t>Ronald L. Nelson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60" w:type="dxa"/>
            <w:vAlign w:val="bottom"/>
          </w:tcPr>
          <w:p>
            <w:pPr>
              <w:ind w:left="180"/>
              <w:spacing w:after="0" w:line="124" w:lineRule="exact"/>
              <w:rPr>
                <w:sz w:val="20"/>
                <w:szCs w:val="20"/>
                <w:color w:val="auto"/>
              </w:rPr>
            </w:pPr>
            <w:r>
              <w:rPr>
                <w:rFonts w:ascii="Arial" w:cs="Arial" w:eastAsia="Arial" w:hAnsi="Arial"/>
                <w:sz w:val="11"/>
                <w:szCs w:val="11"/>
                <w:color w:val="auto"/>
              </w:rPr>
              <w:t>Chairman, Chief Executive Officer, President and Chief Operating</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60" w:type="dxa"/>
            <w:vAlign w:val="bottom"/>
          </w:tcPr>
          <w:p>
            <w:pPr>
              <w:ind w:left="180"/>
              <w:spacing w:after="0"/>
              <w:rPr>
                <w:sz w:val="20"/>
                <w:szCs w:val="20"/>
                <w:color w:val="auto"/>
              </w:rPr>
            </w:pPr>
            <w:r>
              <w:rPr>
                <w:rFonts w:ascii="Arial" w:cs="Arial" w:eastAsia="Arial" w:hAnsi="Arial"/>
                <w:sz w:val="11"/>
                <w:szCs w:val="11"/>
                <w:color w:val="auto"/>
              </w:rPr>
              <w:t>Officer</w:t>
            </w:r>
          </w:p>
        </w:tc>
        <w:tc>
          <w:tcPr>
            <w:tcW w:w="1300" w:type="dxa"/>
            <w:vAlign w:val="bottom"/>
            <w:gridSpan w:val="3"/>
          </w:tcPr>
          <w:p>
            <w:pPr>
              <w:jc w:val="right"/>
              <w:ind w:right="400"/>
              <w:spacing w:after="0"/>
              <w:rPr>
                <w:sz w:val="20"/>
                <w:szCs w:val="20"/>
                <w:color w:val="auto"/>
              </w:rPr>
            </w:pPr>
            <w:r>
              <w:rPr>
                <w:rFonts w:ascii="Arial" w:cs="Arial" w:eastAsia="Arial" w:hAnsi="Arial"/>
                <w:sz w:val="11"/>
                <w:szCs w:val="11"/>
                <w:color w:val="auto"/>
              </w:rPr>
              <w:t>585,000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0</w:t>
            </w:r>
          </w:p>
        </w:tc>
        <w:tc>
          <w:tcPr>
            <w:tcW w:w="1060" w:type="dxa"/>
            <w:vAlign w:val="bottom"/>
            <w:gridSpan w:val="2"/>
          </w:tcPr>
          <w:p>
            <w:pPr>
              <w:jc w:val="right"/>
              <w:ind w:right="400"/>
              <w:spacing w:after="0"/>
              <w:rPr>
                <w:sz w:val="20"/>
                <w:szCs w:val="20"/>
                <w:color w:val="auto"/>
              </w:rPr>
            </w:pPr>
            <w:r>
              <w:rPr>
                <w:rFonts w:ascii="Arial" w:cs="Arial" w:eastAsia="Arial" w:hAnsi="Arial"/>
                <w:sz w:val="11"/>
                <w:szCs w:val="11"/>
                <w:color w:val="auto"/>
              </w:rPr>
              <w:t>553,000</w:t>
            </w:r>
          </w:p>
        </w:tc>
        <w:tc>
          <w:tcPr>
            <w:tcW w:w="1200" w:type="dxa"/>
            <w:vAlign w:val="bottom"/>
            <w:gridSpan w:val="2"/>
          </w:tcPr>
          <w:p>
            <w:pPr>
              <w:jc w:val="right"/>
              <w:ind w:right="400"/>
              <w:spacing w:after="0"/>
              <w:rPr>
                <w:sz w:val="20"/>
                <w:szCs w:val="20"/>
                <w:color w:val="auto"/>
              </w:rPr>
            </w:pPr>
            <w:r>
              <w:rPr>
                <w:rFonts w:ascii="Arial" w:cs="Arial" w:eastAsia="Arial" w:hAnsi="Arial"/>
                <w:sz w:val="11"/>
                <w:szCs w:val="11"/>
                <w:color w:val="auto"/>
              </w:rPr>
              <w:t>32,000</w:t>
            </w:r>
          </w:p>
        </w:tc>
        <w:tc>
          <w:tcPr>
            <w:tcW w:w="600" w:type="dxa"/>
            <w:vAlign w:val="bottom"/>
          </w:tcPr>
          <w:p>
            <w:pPr>
              <w:jc w:val="right"/>
              <w:spacing w:after="0"/>
              <w:rPr>
                <w:sz w:val="20"/>
                <w:szCs w:val="20"/>
                <w:color w:val="auto"/>
              </w:rPr>
            </w:pPr>
            <w:r>
              <w:rPr>
                <w:rFonts w:ascii="Arial" w:cs="Arial" w:eastAsia="Arial" w:hAnsi="Arial"/>
                <w:sz w:val="11"/>
                <w:szCs w:val="11"/>
                <w:color w:val="auto"/>
              </w:rPr>
              <w:t>1,309,626</w:t>
            </w:r>
          </w:p>
        </w:tc>
        <w:tc>
          <w:tcPr>
            <w:tcW w:w="80" w:type="dxa"/>
            <w:vAlign w:val="bottom"/>
          </w:tcPr>
          <w:p>
            <w:pPr>
              <w:spacing w:after="0"/>
              <w:rPr>
                <w:sz w:val="11"/>
                <w:szCs w:val="1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1"/>
                <w:szCs w:val="11"/>
                <w:color w:val="auto"/>
              </w:rPr>
              <w:t>845,789</w:t>
            </w:r>
          </w:p>
        </w:tc>
        <w:tc>
          <w:tcPr>
            <w:tcW w:w="980" w:type="dxa"/>
            <w:vAlign w:val="bottom"/>
          </w:tcPr>
          <w:p>
            <w:pPr>
              <w:jc w:val="right"/>
              <w:spacing w:after="0"/>
              <w:rPr>
                <w:sz w:val="20"/>
                <w:szCs w:val="20"/>
                <w:color w:val="auto"/>
              </w:rPr>
            </w:pPr>
            <w:r>
              <w:rPr>
                <w:rFonts w:ascii="Arial" w:cs="Arial" w:eastAsia="Arial" w:hAnsi="Arial"/>
                <w:sz w:val="11"/>
                <w:szCs w:val="11"/>
                <w:color w:val="auto"/>
              </w:rPr>
              <w:t>463,837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60" w:type="dxa"/>
            <w:vAlign w:val="bottom"/>
            <w:shd w:val="clear" w:color="auto" w:fill="D8D8D8"/>
          </w:tcPr>
          <w:p>
            <w:pPr>
              <w:spacing w:after="0" w:line="123" w:lineRule="exact"/>
              <w:rPr>
                <w:sz w:val="20"/>
                <w:szCs w:val="20"/>
                <w:color w:val="auto"/>
              </w:rPr>
            </w:pPr>
            <w:r>
              <w:rPr>
                <w:rFonts w:ascii="Arial" w:cs="Arial" w:eastAsia="Arial" w:hAnsi="Arial"/>
                <w:sz w:val="11"/>
                <w:szCs w:val="11"/>
                <w:color w:val="auto"/>
              </w:rPr>
              <w:t>David B. Wyshner</w:t>
            </w:r>
          </w:p>
        </w:tc>
        <w:tc>
          <w:tcPr>
            <w:tcW w:w="3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42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60" w:type="dxa"/>
            <w:vAlign w:val="bottom"/>
            <w:shd w:val="clear" w:color="auto" w:fill="D8D8D8"/>
          </w:tcPr>
          <w:p>
            <w:pPr>
              <w:ind w:left="180"/>
              <w:spacing w:after="0"/>
              <w:rPr>
                <w:sz w:val="20"/>
                <w:szCs w:val="20"/>
                <w:color w:val="auto"/>
              </w:rPr>
            </w:pPr>
            <w:r>
              <w:rPr>
                <w:rFonts w:ascii="Arial" w:cs="Arial" w:eastAsia="Arial" w:hAnsi="Arial"/>
                <w:sz w:val="11"/>
                <w:szCs w:val="11"/>
                <w:color w:val="auto"/>
              </w:rPr>
              <w:t>Senior Executive Vice President and Chief Financial Officer</w:t>
            </w:r>
          </w:p>
        </w:tc>
        <w:tc>
          <w:tcPr>
            <w:tcW w:w="1300" w:type="dxa"/>
            <w:vAlign w:val="bottom"/>
            <w:gridSpan w:val="3"/>
            <w:shd w:val="clear" w:color="auto" w:fill="D8D8D8"/>
          </w:tcPr>
          <w:p>
            <w:pPr>
              <w:jc w:val="right"/>
              <w:ind w:right="400"/>
              <w:spacing w:after="0"/>
              <w:rPr>
                <w:sz w:val="20"/>
                <w:szCs w:val="20"/>
                <w:color w:val="auto"/>
              </w:rPr>
            </w:pPr>
            <w:r>
              <w:rPr>
                <w:rFonts w:ascii="Arial" w:cs="Arial" w:eastAsia="Arial" w:hAnsi="Arial"/>
                <w:sz w:val="11"/>
                <w:szCs w:val="11"/>
                <w:color w:val="auto"/>
              </w:rPr>
              <w:t>337,500</w:t>
            </w:r>
          </w:p>
        </w:tc>
        <w:tc>
          <w:tcPr>
            <w:tcW w:w="980" w:type="dxa"/>
            <w:vAlign w:val="bottom"/>
            <w:gridSpan w:val="2"/>
            <w:shd w:val="clear" w:color="auto" w:fill="D8D8D8"/>
          </w:tcPr>
          <w:p>
            <w:pPr>
              <w:jc w:val="right"/>
              <w:ind w:right="420"/>
              <w:spacing w:after="0"/>
              <w:rPr>
                <w:sz w:val="20"/>
                <w:szCs w:val="20"/>
                <w:color w:val="auto"/>
              </w:rPr>
            </w:pPr>
            <w:r>
              <w:rPr>
                <w:rFonts w:ascii="Arial" w:cs="Arial" w:eastAsia="Arial" w:hAnsi="Arial"/>
                <w:sz w:val="11"/>
                <w:szCs w:val="11"/>
                <w:color w:val="auto"/>
              </w:rPr>
              <w:t>255,000</w:t>
            </w:r>
          </w:p>
        </w:tc>
        <w:tc>
          <w:tcPr>
            <w:tcW w:w="106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82,500</w:t>
            </w:r>
          </w:p>
        </w:tc>
        <w:tc>
          <w:tcPr>
            <w:tcW w:w="120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0</w:t>
            </w:r>
          </w:p>
        </w:tc>
        <w:tc>
          <w:tcPr>
            <w:tcW w:w="600" w:type="dxa"/>
            <w:vAlign w:val="bottom"/>
            <w:shd w:val="clear" w:color="auto" w:fill="D8D8D8"/>
          </w:tcPr>
          <w:p>
            <w:pPr>
              <w:jc w:val="right"/>
              <w:spacing w:after="0"/>
              <w:rPr>
                <w:sz w:val="20"/>
                <w:szCs w:val="20"/>
                <w:color w:val="auto"/>
              </w:rPr>
            </w:pPr>
            <w:r>
              <w:rPr>
                <w:rFonts w:ascii="Arial" w:cs="Arial" w:eastAsia="Arial" w:hAnsi="Arial"/>
                <w:sz w:val="11"/>
                <w:szCs w:val="11"/>
                <w:color w:val="auto"/>
              </w:rPr>
              <w:t>544,660</w:t>
            </w:r>
          </w:p>
        </w:tc>
        <w:tc>
          <w:tcPr>
            <w:tcW w:w="80" w:type="dxa"/>
            <w:vAlign w:val="bottom"/>
            <w:shd w:val="clear" w:color="auto" w:fill="D8D8D8"/>
          </w:tcPr>
          <w:p>
            <w:pPr>
              <w:spacing w:after="0"/>
              <w:rPr>
                <w:sz w:val="11"/>
                <w:szCs w:val="11"/>
                <w:color w:val="auto"/>
              </w:rPr>
            </w:pPr>
          </w:p>
        </w:tc>
        <w:tc>
          <w:tcPr>
            <w:tcW w:w="1260" w:type="dxa"/>
            <w:vAlign w:val="bottom"/>
            <w:gridSpan w:val="3"/>
            <w:shd w:val="clear" w:color="auto" w:fill="D8D8D8"/>
          </w:tcPr>
          <w:p>
            <w:pPr>
              <w:jc w:val="right"/>
              <w:ind w:right="200"/>
              <w:spacing w:after="0"/>
              <w:rPr>
                <w:sz w:val="20"/>
                <w:szCs w:val="20"/>
                <w:color w:val="auto"/>
              </w:rPr>
            </w:pPr>
            <w:r>
              <w:rPr>
                <w:rFonts w:ascii="Arial" w:cs="Arial" w:eastAsia="Arial" w:hAnsi="Arial"/>
                <w:sz w:val="11"/>
                <w:szCs w:val="11"/>
                <w:color w:val="auto"/>
              </w:rPr>
              <w:t>252,442</w:t>
            </w:r>
          </w:p>
        </w:tc>
        <w:tc>
          <w:tcPr>
            <w:tcW w:w="980" w:type="dxa"/>
            <w:vAlign w:val="bottom"/>
            <w:shd w:val="clear" w:color="auto" w:fill="D8D8D8"/>
          </w:tcPr>
          <w:p>
            <w:pPr>
              <w:jc w:val="right"/>
              <w:spacing w:after="0"/>
              <w:rPr>
                <w:sz w:val="20"/>
                <w:szCs w:val="20"/>
                <w:color w:val="auto"/>
              </w:rPr>
            </w:pPr>
            <w:r>
              <w:rPr>
                <w:rFonts w:ascii="Arial" w:cs="Arial" w:eastAsia="Arial" w:hAnsi="Arial"/>
                <w:sz w:val="11"/>
                <w:szCs w:val="11"/>
                <w:color w:val="auto"/>
              </w:rPr>
              <w:t>292,218</w:t>
            </w:r>
          </w:p>
        </w:tc>
        <w:tc>
          <w:tcPr>
            <w:tcW w:w="22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60" w:type="dxa"/>
            <w:vAlign w:val="bottom"/>
          </w:tcPr>
          <w:p>
            <w:pPr>
              <w:spacing w:after="0" w:line="123" w:lineRule="exact"/>
              <w:rPr>
                <w:sz w:val="20"/>
                <w:szCs w:val="20"/>
                <w:color w:val="auto"/>
              </w:rPr>
            </w:pPr>
            <w:r>
              <w:rPr>
                <w:rFonts w:ascii="Arial" w:cs="Arial" w:eastAsia="Arial" w:hAnsi="Arial"/>
                <w:sz w:val="11"/>
                <w:szCs w:val="11"/>
                <w:color w:val="auto"/>
              </w:rPr>
              <w:t>Thomas M. Gartland</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60" w:type="dxa"/>
            <w:vAlign w:val="bottom"/>
          </w:tcPr>
          <w:p>
            <w:pPr>
              <w:ind w:left="180"/>
              <w:spacing w:after="0"/>
              <w:rPr>
                <w:sz w:val="20"/>
                <w:szCs w:val="20"/>
                <w:color w:val="auto"/>
              </w:rPr>
            </w:pPr>
            <w:r>
              <w:rPr>
                <w:rFonts w:ascii="Arial" w:cs="Arial" w:eastAsia="Arial" w:hAnsi="Arial"/>
                <w:sz w:val="11"/>
                <w:szCs w:val="11"/>
                <w:color w:val="auto"/>
              </w:rPr>
              <w:t>President, NA</w:t>
            </w:r>
          </w:p>
        </w:tc>
        <w:tc>
          <w:tcPr>
            <w:tcW w:w="1300" w:type="dxa"/>
            <w:vAlign w:val="bottom"/>
            <w:gridSpan w:val="3"/>
          </w:tcPr>
          <w:p>
            <w:pPr>
              <w:jc w:val="right"/>
              <w:ind w:right="400"/>
              <w:spacing w:after="0"/>
              <w:rPr>
                <w:sz w:val="20"/>
                <w:szCs w:val="20"/>
                <w:color w:val="auto"/>
              </w:rPr>
            </w:pPr>
            <w:r>
              <w:rPr>
                <w:rFonts w:ascii="Arial" w:cs="Arial" w:eastAsia="Arial" w:hAnsi="Arial"/>
                <w:sz w:val="11"/>
                <w:szCs w:val="11"/>
                <w:color w:val="auto"/>
              </w:rPr>
              <w:t>250,000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240,000</w:t>
            </w:r>
          </w:p>
        </w:tc>
        <w:tc>
          <w:tcPr>
            <w:tcW w:w="1060" w:type="dxa"/>
            <w:vAlign w:val="bottom"/>
            <w:gridSpan w:val="2"/>
          </w:tcPr>
          <w:p>
            <w:pPr>
              <w:jc w:val="right"/>
              <w:ind w:right="400"/>
              <w:spacing w:after="0"/>
              <w:rPr>
                <w:sz w:val="20"/>
                <w:szCs w:val="20"/>
                <w:color w:val="auto"/>
              </w:rPr>
            </w:pPr>
            <w:r>
              <w:rPr>
                <w:rFonts w:ascii="Arial" w:cs="Arial" w:eastAsia="Arial" w:hAnsi="Arial"/>
                <w:sz w:val="11"/>
                <w:szCs w:val="11"/>
                <w:color w:val="auto"/>
              </w:rPr>
              <w:t>10,000</w:t>
            </w:r>
          </w:p>
        </w:tc>
        <w:tc>
          <w:tcPr>
            <w:tcW w:w="120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600" w:type="dxa"/>
            <w:vAlign w:val="bottom"/>
          </w:tcPr>
          <w:p>
            <w:pPr>
              <w:jc w:val="right"/>
              <w:spacing w:after="0"/>
              <w:rPr>
                <w:sz w:val="20"/>
                <w:szCs w:val="20"/>
                <w:color w:val="auto"/>
              </w:rPr>
            </w:pPr>
            <w:r>
              <w:rPr>
                <w:rFonts w:ascii="Arial" w:cs="Arial" w:eastAsia="Arial" w:hAnsi="Arial"/>
                <w:sz w:val="11"/>
                <w:szCs w:val="11"/>
                <w:color w:val="auto"/>
              </w:rPr>
              <w:t>484,024</w:t>
            </w:r>
          </w:p>
        </w:tc>
        <w:tc>
          <w:tcPr>
            <w:tcW w:w="80" w:type="dxa"/>
            <w:vAlign w:val="bottom"/>
          </w:tcPr>
          <w:p>
            <w:pPr>
              <w:spacing w:after="0"/>
              <w:rPr>
                <w:sz w:val="11"/>
                <w:szCs w:val="1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1"/>
                <w:szCs w:val="11"/>
                <w:color w:val="auto"/>
              </w:rPr>
              <w:t>191,806</w:t>
            </w:r>
          </w:p>
        </w:tc>
        <w:tc>
          <w:tcPr>
            <w:tcW w:w="980" w:type="dxa"/>
            <w:vAlign w:val="bottom"/>
          </w:tcPr>
          <w:p>
            <w:pPr>
              <w:jc w:val="right"/>
              <w:spacing w:after="0"/>
              <w:rPr>
                <w:sz w:val="20"/>
                <w:szCs w:val="20"/>
                <w:color w:val="auto"/>
              </w:rPr>
            </w:pPr>
            <w:r>
              <w:rPr>
                <w:rFonts w:ascii="Arial" w:cs="Arial" w:eastAsia="Arial" w:hAnsi="Arial"/>
                <w:sz w:val="11"/>
                <w:szCs w:val="11"/>
                <w:color w:val="auto"/>
              </w:rPr>
              <w:t>292,218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60" w:type="dxa"/>
            <w:vAlign w:val="bottom"/>
            <w:shd w:val="clear" w:color="auto" w:fill="D8D8D8"/>
          </w:tcPr>
          <w:p>
            <w:pPr>
              <w:spacing w:after="0" w:line="123" w:lineRule="exact"/>
              <w:rPr>
                <w:sz w:val="20"/>
                <w:szCs w:val="20"/>
                <w:color w:val="auto"/>
              </w:rPr>
            </w:pPr>
            <w:r>
              <w:rPr>
                <w:rFonts w:ascii="Arial" w:cs="Arial" w:eastAsia="Arial" w:hAnsi="Arial"/>
                <w:sz w:val="11"/>
                <w:szCs w:val="11"/>
                <w:color w:val="auto"/>
              </w:rPr>
              <w:t>Larry D. De Shon</w:t>
            </w:r>
          </w:p>
        </w:tc>
        <w:tc>
          <w:tcPr>
            <w:tcW w:w="34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420" w:type="dxa"/>
            <w:vAlign w:val="bottom"/>
            <w:shd w:val="clear" w:color="auto" w:fill="D8D8D8"/>
          </w:tcPr>
          <w:p>
            <w:pPr>
              <w:spacing w:after="0"/>
              <w:rPr>
                <w:sz w:val="10"/>
                <w:szCs w:val="10"/>
                <w:color w:val="auto"/>
              </w:rPr>
            </w:pPr>
          </w:p>
        </w:tc>
        <w:tc>
          <w:tcPr>
            <w:tcW w:w="66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60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60" w:type="dxa"/>
            <w:vAlign w:val="bottom"/>
            <w:shd w:val="clear" w:color="auto" w:fill="D8D8D8"/>
          </w:tcPr>
          <w:p>
            <w:pPr>
              <w:ind w:left="180"/>
              <w:spacing w:after="0"/>
              <w:rPr>
                <w:sz w:val="20"/>
                <w:szCs w:val="20"/>
                <w:color w:val="auto"/>
              </w:rPr>
            </w:pPr>
            <w:r>
              <w:rPr>
                <w:rFonts w:ascii="Arial" w:cs="Arial" w:eastAsia="Arial" w:hAnsi="Arial"/>
                <w:sz w:val="11"/>
                <w:szCs w:val="11"/>
                <w:color w:val="auto"/>
              </w:rPr>
              <w:t>President, EMEA</w:t>
            </w:r>
          </w:p>
        </w:tc>
        <w:tc>
          <w:tcPr>
            <w:tcW w:w="1300" w:type="dxa"/>
            <w:vAlign w:val="bottom"/>
            <w:gridSpan w:val="3"/>
            <w:shd w:val="clear" w:color="auto" w:fill="D8D8D8"/>
          </w:tcPr>
          <w:p>
            <w:pPr>
              <w:jc w:val="right"/>
              <w:ind w:right="400"/>
              <w:spacing w:after="0"/>
              <w:rPr>
                <w:sz w:val="20"/>
                <w:szCs w:val="20"/>
                <w:color w:val="auto"/>
              </w:rPr>
            </w:pPr>
            <w:r>
              <w:rPr>
                <w:rFonts w:ascii="Arial" w:cs="Arial" w:eastAsia="Arial" w:hAnsi="Arial"/>
                <w:sz w:val="11"/>
                <w:szCs w:val="11"/>
                <w:color w:val="auto"/>
              </w:rPr>
              <w:t>250,000</w:t>
            </w:r>
          </w:p>
        </w:tc>
        <w:tc>
          <w:tcPr>
            <w:tcW w:w="980" w:type="dxa"/>
            <w:vAlign w:val="bottom"/>
            <w:gridSpan w:val="2"/>
            <w:shd w:val="clear" w:color="auto" w:fill="D8D8D8"/>
          </w:tcPr>
          <w:p>
            <w:pPr>
              <w:jc w:val="right"/>
              <w:ind w:right="420"/>
              <w:spacing w:after="0"/>
              <w:rPr>
                <w:sz w:val="20"/>
                <w:szCs w:val="20"/>
                <w:color w:val="auto"/>
              </w:rPr>
            </w:pPr>
            <w:r>
              <w:rPr>
                <w:rFonts w:ascii="Arial" w:cs="Arial" w:eastAsia="Arial" w:hAnsi="Arial"/>
                <w:sz w:val="11"/>
                <w:szCs w:val="11"/>
                <w:color w:val="auto"/>
              </w:rPr>
              <w:t>225,000</w:t>
            </w:r>
          </w:p>
        </w:tc>
        <w:tc>
          <w:tcPr>
            <w:tcW w:w="106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25,000</w:t>
            </w:r>
          </w:p>
        </w:tc>
        <w:tc>
          <w:tcPr>
            <w:tcW w:w="120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0</w:t>
            </w:r>
          </w:p>
        </w:tc>
        <w:tc>
          <w:tcPr>
            <w:tcW w:w="600" w:type="dxa"/>
            <w:vAlign w:val="bottom"/>
            <w:shd w:val="clear" w:color="auto" w:fill="D8D8D8"/>
          </w:tcPr>
          <w:p>
            <w:pPr>
              <w:jc w:val="right"/>
              <w:spacing w:after="0"/>
              <w:rPr>
                <w:sz w:val="20"/>
                <w:szCs w:val="20"/>
                <w:color w:val="auto"/>
              </w:rPr>
            </w:pPr>
            <w:r>
              <w:rPr>
                <w:rFonts w:ascii="Arial" w:cs="Arial" w:eastAsia="Arial" w:hAnsi="Arial"/>
                <w:sz w:val="11"/>
                <w:szCs w:val="11"/>
                <w:color w:val="auto"/>
              </w:rPr>
              <w:t>520,445</w:t>
            </w:r>
          </w:p>
        </w:tc>
        <w:tc>
          <w:tcPr>
            <w:tcW w:w="80" w:type="dxa"/>
            <w:vAlign w:val="bottom"/>
            <w:shd w:val="clear" w:color="auto" w:fill="D8D8D8"/>
          </w:tcPr>
          <w:p>
            <w:pPr>
              <w:spacing w:after="0"/>
              <w:rPr>
                <w:sz w:val="11"/>
                <w:szCs w:val="11"/>
                <w:color w:val="auto"/>
              </w:rPr>
            </w:pPr>
          </w:p>
        </w:tc>
        <w:tc>
          <w:tcPr>
            <w:tcW w:w="1260" w:type="dxa"/>
            <w:vAlign w:val="bottom"/>
            <w:gridSpan w:val="3"/>
            <w:shd w:val="clear" w:color="auto" w:fill="D8D8D8"/>
          </w:tcPr>
          <w:p>
            <w:pPr>
              <w:jc w:val="right"/>
              <w:ind w:right="200"/>
              <w:spacing w:after="0"/>
              <w:rPr>
                <w:sz w:val="20"/>
                <w:szCs w:val="20"/>
                <w:color w:val="auto"/>
              </w:rPr>
            </w:pPr>
            <w:r>
              <w:rPr>
                <w:rFonts w:ascii="Arial" w:cs="Arial" w:eastAsia="Arial" w:hAnsi="Arial"/>
                <w:sz w:val="11"/>
                <w:szCs w:val="11"/>
                <w:color w:val="auto"/>
              </w:rPr>
              <w:t>197,850</w:t>
            </w:r>
          </w:p>
        </w:tc>
        <w:tc>
          <w:tcPr>
            <w:tcW w:w="980" w:type="dxa"/>
            <w:vAlign w:val="bottom"/>
            <w:shd w:val="clear" w:color="auto" w:fill="D8D8D8"/>
          </w:tcPr>
          <w:p>
            <w:pPr>
              <w:jc w:val="right"/>
              <w:spacing w:after="0"/>
              <w:rPr>
                <w:sz w:val="20"/>
                <w:szCs w:val="20"/>
                <w:color w:val="auto"/>
              </w:rPr>
            </w:pPr>
            <w:r>
              <w:rPr>
                <w:rFonts w:ascii="Arial" w:cs="Arial" w:eastAsia="Arial" w:hAnsi="Arial"/>
                <w:sz w:val="11"/>
                <w:szCs w:val="11"/>
                <w:color w:val="auto"/>
              </w:rPr>
              <w:t>322,595</w:t>
            </w:r>
          </w:p>
        </w:tc>
        <w:tc>
          <w:tcPr>
            <w:tcW w:w="22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60" w:type="dxa"/>
            <w:vAlign w:val="bottom"/>
          </w:tcPr>
          <w:p>
            <w:pPr>
              <w:spacing w:after="0" w:line="123" w:lineRule="exact"/>
              <w:rPr>
                <w:sz w:val="20"/>
                <w:szCs w:val="20"/>
                <w:color w:val="auto"/>
              </w:rPr>
            </w:pPr>
            <w:r>
              <w:rPr>
                <w:rFonts w:ascii="Arial" w:cs="Arial" w:eastAsia="Arial" w:hAnsi="Arial"/>
                <w:sz w:val="11"/>
                <w:szCs w:val="11"/>
                <w:color w:val="auto"/>
              </w:rPr>
              <w:t>Patric T. Siniscalchi</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760" w:type="dxa"/>
            <w:vAlign w:val="bottom"/>
          </w:tcPr>
          <w:p>
            <w:pPr>
              <w:ind w:left="180"/>
              <w:spacing w:after="0"/>
              <w:rPr>
                <w:sz w:val="20"/>
                <w:szCs w:val="20"/>
                <w:color w:val="auto"/>
              </w:rPr>
            </w:pPr>
            <w:r>
              <w:rPr>
                <w:rFonts w:ascii="Arial" w:cs="Arial" w:eastAsia="Arial" w:hAnsi="Arial"/>
                <w:sz w:val="11"/>
                <w:szCs w:val="11"/>
                <w:color w:val="auto"/>
              </w:rPr>
              <w:t>President, LA/AP</w:t>
            </w:r>
          </w:p>
        </w:tc>
        <w:tc>
          <w:tcPr>
            <w:tcW w:w="1300" w:type="dxa"/>
            <w:vAlign w:val="bottom"/>
            <w:gridSpan w:val="3"/>
          </w:tcPr>
          <w:p>
            <w:pPr>
              <w:jc w:val="right"/>
              <w:ind w:right="400"/>
              <w:spacing w:after="0"/>
              <w:rPr>
                <w:sz w:val="20"/>
                <w:szCs w:val="20"/>
                <w:color w:val="auto"/>
              </w:rPr>
            </w:pPr>
            <w:r>
              <w:rPr>
                <w:rFonts w:ascii="Arial" w:cs="Arial" w:eastAsia="Arial" w:hAnsi="Arial"/>
                <w:sz w:val="11"/>
                <w:szCs w:val="11"/>
                <w:color w:val="auto"/>
              </w:rPr>
              <w:t>150,000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145,000</w:t>
            </w:r>
          </w:p>
        </w:tc>
        <w:tc>
          <w:tcPr>
            <w:tcW w:w="1060" w:type="dxa"/>
            <w:vAlign w:val="bottom"/>
            <w:gridSpan w:val="2"/>
          </w:tcPr>
          <w:p>
            <w:pPr>
              <w:jc w:val="right"/>
              <w:ind w:right="400"/>
              <w:spacing w:after="0"/>
              <w:rPr>
                <w:sz w:val="20"/>
                <w:szCs w:val="20"/>
                <w:color w:val="auto"/>
              </w:rPr>
            </w:pPr>
            <w:r>
              <w:rPr>
                <w:rFonts w:ascii="Arial" w:cs="Arial" w:eastAsia="Arial" w:hAnsi="Arial"/>
                <w:sz w:val="11"/>
                <w:szCs w:val="11"/>
                <w:color w:val="auto"/>
              </w:rPr>
              <w:t>5,000</w:t>
            </w:r>
          </w:p>
        </w:tc>
        <w:tc>
          <w:tcPr>
            <w:tcW w:w="120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600" w:type="dxa"/>
            <w:vAlign w:val="bottom"/>
          </w:tcPr>
          <w:p>
            <w:pPr>
              <w:jc w:val="right"/>
              <w:spacing w:after="0"/>
              <w:rPr>
                <w:sz w:val="20"/>
                <w:szCs w:val="20"/>
                <w:color w:val="auto"/>
              </w:rPr>
            </w:pPr>
            <w:r>
              <w:rPr>
                <w:rFonts w:ascii="Arial" w:cs="Arial" w:eastAsia="Arial" w:hAnsi="Arial"/>
                <w:sz w:val="11"/>
                <w:szCs w:val="11"/>
                <w:color w:val="auto"/>
              </w:rPr>
              <w:t>338,121</w:t>
            </w:r>
          </w:p>
        </w:tc>
        <w:tc>
          <w:tcPr>
            <w:tcW w:w="80" w:type="dxa"/>
            <w:vAlign w:val="bottom"/>
          </w:tcPr>
          <w:p>
            <w:pPr>
              <w:spacing w:after="0"/>
              <w:rPr>
                <w:sz w:val="11"/>
                <w:szCs w:val="1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1"/>
                <w:szCs w:val="11"/>
                <w:color w:val="auto"/>
              </w:rPr>
              <w:t>140,903</w:t>
            </w:r>
          </w:p>
        </w:tc>
        <w:tc>
          <w:tcPr>
            <w:tcW w:w="980" w:type="dxa"/>
            <w:vAlign w:val="bottom"/>
          </w:tcPr>
          <w:p>
            <w:pPr>
              <w:jc w:val="right"/>
              <w:spacing w:after="0"/>
              <w:rPr>
                <w:sz w:val="20"/>
                <w:szCs w:val="20"/>
                <w:color w:val="auto"/>
              </w:rPr>
            </w:pPr>
            <w:r>
              <w:rPr>
                <w:rFonts w:ascii="Arial" w:cs="Arial" w:eastAsia="Arial" w:hAnsi="Arial"/>
                <w:sz w:val="11"/>
                <w:szCs w:val="11"/>
                <w:color w:val="auto"/>
              </w:rPr>
              <w:t>197,218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760" w:type="dxa"/>
            <w:vAlign w:val="bottom"/>
            <w:shd w:val="clear" w:color="auto" w:fill="D8D8D8"/>
          </w:tcPr>
          <w:p>
            <w:pPr>
              <w:spacing w:after="0" w:line="110" w:lineRule="exact"/>
              <w:rPr>
                <w:sz w:val="20"/>
                <w:szCs w:val="20"/>
                <w:color w:val="auto"/>
              </w:rPr>
            </w:pPr>
            <w:r>
              <w:rPr>
                <w:rFonts w:ascii="Arial" w:cs="Arial" w:eastAsia="Arial" w:hAnsi="Arial"/>
                <w:sz w:val="11"/>
                <w:szCs w:val="11"/>
                <w:b w:val="1"/>
                <w:bCs w:val="1"/>
                <w:color w:val="auto"/>
              </w:rPr>
              <w:t>Total for all current Executive Officers (including the Named Executive</w:t>
            </w:r>
          </w:p>
        </w:tc>
        <w:tc>
          <w:tcPr>
            <w:tcW w:w="340" w:type="dxa"/>
            <w:vAlign w:val="bottom"/>
            <w:shd w:val="clear" w:color="auto" w:fill="D8D8D8"/>
          </w:tcPr>
          <w:p>
            <w:pPr>
              <w:spacing w:after="0"/>
              <w:rPr>
                <w:sz w:val="9"/>
                <w:szCs w:val="9"/>
                <w:color w:val="auto"/>
              </w:rPr>
            </w:pPr>
          </w:p>
        </w:tc>
        <w:tc>
          <w:tcPr>
            <w:tcW w:w="56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560" w:type="dxa"/>
            <w:vAlign w:val="bottom"/>
            <w:shd w:val="clear" w:color="auto" w:fill="D8D8D8"/>
          </w:tcPr>
          <w:p>
            <w:pPr>
              <w:spacing w:after="0"/>
              <w:rPr>
                <w:sz w:val="9"/>
                <w:szCs w:val="9"/>
                <w:color w:val="auto"/>
              </w:rPr>
            </w:pPr>
          </w:p>
        </w:tc>
        <w:tc>
          <w:tcPr>
            <w:tcW w:w="420" w:type="dxa"/>
            <w:vAlign w:val="bottom"/>
            <w:shd w:val="clear" w:color="auto" w:fill="D8D8D8"/>
          </w:tcPr>
          <w:p>
            <w:pPr>
              <w:spacing w:after="0"/>
              <w:rPr>
                <w:sz w:val="9"/>
                <w:szCs w:val="9"/>
                <w:color w:val="auto"/>
              </w:rPr>
            </w:pPr>
          </w:p>
        </w:tc>
        <w:tc>
          <w:tcPr>
            <w:tcW w:w="66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80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600" w:type="dxa"/>
            <w:vAlign w:val="bottom"/>
            <w:shd w:val="clear" w:color="auto" w:fill="D8D8D8"/>
          </w:tcPr>
          <w:p>
            <w:pPr>
              <w:spacing w:after="0"/>
              <w:rPr>
                <w:sz w:val="9"/>
                <w:szCs w:val="9"/>
                <w:color w:val="auto"/>
              </w:rPr>
            </w:pPr>
          </w:p>
        </w:tc>
        <w:tc>
          <w:tcPr>
            <w:tcW w:w="80" w:type="dxa"/>
            <w:vAlign w:val="bottom"/>
            <w:shd w:val="clear" w:color="auto" w:fill="D8D8D8"/>
          </w:tcPr>
          <w:p>
            <w:pPr>
              <w:spacing w:after="0"/>
              <w:rPr>
                <w:sz w:val="9"/>
                <w:szCs w:val="9"/>
                <w:color w:val="auto"/>
              </w:rPr>
            </w:pPr>
          </w:p>
        </w:tc>
        <w:tc>
          <w:tcPr>
            <w:tcW w:w="34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200" w:type="dxa"/>
            <w:vAlign w:val="bottom"/>
            <w:shd w:val="clear" w:color="auto" w:fill="D8D8D8"/>
          </w:tcPr>
          <w:p>
            <w:pPr>
              <w:spacing w:after="0"/>
              <w:rPr>
                <w:sz w:val="9"/>
                <w:szCs w:val="9"/>
                <w:color w:val="auto"/>
              </w:rPr>
            </w:pPr>
          </w:p>
        </w:tc>
        <w:tc>
          <w:tcPr>
            <w:tcW w:w="980" w:type="dxa"/>
            <w:vAlign w:val="bottom"/>
            <w:shd w:val="clear" w:color="auto" w:fill="D8D8D8"/>
          </w:tcPr>
          <w:p>
            <w:pPr>
              <w:spacing w:after="0"/>
              <w:rPr>
                <w:sz w:val="9"/>
                <w:szCs w:val="9"/>
                <w:color w:val="auto"/>
              </w:rPr>
            </w:pPr>
          </w:p>
        </w:tc>
        <w:tc>
          <w:tcPr>
            <w:tcW w:w="22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shd w:val="clear" w:color="auto" w:fill="D8D8D8"/>
          </w:tcPr>
          <w:p>
            <w:pPr>
              <w:ind w:left="180"/>
              <w:spacing w:after="0"/>
              <w:rPr>
                <w:sz w:val="20"/>
                <w:szCs w:val="20"/>
                <w:color w:val="auto"/>
              </w:rPr>
            </w:pPr>
            <w:r>
              <w:rPr>
                <w:rFonts w:ascii="Arial" w:cs="Arial" w:eastAsia="Arial" w:hAnsi="Arial"/>
                <w:sz w:val="11"/>
                <w:szCs w:val="11"/>
                <w:b w:val="1"/>
                <w:bCs w:val="1"/>
                <w:color w:val="auto"/>
              </w:rPr>
              <w:t>Officers identified above)</w:t>
            </w:r>
          </w:p>
        </w:tc>
        <w:tc>
          <w:tcPr>
            <w:tcW w:w="900" w:type="dxa"/>
            <w:vAlign w:val="bottom"/>
            <w:gridSpan w:val="2"/>
            <w:shd w:val="clear" w:color="auto" w:fill="D8D8D8"/>
          </w:tcPr>
          <w:p>
            <w:pPr>
              <w:jc w:val="right"/>
              <w:spacing w:after="0"/>
              <w:rPr>
                <w:sz w:val="20"/>
                <w:szCs w:val="20"/>
                <w:color w:val="auto"/>
              </w:rPr>
            </w:pPr>
            <w:r>
              <w:rPr>
                <w:rFonts w:ascii="Arial" w:cs="Arial" w:eastAsia="Arial" w:hAnsi="Arial"/>
                <w:sz w:val="11"/>
                <w:szCs w:val="11"/>
                <w:color w:val="auto"/>
              </w:rPr>
              <w:t>2,002,500</w:t>
            </w:r>
          </w:p>
        </w:tc>
        <w:tc>
          <w:tcPr>
            <w:tcW w:w="4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jc w:val="right"/>
              <w:ind w:right="420"/>
              <w:spacing w:after="0"/>
              <w:rPr>
                <w:sz w:val="20"/>
                <w:szCs w:val="20"/>
                <w:color w:val="auto"/>
              </w:rPr>
            </w:pPr>
            <w:r>
              <w:rPr>
                <w:rFonts w:ascii="Arial" w:cs="Arial" w:eastAsia="Arial" w:hAnsi="Arial"/>
                <w:sz w:val="11"/>
                <w:szCs w:val="11"/>
                <w:color w:val="auto"/>
              </w:rPr>
              <w:t>1,178,500</w:t>
            </w:r>
          </w:p>
        </w:tc>
        <w:tc>
          <w:tcPr>
            <w:tcW w:w="106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792,000</w:t>
            </w:r>
          </w:p>
        </w:tc>
        <w:tc>
          <w:tcPr>
            <w:tcW w:w="120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32,000</w:t>
            </w:r>
          </w:p>
        </w:tc>
        <w:tc>
          <w:tcPr>
            <w:tcW w:w="600" w:type="dxa"/>
            <w:vAlign w:val="bottom"/>
            <w:shd w:val="clear" w:color="auto" w:fill="D8D8D8"/>
          </w:tcPr>
          <w:p>
            <w:pPr>
              <w:jc w:val="right"/>
              <w:spacing w:after="0"/>
              <w:rPr>
                <w:sz w:val="20"/>
                <w:szCs w:val="20"/>
                <w:color w:val="auto"/>
              </w:rPr>
            </w:pPr>
            <w:r>
              <w:rPr>
                <w:rFonts w:ascii="Arial" w:cs="Arial" w:eastAsia="Arial" w:hAnsi="Arial"/>
                <w:sz w:val="11"/>
                <w:szCs w:val="11"/>
                <w:color w:val="auto"/>
              </w:rPr>
              <w:t>3,895,923</w:t>
            </w:r>
          </w:p>
        </w:tc>
        <w:tc>
          <w:tcPr>
            <w:tcW w:w="80" w:type="dxa"/>
            <w:vAlign w:val="bottom"/>
            <w:shd w:val="clear" w:color="auto" w:fill="D8D8D8"/>
          </w:tcPr>
          <w:p>
            <w:pPr>
              <w:spacing w:after="0"/>
              <w:rPr>
                <w:sz w:val="12"/>
                <w:szCs w:val="12"/>
                <w:color w:val="auto"/>
              </w:rPr>
            </w:pPr>
          </w:p>
        </w:tc>
        <w:tc>
          <w:tcPr>
            <w:tcW w:w="1060" w:type="dxa"/>
            <w:vAlign w:val="bottom"/>
            <w:gridSpan w:val="2"/>
            <w:shd w:val="clear" w:color="auto" w:fill="D8D8D8"/>
          </w:tcPr>
          <w:p>
            <w:pPr>
              <w:jc w:val="right"/>
              <w:spacing w:after="0"/>
              <w:rPr>
                <w:sz w:val="20"/>
                <w:szCs w:val="20"/>
                <w:color w:val="auto"/>
              </w:rPr>
            </w:pPr>
            <w:r>
              <w:rPr>
                <w:rFonts w:ascii="Arial" w:cs="Arial" w:eastAsia="Arial" w:hAnsi="Arial"/>
                <w:sz w:val="11"/>
                <w:szCs w:val="11"/>
                <w:color w:val="auto"/>
              </w:rPr>
              <w:t>2,080,366</w:t>
            </w:r>
          </w:p>
        </w:tc>
        <w:tc>
          <w:tcPr>
            <w:tcW w:w="200" w:type="dxa"/>
            <w:vAlign w:val="bottom"/>
            <w:shd w:val="clear" w:color="auto" w:fill="D8D8D8"/>
          </w:tcPr>
          <w:p>
            <w:pPr>
              <w:spacing w:after="0"/>
              <w:rPr>
                <w:sz w:val="12"/>
                <w:szCs w:val="12"/>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1"/>
                <w:szCs w:val="11"/>
                <w:color w:val="auto"/>
              </w:rPr>
              <w:t>1,815,557</w:t>
            </w:r>
          </w:p>
        </w:tc>
        <w:tc>
          <w:tcPr>
            <w:tcW w:w="22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60" w:type="dxa"/>
            <w:vAlign w:val="bottom"/>
          </w:tcPr>
          <w:p>
            <w:pPr>
              <w:spacing w:after="0" w:line="124" w:lineRule="exact"/>
              <w:rPr>
                <w:sz w:val="20"/>
                <w:szCs w:val="20"/>
                <w:color w:val="auto"/>
              </w:rPr>
            </w:pPr>
            <w:r>
              <w:rPr>
                <w:rFonts w:ascii="Arial" w:cs="Arial" w:eastAsia="Arial" w:hAnsi="Arial"/>
                <w:sz w:val="11"/>
                <w:szCs w:val="11"/>
                <w:b w:val="1"/>
                <w:bCs w:val="1"/>
                <w:color w:val="auto"/>
              </w:rPr>
              <w:t>Non-Executive Director Group</w:t>
            </w:r>
          </w:p>
        </w:tc>
        <w:tc>
          <w:tcPr>
            <w:tcW w:w="1300" w:type="dxa"/>
            <w:vAlign w:val="bottom"/>
            <w:gridSpan w:val="3"/>
          </w:tcPr>
          <w:p>
            <w:pPr>
              <w:jc w:val="right"/>
              <w:ind w:right="400"/>
              <w:spacing w:after="0" w:line="124" w:lineRule="exact"/>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line="124" w:lineRule="exact"/>
              <w:rPr>
                <w:sz w:val="20"/>
                <w:szCs w:val="20"/>
                <w:color w:val="auto"/>
              </w:rPr>
            </w:pPr>
            <w:r>
              <w:rPr>
                <w:rFonts w:ascii="Arial" w:cs="Arial" w:eastAsia="Arial" w:hAnsi="Arial"/>
                <w:sz w:val="11"/>
                <w:szCs w:val="11"/>
                <w:color w:val="auto"/>
              </w:rPr>
              <w:t>0</w:t>
            </w:r>
          </w:p>
        </w:tc>
        <w:tc>
          <w:tcPr>
            <w:tcW w:w="1060" w:type="dxa"/>
            <w:vAlign w:val="bottom"/>
            <w:gridSpan w:val="2"/>
          </w:tcPr>
          <w:p>
            <w:pPr>
              <w:jc w:val="right"/>
              <w:ind w:right="400"/>
              <w:spacing w:after="0" w:line="124" w:lineRule="exact"/>
              <w:rPr>
                <w:sz w:val="20"/>
                <w:szCs w:val="20"/>
                <w:color w:val="auto"/>
              </w:rPr>
            </w:pPr>
            <w:r>
              <w:rPr>
                <w:rFonts w:ascii="Arial" w:cs="Arial" w:eastAsia="Arial" w:hAnsi="Arial"/>
                <w:sz w:val="11"/>
                <w:szCs w:val="11"/>
                <w:color w:val="auto"/>
              </w:rPr>
              <w:t>0</w:t>
            </w:r>
          </w:p>
        </w:tc>
        <w:tc>
          <w:tcPr>
            <w:tcW w:w="1200" w:type="dxa"/>
            <w:vAlign w:val="bottom"/>
            <w:gridSpan w:val="2"/>
          </w:tcPr>
          <w:p>
            <w:pPr>
              <w:jc w:val="right"/>
              <w:ind w:right="400"/>
              <w:spacing w:after="0" w:line="124" w:lineRule="exact"/>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446,446*</w:t>
            </w:r>
          </w:p>
        </w:tc>
        <w:tc>
          <w:tcPr>
            <w:tcW w:w="1260" w:type="dxa"/>
            <w:vAlign w:val="bottom"/>
            <w:gridSpan w:val="3"/>
          </w:tcPr>
          <w:p>
            <w:pPr>
              <w:jc w:val="right"/>
              <w:ind w:right="160"/>
              <w:spacing w:after="0" w:line="124" w:lineRule="exact"/>
              <w:rPr>
                <w:sz w:val="20"/>
                <w:szCs w:val="20"/>
                <w:color w:val="auto"/>
              </w:rPr>
            </w:pPr>
            <w:r>
              <w:rPr>
                <w:rFonts w:ascii="Arial" w:cs="Arial" w:eastAsia="Arial" w:hAnsi="Arial"/>
                <w:sz w:val="11"/>
                <w:szCs w:val="11"/>
                <w:color w:val="auto"/>
              </w:rPr>
              <w:t>72,691*</w:t>
            </w:r>
          </w:p>
        </w:tc>
        <w:tc>
          <w:tcPr>
            <w:tcW w:w="12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373,755*</w:t>
            </w:r>
          </w:p>
        </w:tc>
        <w:tc>
          <w:tcPr>
            <w:tcW w:w="0" w:type="dxa"/>
            <w:vAlign w:val="bottom"/>
          </w:tcPr>
          <w:p>
            <w:pPr>
              <w:spacing w:after="0"/>
              <w:rPr>
                <w:sz w:val="1"/>
                <w:szCs w:val="1"/>
                <w:color w:val="auto"/>
              </w:rPr>
            </w:pPr>
          </w:p>
        </w:tc>
      </w:tr>
      <w:tr>
        <w:trPr>
          <w:trHeight w:val="109"/>
        </w:trPr>
        <w:tc>
          <w:tcPr>
            <w:tcW w:w="3760" w:type="dxa"/>
            <w:vAlign w:val="bottom"/>
            <w:shd w:val="clear" w:color="auto" w:fill="D8D8D8"/>
          </w:tcPr>
          <w:p>
            <w:pPr>
              <w:spacing w:after="0" w:line="110" w:lineRule="exact"/>
              <w:rPr>
                <w:sz w:val="20"/>
                <w:szCs w:val="20"/>
                <w:color w:val="auto"/>
              </w:rPr>
            </w:pPr>
            <w:r>
              <w:rPr>
                <w:rFonts w:ascii="Arial" w:cs="Arial" w:eastAsia="Arial" w:hAnsi="Arial"/>
                <w:sz w:val="11"/>
                <w:szCs w:val="11"/>
                <w:b w:val="1"/>
                <w:bCs w:val="1"/>
                <w:color w:val="auto"/>
              </w:rPr>
              <w:t>All employees, including all current officers who are not executive</w:t>
            </w:r>
          </w:p>
        </w:tc>
        <w:tc>
          <w:tcPr>
            <w:tcW w:w="340" w:type="dxa"/>
            <w:vAlign w:val="bottom"/>
            <w:shd w:val="clear" w:color="auto" w:fill="D8D8D8"/>
          </w:tcPr>
          <w:p>
            <w:pPr>
              <w:spacing w:after="0"/>
              <w:rPr>
                <w:sz w:val="9"/>
                <w:szCs w:val="9"/>
                <w:color w:val="auto"/>
              </w:rPr>
            </w:pPr>
          </w:p>
        </w:tc>
        <w:tc>
          <w:tcPr>
            <w:tcW w:w="56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560" w:type="dxa"/>
            <w:vAlign w:val="bottom"/>
            <w:shd w:val="clear" w:color="auto" w:fill="D8D8D8"/>
          </w:tcPr>
          <w:p>
            <w:pPr>
              <w:spacing w:after="0"/>
              <w:rPr>
                <w:sz w:val="9"/>
                <w:szCs w:val="9"/>
                <w:color w:val="auto"/>
              </w:rPr>
            </w:pPr>
          </w:p>
        </w:tc>
        <w:tc>
          <w:tcPr>
            <w:tcW w:w="420" w:type="dxa"/>
            <w:vAlign w:val="bottom"/>
            <w:shd w:val="clear" w:color="auto" w:fill="D8D8D8"/>
          </w:tcPr>
          <w:p>
            <w:pPr>
              <w:spacing w:after="0"/>
              <w:rPr>
                <w:sz w:val="9"/>
                <w:szCs w:val="9"/>
                <w:color w:val="auto"/>
              </w:rPr>
            </w:pPr>
          </w:p>
        </w:tc>
        <w:tc>
          <w:tcPr>
            <w:tcW w:w="66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800" w:type="dxa"/>
            <w:vAlign w:val="bottom"/>
            <w:shd w:val="clear" w:color="auto" w:fill="D8D8D8"/>
          </w:tcPr>
          <w:p>
            <w:pPr>
              <w:spacing w:after="0"/>
              <w:rPr>
                <w:sz w:val="9"/>
                <w:szCs w:val="9"/>
                <w:color w:val="auto"/>
              </w:rPr>
            </w:pPr>
          </w:p>
        </w:tc>
        <w:tc>
          <w:tcPr>
            <w:tcW w:w="400" w:type="dxa"/>
            <w:vAlign w:val="bottom"/>
            <w:shd w:val="clear" w:color="auto" w:fill="D8D8D8"/>
          </w:tcPr>
          <w:p>
            <w:pPr>
              <w:spacing w:after="0"/>
              <w:rPr>
                <w:sz w:val="9"/>
                <w:szCs w:val="9"/>
                <w:color w:val="auto"/>
              </w:rPr>
            </w:pPr>
          </w:p>
        </w:tc>
        <w:tc>
          <w:tcPr>
            <w:tcW w:w="600" w:type="dxa"/>
            <w:vAlign w:val="bottom"/>
            <w:shd w:val="clear" w:color="auto" w:fill="D8D8D8"/>
          </w:tcPr>
          <w:p>
            <w:pPr>
              <w:spacing w:after="0"/>
              <w:rPr>
                <w:sz w:val="9"/>
                <w:szCs w:val="9"/>
                <w:color w:val="auto"/>
              </w:rPr>
            </w:pPr>
          </w:p>
        </w:tc>
        <w:tc>
          <w:tcPr>
            <w:tcW w:w="80" w:type="dxa"/>
            <w:vAlign w:val="bottom"/>
            <w:shd w:val="clear" w:color="auto" w:fill="D8D8D8"/>
          </w:tcPr>
          <w:p>
            <w:pPr>
              <w:spacing w:after="0"/>
              <w:rPr>
                <w:sz w:val="9"/>
                <w:szCs w:val="9"/>
                <w:color w:val="auto"/>
              </w:rPr>
            </w:pPr>
          </w:p>
        </w:tc>
        <w:tc>
          <w:tcPr>
            <w:tcW w:w="340" w:type="dxa"/>
            <w:vAlign w:val="bottom"/>
            <w:shd w:val="clear" w:color="auto" w:fill="D8D8D8"/>
          </w:tcPr>
          <w:p>
            <w:pPr>
              <w:spacing w:after="0"/>
              <w:rPr>
                <w:sz w:val="9"/>
                <w:szCs w:val="9"/>
                <w:color w:val="auto"/>
              </w:rPr>
            </w:pPr>
          </w:p>
        </w:tc>
        <w:tc>
          <w:tcPr>
            <w:tcW w:w="720" w:type="dxa"/>
            <w:vAlign w:val="bottom"/>
            <w:shd w:val="clear" w:color="auto" w:fill="D8D8D8"/>
          </w:tcPr>
          <w:p>
            <w:pPr>
              <w:spacing w:after="0"/>
              <w:rPr>
                <w:sz w:val="9"/>
                <w:szCs w:val="9"/>
                <w:color w:val="auto"/>
              </w:rPr>
            </w:pPr>
          </w:p>
        </w:tc>
        <w:tc>
          <w:tcPr>
            <w:tcW w:w="200" w:type="dxa"/>
            <w:vAlign w:val="bottom"/>
            <w:shd w:val="clear" w:color="auto" w:fill="D8D8D8"/>
          </w:tcPr>
          <w:p>
            <w:pPr>
              <w:spacing w:after="0"/>
              <w:rPr>
                <w:sz w:val="9"/>
                <w:szCs w:val="9"/>
                <w:color w:val="auto"/>
              </w:rPr>
            </w:pPr>
          </w:p>
        </w:tc>
        <w:tc>
          <w:tcPr>
            <w:tcW w:w="980" w:type="dxa"/>
            <w:vAlign w:val="bottom"/>
            <w:shd w:val="clear" w:color="auto" w:fill="D8D8D8"/>
          </w:tcPr>
          <w:p>
            <w:pPr>
              <w:spacing w:after="0"/>
              <w:rPr>
                <w:sz w:val="9"/>
                <w:szCs w:val="9"/>
                <w:color w:val="auto"/>
              </w:rPr>
            </w:pPr>
          </w:p>
        </w:tc>
        <w:tc>
          <w:tcPr>
            <w:tcW w:w="22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760" w:type="dxa"/>
            <w:vAlign w:val="bottom"/>
            <w:shd w:val="clear" w:color="auto" w:fill="D8D8D8"/>
          </w:tcPr>
          <w:p>
            <w:pPr>
              <w:ind w:left="180"/>
              <w:spacing w:after="0"/>
              <w:rPr>
                <w:sz w:val="20"/>
                <w:szCs w:val="20"/>
                <w:color w:val="auto"/>
              </w:rPr>
            </w:pPr>
            <w:r>
              <w:rPr>
                <w:rFonts w:ascii="Arial" w:cs="Arial" w:eastAsia="Arial" w:hAnsi="Arial"/>
                <w:sz w:val="11"/>
                <w:szCs w:val="11"/>
                <w:b w:val="1"/>
                <w:bCs w:val="1"/>
                <w:color w:val="auto"/>
              </w:rPr>
              <w:t>officers or directors, as a group</w:t>
            </w:r>
          </w:p>
        </w:tc>
        <w:tc>
          <w:tcPr>
            <w:tcW w:w="900" w:type="dxa"/>
            <w:vAlign w:val="bottom"/>
            <w:gridSpan w:val="2"/>
            <w:shd w:val="clear" w:color="auto" w:fill="D8D8D8"/>
          </w:tcPr>
          <w:p>
            <w:pPr>
              <w:jc w:val="right"/>
              <w:spacing w:after="0"/>
              <w:rPr>
                <w:sz w:val="20"/>
                <w:szCs w:val="20"/>
                <w:color w:val="auto"/>
              </w:rPr>
            </w:pPr>
            <w:r>
              <w:rPr>
                <w:rFonts w:ascii="Arial" w:cs="Arial" w:eastAsia="Arial" w:hAnsi="Arial"/>
                <w:sz w:val="11"/>
                <w:szCs w:val="11"/>
                <w:color w:val="auto"/>
              </w:rPr>
              <w:t>2,169,800</w:t>
            </w:r>
          </w:p>
        </w:tc>
        <w:tc>
          <w:tcPr>
            <w:tcW w:w="4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jc w:val="right"/>
              <w:ind w:right="420"/>
              <w:spacing w:after="0"/>
              <w:rPr>
                <w:sz w:val="20"/>
                <w:szCs w:val="20"/>
                <w:color w:val="auto"/>
              </w:rPr>
            </w:pPr>
            <w:r>
              <w:rPr>
                <w:rFonts w:ascii="Arial" w:cs="Arial" w:eastAsia="Arial" w:hAnsi="Arial"/>
                <w:sz w:val="11"/>
                <w:szCs w:val="11"/>
                <w:color w:val="auto"/>
              </w:rPr>
              <w:t>1,995,200</w:t>
            </w:r>
          </w:p>
        </w:tc>
        <w:tc>
          <w:tcPr>
            <w:tcW w:w="106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143,300</w:t>
            </w:r>
          </w:p>
        </w:tc>
        <w:tc>
          <w:tcPr>
            <w:tcW w:w="1200" w:type="dxa"/>
            <w:vAlign w:val="bottom"/>
            <w:gridSpan w:val="2"/>
            <w:shd w:val="clear" w:color="auto" w:fill="D8D8D8"/>
          </w:tcPr>
          <w:p>
            <w:pPr>
              <w:jc w:val="right"/>
              <w:ind w:right="400"/>
              <w:spacing w:after="0"/>
              <w:rPr>
                <w:sz w:val="20"/>
                <w:szCs w:val="20"/>
                <w:color w:val="auto"/>
              </w:rPr>
            </w:pPr>
            <w:r>
              <w:rPr>
                <w:rFonts w:ascii="Arial" w:cs="Arial" w:eastAsia="Arial" w:hAnsi="Arial"/>
                <w:sz w:val="11"/>
                <w:szCs w:val="11"/>
                <w:color w:val="auto"/>
              </w:rPr>
              <w:t>0</w:t>
            </w:r>
          </w:p>
        </w:tc>
        <w:tc>
          <w:tcPr>
            <w:tcW w:w="600" w:type="dxa"/>
            <w:vAlign w:val="bottom"/>
            <w:shd w:val="clear" w:color="auto" w:fill="D8D8D8"/>
          </w:tcPr>
          <w:p>
            <w:pPr>
              <w:jc w:val="right"/>
              <w:spacing w:after="0"/>
              <w:rPr>
                <w:sz w:val="20"/>
                <w:szCs w:val="20"/>
                <w:color w:val="auto"/>
              </w:rPr>
            </w:pPr>
            <w:r>
              <w:rPr>
                <w:rFonts w:ascii="Arial" w:cs="Arial" w:eastAsia="Arial" w:hAnsi="Arial"/>
                <w:sz w:val="11"/>
                <w:szCs w:val="11"/>
                <w:color w:val="auto"/>
              </w:rPr>
              <w:t>3,743,416</w:t>
            </w:r>
          </w:p>
        </w:tc>
        <w:tc>
          <w:tcPr>
            <w:tcW w:w="80" w:type="dxa"/>
            <w:vAlign w:val="bottom"/>
            <w:shd w:val="clear" w:color="auto" w:fill="D8D8D8"/>
          </w:tcPr>
          <w:p>
            <w:pPr>
              <w:spacing w:after="0"/>
              <w:rPr>
                <w:sz w:val="12"/>
                <w:szCs w:val="12"/>
                <w:color w:val="auto"/>
              </w:rPr>
            </w:pPr>
          </w:p>
        </w:tc>
        <w:tc>
          <w:tcPr>
            <w:tcW w:w="1060" w:type="dxa"/>
            <w:vAlign w:val="bottom"/>
            <w:gridSpan w:val="2"/>
            <w:shd w:val="clear" w:color="auto" w:fill="D8D8D8"/>
          </w:tcPr>
          <w:p>
            <w:pPr>
              <w:jc w:val="right"/>
              <w:spacing w:after="0"/>
              <w:rPr>
                <w:sz w:val="20"/>
                <w:szCs w:val="20"/>
                <w:color w:val="auto"/>
              </w:rPr>
            </w:pPr>
            <w:r>
              <w:rPr>
                <w:rFonts w:ascii="Arial" w:cs="Arial" w:eastAsia="Arial" w:hAnsi="Arial"/>
                <w:sz w:val="11"/>
                <w:szCs w:val="11"/>
                <w:color w:val="auto"/>
              </w:rPr>
              <w:t>2,187,013</w:t>
            </w:r>
          </w:p>
        </w:tc>
        <w:tc>
          <w:tcPr>
            <w:tcW w:w="200" w:type="dxa"/>
            <w:vAlign w:val="bottom"/>
            <w:shd w:val="clear" w:color="auto" w:fill="D8D8D8"/>
          </w:tcPr>
          <w:p>
            <w:pPr>
              <w:spacing w:after="0"/>
              <w:rPr>
                <w:sz w:val="12"/>
                <w:szCs w:val="12"/>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1"/>
                <w:szCs w:val="11"/>
                <w:color w:val="auto"/>
              </w:rPr>
              <w:t>1,105,186</w:t>
            </w:r>
          </w:p>
        </w:tc>
        <w:tc>
          <w:tcPr>
            <w:tcW w:w="22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4,172,300</w:t>
            </w:r>
          </w:p>
        </w:tc>
        <w:tc>
          <w:tcPr>
            <w:tcW w:w="400" w:type="dxa"/>
            <w:vAlign w:val="bottom"/>
          </w:tcPr>
          <w:p>
            <w:pPr>
              <w:spacing w:after="0"/>
              <w:rPr>
                <w:sz w:val="11"/>
                <w:szCs w:val="11"/>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3,173,700</w:t>
            </w:r>
          </w:p>
        </w:tc>
        <w:tc>
          <w:tcPr>
            <w:tcW w:w="1060" w:type="dxa"/>
            <w:vAlign w:val="bottom"/>
            <w:gridSpan w:val="2"/>
          </w:tcPr>
          <w:p>
            <w:pPr>
              <w:jc w:val="right"/>
              <w:ind w:right="400"/>
              <w:spacing w:after="0"/>
              <w:rPr>
                <w:sz w:val="20"/>
                <w:szCs w:val="20"/>
                <w:color w:val="auto"/>
              </w:rPr>
            </w:pPr>
            <w:r>
              <w:rPr>
                <w:rFonts w:ascii="Arial" w:cs="Arial" w:eastAsia="Arial" w:hAnsi="Arial"/>
                <w:sz w:val="11"/>
                <w:szCs w:val="11"/>
                <w:color w:val="auto"/>
              </w:rPr>
              <w:t>935,300</w:t>
            </w:r>
          </w:p>
        </w:tc>
        <w:tc>
          <w:tcPr>
            <w:tcW w:w="1200" w:type="dxa"/>
            <w:vAlign w:val="bottom"/>
            <w:gridSpan w:val="2"/>
          </w:tcPr>
          <w:p>
            <w:pPr>
              <w:jc w:val="right"/>
              <w:ind w:right="400"/>
              <w:spacing w:after="0"/>
              <w:rPr>
                <w:sz w:val="20"/>
                <w:szCs w:val="20"/>
                <w:color w:val="auto"/>
              </w:rPr>
            </w:pPr>
            <w:r>
              <w:rPr>
                <w:rFonts w:ascii="Arial" w:cs="Arial" w:eastAsia="Arial" w:hAnsi="Arial"/>
                <w:sz w:val="11"/>
                <w:szCs w:val="11"/>
                <w:color w:val="auto"/>
              </w:rPr>
              <w:t>32,000</w:t>
            </w:r>
          </w:p>
        </w:tc>
        <w:tc>
          <w:tcPr>
            <w:tcW w:w="600" w:type="dxa"/>
            <w:vAlign w:val="bottom"/>
          </w:tcPr>
          <w:p>
            <w:pPr>
              <w:jc w:val="right"/>
              <w:spacing w:after="0"/>
              <w:rPr>
                <w:sz w:val="20"/>
                <w:szCs w:val="20"/>
                <w:color w:val="auto"/>
              </w:rPr>
            </w:pPr>
            <w:r>
              <w:rPr>
                <w:rFonts w:ascii="Arial" w:cs="Arial" w:eastAsia="Arial" w:hAnsi="Arial"/>
                <w:sz w:val="11"/>
                <w:szCs w:val="11"/>
                <w:color w:val="auto"/>
              </w:rPr>
              <w:t>8,085,785</w:t>
            </w:r>
          </w:p>
        </w:tc>
        <w:tc>
          <w:tcPr>
            <w:tcW w:w="8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4,340,070</w:t>
            </w:r>
          </w:p>
        </w:tc>
        <w:tc>
          <w:tcPr>
            <w:tcW w:w="2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3,294,498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6948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ind w:left="330" w:hanging="330"/>
        <w:spacing w:after="0"/>
        <w:tabs>
          <w:tab w:leader="none" w:pos="330" w:val="left"/>
        </w:tabs>
        <w:numPr>
          <w:ilvl w:val="0"/>
          <w:numId w:val="78"/>
        </w:numPr>
        <w:rPr>
          <w:rFonts w:ascii="Arial" w:cs="Arial" w:eastAsia="Arial" w:hAnsi="Arial"/>
          <w:sz w:val="11"/>
          <w:szCs w:val="11"/>
          <w:color w:val="auto"/>
        </w:rPr>
      </w:pPr>
      <w:r>
        <w:rPr>
          <w:rFonts w:ascii="Arial" w:cs="Arial" w:eastAsia="Arial" w:hAnsi="Arial"/>
          <w:sz w:val="11"/>
          <w:szCs w:val="11"/>
          <w:color w:val="auto"/>
        </w:rPr>
        <w:t>Generally reflects fully-vested deferred restricted stock units that will be (or have been) paid upon termination of service. Includes 2,500 deferred stock units that will vest on October 3, 2014.</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THE BOARD OF DIRECTORS RECOMMENDS A VOTE “FOR”</w:t>
      </w:r>
    </w:p>
    <w:p>
      <w:pPr>
        <w:jc w:val="center"/>
        <w:ind w:right="-9"/>
        <w:spacing w:after="0" w:line="234" w:lineRule="auto"/>
        <w:rPr>
          <w:sz w:val="20"/>
          <w:szCs w:val="20"/>
          <w:color w:val="auto"/>
        </w:rPr>
      </w:pPr>
      <w:r>
        <w:rPr>
          <w:rFonts w:ascii="Arial" w:cs="Arial" w:eastAsia="Arial" w:hAnsi="Arial"/>
          <w:sz w:val="18"/>
          <w:szCs w:val="18"/>
          <w:color w:val="auto"/>
        </w:rPr>
        <w:t>THE APPROVAL OF THE AVIS BUDGET GROUP, INC.</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AMENDED AND RESTATED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79375</wp:posOffset>
            </wp:positionV>
            <wp:extent cx="950595" cy="142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12" w:lineRule="exact"/>
        <w:rPr>
          <w:sz w:val="20"/>
          <w:szCs w:val="20"/>
          <w:color w:val="auto"/>
        </w:rPr>
      </w:pPr>
    </w:p>
    <w:tbl>
      <w:tblPr>
        <w:tblLayout w:type="fixed"/>
        <w:tblInd w:w="949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53</w:t>
            </w:r>
          </w:p>
        </w:tc>
      </w:tr>
    </w:tbl>
    <w:p>
      <w:pPr>
        <w:sectPr>
          <w:pgSz w:w="11900" w:h="16838" w:orient="portrait"/>
          <w:cols w:equalWidth="0" w:num="1">
            <w:col w:w="11450"/>
          </w:cols>
          <w:pgMar w:left="230" w:top="407"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STOCKHOLDER PROPOSALS FOR 2015 ANNUAL MEETING</w:t>
      </w:r>
    </w:p>
    <w:p>
      <w:pPr>
        <w:sectPr>
          <w:pgSz w:w="11900" w:h="16838" w:orient="portrait"/>
          <w:cols w:equalWidth="0" w:num="1">
            <w:col w:w="11340"/>
          </w:cols>
          <w:pgMar w:left="240" w:top="407" w:right="319" w:bottom="1440" w:gutter="0" w:footer="0" w:header="0"/>
        </w:sectPr>
      </w:pP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Proposals received from stockholders are given careful consideration by the Company in accordance with Rule 14a-8 under the Exchange Act. Stockholder proposals are eligible for consideration for inclusion in the proxy statement for the 2015 annual meeting of stockholders if they are received by the Company on or before December 5, 2014. Any proposal should be directed to the attention of the Corporate Secretary, Avis Budget Group, Inc., 6 Sylvan Way, Parsippany, N.J.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proposal to be “timely” under the Company’s by-laws, it must be received not less than sixty (60) days (i.e., March 24, 2015) nor more than ninety (90) days (i.e., February 22, 2015)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w:t>
      </w:r>
      <w:r>
        <w:rPr>
          <w:rFonts w:ascii="Arial" w:cs="Arial" w:eastAsia="Arial" w:hAnsi="Arial"/>
          <w:sz w:val="9"/>
          <w:szCs w:val="9"/>
          <w:color w:val="auto"/>
        </w:rPr>
        <w:t>th</w:t>
      </w:r>
      <w:r>
        <w:rPr>
          <w:rFonts w:ascii="Arial" w:cs="Arial" w:eastAsia="Arial" w:hAnsi="Arial"/>
          <w:sz w:val="15"/>
          <w:szCs w:val="15"/>
          <w:color w:val="auto"/>
        </w:rPr>
        <w:t>) day following the day on which such notice of the date of the annual meeting of stockholders was mailed or such public disclosure of the date of the annual meeting of stockholders was made, whichever occurs first.</w:t>
      </w:r>
    </w:p>
    <w:p>
      <w:pPr>
        <w:spacing w:after="0" w:line="214" w:lineRule="exact"/>
        <w:rPr>
          <w:sz w:val="20"/>
          <w:szCs w:val="20"/>
          <w:color w:val="auto"/>
        </w:rPr>
      </w:pPr>
    </w:p>
    <w:p>
      <w:pPr>
        <w:sectPr>
          <w:pgSz w:w="11900" w:h="16838" w:orient="portrait"/>
          <w:cols w:equalWidth="0" w:num="2">
            <w:col w:w="5320" w:space="520"/>
            <w:col w:w="5500"/>
          </w:cols>
          <w:pgMar w:left="240" w:top="407" w:right="31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ADDITIONAL INFORMATION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5"/>
          <w:szCs w:val="15"/>
          <w:i w:val="1"/>
          <w:iCs w:val="1"/>
          <w:color w:val="auto"/>
        </w:rPr>
        <w:t>Eliminating Duplicate Mailings</w:t>
      </w:r>
      <w:r>
        <w:rPr>
          <w:rFonts w:ascii="Arial" w:cs="Arial" w:eastAsia="Arial" w:hAnsi="Arial"/>
          <w:sz w:val="15"/>
          <w:szCs w:val="15"/>
          <w:color w:val="auto"/>
        </w:rPr>
        <w:t>. If you share an address with other stockholders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you may receive notification that you are being sent only a single copy of proxy materials (including a copy of the proxy statement and the 2013 Annual Report) or a single Notice, as applicable, unless your bank, broker or other intermediary that provides the notification receives contrary instructions from the affected stockholders. This practice, permitted under SEC rules and commonly referred to as “householding,” is designed to provide extra convenience for stockholders and potential cost savings for companies.</w:t>
      </w:r>
    </w:p>
    <w:p>
      <w:pPr>
        <w:spacing w:after="0" w:line="64"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N.J. 07054, Attention: Corporate Secretary or by calling (973) 496-4700 and selecting the “Investor Relations” option.</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54 </w:t>
      </w:r>
      <w:r>
        <w:rPr>
          <w:sz w:val="1"/>
          <w:szCs w:val="1"/>
          <w:color w:val="auto"/>
        </w:rPr>
        <w:drawing>
          <wp:inline distT="0" distB="0" distL="0" distR="0">
            <wp:extent cx="857885" cy="1143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256" w:lineRule="auto"/>
        <w:rPr>
          <w:sz w:val="20"/>
          <w:szCs w:val="20"/>
          <w:color w:val="auto"/>
        </w:rPr>
      </w:pPr>
      <w:r>
        <w:rPr>
          <w:rFonts w:ascii="Arial" w:cs="Arial" w:eastAsia="Arial" w:hAnsi="Arial"/>
          <w:sz w:val="14"/>
          <w:szCs w:val="14"/>
          <w:i w:val="1"/>
          <w:iCs w:val="1"/>
          <w:color w:val="auto"/>
        </w:rPr>
        <w:t>Solicitation of Proxies</w:t>
      </w:r>
      <w:r>
        <w:rPr>
          <w:rFonts w:ascii="Arial" w:cs="Arial" w:eastAsia="Arial" w:hAnsi="Arial"/>
          <w:sz w:val="14"/>
          <w:szCs w:val="14"/>
          <w:color w:val="auto"/>
        </w:rPr>
        <w:t>. The accompanying form of proxy is being solicited on behalf</w:t>
      </w:r>
      <w:r>
        <w:rPr>
          <w:rFonts w:ascii="Arial" w:cs="Arial" w:eastAsia="Arial" w:hAnsi="Arial"/>
          <w:sz w:val="14"/>
          <w:szCs w:val="14"/>
          <w:i w:val="1"/>
          <w:iCs w:val="1"/>
          <w:color w:val="auto"/>
        </w:rPr>
        <w:t xml:space="preserve"> </w:t>
      </w:r>
      <w:r>
        <w:rPr>
          <w:rFonts w:ascii="Arial" w:cs="Arial" w:eastAsia="Arial" w:hAnsi="Arial"/>
          <w:sz w:val="14"/>
          <w:szCs w:val="14"/>
          <w:color w:val="auto"/>
        </w:rPr>
        <w:t>of the Board of Directors of the Company. The expenses of solicitation of proxies for the 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Phoenix Advisory Partners to aid in the solicitation of proxies. It is estimated that the fee for Phoenix Advisory Partners will be approximately $9,500 plus reasonable out-of-pocket costs and expenses. Such fee will be paid by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JEAN M. SERA</w:t>
      </w:r>
    </w:p>
    <w:p>
      <w:pPr>
        <w:spacing w:after="0"/>
        <w:rPr>
          <w:sz w:val="20"/>
          <w:szCs w:val="20"/>
          <w:color w:val="auto"/>
        </w:rPr>
      </w:pPr>
      <w:r>
        <w:rPr>
          <w:rFonts w:ascii="Arial" w:cs="Arial" w:eastAsia="Arial" w:hAnsi="Arial"/>
          <w:sz w:val="15"/>
          <w:szCs w:val="15"/>
          <w:color w:val="auto"/>
        </w:rPr>
        <w:t>Corporate Secretary</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Dated: March 28, 2014</w:t>
      </w:r>
    </w:p>
    <w:p>
      <w:pPr>
        <w:sectPr>
          <w:pgSz w:w="11900" w:h="16838" w:orient="portrait"/>
          <w:cols w:equalWidth="0" w:num="2">
            <w:col w:w="5460" w:space="380"/>
            <w:col w:w="5500"/>
          </w:cols>
          <w:pgMar w:left="240" w:top="407" w:right="319" w:bottom="1440" w:gutter="0" w:footer="0" w:header="0"/>
          <w:type w:val="continuous"/>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60" w:type="dxa"/>
            <w:vAlign w:val="bottom"/>
            <w:shd w:val="clear" w:color="auto" w:fill="000000"/>
          </w:tcPr>
          <w:p>
            <w:pPr>
              <w:jc w:val="right"/>
              <w:spacing w:after="0"/>
              <w:rPr>
                <w:sz w:val="20"/>
                <w:szCs w:val="20"/>
                <w:color w:val="auto"/>
              </w:rPr>
            </w:pPr>
            <w:r>
              <w:rPr>
                <w:rFonts w:ascii="Arial" w:cs="Arial" w:eastAsia="Arial" w:hAnsi="Arial"/>
                <w:sz w:val="11"/>
                <w:szCs w:val="11"/>
                <w:b w:val="1"/>
                <w:bCs w:val="1"/>
                <w:color w:val="FFFFFF"/>
                <w:highlight w:val="black"/>
                <w:w w:val="96"/>
              </w:rPr>
              <w:t>ANNEX A</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80" w:type="dxa"/>
            <w:vAlign w:val="bottom"/>
            <w:gridSpan w:val="4"/>
          </w:tcPr>
          <w:p>
            <w:pPr>
              <w:jc w:val="center"/>
              <w:ind w:right="2460"/>
              <w:spacing w:after="0"/>
              <w:rPr>
                <w:sz w:val="20"/>
                <w:szCs w:val="20"/>
                <w:color w:val="auto"/>
              </w:rPr>
            </w:pPr>
            <w:r>
              <w:rPr>
                <w:rFonts w:ascii="Arial" w:cs="Arial" w:eastAsia="Arial" w:hAnsi="Arial"/>
                <w:sz w:val="20"/>
                <w:szCs w:val="20"/>
                <w:b w:val="1"/>
                <w:bCs w:val="1"/>
                <w:color w:val="auto"/>
                <w:w w:val="99"/>
              </w:rPr>
              <w:t>AVIS BUDGET GROUP,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5"/>
          </w:tcPr>
          <w:p>
            <w:pPr>
              <w:jc w:val="center"/>
              <w:ind w:right="1740"/>
              <w:spacing w:after="0"/>
              <w:rPr>
                <w:sz w:val="20"/>
                <w:szCs w:val="20"/>
                <w:color w:val="auto"/>
              </w:rPr>
            </w:pPr>
            <w:r>
              <w:rPr>
                <w:rFonts w:ascii="Arial" w:cs="Arial" w:eastAsia="Arial" w:hAnsi="Arial"/>
                <w:sz w:val="20"/>
                <w:szCs w:val="20"/>
                <w:b w:val="1"/>
                <w:bCs w:val="1"/>
                <w:color w:val="auto"/>
              </w:rPr>
              <w:t>AMENDED AND RESTATED EQUITY AND INCENTIVE PLAN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Section</w:t>
            </w:r>
          </w:p>
        </w:tc>
        <w:tc>
          <w:tcPr>
            <w:tcW w:w="524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38"/>
        </w:trPr>
        <w:tc>
          <w:tcPr>
            <w:tcW w:w="380" w:type="dxa"/>
            <w:vAlign w:val="bottom"/>
          </w:tcPr>
          <w:p>
            <w:pPr>
              <w:jc w:val="right"/>
              <w:ind w:right="127"/>
              <w:spacing w:after="0" w:line="138" w:lineRule="exact"/>
              <w:rPr>
                <w:sz w:val="20"/>
                <w:szCs w:val="20"/>
                <w:color w:val="auto"/>
              </w:rPr>
            </w:pPr>
            <w:r>
              <w:rPr>
                <w:rFonts w:ascii="Arial" w:cs="Arial" w:eastAsia="Arial" w:hAnsi="Arial"/>
                <w:sz w:val="15"/>
                <w:szCs w:val="15"/>
                <w:color w:val="auto"/>
              </w:rPr>
              <w:t>1.</w:t>
            </w:r>
          </w:p>
        </w:tc>
        <w:tc>
          <w:tcPr>
            <w:tcW w:w="2620" w:type="dxa"/>
            <w:vAlign w:val="bottom"/>
            <w:tcBorders>
              <w:bottom w:val="single" w:sz="8" w:color="0000EE"/>
            </w:tcBorders>
            <w:gridSpan w:val="7"/>
          </w:tcPr>
          <w:p>
            <w:pPr>
              <w:spacing w:after="0" w:line="138" w:lineRule="exact"/>
              <w:rPr>
                <w:rFonts w:ascii="Arial" w:cs="Arial" w:eastAsia="Arial" w:hAnsi="Arial"/>
                <w:sz w:val="15"/>
                <w:szCs w:val="15"/>
                <w:color w:val="0000EE"/>
                <w:w w:val="96"/>
              </w:rPr>
            </w:pPr>
            <w:hyperlink w:anchor="page62">
              <w:r>
                <w:rPr>
                  <w:rFonts w:ascii="Arial" w:cs="Arial" w:eastAsia="Arial" w:hAnsi="Arial"/>
                  <w:sz w:val="15"/>
                  <w:szCs w:val="15"/>
                  <w:color w:val="0000EE"/>
                  <w:w w:val="96"/>
                </w:rPr>
                <w:t>Purpose; Types of Awards; Construction</w:t>
              </w:r>
            </w:hyperlink>
          </w:p>
        </w:tc>
        <w:tc>
          <w:tcPr>
            <w:tcW w:w="7880" w:type="dxa"/>
            <w:vAlign w:val="bottom"/>
            <w:gridSpan w:val="4"/>
          </w:tcPr>
          <w:p>
            <w:pPr>
              <w:spacing w:after="0"/>
              <w:rPr>
                <w:sz w:val="11"/>
                <w:szCs w:val="11"/>
                <w:color w:val="auto"/>
              </w:rPr>
            </w:pPr>
          </w:p>
        </w:tc>
        <w:tc>
          <w:tcPr>
            <w:tcW w:w="560" w:type="dxa"/>
            <w:vAlign w:val="bottom"/>
          </w:tcPr>
          <w:p>
            <w:pPr>
              <w:jc w:val="right"/>
              <w:ind w:right="28"/>
              <w:spacing w:after="0" w:line="138" w:lineRule="exact"/>
              <w:rPr>
                <w:sz w:val="20"/>
                <w:szCs w:val="20"/>
                <w:color w:val="auto"/>
              </w:rPr>
            </w:pPr>
            <w:r>
              <w:rPr>
                <w:rFonts w:ascii="Arial" w:cs="Arial" w:eastAsia="Arial" w:hAnsi="Arial"/>
                <w:sz w:val="15"/>
                <w:szCs w:val="15"/>
                <w:color w:val="auto"/>
              </w:rPr>
              <w:t>A-2</w:t>
            </w:r>
          </w:p>
        </w:tc>
        <w:tc>
          <w:tcPr>
            <w:tcW w:w="0" w:type="dxa"/>
            <w:vAlign w:val="bottom"/>
          </w:tcPr>
          <w:p>
            <w:pPr>
              <w:spacing w:after="0"/>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2.</w:t>
            </w:r>
          </w:p>
        </w:tc>
        <w:tc>
          <w:tcPr>
            <w:tcW w:w="10500" w:type="dxa"/>
            <w:vAlign w:val="bottom"/>
            <w:gridSpan w:val="11"/>
          </w:tcPr>
          <w:p>
            <w:pPr>
              <w:spacing w:after="0" w:line="149" w:lineRule="exact"/>
              <w:rPr>
                <w:rFonts w:ascii="Arial" w:cs="Arial" w:eastAsia="Arial" w:hAnsi="Arial"/>
                <w:sz w:val="15"/>
                <w:szCs w:val="15"/>
                <w:color w:val="0000EE"/>
              </w:rPr>
            </w:pPr>
            <w:hyperlink w:anchor="page62">
              <w:r>
                <w:rPr>
                  <w:rFonts w:ascii="Arial" w:cs="Arial" w:eastAsia="Arial" w:hAnsi="Arial"/>
                  <w:sz w:val="15"/>
                  <w:szCs w:val="15"/>
                  <w:color w:val="0000EE"/>
                </w:rPr>
                <w:t>Definitions</w:t>
              </w:r>
            </w:hyperlink>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3.</w:t>
            </w:r>
          </w:p>
        </w:tc>
        <w:tc>
          <w:tcPr>
            <w:tcW w:w="940" w:type="dxa"/>
            <w:vAlign w:val="bottom"/>
            <w:tcBorders>
              <w:bottom w:val="single" w:sz="8" w:color="0000EE"/>
            </w:tcBorders>
            <w:gridSpan w:val="3"/>
          </w:tcPr>
          <w:p>
            <w:pPr>
              <w:spacing w:after="0" w:line="149" w:lineRule="exact"/>
              <w:rPr>
                <w:rFonts w:ascii="Arial" w:cs="Arial" w:eastAsia="Arial" w:hAnsi="Arial"/>
                <w:sz w:val="15"/>
                <w:szCs w:val="15"/>
                <w:color w:val="0000EE"/>
                <w:w w:val="96"/>
              </w:rPr>
            </w:pPr>
            <w:hyperlink w:anchor="page65">
              <w:r>
                <w:rPr>
                  <w:rFonts w:ascii="Arial" w:cs="Arial" w:eastAsia="Arial" w:hAnsi="Arial"/>
                  <w:sz w:val="15"/>
                  <w:szCs w:val="15"/>
                  <w:color w:val="0000EE"/>
                  <w:w w:val="96"/>
                </w:rPr>
                <w:t>Administration</w:t>
              </w:r>
            </w:hyperlink>
          </w:p>
        </w:tc>
        <w:tc>
          <w:tcPr>
            <w:tcW w:w="9560" w:type="dxa"/>
            <w:vAlign w:val="bottom"/>
            <w:gridSpan w:val="8"/>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A-5</w:t>
            </w:r>
          </w:p>
        </w:tc>
        <w:tc>
          <w:tcPr>
            <w:tcW w:w="0" w:type="dxa"/>
            <w:vAlign w:val="bottom"/>
          </w:tcPr>
          <w:p>
            <w:pPr>
              <w:spacing w:after="0"/>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4.</w:t>
            </w:r>
          </w:p>
        </w:tc>
        <w:tc>
          <w:tcPr>
            <w:tcW w:w="580" w:type="dxa"/>
            <w:vAlign w:val="bottom"/>
            <w:tcBorders>
              <w:bottom w:val="single" w:sz="8" w:color="0000EE"/>
            </w:tcBorders>
          </w:tcPr>
          <w:p>
            <w:pPr>
              <w:spacing w:after="0" w:line="149" w:lineRule="exact"/>
              <w:rPr>
                <w:rFonts w:ascii="Arial" w:cs="Arial" w:eastAsia="Arial" w:hAnsi="Arial"/>
                <w:sz w:val="15"/>
                <w:szCs w:val="15"/>
                <w:color w:val="0000EE"/>
                <w:w w:val="95"/>
              </w:rPr>
            </w:pPr>
            <w:hyperlink w:anchor="page65">
              <w:r>
                <w:rPr>
                  <w:rFonts w:ascii="Arial" w:cs="Arial" w:eastAsia="Arial" w:hAnsi="Arial"/>
                  <w:sz w:val="15"/>
                  <w:szCs w:val="15"/>
                  <w:color w:val="0000EE"/>
                  <w:w w:val="95"/>
                </w:rPr>
                <w:t>Eligibility</w:t>
              </w:r>
            </w:hyperlink>
          </w:p>
        </w:tc>
        <w:tc>
          <w:tcPr>
            <w:tcW w:w="9920" w:type="dxa"/>
            <w:vAlign w:val="bottom"/>
            <w:gridSpan w:val="10"/>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A-5</w:t>
            </w:r>
          </w:p>
        </w:tc>
        <w:tc>
          <w:tcPr>
            <w:tcW w:w="0" w:type="dxa"/>
            <w:vAlign w:val="bottom"/>
          </w:tcPr>
          <w:p>
            <w:pPr>
              <w:spacing w:after="0"/>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5.</w:t>
            </w:r>
          </w:p>
        </w:tc>
        <w:tc>
          <w:tcPr>
            <w:tcW w:w="1640" w:type="dxa"/>
            <w:vAlign w:val="bottom"/>
            <w:tcBorders>
              <w:bottom w:val="single" w:sz="8" w:color="0000EE"/>
            </w:tcBorders>
            <w:gridSpan w:val="5"/>
          </w:tcPr>
          <w:p>
            <w:pPr>
              <w:spacing w:after="0" w:line="149" w:lineRule="exact"/>
              <w:rPr>
                <w:rFonts w:ascii="Arial" w:cs="Arial" w:eastAsia="Arial" w:hAnsi="Arial"/>
                <w:sz w:val="15"/>
                <w:szCs w:val="15"/>
                <w:color w:val="0000EE"/>
                <w:w w:val="96"/>
              </w:rPr>
            </w:pPr>
            <w:hyperlink w:anchor="page66">
              <w:r>
                <w:rPr>
                  <w:rFonts w:ascii="Arial" w:cs="Arial" w:eastAsia="Arial" w:hAnsi="Arial"/>
                  <w:sz w:val="15"/>
                  <w:szCs w:val="15"/>
                  <w:color w:val="0000EE"/>
                  <w:w w:val="96"/>
                </w:rPr>
                <w:t>Stock Subject to the Plan</w:t>
              </w:r>
            </w:hyperlink>
          </w:p>
        </w:tc>
        <w:tc>
          <w:tcPr>
            <w:tcW w:w="8860" w:type="dxa"/>
            <w:vAlign w:val="bottom"/>
            <w:gridSpan w:val="6"/>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A-6</w:t>
            </w:r>
          </w:p>
        </w:tc>
        <w:tc>
          <w:tcPr>
            <w:tcW w:w="0" w:type="dxa"/>
            <w:vAlign w:val="bottom"/>
          </w:tcPr>
          <w:p>
            <w:pPr>
              <w:spacing w:after="0"/>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6.</w:t>
            </w:r>
          </w:p>
        </w:tc>
        <w:tc>
          <w:tcPr>
            <w:tcW w:w="10500" w:type="dxa"/>
            <w:vAlign w:val="bottom"/>
            <w:gridSpan w:val="11"/>
          </w:tcPr>
          <w:p>
            <w:pPr>
              <w:spacing w:after="0" w:line="149" w:lineRule="exact"/>
              <w:rPr>
                <w:rFonts w:ascii="Arial" w:cs="Arial" w:eastAsia="Arial" w:hAnsi="Arial"/>
                <w:sz w:val="15"/>
                <w:szCs w:val="15"/>
                <w:color w:val="0000EE"/>
              </w:rPr>
            </w:pPr>
            <w:hyperlink w:anchor="page66">
              <w:r>
                <w:rPr>
                  <w:rFonts w:ascii="Arial" w:cs="Arial" w:eastAsia="Arial" w:hAnsi="Arial"/>
                  <w:sz w:val="15"/>
                  <w:szCs w:val="15"/>
                  <w:color w:val="0000EE"/>
                </w:rPr>
                <w:t>Specific Terms of Awards</w:t>
              </w:r>
            </w:hyperlink>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7.</w:t>
            </w:r>
          </w:p>
        </w:tc>
        <w:tc>
          <w:tcPr>
            <w:tcW w:w="1900" w:type="dxa"/>
            <w:vAlign w:val="bottom"/>
            <w:tcBorders>
              <w:bottom w:val="single" w:sz="8" w:color="0000EE"/>
            </w:tcBorders>
            <w:gridSpan w:val="6"/>
          </w:tcPr>
          <w:p>
            <w:pPr>
              <w:spacing w:after="0" w:line="149" w:lineRule="exact"/>
              <w:rPr>
                <w:rFonts w:ascii="Arial" w:cs="Arial" w:eastAsia="Arial" w:hAnsi="Arial"/>
                <w:sz w:val="15"/>
                <w:szCs w:val="15"/>
                <w:color w:val="0000EE"/>
                <w:w w:val="96"/>
              </w:rPr>
            </w:pPr>
            <w:hyperlink w:anchor="page69">
              <w:r>
                <w:rPr>
                  <w:rFonts w:ascii="Arial" w:cs="Arial" w:eastAsia="Arial" w:hAnsi="Arial"/>
                  <w:sz w:val="15"/>
                  <w:szCs w:val="15"/>
                  <w:color w:val="0000EE"/>
                  <w:w w:val="96"/>
                </w:rPr>
                <w:t>Change in Control Provisions</w:t>
              </w:r>
            </w:hyperlink>
          </w:p>
        </w:tc>
        <w:tc>
          <w:tcPr>
            <w:tcW w:w="8600" w:type="dxa"/>
            <w:vAlign w:val="bottom"/>
            <w:gridSpan w:val="5"/>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A-9</w:t>
            </w:r>
          </w:p>
        </w:tc>
        <w:tc>
          <w:tcPr>
            <w:tcW w:w="0" w:type="dxa"/>
            <w:vAlign w:val="bottom"/>
          </w:tcPr>
          <w:p>
            <w:pPr>
              <w:spacing w:after="0"/>
              <w:rPr>
                <w:sz w:val="1"/>
                <w:szCs w:val="1"/>
                <w:color w:val="auto"/>
              </w:rPr>
            </w:pPr>
          </w:p>
        </w:tc>
      </w:tr>
      <w:tr>
        <w:trPr>
          <w:trHeight w:val="149"/>
        </w:trPr>
        <w:tc>
          <w:tcPr>
            <w:tcW w:w="380" w:type="dxa"/>
            <w:vAlign w:val="bottom"/>
          </w:tcPr>
          <w:p>
            <w:pPr>
              <w:jc w:val="right"/>
              <w:ind w:right="127"/>
              <w:spacing w:after="0" w:line="149" w:lineRule="exact"/>
              <w:rPr>
                <w:sz w:val="20"/>
                <w:szCs w:val="20"/>
                <w:color w:val="auto"/>
              </w:rPr>
            </w:pPr>
            <w:r>
              <w:rPr>
                <w:rFonts w:ascii="Arial" w:cs="Arial" w:eastAsia="Arial" w:hAnsi="Arial"/>
                <w:sz w:val="15"/>
                <w:szCs w:val="15"/>
                <w:color w:val="auto"/>
              </w:rPr>
              <w:t>8.</w:t>
            </w:r>
          </w:p>
        </w:tc>
        <w:tc>
          <w:tcPr>
            <w:tcW w:w="10500" w:type="dxa"/>
            <w:vAlign w:val="bottom"/>
            <w:gridSpan w:val="11"/>
          </w:tcPr>
          <w:p>
            <w:pPr>
              <w:spacing w:after="0" w:line="149" w:lineRule="exact"/>
              <w:rPr>
                <w:rFonts w:ascii="Arial" w:cs="Arial" w:eastAsia="Arial" w:hAnsi="Arial"/>
                <w:sz w:val="15"/>
                <w:szCs w:val="15"/>
                <w:color w:val="0000EE"/>
              </w:rPr>
            </w:pPr>
            <w:hyperlink w:anchor="page70">
              <w:r>
                <w:rPr>
                  <w:rFonts w:ascii="Arial" w:cs="Arial" w:eastAsia="Arial" w:hAnsi="Arial"/>
                  <w:sz w:val="15"/>
                  <w:szCs w:val="15"/>
                  <w:color w:val="0000EE"/>
                </w:rPr>
                <w:t>General Provisions</w:t>
              </w:r>
            </w:hyperlink>
          </w:p>
        </w:tc>
        <w:tc>
          <w:tcPr>
            <w:tcW w:w="560" w:type="dxa"/>
            <w:vAlign w:val="bottom"/>
          </w:tcPr>
          <w:p>
            <w:pPr>
              <w:jc w:val="right"/>
              <w:ind w:right="28"/>
              <w:spacing w:after="0" w:line="149" w:lineRule="exact"/>
              <w:rPr>
                <w:sz w:val="20"/>
                <w:szCs w:val="20"/>
                <w:color w:val="auto"/>
              </w:rPr>
            </w:pPr>
            <w:r>
              <w:rPr>
                <w:rFonts w:ascii="Arial" w:cs="Arial" w:eastAsia="Arial" w:hAnsi="Arial"/>
                <w:sz w:val="15"/>
                <w:szCs w:val="15"/>
                <w:color w:val="auto"/>
              </w:rPr>
              <w:t>A-10</w:t>
            </w: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5"/>
                <w:szCs w:val="15"/>
                <w:i w:val="1"/>
                <w:iCs w:val="1"/>
                <w:color w:val="auto"/>
                <w:w w:val="95"/>
              </w:rPr>
              <w:t>2014 Proxy Statement</w:t>
            </w:r>
          </w:p>
        </w:tc>
        <w:tc>
          <w:tcPr>
            <w:tcW w:w="56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rPr>
              <w:t>A-1</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40" w:type="dxa"/>
            <w:vAlign w:val="bottom"/>
            <w:tcBorders>
              <w:right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-142240</wp:posOffset>
            </wp:positionV>
            <wp:extent cx="857885" cy="1143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885" cy="114300"/>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61" w:name="page62"/>
    <w:bookmarkEnd w:id="61"/>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AVIS BUDGET GROUP, INC.</w:t>
      </w:r>
    </w:p>
    <w:p>
      <w:pPr>
        <w:spacing w:after="0" w:line="209"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AMENDED AND RESTATED EQUITY AND INCENTIVE PLAN</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1. Purpose; Types of Awards; Construction.</w:t>
      </w:r>
    </w:p>
    <w:p>
      <w:pPr>
        <w:spacing w:after="0" w:line="93" w:lineRule="exact"/>
        <w:rPr>
          <w:sz w:val="20"/>
          <w:szCs w:val="20"/>
          <w:color w:val="auto"/>
        </w:rPr>
      </w:pPr>
    </w:p>
    <w:p>
      <w:pPr>
        <w:ind w:left="10" w:right="20"/>
        <w:spacing w:after="0" w:line="235" w:lineRule="auto"/>
        <w:rPr>
          <w:sz w:val="20"/>
          <w:szCs w:val="20"/>
          <w:color w:val="auto"/>
        </w:rPr>
      </w:pPr>
      <w:r>
        <w:rPr>
          <w:rFonts w:ascii="Arial" w:cs="Arial" w:eastAsia="Arial" w:hAnsi="Arial"/>
          <w:sz w:val="15"/>
          <w:szCs w:val="15"/>
          <w:color w:val="auto"/>
        </w:rPr>
        <w:t>The purpose of the AVIS BUDGET GROUP, INC. Equity and Incentive Plan, as amended and restated (the “Plan”), is to promote the interests of the Company and its Subsidiaries and the stockholders of the Company by providing officers, employees, consultants and independent contractors (including non-employee directors) of the Company and its Subsidiaries with appropriate incentives and rewards to encourage them to enter into and continue in the employ or service of the Company or its Subsidiaries, to acquire a proprietary interest in the long-term success of the Company and to reward the performance of individuals in fulfilling their personal responsibilities for long-range and annual achievements. The Plan provides for the grant, in the sole discretion of the Committee, of options (including “incentive stock options” and “nonqualified stock options”), stock appreciation rights, restricted stock, restricted stock units and other stock- or cash-based awards. The Plan is designed so that Awards granted hereunder intended to comply with the requirements for “performance-based compensation” under Section 162(m) of the Code may comply with such requirements, and the Plan and Awards shall be interpreted in a manner consistent with such requirements.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 Definitions.</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For purposes of the Plan, the following terms shall be defined as set forth below:</w:t>
      </w:r>
    </w:p>
    <w:p>
      <w:pPr>
        <w:spacing w:after="0" w:line="64" w:lineRule="exact"/>
        <w:rPr>
          <w:sz w:val="20"/>
          <w:szCs w:val="20"/>
          <w:color w:val="auto"/>
        </w:rPr>
      </w:pPr>
    </w:p>
    <w:p>
      <w:pPr>
        <w:ind w:left="670" w:hanging="212"/>
        <w:spacing w:after="0"/>
        <w:tabs>
          <w:tab w:leader="none" w:pos="670" w:val="left"/>
        </w:tabs>
        <w:numPr>
          <w:ilvl w:val="1"/>
          <w:numId w:val="79"/>
        </w:numPr>
        <w:rPr>
          <w:rFonts w:ascii="Arial" w:cs="Arial" w:eastAsia="Arial" w:hAnsi="Arial"/>
          <w:sz w:val="14"/>
          <w:szCs w:val="14"/>
          <w:color w:val="auto"/>
        </w:rPr>
      </w:pPr>
      <w:r>
        <w:rPr>
          <w:rFonts w:ascii="Arial" w:cs="Arial" w:eastAsia="Arial" w:hAnsi="Arial"/>
          <w:sz w:val="14"/>
          <w:szCs w:val="14"/>
          <w:color w:val="auto"/>
        </w:rPr>
        <w:t>“Award” means any Option, Stock Appreciation Right, Restricted Stock, Restricted Stock Unit or Other Stock-Based Award or Other Cash-Based Award granted under</w:t>
      </w:r>
    </w:p>
    <w:p>
      <w:pPr>
        <w:spacing w:after="0" w:line="7" w:lineRule="exact"/>
        <w:rPr>
          <w:rFonts w:ascii="Arial" w:cs="Arial" w:eastAsia="Arial" w:hAnsi="Arial"/>
          <w:sz w:val="14"/>
          <w:szCs w:val="14"/>
          <w:color w:val="auto"/>
        </w:rPr>
      </w:pPr>
    </w:p>
    <w:p>
      <w:pPr>
        <w:ind w:left="10"/>
        <w:spacing w:after="0"/>
        <w:rPr>
          <w:rFonts w:ascii="Arial" w:cs="Arial" w:eastAsia="Arial" w:hAnsi="Arial"/>
          <w:sz w:val="14"/>
          <w:szCs w:val="14"/>
          <w:color w:val="auto"/>
        </w:rPr>
      </w:pPr>
      <w:r>
        <w:rPr>
          <w:rFonts w:ascii="Arial" w:cs="Arial" w:eastAsia="Arial" w:hAnsi="Arial"/>
          <w:sz w:val="15"/>
          <w:szCs w:val="15"/>
          <w:color w:val="auto"/>
        </w:rPr>
        <w:t>the Plan.</w:t>
      </w:r>
    </w:p>
    <w:p>
      <w:pPr>
        <w:spacing w:after="0" w:line="63" w:lineRule="exact"/>
        <w:rPr>
          <w:rFonts w:ascii="Arial" w:cs="Arial" w:eastAsia="Arial" w:hAnsi="Arial"/>
          <w:sz w:val="14"/>
          <w:szCs w:val="14"/>
          <w:color w:val="auto"/>
        </w:rPr>
      </w:pPr>
    </w:p>
    <w:p>
      <w:pPr>
        <w:ind w:left="670" w:hanging="212"/>
        <w:spacing w:after="0"/>
        <w:tabs>
          <w:tab w:leader="none" w:pos="670" w:val="left"/>
        </w:tabs>
        <w:numPr>
          <w:ilvl w:val="1"/>
          <w:numId w:val="79"/>
        </w:numPr>
        <w:rPr>
          <w:rFonts w:ascii="Arial" w:cs="Arial" w:eastAsia="Arial" w:hAnsi="Arial"/>
          <w:sz w:val="15"/>
          <w:szCs w:val="15"/>
          <w:color w:val="auto"/>
        </w:rPr>
      </w:pPr>
      <w:r>
        <w:rPr>
          <w:rFonts w:ascii="Arial" w:cs="Arial" w:eastAsia="Arial" w:hAnsi="Arial"/>
          <w:sz w:val="15"/>
          <w:szCs w:val="15"/>
          <w:color w:val="auto"/>
        </w:rPr>
        <w:t>“Award Agreement” means any written agreement, contract, or other instrument or document evidencing an Award.</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1"/>
          <w:numId w:val="79"/>
        </w:numPr>
        <w:rPr>
          <w:rFonts w:ascii="Arial" w:cs="Arial" w:eastAsia="Arial" w:hAnsi="Arial"/>
          <w:sz w:val="15"/>
          <w:szCs w:val="15"/>
          <w:color w:val="auto"/>
        </w:rPr>
      </w:pPr>
      <w:r>
        <w:rPr>
          <w:rFonts w:ascii="Arial" w:cs="Arial" w:eastAsia="Arial" w:hAnsi="Arial"/>
          <w:sz w:val="15"/>
          <w:szCs w:val="15"/>
          <w:color w:val="auto"/>
        </w:rPr>
        <w:t>“Board” means the Board of Directors of the Company.</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1"/>
          <w:numId w:val="79"/>
        </w:numPr>
        <w:rPr>
          <w:rFonts w:ascii="Arial" w:cs="Arial" w:eastAsia="Arial" w:hAnsi="Arial"/>
          <w:sz w:val="15"/>
          <w:szCs w:val="15"/>
          <w:color w:val="auto"/>
        </w:rPr>
      </w:pPr>
      <w:r>
        <w:rPr>
          <w:rFonts w:ascii="Arial" w:cs="Arial" w:eastAsia="Arial" w:hAnsi="Arial"/>
          <w:sz w:val="15"/>
          <w:szCs w:val="15"/>
          <w:color w:val="auto"/>
        </w:rPr>
        <w:t>A “Change in Control” shall be deemed to have occurred if the event set forth in any one of the following paragraphs shall have occurred:</w:t>
      </w:r>
    </w:p>
    <w:p>
      <w:pPr>
        <w:spacing w:after="0" w:line="63" w:lineRule="exact"/>
        <w:rPr>
          <w:rFonts w:ascii="Arial" w:cs="Arial" w:eastAsia="Arial" w:hAnsi="Arial"/>
          <w:sz w:val="15"/>
          <w:szCs w:val="15"/>
          <w:color w:val="auto"/>
        </w:rPr>
      </w:pPr>
    </w:p>
    <w:p>
      <w:pPr>
        <w:ind w:left="10" w:right="140" w:hanging="10"/>
        <w:spacing w:after="0" w:line="238" w:lineRule="auto"/>
        <w:tabs>
          <w:tab w:leader="none" w:pos="23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50% or more of the Company’s then outstanding securities, excluding any Person who becomes such a Beneficial Owner in connection with a transaction described in clause (i) of paragraph (3) below; or</w:t>
      </w:r>
    </w:p>
    <w:p>
      <w:pPr>
        <w:spacing w:after="0" w:line="60" w:lineRule="exact"/>
        <w:rPr>
          <w:rFonts w:ascii="Arial" w:cs="Arial" w:eastAsia="Arial" w:hAnsi="Arial"/>
          <w:sz w:val="15"/>
          <w:szCs w:val="15"/>
          <w:color w:val="auto"/>
        </w:rPr>
      </w:pPr>
    </w:p>
    <w:p>
      <w:pPr>
        <w:ind w:left="10" w:right="20" w:hanging="10"/>
        <w:spacing w:after="0" w:line="237" w:lineRule="auto"/>
        <w:tabs>
          <w:tab w:leader="none" w:pos="23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60" w:lineRule="exact"/>
        <w:rPr>
          <w:rFonts w:ascii="Arial" w:cs="Arial" w:eastAsia="Arial" w:hAnsi="Arial"/>
          <w:sz w:val="15"/>
          <w:szCs w:val="15"/>
          <w:color w:val="auto"/>
        </w:rPr>
      </w:pPr>
    </w:p>
    <w:p>
      <w:pPr>
        <w:ind w:left="10" w:hanging="10"/>
        <w:spacing w:after="0" w:line="237" w:lineRule="auto"/>
        <w:tabs>
          <w:tab w:leader="none" w:pos="23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with any other corporation other than (i)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w:t>
      </w:r>
    </w:p>
    <w:p>
      <w:pPr>
        <w:spacing w:after="0" w:line="8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A-2 </w:t>
      </w:r>
      <w:r>
        <w:rPr>
          <w:sz w:val="1"/>
          <w:szCs w:val="1"/>
          <w:color w:val="auto"/>
        </w:rPr>
        <w:drawing>
          <wp:inline distT="0" distB="0" distL="0" distR="0">
            <wp:extent cx="857885" cy="1143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30"/>
          </w:cols>
          <w:pgMar w:left="230" w:top="407" w:right="239" w:bottom="1440" w:gutter="0" w:footer="0" w:header="0"/>
        </w:sectPr>
      </w:pPr>
    </w:p>
    <w:bookmarkStart w:id="62" w:name="page63"/>
    <w:bookmarkEnd w:id="62"/>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89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10" w:right="120"/>
        <w:spacing w:after="0"/>
        <w:rPr>
          <w:sz w:val="20"/>
          <w:szCs w:val="20"/>
          <w:color w:val="auto"/>
        </w:rPr>
      </w:pPr>
      <w:r>
        <w:rPr>
          <w:rFonts w:ascii="Arial" w:cs="Arial" w:eastAsia="Arial" w:hAnsi="Arial"/>
          <w:sz w:val="15"/>
          <w:szCs w:val="15"/>
          <w:color w:val="auto"/>
        </w:rPr>
        <w:t>the Company (not including in the securities Beneficially Owned by such Person any securities acquired directly from the Company) representing 50% or more of the combined voting power of the Company’s then outstanding securities; or</w:t>
      </w:r>
    </w:p>
    <w:p>
      <w:pPr>
        <w:spacing w:after="0" w:line="60" w:lineRule="exact"/>
        <w:rPr>
          <w:sz w:val="20"/>
          <w:szCs w:val="20"/>
          <w:color w:val="auto"/>
        </w:rPr>
      </w:pPr>
    </w:p>
    <w:p>
      <w:pPr>
        <w:ind w:left="10" w:right="160" w:hanging="10"/>
        <w:spacing w:after="0" w:line="263" w:lineRule="auto"/>
        <w:tabs>
          <w:tab w:leader="none" w:pos="23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stockholders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prior to such sale.</w:t>
      </w:r>
    </w:p>
    <w:p>
      <w:pPr>
        <w:spacing w:after="0" w:line="45" w:lineRule="exact"/>
        <w:rPr>
          <w:sz w:val="20"/>
          <w:szCs w:val="20"/>
          <w:color w:val="auto"/>
        </w:rPr>
      </w:pPr>
    </w:p>
    <w:p>
      <w:pPr>
        <w:ind w:left="10" w:right="80"/>
        <w:spacing w:after="0" w:line="263" w:lineRule="auto"/>
        <w:rPr>
          <w:sz w:val="20"/>
          <w:szCs w:val="20"/>
          <w:color w:val="auto"/>
        </w:rPr>
      </w:pPr>
      <w:r>
        <w:rPr>
          <w:rFonts w:ascii="Arial" w:cs="Arial" w:eastAsia="Arial" w:hAnsi="Arial"/>
          <w:sz w:val="14"/>
          <w:szCs w:val="14"/>
          <w:color w:val="auto"/>
        </w:rPr>
        <w:t>Notwithstanding the foregoing, a “Change in Control”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45" w:lineRule="exact"/>
        <w:rPr>
          <w:sz w:val="20"/>
          <w:szCs w:val="20"/>
          <w:color w:val="auto"/>
        </w:rPr>
      </w:pPr>
    </w:p>
    <w:p>
      <w:pPr>
        <w:ind w:left="670" w:hanging="212"/>
        <w:spacing w:after="0"/>
        <w:tabs>
          <w:tab w:leader="none" w:pos="6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w:t>
      </w:r>
    </w:p>
    <w:p>
      <w:pPr>
        <w:spacing w:after="0" w:line="63" w:lineRule="exact"/>
        <w:rPr>
          <w:rFonts w:ascii="Arial" w:cs="Arial" w:eastAsia="Arial" w:hAnsi="Arial"/>
          <w:sz w:val="15"/>
          <w:szCs w:val="15"/>
          <w:color w:val="auto"/>
        </w:rPr>
      </w:pPr>
    </w:p>
    <w:p>
      <w:pPr>
        <w:ind w:left="10" w:right="200" w:firstLine="448"/>
        <w:spacing w:after="0" w:line="238" w:lineRule="auto"/>
        <w:tabs>
          <w:tab w:leader="none" w:pos="647"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“Committee” shall mean the Board, or a committee designated by the Board to administer the Plan. With respect to Awards granted to Covered Employees, such committee shall consist of two or more persons, each of whom, unless otherwise determined by the Board, is an “outside director” within the meaning of Section 162(m) of the Code and a “nonemployee director” within the meaning of Rule 16b-3.</w:t>
      </w:r>
    </w:p>
    <w:p>
      <w:pPr>
        <w:spacing w:after="0" w:line="60" w:lineRule="exact"/>
        <w:rPr>
          <w:rFonts w:ascii="Arial" w:cs="Arial" w:eastAsia="Arial" w:hAnsi="Arial"/>
          <w:sz w:val="15"/>
          <w:szCs w:val="15"/>
          <w:color w:val="auto"/>
        </w:rPr>
      </w:pPr>
    </w:p>
    <w:p>
      <w:pPr>
        <w:ind w:left="670" w:hanging="212"/>
        <w:spacing w:after="0"/>
        <w:tabs>
          <w:tab w:leader="none" w:pos="6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“Company” means Avis Budget Group, Inc., a corporation organized under the laws of the State of Delaware, or any successor corporation.</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“Covered Employee” shall have the meaning set forth in Section 162(m)(3) of the Code.</w:t>
      </w:r>
    </w:p>
    <w:p>
      <w:pPr>
        <w:spacing w:after="0" w:line="63" w:lineRule="exact"/>
        <w:rPr>
          <w:rFonts w:ascii="Arial" w:cs="Arial" w:eastAsia="Arial" w:hAnsi="Arial"/>
          <w:sz w:val="15"/>
          <w:szCs w:val="15"/>
          <w:color w:val="auto"/>
        </w:rPr>
      </w:pPr>
    </w:p>
    <w:p>
      <w:pPr>
        <w:ind w:left="630" w:hanging="172"/>
        <w:spacing w:after="0"/>
        <w:tabs>
          <w:tab w:leader="none" w:pos="63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“Effective Date” shall have the meaning set forth in Section 8(d) of the Plan.</w:t>
      </w:r>
    </w:p>
    <w:p>
      <w:pPr>
        <w:spacing w:after="0" w:line="63" w:lineRule="exact"/>
        <w:rPr>
          <w:rFonts w:ascii="Arial" w:cs="Arial" w:eastAsia="Arial" w:hAnsi="Arial"/>
          <w:sz w:val="15"/>
          <w:szCs w:val="15"/>
          <w:color w:val="auto"/>
        </w:rPr>
      </w:pPr>
    </w:p>
    <w:p>
      <w:pPr>
        <w:ind w:left="10" w:right="40" w:firstLine="448"/>
        <w:spacing w:after="0"/>
        <w:tabs>
          <w:tab w:leader="none" w:pos="639" w:val="left"/>
        </w:tabs>
        <w:numPr>
          <w:ilvl w:val="0"/>
          <w:numId w:val="82"/>
        </w:numPr>
        <w:rPr>
          <w:rFonts w:ascii="Arial" w:cs="Arial" w:eastAsia="Arial" w:hAnsi="Arial"/>
          <w:sz w:val="15"/>
          <w:szCs w:val="15"/>
          <w:color w:val="auto"/>
        </w:rPr>
      </w:pPr>
      <w:r>
        <w:rPr>
          <w:rFonts w:ascii="Arial" w:cs="Arial" w:eastAsia="Arial" w:hAnsi="Arial"/>
          <w:sz w:val="15"/>
          <w:szCs w:val="15"/>
          <w:color w:val="auto"/>
        </w:rPr>
        <w:t>“Exchange Act” means the Securities Exchange Act of 1934, as amended from time to time, and as now or hereafter construed, interpreted and applied by regulations, rulings and cases.</w:t>
      </w:r>
    </w:p>
    <w:p>
      <w:pPr>
        <w:spacing w:after="0" w:line="60" w:lineRule="exact"/>
        <w:rPr>
          <w:rFonts w:ascii="Arial" w:cs="Arial" w:eastAsia="Arial" w:hAnsi="Arial"/>
          <w:sz w:val="15"/>
          <w:szCs w:val="15"/>
          <w:color w:val="auto"/>
        </w:rPr>
      </w:pPr>
    </w:p>
    <w:p>
      <w:pPr>
        <w:ind w:left="10" w:firstLine="448"/>
        <w:spacing w:after="0" w:line="256" w:lineRule="auto"/>
        <w:tabs>
          <w:tab w:leader="none" w:pos="679" w:val="left"/>
        </w:tabs>
        <w:numPr>
          <w:ilvl w:val="0"/>
          <w:numId w:val="82"/>
        </w:numPr>
        <w:rPr>
          <w:rFonts w:ascii="Arial" w:cs="Arial" w:eastAsia="Arial" w:hAnsi="Arial"/>
          <w:sz w:val="14"/>
          <w:szCs w:val="14"/>
          <w:color w:val="auto"/>
        </w:rPr>
      </w:pPr>
      <w:r>
        <w:rPr>
          <w:rFonts w:ascii="Arial" w:cs="Arial" w:eastAsia="Arial" w:hAnsi="Arial"/>
          <w:sz w:val="14"/>
          <w:szCs w:val="14"/>
          <w:color w:val="auto"/>
        </w:rPr>
        <w:t>“Fair Market Value” means, with respect to Stock or other property, the fair market value of such Stock or other property determined by such methods or procedures as shall be established from time to time by the Committee. Unless otherwise determined by the Committee in good faith, the per share Fair Market Value of Stock as of a particular date shall mean (i) the closing price per share of Stock on the national securities exchange on which the Stock is principally traded, for 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50" w:lineRule="exact"/>
        <w:rPr>
          <w:rFonts w:ascii="Arial" w:cs="Arial" w:eastAsia="Arial" w:hAnsi="Arial"/>
          <w:sz w:val="14"/>
          <w:szCs w:val="14"/>
          <w:color w:val="auto"/>
        </w:rPr>
      </w:pPr>
    </w:p>
    <w:p>
      <w:pPr>
        <w:ind w:left="10" w:right="220" w:firstLine="448"/>
        <w:spacing w:after="0"/>
        <w:tabs>
          <w:tab w:leader="none" w:pos="639" w:val="left"/>
        </w:tabs>
        <w:numPr>
          <w:ilvl w:val="0"/>
          <w:numId w:val="82"/>
        </w:numPr>
        <w:rPr>
          <w:rFonts w:ascii="Arial" w:cs="Arial" w:eastAsia="Arial" w:hAnsi="Arial"/>
          <w:sz w:val="15"/>
          <w:szCs w:val="15"/>
          <w:color w:val="auto"/>
        </w:rPr>
      </w:pPr>
      <w:r>
        <w:rPr>
          <w:rFonts w:ascii="Arial" w:cs="Arial" w:eastAsia="Arial" w:hAnsi="Arial"/>
          <w:sz w:val="15"/>
          <w:szCs w:val="15"/>
          <w:color w:val="auto"/>
        </w:rPr>
        <w:t>“Grantee” means an employee, consultants, or independent contractor (including non-employee director) of the Company or any Subsidiary of the Company or such other individual that performs services for or provides services to the Company or any Subsidiary of the Company that has been granted an Award under the Plan.</w:t>
      </w:r>
    </w:p>
    <w:p>
      <w:pPr>
        <w:spacing w:after="0" w:line="60" w:lineRule="exact"/>
        <w:rPr>
          <w:rFonts w:ascii="Arial" w:cs="Arial" w:eastAsia="Arial" w:hAnsi="Arial"/>
          <w:sz w:val="15"/>
          <w:szCs w:val="15"/>
          <w:color w:val="auto"/>
        </w:rPr>
      </w:pPr>
    </w:p>
    <w:p>
      <w:pPr>
        <w:ind w:left="710" w:hanging="252"/>
        <w:spacing w:after="0"/>
        <w:tabs>
          <w:tab w:leader="none" w:pos="71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“ISO” means any Option intended to be and designated as an incentive stock option within the meaning of Section 422 of the Code.</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“NQSO” means any Option that is not designated as an ISO.</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“Option” means a right, granted to a Grantee under Section 6(b)(i), to purchase shares of Stock. An Option may be either an ISO or an NQSO.</w:t>
      </w:r>
    </w:p>
    <w:p>
      <w:pPr>
        <w:spacing w:after="0" w:line="63" w:lineRule="exact"/>
        <w:rPr>
          <w:rFonts w:ascii="Arial" w:cs="Arial" w:eastAsia="Arial" w:hAnsi="Arial"/>
          <w:sz w:val="15"/>
          <w:szCs w:val="15"/>
          <w:color w:val="auto"/>
        </w:rPr>
      </w:pPr>
    </w:p>
    <w:p>
      <w:pPr>
        <w:ind w:left="10" w:right="80" w:firstLine="448"/>
        <w:spacing w:after="0"/>
        <w:tabs>
          <w:tab w:leader="none" w:pos="687" w:val="left"/>
        </w:tabs>
        <w:numPr>
          <w:ilvl w:val="0"/>
          <w:numId w:val="82"/>
        </w:numPr>
        <w:rPr>
          <w:rFonts w:ascii="Arial" w:cs="Arial" w:eastAsia="Arial" w:hAnsi="Arial"/>
          <w:sz w:val="15"/>
          <w:szCs w:val="15"/>
          <w:color w:val="auto"/>
        </w:rPr>
      </w:pPr>
      <w:r>
        <w:rPr>
          <w:rFonts w:ascii="Arial" w:cs="Arial" w:eastAsia="Arial" w:hAnsi="Arial"/>
          <w:sz w:val="15"/>
          <w:szCs w:val="15"/>
          <w:color w:val="auto"/>
        </w:rPr>
        <w:t>“Other Cash-Based Award” means cash awarded under Section 6(b)(v) of the Plan, including cash awarded as a bonus or upon the attainment of Performance Goals or otherwise as permitted under the Plan.</w:t>
      </w:r>
    </w:p>
    <w:p>
      <w:pPr>
        <w:spacing w:after="0" w:line="60" w:lineRule="exact"/>
        <w:rPr>
          <w:rFonts w:ascii="Arial" w:cs="Arial" w:eastAsia="Arial" w:hAnsi="Arial"/>
          <w:sz w:val="15"/>
          <w:szCs w:val="15"/>
          <w:color w:val="auto"/>
        </w:rPr>
      </w:pPr>
    </w:p>
    <w:p>
      <w:pPr>
        <w:ind w:left="10" w:right="200" w:firstLine="448"/>
        <w:spacing w:after="0"/>
        <w:tabs>
          <w:tab w:leader="none" w:pos="687" w:val="left"/>
        </w:tabs>
        <w:numPr>
          <w:ilvl w:val="0"/>
          <w:numId w:val="82"/>
        </w:numPr>
        <w:rPr>
          <w:rFonts w:ascii="Arial" w:cs="Arial" w:eastAsia="Arial" w:hAnsi="Arial"/>
          <w:sz w:val="15"/>
          <w:szCs w:val="15"/>
          <w:color w:val="auto"/>
        </w:rPr>
      </w:pPr>
      <w:r>
        <w:rPr>
          <w:rFonts w:ascii="Arial" w:cs="Arial" w:eastAsia="Arial" w:hAnsi="Arial"/>
          <w:sz w:val="15"/>
          <w:szCs w:val="15"/>
          <w:color w:val="auto"/>
        </w:rPr>
        <w:t>“Other Stock-Based Award” means a right or other interest granted to a Grantee under Section 6(b)(v) of the Plan that may be denominated or payable in, valued in whole or in part by reference to, or otherwise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72390</wp:posOffset>
            </wp:positionV>
            <wp:extent cx="950595" cy="142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1" w:lineRule="exact"/>
        <w:rPr>
          <w:sz w:val="20"/>
          <w:szCs w:val="20"/>
          <w:color w:val="auto"/>
        </w:rPr>
      </w:pPr>
    </w:p>
    <w:tbl>
      <w:tblPr>
        <w:tblLayout w:type="fixed"/>
        <w:tblInd w:w="9430" w:type="dxa"/>
        <w:tblCellMar>
          <w:top w:w="0" w:type="dxa"/>
          <w:left w:w="0" w:type="dxa"/>
          <w:bottom w:w="0" w:type="dxa"/>
          <w:right w:w="0" w:type="dxa"/>
        </w:tblCellMar>
      </w:tblPr>
      <w:tr>
        <w:trPr>
          <w:trHeight w:val="194"/>
        </w:trPr>
        <w:tc>
          <w:tcPr>
            <w:tcW w:w="156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w w:val="82"/>
              </w:rPr>
              <w:t>A-3</w:t>
            </w:r>
          </w:p>
        </w:tc>
      </w:tr>
    </w:tbl>
    <w:p>
      <w:pPr>
        <w:sectPr>
          <w:pgSz w:w="11900" w:h="16838" w:orient="portrait"/>
          <w:cols w:equalWidth="0" w:num="1">
            <w:col w:w="11450"/>
          </w:cols>
          <w:pgMar w:left="230" w:top="407" w:right="219" w:bottom="1440" w:gutter="0" w:footer="0" w:header="0"/>
        </w:sectPr>
      </w:pPr>
    </w:p>
    <w:bookmarkStart w:id="63" w:name="page64"/>
    <w:bookmarkEnd w:id="63"/>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5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5"/>
          <w:szCs w:val="15"/>
          <w:color w:val="auto"/>
        </w:rPr>
        <w:t>or related to, Stock, including but not limited to (i) unrestricted Stock awarded as a bonus or upon the attainment of Performance Goals or otherwise as permitted under the Plan, and (ii) a right granted to a Grantee to acquire Stock from the Company containing terms and conditions prescribed by the Committee.</w:t>
      </w:r>
    </w:p>
    <w:p>
      <w:pPr>
        <w:spacing w:after="0" w:line="60" w:lineRule="exact"/>
        <w:rPr>
          <w:sz w:val="20"/>
          <w:szCs w:val="20"/>
          <w:color w:val="auto"/>
        </w:rPr>
      </w:pPr>
    </w:p>
    <w:p>
      <w:pPr>
        <w:ind w:left="10" w:right="140" w:firstLine="448"/>
        <w:spacing w:after="0" w:line="251" w:lineRule="auto"/>
        <w:tabs>
          <w:tab w:leader="none" w:pos="655" w:val="left"/>
        </w:tabs>
        <w:numPr>
          <w:ilvl w:val="1"/>
          <w:numId w:val="83"/>
        </w:numPr>
        <w:rPr>
          <w:rFonts w:ascii="Arial" w:cs="Arial" w:eastAsia="Arial" w:hAnsi="Arial"/>
          <w:sz w:val="14"/>
          <w:szCs w:val="14"/>
          <w:color w:val="auto"/>
        </w:rPr>
      </w:pPr>
      <w:r>
        <w:rPr>
          <w:rFonts w:ascii="Arial" w:cs="Arial" w:eastAsia="Arial" w:hAnsi="Arial"/>
          <w:sz w:val="14"/>
          <w:szCs w:val="14"/>
          <w:color w:val="auto"/>
        </w:rPr>
        <w:t>“Performance Goals” means performance goals based on the attainment by the Company or any Subsidiary of the Company (or any division or business unit of such entity) of performance goals pre-established by the Committee in its sole discretion, based on one or more of the following criteria (as determined in accordance with generally accepted accounting principles): (1) return on total stockholder equity; (2) earnings per share of Company Stock; (3) net income (before or after taxes); (4) earnings before any or all of interest, taxes, minority interest, depreciation and amortization; (5) sales or revenues; (6) return on assets, capital or investment; (7) market share; (8) cost reduction goals; (9) implementation or completion of critical projects or processes; (10) cash flow; (11) gross or net profit margin; (12) total stockholder return; (13) share price; and</w:t>
      </w:r>
    </w:p>
    <w:p>
      <w:pPr>
        <w:spacing w:after="0" w:line="2" w:lineRule="exact"/>
        <w:rPr>
          <w:rFonts w:ascii="Arial" w:cs="Arial" w:eastAsia="Arial" w:hAnsi="Arial"/>
          <w:sz w:val="14"/>
          <w:szCs w:val="14"/>
          <w:color w:val="auto"/>
        </w:rPr>
      </w:pPr>
    </w:p>
    <w:p>
      <w:pPr>
        <w:ind w:left="10" w:hanging="10"/>
        <w:spacing w:after="0" w:line="235" w:lineRule="auto"/>
        <w:tabs>
          <w:tab w:leader="none" w:pos="311"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combination of, or a specified increase in, any of the foregoing. The performance goals may be based upon the attainment of specified levels of performance under one or more of the measures described above relative to the performance of other entities. To the extent permitted under Section 162(m) of the Code (including, without limitation, compliance with any requirements for stockholder approval) or to the extent that an Award is not intended to qualify as performance-based compensation under Section 162(m) of the Code, the Committee in its sole discretion may designate additional business criteria on which the performance goals may be based or adjust, modify or amend the aforementioned business criteria. Performance Goals may include a threshold level of performance below which no Award will be earned, a level of performance at which the target amount of an Award will be earned and a level of performance at which the maximum amount of the Award will be earned. The Committee in its sole discretion shall have the authority to make equitable adjustments to the Performance Goals in recognition of unusual or non-recurring events affecting the Company or any Subsidiary of the Company or the financial statements of the Company or any Subsidiary of the Company, in response to changes in applicable laws or regulations, including changes in generally accepted accounting principles or practices, or to account for items of gain, loss or expense determined to be extraordinary or unusual in nature or infrequent in occurrence or related to the disposal of a segment of a business or related to a change in accounting principles, as applicable. The Committee’s authority to make adjustments to the Performance Goals includes, but is not limited to, the authority to exclude the impact of restructuring, transaction costs, events not directly related to the Company’s operations or not within the reasonable control of the Company’s management, and discontinued operations.</w:t>
      </w:r>
    </w:p>
    <w:p>
      <w:pPr>
        <w:spacing w:after="0" w:line="67" w:lineRule="exact"/>
        <w:rPr>
          <w:rFonts w:ascii="Arial" w:cs="Arial" w:eastAsia="Arial" w:hAnsi="Arial"/>
          <w:sz w:val="15"/>
          <w:szCs w:val="15"/>
          <w:color w:val="auto"/>
        </w:rPr>
      </w:pPr>
    </w:p>
    <w:p>
      <w:pPr>
        <w:ind w:left="10" w:right="320" w:firstLine="448"/>
        <w:spacing w:after="0" w:line="237" w:lineRule="auto"/>
        <w:tabs>
          <w:tab w:leader="none" w:pos="679" w:val="left"/>
        </w:tabs>
        <w:numPr>
          <w:ilvl w:val="1"/>
          <w:numId w:val="84"/>
        </w:numPr>
        <w:rPr>
          <w:rFonts w:ascii="Arial" w:cs="Arial" w:eastAsia="Arial" w:hAnsi="Arial"/>
          <w:sz w:val="15"/>
          <w:szCs w:val="15"/>
          <w:color w:val="auto"/>
        </w:rPr>
      </w:pPr>
      <w:r>
        <w:rPr>
          <w:rFonts w:ascii="Arial" w:cs="Arial" w:eastAsia="Arial" w:hAnsi="Arial"/>
          <w:sz w:val="15"/>
          <w:szCs w:val="15"/>
          <w:color w:val="auto"/>
        </w:rPr>
        <w:t>“Person” shall have the meaning set forth in Section 3(a)(9) of the Exchange Act, as modified and used in Sections 13(d) and 14(d) thereof, except that such term shall not include (1) the Company or any Subsidiary Corporation, (2) a trustee or other fiduciary holding securities under an employee benefit plan of the Company or any Subsidiary Corporation, (3) an underwriter temporarily holding securities pursuant to an offering of such securities, or (4) a corporation owned, directly or indirectly, by the stockholders of the Company in substantially the same proportions as their ownership of stock of the Company.</w:t>
      </w:r>
    </w:p>
    <w:p>
      <w:pPr>
        <w:spacing w:after="0" w:line="61" w:lineRule="exact"/>
        <w:rPr>
          <w:rFonts w:ascii="Arial" w:cs="Arial" w:eastAsia="Arial" w:hAnsi="Arial"/>
          <w:sz w:val="15"/>
          <w:szCs w:val="15"/>
          <w:color w:val="auto"/>
        </w:rPr>
      </w:pPr>
    </w:p>
    <w:p>
      <w:pPr>
        <w:ind w:left="630" w:hanging="172"/>
        <w:spacing w:after="0"/>
        <w:tabs>
          <w:tab w:leader="none" w:pos="630" w:val="left"/>
        </w:tabs>
        <w:numPr>
          <w:ilvl w:val="1"/>
          <w:numId w:val="84"/>
        </w:numPr>
        <w:rPr>
          <w:rFonts w:ascii="Arial" w:cs="Arial" w:eastAsia="Arial" w:hAnsi="Arial"/>
          <w:sz w:val="15"/>
          <w:szCs w:val="15"/>
          <w:color w:val="auto"/>
        </w:rPr>
      </w:pPr>
      <w:r>
        <w:rPr>
          <w:rFonts w:ascii="Arial" w:cs="Arial" w:eastAsia="Arial" w:hAnsi="Arial"/>
          <w:sz w:val="15"/>
          <w:szCs w:val="15"/>
          <w:color w:val="auto"/>
        </w:rPr>
        <w:t>“Plan” means this Avis Budget Group, Inc. Amended and Restated Equity and Incentive Plan, as amended from time to time.</w:t>
      </w:r>
    </w:p>
    <w:p>
      <w:pPr>
        <w:spacing w:after="0" w:line="63" w:lineRule="exact"/>
        <w:rPr>
          <w:rFonts w:ascii="Arial" w:cs="Arial" w:eastAsia="Arial" w:hAnsi="Arial"/>
          <w:sz w:val="15"/>
          <w:szCs w:val="15"/>
          <w:color w:val="auto"/>
        </w:rPr>
      </w:pPr>
    </w:p>
    <w:p>
      <w:pPr>
        <w:ind w:left="670" w:hanging="212"/>
        <w:spacing w:after="0"/>
        <w:tabs>
          <w:tab w:leader="none" w:pos="670" w:val="left"/>
        </w:tabs>
        <w:numPr>
          <w:ilvl w:val="1"/>
          <w:numId w:val="84"/>
        </w:numPr>
        <w:rPr>
          <w:rFonts w:ascii="Arial" w:cs="Arial" w:eastAsia="Arial" w:hAnsi="Arial"/>
          <w:sz w:val="15"/>
          <w:szCs w:val="15"/>
          <w:color w:val="auto"/>
        </w:rPr>
      </w:pPr>
      <w:r>
        <w:rPr>
          <w:rFonts w:ascii="Arial" w:cs="Arial" w:eastAsia="Arial" w:hAnsi="Arial"/>
          <w:sz w:val="15"/>
          <w:szCs w:val="15"/>
          <w:color w:val="auto"/>
        </w:rPr>
        <w:t>“Restricted Stock” means an Award of shares of Stock to a Grantee under Section 6(b)(iii) that may be subject to certain restrictions and to a risk of forfeiture.</w:t>
      </w:r>
    </w:p>
    <w:p>
      <w:pPr>
        <w:spacing w:after="0" w:line="63" w:lineRule="exact"/>
        <w:rPr>
          <w:rFonts w:ascii="Arial" w:cs="Arial" w:eastAsia="Arial" w:hAnsi="Arial"/>
          <w:sz w:val="15"/>
          <w:szCs w:val="15"/>
          <w:color w:val="auto"/>
        </w:rPr>
      </w:pPr>
    </w:p>
    <w:p>
      <w:pPr>
        <w:ind w:left="10" w:right="40" w:firstLine="448"/>
        <w:spacing w:after="0"/>
        <w:tabs>
          <w:tab w:leader="none" w:pos="679" w:val="left"/>
        </w:tabs>
        <w:numPr>
          <w:ilvl w:val="1"/>
          <w:numId w:val="84"/>
        </w:numPr>
        <w:rPr>
          <w:rFonts w:ascii="Arial" w:cs="Arial" w:eastAsia="Arial" w:hAnsi="Arial"/>
          <w:sz w:val="15"/>
          <w:szCs w:val="15"/>
          <w:color w:val="auto"/>
        </w:rPr>
      </w:pPr>
      <w:r>
        <w:rPr>
          <w:rFonts w:ascii="Arial" w:cs="Arial" w:eastAsia="Arial" w:hAnsi="Arial"/>
          <w:sz w:val="15"/>
          <w:szCs w:val="15"/>
          <w:color w:val="auto"/>
        </w:rPr>
        <w:t>“Restricted Stock Unit” means a right granted to a Grantee under Section 6(b)(iv) to receive Stock or cash at the end of a specified deferral period, which right may be conditioned on the satisfaction of specified performance or other criteria.</w:t>
      </w:r>
    </w:p>
    <w:p>
      <w:pPr>
        <w:spacing w:after="0" w:line="60" w:lineRule="exact"/>
        <w:rPr>
          <w:rFonts w:ascii="Arial" w:cs="Arial" w:eastAsia="Arial" w:hAnsi="Arial"/>
          <w:sz w:val="15"/>
          <w:szCs w:val="15"/>
          <w:color w:val="auto"/>
        </w:rPr>
      </w:pPr>
    </w:p>
    <w:p>
      <w:pPr>
        <w:ind w:left="10" w:right="420" w:firstLine="448"/>
        <w:spacing w:after="0"/>
        <w:tabs>
          <w:tab w:leader="none" w:pos="712" w:val="left"/>
        </w:tabs>
        <w:numPr>
          <w:ilvl w:val="1"/>
          <w:numId w:val="84"/>
        </w:numPr>
        <w:rPr>
          <w:rFonts w:ascii="Arial" w:cs="Arial" w:eastAsia="Arial" w:hAnsi="Arial"/>
          <w:sz w:val="15"/>
          <w:szCs w:val="15"/>
          <w:color w:val="auto"/>
        </w:rPr>
      </w:pPr>
      <w:r>
        <w:rPr>
          <w:rFonts w:ascii="Arial" w:cs="Arial" w:eastAsia="Arial" w:hAnsi="Arial"/>
          <w:sz w:val="15"/>
          <w:szCs w:val="15"/>
          <w:color w:val="auto"/>
        </w:rPr>
        <w:t>“Rule 16b-3” means Rule 16b-3, as from time to time in effect promulgated by the Securities and Exchange Commission under Section 16 of the Exchange Act, including any successor to such Rule.</w:t>
      </w:r>
    </w:p>
    <w:p>
      <w:pPr>
        <w:spacing w:after="0" w:line="60" w:lineRule="exact"/>
        <w:rPr>
          <w:rFonts w:ascii="Arial" w:cs="Arial" w:eastAsia="Arial" w:hAnsi="Arial"/>
          <w:sz w:val="15"/>
          <w:szCs w:val="15"/>
          <w:color w:val="auto"/>
        </w:rPr>
      </w:pPr>
    </w:p>
    <w:p>
      <w:pPr>
        <w:ind w:left="670" w:hanging="212"/>
        <w:spacing w:after="0"/>
        <w:tabs>
          <w:tab w:leader="none" w:pos="670" w:val="left"/>
        </w:tabs>
        <w:numPr>
          <w:ilvl w:val="1"/>
          <w:numId w:val="84"/>
        </w:numPr>
        <w:rPr>
          <w:rFonts w:ascii="Arial" w:cs="Arial" w:eastAsia="Arial" w:hAnsi="Arial"/>
          <w:sz w:val="15"/>
          <w:szCs w:val="15"/>
          <w:color w:val="auto"/>
        </w:rPr>
      </w:pPr>
      <w:r>
        <w:rPr>
          <w:rFonts w:ascii="Arial" w:cs="Arial" w:eastAsia="Arial" w:hAnsi="Arial"/>
          <w:sz w:val="15"/>
          <w:szCs w:val="15"/>
          <w:color w:val="auto"/>
        </w:rPr>
        <w:t>“Stock” means shares of the common stock, par value $0.01 per share, of the Company.</w:t>
      </w:r>
    </w:p>
    <w:p>
      <w:pPr>
        <w:spacing w:after="0" w:line="63" w:lineRule="exact"/>
        <w:rPr>
          <w:rFonts w:ascii="Arial" w:cs="Arial" w:eastAsia="Arial" w:hAnsi="Arial"/>
          <w:sz w:val="15"/>
          <w:szCs w:val="15"/>
          <w:color w:val="auto"/>
        </w:rPr>
      </w:pPr>
    </w:p>
    <w:p>
      <w:pPr>
        <w:ind w:left="10" w:right="440" w:firstLine="448"/>
        <w:spacing w:after="0"/>
        <w:tabs>
          <w:tab w:leader="none" w:pos="679" w:val="left"/>
        </w:tabs>
        <w:numPr>
          <w:ilvl w:val="1"/>
          <w:numId w:val="84"/>
        </w:numPr>
        <w:rPr>
          <w:rFonts w:ascii="Arial" w:cs="Arial" w:eastAsia="Arial" w:hAnsi="Arial"/>
          <w:sz w:val="15"/>
          <w:szCs w:val="15"/>
          <w:color w:val="auto"/>
        </w:rPr>
      </w:pPr>
      <w:r>
        <w:rPr>
          <w:rFonts w:ascii="Arial" w:cs="Arial" w:eastAsia="Arial" w:hAnsi="Arial"/>
          <w:sz w:val="15"/>
          <w:szCs w:val="15"/>
          <w:color w:val="auto"/>
        </w:rPr>
        <w:t>“Stock Appreciation Right” or “SAR” means the right, granted to a Grantee under Section 6(b)(ii), to be paid an amount measured by the appreciation in the Fair Market Value of Stock from the date of grant to the date of exercise of the right.</w:t>
      </w:r>
    </w:p>
    <w:p>
      <w:pPr>
        <w:spacing w:after="0" w:line="8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A-4 </w:t>
      </w:r>
      <w:r>
        <w:rPr>
          <w:sz w:val="1"/>
          <w:szCs w:val="1"/>
          <w:color w:val="auto"/>
        </w:rPr>
        <w:drawing>
          <wp:inline distT="0" distB="0" distL="0" distR="0">
            <wp:extent cx="857885" cy="1143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30"/>
          </w:cols>
          <w:pgMar w:left="230" w:top="407" w:right="239" w:bottom="1440" w:gutter="0" w:footer="0" w:header="0"/>
        </w:sectPr>
      </w:pPr>
    </w:p>
    <w:bookmarkStart w:id="64" w:name="page65"/>
    <w:bookmarkEnd w:id="6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89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450"/>
        <w:spacing w:after="0"/>
        <w:rPr>
          <w:sz w:val="20"/>
          <w:szCs w:val="20"/>
          <w:color w:val="auto"/>
        </w:rPr>
      </w:pPr>
      <w:r>
        <w:rPr>
          <w:rFonts w:ascii="Arial" w:cs="Arial" w:eastAsia="Arial" w:hAnsi="Arial"/>
          <w:sz w:val="15"/>
          <w:szCs w:val="15"/>
          <w:color w:val="auto"/>
        </w:rPr>
        <w:t>(z) “Subsidiary” means a “subsidiary corporation,” whether now or hereafter existing, as defined in Section 424(f) of the Code.</w:t>
      </w:r>
    </w:p>
    <w:p>
      <w:pPr>
        <w:spacing w:after="0" w:line="64" w:lineRule="exact"/>
        <w:rPr>
          <w:sz w:val="20"/>
          <w:szCs w:val="20"/>
          <w:color w:val="auto"/>
        </w:rPr>
      </w:pPr>
    </w:p>
    <w:p>
      <w:pPr>
        <w:ind w:left="10" w:right="520" w:firstLine="448"/>
        <w:spacing w:after="0"/>
        <w:tabs>
          <w:tab w:leader="none" w:pos="769" w:val="left"/>
        </w:tabs>
        <w:numPr>
          <w:ilvl w:val="1"/>
          <w:numId w:val="85"/>
        </w:numPr>
        <w:rPr>
          <w:rFonts w:ascii="Arial" w:cs="Arial" w:eastAsia="Arial" w:hAnsi="Arial"/>
          <w:sz w:val="15"/>
          <w:szCs w:val="15"/>
          <w:color w:val="auto"/>
        </w:rPr>
      </w:pPr>
      <w:r>
        <w:rPr>
          <w:rFonts w:ascii="Arial" w:cs="Arial" w:eastAsia="Arial" w:hAnsi="Arial"/>
          <w:sz w:val="15"/>
          <w:szCs w:val="15"/>
          <w:color w:val="auto"/>
        </w:rPr>
        <w:t>“Substitute Awards” means Awards granted or shares of Stock issued by the Company in assumption of, or in substitution or exchange for, awards previously granted by a company acquired by the Company or any Subsidiary or with which the Company or any Subsidiary combines.</w:t>
      </w:r>
    </w:p>
    <w:p>
      <w:pPr>
        <w:spacing w:after="0" w:line="165" w:lineRule="exact"/>
        <w:rPr>
          <w:rFonts w:ascii="Arial" w:cs="Arial" w:eastAsia="Arial" w:hAnsi="Arial"/>
          <w:sz w:val="15"/>
          <w:szCs w:val="15"/>
          <w:color w:val="auto"/>
        </w:rPr>
      </w:pPr>
    </w:p>
    <w:p>
      <w:pPr>
        <w:ind w:left="210" w:hanging="210"/>
        <w:spacing w:after="0"/>
        <w:tabs>
          <w:tab w:leader="none" w:pos="21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3" w:lineRule="exact"/>
        <w:rPr>
          <w:sz w:val="20"/>
          <w:szCs w:val="20"/>
          <w:color w:val="auto"/>
        </w:rPr>
      </w:pPr>
    </w:p>
    <w:p>
      <w:pPr>
        <w:ind w:left="10" w:right="40"/>
        <w:spacing w:after="0" w:line="251" w:lineRule="auto"/>
        <w:rPr>
          <w:sz w:val="20"/>
          <w:szCs w:val="20"/>
          <w:color w:val="auto"/>
        </w:rPr>
      </w:pPr>
      <w:r>
        <w:rPr>
          <w:rFonts w:ascii="Arial" w:cs="Arial" w:eastAsia="Arial" w:hAnsi="Arial"/>
          <w:sz w:val="14"/>
          <w:szCs w:val="14"/>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Performance Goals no later than such time as required to ensure that an underlying Award which is intended to comply with the requirements of</w:t>
      </w:r>
    </w:p>
    <w:p>
      <w:pPr>
        <w:spacing w:after="0" w:line="2" w:lineRule="exact"/>
        <w:rPr>
          <w:sz w:val="20"/>
          <w:szCs w:val="20"/>
          <w:color w:val="auto"/>
        </w:rPr>
      </w:pPr>
    </w:p>
    <w:p>
      <w:pPr>
        <w:ind w:left="10" w:right="80"/>
        <w:spacing w:after="0" w:line="236" w:lineRule="auto"/>
        <w:rPr>
          <w:sz w:val="20"/>
          <w:szCs w:val="20"/>
          <w:color w:val="auto"/>
        </w:rPr>
      </w:pPr>
      <w:r>
        <w:rPr>
          <w:rFonts w:ascii="Arial" w:cs="Arial" w:eastAsia="Arial" w:hAnsi="Arial"/>
          <w:sz w:val="15"/>
          <w:szCs w:val="15"/>
          <w:color w:val="auto"/>
        </w:rPr>
        <w:t>Section 162(m) of the Code so complies; and to determine whether, to what extent, and under what circumstances an Award may be settled, cancelled, forfeited, exchanged, or surrendered; to make adjustments in the terms and conditions of, and the Performance Goals (if any) included in, Awards; to construe and interpret the Plan and any Award; to prescribe, amend and rescind rules and regulations relating to the Plan; to determine the terms and provisions of the Award Agreements (which need not be identical for each Grantee); and to make all other determinations deemed necessary or advisable for the administration of the Plan. Notwithstanding the foregoing, neither the Board, the Committee nor their respective delegates shall have the authority to reprice (or cancel and regrant) any Option or, if applicable, other Award at a lower exercise, base or purchase price without first obtaining the approval of the Company’s stockholders.</w:t>
      </w:r>
    </w:p>
    <w:p>
      <w:pPr>
        <w:spacing w:after="0" w:line="63" w:lineRule="exact"/>
        <w:rPr>
          <w:sz w:val="20"/>
          <w:szCs w:val="20"/>
          <w:color w:val="auto"/>
        </w:rPr>
      </w:pPr>
    </w:p>
    <w:p>
      <w:pPr>
        <w:ind w:left="10" w:right="120"/>
        <w:spacing w:after="0" w:line="237" w:lineRule="auto"/>
        <w:rPr>
          <w:sz w:val="20"/>
          <w:szCs w:val="20"/>
          <w:color w:val="auto"/>
        </w:rPr>
      </w:pPr>
      <w:r>
        <w:rPr>
          <w:rFonts w:ascii="Arial" w:cs="Arial" w:eastAsia="Arial" w:hAnsi="Arial"/>
          <w:sz w:val="15"/>
          <w:szCs w:val="15"/>
          <w:color w:val="auto"/>
        </w:rPr>
        <w:t>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persons, including but not limited to the Company, any Subsidiary of the Company, or Grantee (or any person claiming any rights under the Plan from or through any Grantee) and any stockholder.</w:t>
      </w:r>
    </w:p>
    <w:p>
      <w:pPr>
        <w:spacing w:after="0" w:line="60" w:lineRule="exact"/>
        <w:rPr>
          <w:sz w:val="20"/>
          <w:szCs w:val="20"/>
          <w:color w:val="auto"/>
        </w:rPr>
      </w:pPr>
    </w:p>
    <w:p>
      <w:pPr>
        <w:ind w:left="10"/>
        <w:spacing w:after="0"/>
        <w:rPr>
          <w:sz w:val="20"/>
          <w:szCs w:val="20"/>
          <w:color w:val="auto"/>
        </w:rPr>
      </w:pPr>
      <w:r>
        <w:rPr>
          <w:rFonts w:ascii="Arial" w:cs="Arial" w:eastAsia="Arial" w:hAnsi="Arial"/>
          <w:sz w:val="15"/>
          <w:szCs w:val="15"/>
          <w:color w:val="auto"/>
        </w:rPr>
        <w:t>No member of the Board or Committee shall be liable for any action taken or determination made in good faith with respect to the Plan or any Award granted hereunder.</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4. Eligibility.</w:t>
      </w:r>
    </w:p>
    <w:p>
      <w:pPr>
        <w:spacing w:after="0" w:line="93"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Awards may be granted to executive officers and other key employees, consultants and independent contractors (including non-employee directors) of the Company or its Subsidiaries, including officers and directors who are employees, to key consultants to the Company or its Subsidiaries, and to other individuals who perform services for or provide services to the Company or its Subsidiaries. In determining the persons to whom Awards shall be granted and the number of shares to be covered by each Award, the Committee shall take into account the duties of the respective persons, their present and potential contributions to the success of the Company or its Subsidiaries and such other factors as the Committee shall deem relevant in connection with accomplishing the purposes of the Plan.</w:t>
      </w:r>
    </w:p>
    <w:p>
      <w:pPr>
        <w:spacing w:after="0" w:line="60" w:lineRule="exact"/>
        <w:rPr>
          <w:sz w:val="20"/>
          <w:szCs w:val="20"/>
          <w:color w:val="auto"/>
        </w:rPr>
      </w:pPr>
    </w:p>
    <w:p>
      <w:pPr>
        <w:ind w:left="10" w:right="20"/>
        <w:spacing w:after="0" w:line="238" w:lineRule="auto"/>
        <w:rPr>
          <w:sz w:val="20"/>
          <w:szCs w:val="20"/>
          <w:color w:val="auto"/>
        </w:rPr>
      </w:pPr>
      <w:r>
        <w:rPr>
          <w:rFonts w:ascii="Arial" w:cs="Arial" w:eastAsia="Arial" w:hAnsi="Arial"/>
          <w:sz w:val="15"/>
          <w:szCs w:val="15"/>
          <w:color w:val="auto"/>
        </w:rPr>
        <w:t>The aggregate grant date fair value (computed as of the date of grant in accordance with applicable financial accounting rules) of all equity Awards granted to any individual non-employee director in any calendar year (excluding Awards made pursuant to deferred compensation arrangements in lieu of all or a portion of cash retainers and any stock dividends payable in respect of outstanding awards) shall not exceed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73025</wp:posOffset>
            </wp:positionV>
            <wp:extent cx="950595" cy="142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2" w:lineRule="exact"/>
        <w:rPr>
          <w:sz w:val="20"/>
          <w:szCs w:val="20"/>
          <w:color w:val="auto"/>
        </w:rPr>
      </w:pPr>
    </w:p>
    <w:tbl>
      <w:tblPr>
        <w:tblLayout w:type="fixed"/>
        <w:tblInd w:w="9430" w:type="dxa"/>
        <w:tblCellMar>
          <w:top w:w="0" w:type="dxa"/>
          <w:left w:w="0" w:type="dxa"/>
          <w:bottom w:w="0" w:type="dxa"/>
          <w:right w:w="0" w:type="dxa"/>
        </w:tblCellMar>
      </w:tblPr>
      <w:tr>
        <w:trPr>
          <w:trHeight w:val="194"/>
        </w:trPr>
        <w:tc>
          <w:tcPr>
            <w:tcW w:w="156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w w:val="82"/>
              </w:rPr>
              <w:t>A-5</w:t>
            </w:r>
          </w:p>
        </w:tc>
      </w:tr>
    </w:tbl>
    <w:p>
      <w:pPr>
        <w:sectPr>
          <w:pgSz w:w="11900" w:h="16838" w:orient="portrait"/>
          <w:cols w:equalWidth="0" w:num="1">
            <w:col w:w="11450"/>
          </w:cols>
          <w:pgMar w:left="230" w:top="407" w:right="219" w:bottom="1440" w:gutter="0" w:footer="0" w:header="0"/>
        </w:sectPr>
      </w:pPr>
    </w:p>
    <w:bookmarkStart w:id="65" w:name="page66"/>
    <w:bookmarkEnd w:id="65"/>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50"/>
        <w:spacing w:after="0"/>
        <w:rPr>
          <w:sz w:val="20"/>
          <w:szCs w:val="20"/>
          <w:color w:val="auto"/>
        </w:rPr>
      </w:pPr>
      <w:r>
        <w:rPr>
          <w:rFonts w:ascii="Arial" w:cs="Arial" w:eastAsia="Arial" w:hAnsi="Arial"/>
          <w:sz w:val="11"/>
          <w:szCs w:val="11"/>
          <w:b w:val="1"/>
          <w:bCs w:val="1"/>
          <w:color w:val="FFFFFF"/>
          <w:highlight w:val="black"/>
        </w:rPr>
        <w:t>ANNEX A</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5. Stock Subject to the Plan.</w:t>
      </w:r>
    </w:p>
    <w:p>
      <w:pPr>
        <w:spacing w:after="0" w:line="93" w:lineRule="exact"/>
        <w:rPr>
          <w:sz w:val="20"/>
          <w:szCs w:val="20"/>
          <w:color w:val="auto"/>
        </w:rPr>
      </w:pPr>
    </w:p>
    <w:p>
      <w:pPr>
        <w:ind w:left="10"/>
        <w:spacing w:after="0" w:line="237" w:lineRule="auto"/>
        <w:rPr>
          <w:sz w:val="20"/>
          <w:szCs w:val="20"/>
          <w:color w:val="auto"/>
        </w:rPr>
      </w:pPr>
      <w:r>
        <w:rPr>
          <w:rFonts w:ascii="Arial" w:cs="Arial" w:eastAsia="Arial" w:hAnsi="Arial"/>
          <w:sz w:val="15"/>
          <w:szCs w:val="15"/>
          <w:color w:val="auto"/>
        </w:rPr>
        <w:t xml:space="preserve">The maximum number of shares of Stock reserved for the grant of Awards under the Plan shall be 18.5 million shares of Stock (all of which such shares of Stock may be granted as ISOs), subject to adjustment as provided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Award granted hereunder after March 18, 2009 (other than Awards in respect of Options and SARS) shall be counted against the foregoing share limit as 1.18 shares for every one share actually issued in connection with such Award. Subject to adjustment as provided herein, no more than 1,000,000 shares of Stock may be made subject to Awards granted to an individual in a single calendar year.</w:t>
      </w:r>
    </w:p>
    <w:p>
      <w:pPr>
        <w:spacing w:after="0" w:line="62" w:lineRule="exact"/>
        <w:rPr>
          <w:sz w:val="20"/>
          <w:szCs w:val="20"/>
          <w:color w:val="auto"/>
        </w:rPr>
      </w:pPr>
    </w:p>
    <w:p>
      <w:pPr>
        <w:ind w:left="10"/>
        <w:spacing w:after="0" w:line="254" w:lineRule="auto"/>
        <w:rPr>
          <w:sz w:val="20"/>
          <w:szCs w:val="20"/>
          <w:color w:val="auto"/>
        </w:rPr>
      </w:pPr>
      <w:r>
        <w:rPr>
          <w:rFonts w:ascii="Arial" w:cs="Arial" w:eastAsia="Arial" w:hAnsi="Arial"/>
          <w:sz w:val="14"/>
          <w:szCs w:val="14"/>
          <w:color w:val="auto"/>
        </w:rPr>
        <w:t>Determinations made in respect of the limitations set forth in the immediately preceding sentence shall be made in a manner consistent with Section 162(m) of the Code. Such shares of Stock may, in whole or in part, be authorized but unissued shares or shares of Stock that shall have been or may be reacquired by the Company in the open market, in private transactions or otherwise. If any shares of Stock subject to an Award are forfeited, or cancelled or if an Award terminates or expires without a distribution of shares to the Grantee, the shares of Stock with respect to such Award shall, to the extent of any such forfeiture, cancellation, termination or expiration, again be available for Awards under the Plan. Upon the exercise of any Award granted in tandem with any Awards such related Awards shall be cancelled to the extent of the number of shares of Stock as to which the Award is exercised and, notwithstanding the foregoing, such number of shares shall no longer be available for Awards under the Plan. In addition, shares of Stock surrendered or withheld as payment of either the exercise price of an Award (including shares of Stock otherwise underlying an Award of a SAR that are retained by the Company to account for the grant price of such SAR) and/or withholding taxes in respect of an Award shall no longer be available for Awards under the Plan.</w:t>
      </w:r>
    </w:p>
    <w:p>
      <w:pPr>
        <w:spacing w:after="0" w:line="55" w:lineRule="exact"/>
        <w:rPr>
          <w:sz w:val="20"/>
          <w:szCs w:val="20"/>
          <w:color w:val="auto"/>
        </w:rPr>
      </w:pPr>
    </w:p>
    <w:p>
      <w:pPr>
        <w:ind w:left="10" w:right="20"/>
        <w:spacing w:after="0" w:line="236" w:lineRule="auto"/>
        <w:rPr>
          <w:sz w:val="20"/>
          <w:szCs w:val="20"/>
          <w:color w:val="auto"/>
        </w:rPr>
      </w:pPr>
      <w:r>
        <w:rPr>
          <w:rFonts w:ascii="Arial" w:cs="Arial" w:eastAsia="Arial" w:hAnsi="Arial"/>
          <w:sz w:val="15"/>
          <w:szCs w:val="15"/>
          <w:color w:val="auto"/>
        </w:rPr>
        <w:t xml:space="preserve">In the event that the Committee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Grantees under the Plan, then the Committee shall make such equitable changes or adjustments as it deems necessary or appropriate to any or all of (i) the number and kind of shares of Stock or other property (including cash) that may thereafter be issued in connection with Awards, (ii) the number and kind of shares of Stock or other property (including cash) issued or issuable in respect of outstanding Awards, (iii) the exercise price, grant price, or purchase price relating to any Award; </w:t>
      </w:r>
      <w:r>
        <w:rPr>
          <w:rFonts w:ascii="Arial" w:cs="Arial" w:eastAsia="Arial" w:hAnsi="Arial"/>
          <w:sz w:val="15"/>
          <w:szCs w:val="15"/>
          <w:u w:val="single" w:color="auto"/>
          <w:color w:val="auto"/>
        </w:rPr>
        <w:t>provided</w:t>
      </w:r>
      <w:r>
        <w:rPr>
          <w:rFonts w:ascii="Arial" w:cs="Arial" w:eastAsia="Arial" w:hAnsi="Arial"/>
          <w:sz w:val="15"/>
          <w:szCs w:val="15"/>
          <w:color w:val="auto"/>
        </w:rPr>
        <w:t>, that, with respect to ISOs, such adjustment shall be made in accordance with Section 424(h) of the Code; and (iv) the Performance Goals applicable to outstanding Awards.</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6. Specific Terms of Awards.</w:t>
      </w:r>
    </w:p>
    <w:p>
      <w:pPr>
        <w:spacing w:after="0" w:line="93" w:lineRule="exact"/>
        <w:rPr>
          <w:sz w:val="20"/>
          <w:szCs w:val="20"/>
          <w:color w:val="auto"/>
        </w:rPr>
      </w:pPr>
    </w:p>
    <w:p>
      <w:pPr>
        <w:ind w:left="10" w:right="40" w:hanging="10"/>
        <w:spacing w:after="0" w:line="236" w:lineRule="auto"/>
        <w:tabs>
          <w:tab w:leader="none" w:pos="23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term of each Award shall be for such period as may be determined by the Committee. Subject to the terms of the Plan and any applicable Award Agreement, payments to be made by the Company or any Subsidiary of the Company upon the grant, maturation, or exercise of an Award may be made in such forms as the Committee shall determine at the date of grant or thereafter, including, without limitation, cash, Stock, or other property, and may be made in a single payment or transfer, in installments, or on a deferred basis. The Committee may make rules relating to installment or deferred payments with respect to Awards, including the rate of interest to be credited with respect to such payments. In addition to the foregoing, the Committee may impose on any Award or the exercise thereof, at the date of grant or thereafter, such additional terms and conditions, not inconsistent with the provisions of the Plan, as the Committee shall determine.</w:t>
      </w:r>
    </w:p>
    <w:p>
      <w:pPr>
        <w:spacing w:after="0" w:line="62" w:lineRule="exact"/>
        <w:rPr>
          <w:rFonts w:ascii="Arial" w:cs="Arial" w:eastAsia="Arial" w:hAnsi="Arial"/>
          <w:sz w:val="15"/>
          <w:szCs w:val="15"/>
          <w:color w:val="auto"/>
        </w:rPr>
      </w:pPr>
    </w:p>
    <w:p>
      <w:pPr>
        <w:ind w:left="10" w:right="380" w:hanging="10"/>
        <w:spacing w:after="0" w:line="238" w:lineRule="auto"/>
        <w:tabs>
          <w:tab w:leader="none" w:pos="23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Types of Awards</w:t>
      </w:r>
      <w:r>
        <w:rPr>
          <w:rFonts w:ascii="Arial" w:cs="Arial" w:eastAsia="Arial" w:hAnsi="Arial"/>
          <w:sz w:val="15"/>
          <w:szCs w:val="15"/>
          <w:color w:val="auto"/>
        </w:rPr>
        <w:t>. The Committee is authorized to grant the Awards described in this Section 6(b), under such terms and conditions as deemed by the Committee to be consistent with the purposes of the Plan. Such Awards may be granted with value and payment contingent upon Performance Goals. Each Award shall be evidenced by an Award Agreement containing such terms and conditions applicable to such Award as the Committee shall determine at the date of grant or thereafter.</w:t>
      </w:r>
    </w:p>
    <w:p>
      <w:pPr>
        <w:spacing w:after="0" w:line="60" w:lineRule="exact"/>
        <w:rPr>
          <w:rFonts w:ascii="Arial" w:cs="Arial" w:eastAsia="Arial" w:hAnsi="Arial"/>
          <w:sz w:val="15"/>
          <w:szCs w:val="15"/>
          <w:color w:val="auto"/>
        </w:rPr>
      </w:pPr>
    </w:p>
    <w:p>
      <w:pPr>
        <w:ind w:left="630" w:hanging="172"/>
        <w:spacing w:after="0"/>
        <w:tabs>
          <w:tab w:leader="none" w:pos="630"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The Committee is authorized to grant Options to Grantees on the following terms and conditions:</w:t>
      </w:r>
    </w:p>
    <w:p>
      <w:pPr>
        <w:spacing w:after="0" w:line="63" w:lineRule="exact"/>
        <w:rPr>
          <w:rFonts w:ascii="Arial" w:cs="Arial" w:eastAsia="Arial" w:hAnsi="Arial"/>
          <w:sz w:val="15"/>
          <w:szCs w:val="15"/>
          <w:color w:val="auto"/>
        </w:rPr>
      </w:pPr>
    </w:p>
    <w:p>
      <w:pPr>
        <w:ind w:left="1130" w:hanging="233"/>
        <w:spacing w:after="0"/>
        <w:tabs>
          <w:tab w:leader="none" w:pos="1130" w:val="left"/>
        </w:tabs>
        <w:numPr>
          <w:ilvl w:val="2"/>
          <w:numId w:val="87"/>
        </w:numPr>
        <w:rPr>
          <w:rFonts w:ascii="Arial" w:cs="Arial" w:eastAsia="Arial" w:hAnsi="Arial"/>
          <w:sz w:val="15"/>
          <w:szCs w:val="15"/>
          <w:color w:val="auto"/>
        </w:rPr>
      </w:pPr>
      <w:r>
        <w:rPr>
          <w:rFonts w:ascii="Arial" w:cs="Arial" w:eastAsia="Arial" w:hAnsi="Arial"/>
          <w:sz w:val="15"/>
          <w:szCs w:val="15"/>
          <w:u w:val="single" w:color="auto"/>
          <w:color w:val="auto"/>
        </w:rPr>
        <w:t>Type of Award</w:t>
      </w:r>
      <w:r>
        <w:rPr>
          <w:rFonts w:ascii="Arial" w:cs="Arial" w:eastAsia="Arial" w:hAnsi="Arial"/>
          <w:sz w:val="15"/>
          <w:szCs w:val="15"/>
          <w:color w:val="auto"/>
        </w:rPr>
        <w:t>. The Award Agreement evidencing the grant of an Option under the Plan shall designate the Option as an ISO or an NQSO.</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A-6 </w:t>
      </w:r>
      <w:r>
        <w:rPr>
          <w:sz w:val="1"/>
          <w:szCs w:val="1"/>
          <w:color w:val="auto"/>
        </w:rPr>
        <w:drawing>
          <wp:inline distT="0" distB="0" distL="0" distR="0">
            <wp:extent cx="857885" cy="1143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50"/>
          </w:cols>
          <w:pgMar w:left="230" w:top="407" w:right="21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88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jc w:val="both"/>
        <w:ind w:left="440" w:right="60" w:firstLine="447"/>
        <w:spacing w:after="0" w:line="259" w:lineRule="auto"/>
        <w:tabs>
          <w:tab w:leader="none" w:pos="1115" w:val="left"/>
        </w:tabs>
        <w:numPr>
          <w:ilvl w:val="1"/>
          <w:numId w:val="88"/>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Stock purchasable under an Option shall be determined by the Committee, but in no event shall the exercise price of any Option be less than the Fair Market Value of a share of Stock on the date of grant of such Option. The exercise price for Stock subject to an Option may be paid in cash or by an exchange of Stock previously owned by the Grantee, through a “broker cashless exercise” procedure approved by the Committee, a combination of the above, or any other method approved by the Committee, in any case in an amount having a combined value equal to such exercise price.</w:t>
      </w:r>
    </w:p>
    <w:p>
      <w:pPr>
        <w:spacing w:after="0" w:line="47" w:lineRule="exact"/>
        <w:rPr>
          <w:rFonts w:ascii="Arial" w:cs="Arial" w:eastAsia="Arial" w:hAnsi="Arial"/>
          <w:sz w:val="14"/>
          <w:szCs w:val="14"/>
          <w:color w:val="auto"/>
        </w:rPr>
      </w:pPr>
    </w:p>
    <w:p>
      <w:pPr>
        <w:ind w:left="440" w:right="20" w:firstLine="447"/>
        <w:spacing w:after="0" w:line="236" w:lineRule="auto"/>
        <w:tabs>
          <w:tab w:leader="none" w:pos="1123" w:val="left"/>
        </w:tabs>
        <w:numPr>
          <w:ilvl w:val="1"/>
          <w:numId w:val="88"/>
        </w:numPr>
        <w:rPr>
          <w:rFonts w:ascii="Arial" w:cs="Arial" w:eastAsia="Arial" w:hAnsi="Arial"/>
          <w:sz w:val="15"/>
          <w:szCs w:val="15"/>
          <w:color w:val="auto"/>
        </w:rPr>
      </w:pPr>
      <w:r>
        <w:rPr>
          <w:rFonts w:ascii="Arial" w:cs="Arial" w:eastAsia="Arial" w:hAnsi="Arial"/>
          <w:sz w:val="15"/>
          <w:szCs w:val="15"/>
          <w:u w:val="single" w:color="auto"/>
          <w:color w:val="auto"/>
        </w:rPr>
        <w:t>Term and Exercisability of Options</w:t>
      </w:r>
      <w:r>
        <w:rPr>
          <w:rFonts w:ascii="Arial" w:cs="Arial" w:eastAsia="Arial" w:hAnsi="Arial"/>
          <w:sz w:val="15"/>
          <w:szCs w:val="15"/>
          <w:color w:val="auto"/>
        </w:rPr>
        <w:t xml:space="preserve">. The date on which the Committee adopts a resolution expressly granting an Option shall be considered the day on which such Option is granted unless the Committee determines that a future date is advisable. Options shall be exercisable over the exercise period (which shall not exceed ten years from the date of grant), at such times and upon such conditions as the Committee may determine, as reflected in the Award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(i) subject to clause (ii) below, no Option granted to an employee of the Company or a Subsidiary (other than Substitute Awards) shall vest prior to the first anniversary of the date on which the Option is granted and (ii) the Committee shall have the authority to accelerate the exercisability of any outstanding Option at such time and under such circumstances as it, in its sole discretion, deems appropriate. An Option may be exercised to the extent of any or all full shares of Stock as to which the Option has become exercisable, by giving written notice of such exercise to the Committee or its designated agent.</w:t>
      </w:r>
    </w:p>
    <w:p>
      <w:pPr>
        <w:spacing w:after="0" w:line="62" w:lineRule="exact"/>
        <w:rPr>
          <w:rFonts w:ascii="Arial" w:cs="Arial" w:eastAsia="Arial" w:hAnsi="Arial"/>
          <w:sz w:val="15"/>
          <w:szCs w:val="15"/>
          <w:color w:val="auto"/>
        </w:rPr>
      </w:pPr>
    </w:p>
    <w:p>
      <w:pPr>
        <w:ind w:left="440" w:right="280" w:firstLine="447"/>
        <w:spacing w:after="0"/>
        <w:tabs>
          <w:tab w:leader="none" w:pos="1123" w:val="left"/>
        </w:tabs>
        <w:numPr>
          <w:ilvl w:val="1"/>
          <w:numId w:val="88"/>
        </w:numPr>
        <w:rPr>
          <w:rFonts w:ascii="Arial" w:cs="Arial" w:eastAsia="Arial" w:hAnsi="Arial"/>
          <w:sz w:val="15"/>
          <w:szCs w:val="15"/>
          <w:color w:val="auto"/>
        </w:rPr>
      </w:pPr>
      <w:r>
        <w:rPr>
          <w:rFonts w:ascii="Arial" w:cs="Arial" w:eastAsia="Arial" w:hAnsi="Arial"/>
          <w:sz w:val="15"/>
          <w:szCs w:val="15"/>
          <w:u w:val="single" w:color="auto"/>
          <w:color w:val="auto"/>
        </w:rPr>
        <w:t>Other Provisions</w:t>
      </w:r>
      <w:r>
        <w:rPr>
          <w:rFonts w:ascii="Arial" w:cs="Arial" w:eastAsia="Arial" w:hAnsi="Arial"/>
          <w:sz w:val="15"/>
          <w:szCs w:val="15"/>
          <w:color w:val="auto"/>
        </w:rPr>
        <w:t>. Options may be subject to such other conditions including, but not limited to, restrictions on transferability of the shares of Stock acquired upon exercise of such Options, as the Committee may prescribe in its discretion or as may be required by applicable law.</w:t>
      </w:r>
    </w:p>
    <w:p>
      <w:pPr>
        <w:spacing w:after="0" w:line="60" w:lineRule="exact"/>
        <w:rPr>
          <w:rFonts w:ascii="Arial" w:cs="Arial" w:eastAsia="Arial" w:hAnsi="Arial"/>
          <w:sz w:val="15"/>
          <w:szCs w:val="15"/>
          <w:color w:val="auto"/>
        </w:rPr>
      </w:pPr>
    </w:p>
    <w:p>
      <w:pPr>
        <w:ind w:left="660" w:hanging="212"/>
        <w:spacing w:after="0"/>
        <w:tabs>
          <w:tab w:leader="none" w:pos="660"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SARs</w:t>
      </w:r>
      <w:r>
        <w:rPr>
          <w:rFonts w:ascii="Arial" w:cs="Arial" w:eastAsia="Arial" w:hAnsi="Arial"/>
          <w:sz w:val="15"/>
          <w:szCs w:val="15"/>
          <w:color w:val="auto"/>
        </w:rPr>
        <w:t>. The Committee is authorized to grant SARs to Grantees on the following terms and conditions:</w:t>
      </w:r>
    </w:p>
    <w:p>
      <w:pPr>
        <w:spacing w:after="0" w:line="63" w:lineRule="exact"/>
        <w:rPr>
          <w:rFonts w:ascii="Arial" w:cs="Arial" w:eastAsia="Arial" w:hAnsi="Arial"/>
          <w:sz w:val="15"/>
          <w:szCs w:val="15"/>
          <w:color w:val="auto"/>
        </w:rPr>
      </w:pPr>
    </w:p>
    <w:p>
      <w:pPr>
        <w:jc w:val="both"/>
        <w:ind w:left="440" w:right="360" w:firstLine="447"/>
        <w:spacing w:after="0" w:line="238" w:lineRule="auto"/>
        <w:tabs>
          <w:tab w:leader="none" w:pos="1115" w:val="left"/>
        </w:tabs>
        <w:numPr>
          <w:ilvl w:val="1"/>
          <w:numId w:val="89"/>
        </w:numPr>
        <w:rPr>
          <w:rFonts w:ascii="Arial" w:cs="Arial" w:eastAsia="Arial" w:hAnsi="Arial"/>
          <w:sz w:val="15"/>
          <w:szCs w:val="15"/>
          <w:color w:val="auto"/>
        </w:rPr>
      </w:pPr>
      <w:r>
        <w:rPr>
          <w:rFonts w:ascii="Arial" w:cs="Arial" w:eastAsia="Arial" w:hAnsi="Arial"/>
          <w:sz w:val="15"/>
          <w:szCs w:val="15"/>
          <w:u w:val="single" w:color="auto"/>
          <w:color w:val="auto"/>
        </w:rPr>
        <w:t>In General</w:t>
      </w:r>
      <w:r>
        <w:rPr>
          <w:rFonts w:ascii="Arial" w:cs="Arial" w:eastAsia="Arial" w:hAnsi="Arial"/>
          <w:sz w:val="15"/>
          <w:szCs w:val="15"/>
          <w:color w:val="auto"/>
        </w:rPr>
        <w:t>. SARs may be granted independently or in tandem with an Option at the time of grant of the related Option. An SAR granted in tandem with an Option shall be exercisable only to the extent the underlying Option is exercisable. Unless otherwise specified in the Award Agreement, payment of an SAR shall be made in Stock.</w:t>
      </w:r>
    </w:p>
    <w:p>
      <w:pPr>
        <w:spacing w:after="0" w:line="60" w:lineRule="exact"/>
        <w:rPr>
          <w:rFonts w:ascii="Arial" w:cs="Arial" w:eastAsia="Arial" w:hAnsi="Arial"/>
          <w:sz w:val="15"/>
          <w:szCs w:val="15"/>
          <w:color w:val="auto"/>
        </w:rPr>
      </w:pPr>
    </w:p>
    <w:p>
      <w:pPr>
        <w:ind w:left="440" w:right="100" w:firstLine="447"/>
        <w:spacing w:after="0" w:line="251" w:lineRule="auto"/>
        <w:tabs>
          <w:tab w:leader="none" w:pos="1115" w:val="left"/>
        </w:tabs>
        <w:numPr>
          <w:ilvl w:val="1"/>
          <w:numId w:val="89"/>
        </w:numPr>
        <w:rPr>
          <w:rFonts w:ascii="Arial" w:cs="Arial" w:eastAsia="Arial" w:hAnsi="Arial"/>
          <w:sz w:val="14"/>
          <w:szCs w:val="14"/>
          <w:color w:val="auto"/>
        </w:rPr>
      </w:pPr>
      <w:r>
        <w:rPr>
          <w:rFonts w:ascii="Arial" w:cs="Arial" w:eastAsia="Arial" w:hAnsi="Arial"/>
          <w:sz w:val="14"/>
          <w:szCs w:val="14"/>
          <w:u w:val="single" w:color="auto"/>
          <w:color w:val="auto"/>
        </w:rPr>
        <w:t>Term and Exercisability of SAR</w:t>
      </w:r>
      <w:r>
        <w:rPr>
          <w:rFonts w:ascii="Arial" w:cs="Arial" w:eastAsia="Arial" w:hAnsi="Arial"/>
          <w:sz w:val="14"/>
          <w:szCs w:val="14"/>
          <w:color w:val="auto"/>
        </w:rPr>
        <w:t xml:space="preserve">s. The date on which the Committee adopts a resolution expressly granting an SAR shall be considered the day on which such SAR is granted unless the Committee determines that a future date is advisable. SARs shall be exercisable over the exercise period (which shall not exceed ten years from the date of grant), at such times and upon such conditions as the Committee may determine, as reflected in the Award Agreement; </w:t>
      </w:r>
      <w:r>
        <w:rPr>
          <w:rFonts w:ascii="Arial" w:cs="Arial" w:eastAsia="Arial" w:hAnsi="Arial"/>
          <w:sz w:val="14"/>
          <w:szCs w:val="14"/>
          <w:u w:val="single" w:color="auto"/>
          <w:color w:val="auto"/>
        </w:rPr>
        <w:t>provided</w:t>
      </w:r>
      <w:r>
        <w:rPr>
          <w:rFonts w:ascii="Arial" w:cs="Arial" w:eastAsia="Arial" w:hAnsi="Arial"/>
          <w:sz w:val="14"/>
          <w:szCs w:val="14"/>
          <w:color w:val="auto"/>
        </w:rPr>
        <w:t>, (i) subject to clause</w:t>
      </w:r>
    </w:p>
    <w:p>
      <w:pPr>
        <w:spacing w:after="0" w:line="1" w:lineRule="exact"/>
        <w:rPr>
          <w:rFonts w:ascii="Arial" w:cs="Arial" w:eastAsia="Arial" w:hAnsi="Arial"/>
          <w:sz w:val="14"/>
          <w:szCs w:val="14"/>
          <w:color w:val="auto"/>
        </w:rPr>
      </w:pPr>
    </w:p>
    <w:p>
      <w:pPr>
        <w:jc w:val="both"/>
        <w:ind w:left="440" w:right="40" w:firstLine="8"/>
        <w:spacing w:after="0" w:line="238" w:lineRule="auto"/>
        <w:tabs>
          <w:tab w:leader="none" w:pos="643" w:val="left"/>
        </w:tabs>
        <w:numPr>
          <w:ilvl w:val="0"/>
          <w:numId w:val="90"/>
        </w:numPr>
        <w:rPr>
          <w:rFonts w:ascii="Arial" w:cs="Arial" w:eastAsia="Arial" w:hAnsi="Arial"/>
          <w:sz w:val="15"/>
          <w:szCs w:val="15"/>
          <w:color w:val="auto"/>
        </w:rPr>
      </w:pPr>
      <w:r>
        <w:rPr>
          <w:rFonts w:ascii="Arial" w:cs="Arial" w:eastAsia="Arial" w:hAnsi="Arial"/>
          <w:sz w:val="15"/>
          <w:szCs w:val="15"/>
          <w:color w:val="auto"/>
        </w:rPr>
        <w:t>below, no SAR granted to an employee of the Company or a Subsidiary (other than Substitute Awards) shall vest prior to the first anniversary of the date on which the SAR is granted and (ii) that the Committee shall have the authority to accelerate the exercisability of any outstanding SAR at such time and under such circumstances as it, in its sole discretion, deems appropriate.</w:t>
      </w:r>
    </w:p>
    <w:p>
      <w:pPr>
        <w:spacing w:after="0" w:line="60" w:lineRule="exact"/>
        <w:rPr>
          <w:rFonts w:ascii="Arial" w:cs="Arial" w:eastAsia="Arial" w:hAnsi="Arial"/>
          <w:sz w:val="15"/>
          <w:szCs w:val="15"/>
          <w:color w:val="auto"/>
        </w:rPr>
      </w:pPr>
    </w:p>
    <w:p>
      <w:pPr>
        <w:ind w:left="440" w:right="40" w:firstLine="447"/>
        <w:spacing w:after="0" w:line="237" w:lineRule="auto"/>
        <w:tabs>
          <w:tab w:leader="none" w:pos="1123"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An SAR shall confer on the Grantee a right to receive an amount with respect to each share of Stock subject thereto, upon exercise thereof, equal to the excess of (1) the Fair Market Value of one share of Stock on the date of exercise over (2) the grant price of the SAR (which in the case of an SAR granted in tandem with an Option shall be equal to the exercise price of the underlying Option, and which in the case of any other SAR shall be such price as the Committee may determine but in no event shall be less than the Fair Market Value of a share of Stock on the date of grant of such SAR). A SAR may be exercised by giving written notice of such exercise to the Committee or its designated agent.</w:t>
      </w:r>
    </w:p>
    <w:p>
      <w:pPr>
        <w:spacing w:after="0" w:line="60" w:lineRule="exact"/>
        <w:rPr>
          <w:rFonts w:ascii="Arial" w:cs="Arial" w:eastAsia="Arial" w:hAnsi="Arial"/>
          <w:sz w:val="15"/>
          <w:szCs w:val="15"/>
          <w:color w:val="auto"/>
        </w:rPr>
      </w:pPr>
    </w:p>
    <w:p>
      <w:pPr>
        <w:ind w:left="680" w:hanging="232"/>
        <w:spacing w:after="0"/>
        <w:tabs>
          <w:tab w:leader="none" w:pos="680"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Restricted Stock</w:t>
      </w:r>
      <w:r>
        <w:rPr>
          <w:rFonts w:ascii="Arial" w:cs="Arial" w:eastAsia="Arial" w:hAnsi="Arial"/>
          <w:sz w:val="15"/>
          <w:szCs w:val="15"/>
          <w:color w:val="auto"/>
        </w:rPr>
        <w:t>. The Committee is authorized to grant Restricted Stock to Grantees on the following terms and conditions:</w:t>
      </w:r>
    </w:p>
    <w:p>
      <w:pPr>
        <w:spacing w:after="0" w:line="63" w:lineRule="exact"/>
        <w:rPr>
          <w:rFonts w:ascii="Arial" w:cs="Arial" w:eastAsia="Arial" w:hAnsi="Arial"/>
          <w:sz w:val="15"/>
          <w:szCs w:val="15"/>
          <w:color w:val="auto"/>
        </w:rPr>
      </w:pPr>
    </w:p>
    <w:p>
      <w:pPr>
        <w:ind w:left="440" w:firstLine="447"/>
        <w:spacing w:after="0" w:line="237" w:lineRule="auto"/>
        <w:tabs>
          <w:tab w:leader="none" w:pos="1115"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Issuance and Restrictions</w:t>
      </w:r>
      <w:r>
        <w:rPr>
          <w:rFonts w:ascii="Arial" w:cs="Arial" w:eastAsia="Arial" w:hAnsi="Arial"/>
          <w:sz w:val="15"/>
          <w:szCs w:val="15"/>
          <w:color w:val="auto"/>
        </w:rPr>
        <w:t>. Restricted Stock shall be subject to such restrictions on transferability and other restrictions, if any, as the Committee may impose at the date of grant or thereafter, which restrictions may lapse separately or in combination at such times, under such circumstances, in such installments, or otherwise, as the Committee may determine. The Committee may place restrictions on Restricted Stock that shall lapse, in whole or in part, only upon the attainment of Performance Goals. Notwithstanding the above, (i) subject to clause (ii) below, no award of Restricted Stock granted to an employee of the Company or a Subsidiary (other than Substitute Awards) shall vest prior to the first anniversary of the date on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72390</wp:posOffset>
            </wp:positionV>
            <wp:extent cx="950595" cy="142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1" w:lineRule="exact"/>
        <w:rPr>
          <w:sz w:val="20"/>
          <w:szCs w:val="20"/>
          <w:color w:val="auto"/>
        </w:rPr>
      </w:pPr>
    </w:p>
    <w:tbl>
      <w:tblPr>
        <w:tblLayout w:type="fixed"/>
        <w:tblInd w:w="9420" w:type="dxa"/>
        <w:tblCellMar>
          <w:top w:w="0" w:type="dxa"/>
          <w:left w:w="0" w:type="dxa"/>
          <w:bottom w:w="0" w:type="dxa"/>
          <w:right w:w="0" w:type="dxa"/>
        </w:tblCellMar>
      </w:tblPr>
      <w:tr>
        <w:trPr>
          <w:trHeight w:val="194"/>
        </w:trPr>
        <w:tc>
          <w:tcPr>
            <w:tcW w:w="156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w w:val="82"/>
              </w:rPr>
              <w:t>A-7</w:t>
            </w:r>
          </w:p>
        </w:tc>
      </w:tr>
    </w:tbl>
    <w:p>
      <w:pPr>
        <w:sectPr>
          <w:pgSz w:w="11900" w:h="16838" w:orient="portrait"/>
          <w:cols w:equalWidth="0" w:num="1">
            <w:col w:w="11420"/>
          </w:cols>
          <w:pgMar w:left="240" w:top="407"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440"/>
        <w:spacing w:after="0" w:line="237" w:lineRule="auto"/>
        <w:rPr>
          <w:sz w:val="20"/>
          <w:szCs w:val="20"/>
          <w:color w:val="auto"/>
        </w:rPr>
      </w:pPr>
      <w:r>
        <w:rPr>
          <w:rFonts w:ascii="Arial" w:cs="Arial" w:eastAsia="Arial" w:hAnsi="Arial"/>
          <w:sz w:val="15"/>
          <w:szCs w:val="15"/>
          <w:color w:val="auto"/>
        </w:rPr>
        <w:t>award is granted, and (ii) the Committee shall have the authority to accelerate the exercisability of any outstanding award of Restricted Stock at such time and under such circumstances as it, in its sole discretion, deems appropriate. Except to the extent restricted under the Award Agreement relating to the Restricted Stock, a Grantee granted Restricted Stock shall have all of the rights of a stockholder including, without limitation, the right to vote Restricted Stock and the right to receive dividends thereon.</w:t>
      </w:r>
    </w:p>
    <w:p>
      <w:pPr>
        <w:spacing w:after="0" w:line="62" w:lineRule="exact"/>
        <w:rPr>
          <w:sz w:val="20"/>
          <w:szCs w:val="20"/>
          <w:color w:val="auto"/>
        </w:rPr>
      </w:pPr>
    </w:p>
    <w:p>
      <w:pPr>
        <w:jc w:val="both"/>
        <w:ind w:left="440" w:firstLine="447"/>
        <w:spacing w:after="0" w:line="238" w:lineRule="auto"/>
        <w:tabs>
          <w:tab w:leader="none" w:pos="1115" w:val="left"/>
        </w:tabs>
        <w:numPr>
          <w:ilvl w:val="1"/>
          <w:numId w:val="92"/>
        </w:numPr>
        <w:rPr>
          <w:rFonts w:ascii="Arial" w:cs="Arial" w:eastAsia="Arial" w:hAnsi="Arial"/>
          <w:sz w:val="15"/>
          <w:szCs w:val="15"/>
          <w:color w:val="auto"/>
        </w:rPr>
      </w:pPr>
      <w:r>
        <w:rPr>
          <w:rFonts w:ascii="Arial" w:cs="Arial" w:eastAsia="Arial" w:hAnsi="Arial"/>
          <w:sz w:val="15"/>
          <w:szCs w:val="15"/>
          <w:u w:val="single" w:color="auto"/>
          <w:color w:val="auto"/>
        </w:rPr>
        <w:t>Certificates for Stock</w:t>
      </w:r>
      <w:r>
        <w:rPr>
          <w:rFonts w:ascii="Arial" w:cs="Arial" w:eastAsia="Arial" w:hAnsi="Arial"/>
          <w:sz w:val="15"/>
          <w:szCs w:val="15"/>
          <w:color w:val="auto"/>
        </w:rPr>
        <w:t>. Restricted Stock granted under the Plan may be evidenced in such manner as the Committee shall determine. If certificates representing Restricted Stock are registered in the name of the Grantee, such certificates shall bear an appropriate legend referring to the terms, conditions, and restrictions applicable to such Restricted Stock, and the Company shall retain physical possession of the certificate.</w:t>
      </w:r>
    </w:p>
    <w:p>
      <w:pPr>
        <w:spacing w:after="0" w:line="60" w:lineRule="exact"/>
        <w:rPr>
          <w:rFonts w:ascii="Arial" w:cs="Arial" w:eastAsia="Arial" w:hAnsi="Arial"/>
          <w:sz w:val="15"/>
          <w:szCs w:val="15"/>
          <w:color w:val="auto"/>
        </w:rPr>
      </w:pPr>
    </w:p>
    <w:p>
      <w:pPr>
        <w:ind w:left="440" w:right="140" w:firstLine="447"/>
        <w:spacing w:after="0" w:line="237" w:lineRule="auto"/>
        <w:tabs>
          <w:tab w:leader="none" w:pos="1123" w:val="left"/>
        </w:tabs>
        <w:numPr>
          <w:ilvl w:val="1"/>
          <w:numId w:val="92"/>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xml:space="preserve">. Except to the extent restricted under the applicable Award Agreement, dividends paid on Restricted Stock shall be either paid at the dividend payment date in cash or in shares of unrestricted Stock having a Fair Market Value equal to the amount of such dividends.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dividends payable on Restricted Stock subject to restrictions based upon the attainment of Performance Goals, such dividends shall be deferred until, and not paid unless, such restrictions lapse.</w:t>
      </w:r>
    </w:p>
    <w:p>
      <w:pPr>
        <w:spacing w:after="0" w:line="60" w:lineRule="exact"/>
        <w:rPr>
          <w:rFonts w:ascii="Arial" w:cs="Arial" w:eastAsia="Arial" w:hAnsi="Arial"/>
          <w:sz w:val="15"/>
          <w:szCs w:val="15"/>
          <w:color w:val="auto"/>
        </w:rPr>
      </w:pPr>
    </w:p>
    <w:p>
      <w:pPr>
        <w:ind w:left="700" w:hanging="252"/>
        <w:spacing w:after="0"/>
        <w:tabs>
          <w:tab w:leader="none" w:pos="700"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Restricted Stock Units</w:t>
      </w:r>
      <w:r>
        <w:rPr>
          <w:rFonts w:ascii="Arial" w:cs="Arial" w:eastAsia="Arial" w:hAnsi="Arial"/>
          <w:sz w:val="15"/>
          <w:szCs w:val="15"/>
          <w:color w:val="auto"/>
        </w:rPr>
        <w:t>. The Committee is authorized to grant Restricted Stock Units to Grantees, subject to the following terms and conditions:</w:t>
      </w:r>
    </w:p>
    <w:p>
      <w:pPr>
        <w:spacing w:after="0" w:line="63" w:lineRule="exact"/>
        <w:rPr>
          <w:rFonts w:ascii="Arial" w:cs="Arial" w:eastAsia="Arial" w:hAnsi="Arial"/>
          <w:sz w:val="15"/>
          <w:szCs w:val="15"/>
          <w:color w:val="auto"/>
        </w:rPr>
      </w:pPr>
    </w:p>
    <w:p>
      <w:pPr>
        <w:jc w:val="both"/>
        <w:ind w:left="440" w:right="460" w:firstLine="447"/>
        <w:spacing w:after="0" w:line="251" w:lineRule="auto"/>
        <w:tabs>
          <w:tab w:leader="none" w:pos="1115" w:val="left"/>
        </w:tabs>
        <w:numPr>
          <w:ilvl w:val="1"/>
          <w:numId w:val="93"/>
        </w:numPr>
        <w:rPr>
          <w:rFonts w:ascii="Arial" w:cs="Arial" w:eastAsia="Arial" w:hAnsi="Arial"/>
          <w:sz w:val="14"/>
          <w:szCs w:val="14"/>
          <w:color w:val="auto"/>
        </w:rPr>
      </w:pPr>
      <w:r>
        <w:rPr>
          <w:rFonts w:ascii="Arial" w:cs="Arial" w:eastAsia="Arial" w:hAnsi="Arial"/>
          <w:sz w:val="14"/>
          <w:szCs w:val="14"/>
          <w:u w:val="single" w:color="auto"/>
          <w:color w:val="auto"/>
        </w:rPr>
        <w:t>Conditions to Vesting</w:t>
      </w:r>
      <w:r>
        <w:rPr>
          <w:rFonts w:ascii="Arial" w:cs="Arial" w:eastAsia="Arial" w:hAnsi="Arial"/>
          <w:sz w:val="14"/>
          <w:szCs w:val="14"/>
          <w:color w:val="auto"/>
        </w:rPr>
        <w:t>. At the time of the grant of Restricted Stock Units, the Committee may impose such restrictions or conditions to the vesting of such Awards as it, in its discretion, deems appropriate, including, but not limited to, achievement of Performance Goals. Notwithstanding the above, (i) subject to clause</w:t>
      </w:r>
    </w:p>
    <w:p>
      <w:pPr>
        <w:ind w:left="440" w:right="480" w:firstLine="8"/>
        <w:spacing w:after="0" w:line="238" w:lineRule="auto"/>
        <w:tabs>
          <w:tab w:leader="none" w:pos="643" w:val="left"/>
        </w:tabs>
        <w:numPr>
          <w:ilvl w:val="0"/>
          <w:numId w:val="94"/>
        </w:numPr>
        <w:rPr>
          <w:rFonts w:ascii="Arial" w:cs="Arial" w:eastAsia="Arial" w:hAnsi="Arial"/>
          <w:sz w:val="15"/>
          <w:szCs w:val="15"/>
          <w:color w:val="auto"/>
        </w:rPr>
      </w:pPr>
      <w:r>
        <w:rPr>
          <w:rFonts w:ascii="Arial" w:cs="Arial" w:eastAsia="Arial" w:hAnsi="Arial"/>
          <w:sz w:val="15"/>
          <w:szCs w:val="15"/>
          <w:color w:val="auto"/>
        </w:rPr>
        <w:t>below, no award of Restricted Stock Units granted to an employee of the Company or a Subsidiary (other than Substitute Awards) shall vest prior to the first anniversary of the date on which such award is granted, and (ii) the Committee shall have the authority to accelerate the exercisability of any outstanding award of Restricted Stock Units at such time and under such circumstances as it, in its sole discretion, deems appropriate.</w:t>
      </w:r>
    </w:p>
    <w:p>
      <w:pPr>
        <w:spacing w:after="0" w:line="60" w:lineRule="exact"/>
        <w:rPr>
          <w:rFonts w:ascii="Arial" w:cs="Arial" w:eastAsia="Arial" w:hAnsi="Arial"/>
          <w:sz w:val="15"/>
          <w:szCs w:val="15"/>
          <w:color w:val="auto"/>
        </w:rPr>
      </w:pPr>
    </w:p>
    <w:p>
      <w:pPr>
        <w:ind w:left="440" w:right="60" w:firstLine="447"/>
        <w:spacing w:after="0" w:line="238" w:lineRule="auto"/>
        <w:tabs>
          <w:tab w:leader="none" w:pos="1115" w:val="left"/>
        </w:tabs>
        <w:numPr>
          <w:ilvl w:val="1"/>
          <w:numId w:val="94"/>
        </w:numPr>
        <w:rPr>
          <w:rFonts w:ascii="Arial" w:cs="Arial" w:eastAsia="Arial" w:hAnsi="Arial"/>
          <w:sz w:val="15"/>
          <w:szCs w:val="15"/>
          <w:color w:val="auto"/>
        </w:rPr>
      </w:pPr>
      <w:r>
        <w:rPr>
          <w:rFonts w:ascii="Arial" w:cs="Arial" w:eastAsia="Arial" w:hAnsi="Arial"/>
          <w:sz w:val="15"/>
          <w:szCs w:val="15"/>
          <w:u w:val="single" w:color="auto"/>
          <w:color w:val="auto"/>
        </w:rPr>
        <w:t>Benefit Upon Vesting</w:t>
      </w:r>
      <w:r>
        <w:rPr>
          <w:rFonts w:ascii="Arial" w:cs="Arial" w:eastAsia="Arial" w:hAnsi="Arial"/>
          <w:sz w:val="15"/>
          <w:szCs w:val="15"/>
          <w:color w:val="auto"/>
        </w:rPr>
        <w:t>. Unless otherwise provided in an Award Agreement, upon the vesting of a Restricted Stock Unit, there shall be delivered to the Grantee, within 30 days of the date on which such Award (or any portion thereof) vests, the number of shares of Stock equal to the number of shares of Stock equal to the number of Restricted Stock Units becoming so vested.</w:t>
      </w:r>
    </w:p>
    <w:p>
      <w:pPr>
        <w:spacing w:after="0" w:line="60" w:lineRule="exact"/>
        <w:rPr>
          <w:rFonts w:ascii="Arial" w:cs="Arial" w:eastAsia="Arial" w:hAnsi="Arial"/>
          <w:sz w:val="15"/>
          <w:szCs w:val="15"/>
          <w:color w:val="auto"/>
        </w:rPr>
      </w:pPr>
    </w:p>
    <w:p>
      <w:pPr>
        <w:ind w:left="440" w:right="20" w:firstLine="447"/>
        <w:spacing w:after="0" w:line="236" w:lineRule="auto"/>
        <w:tabs>
          <w:tab w:leader="none" w:pos="1123" w:val="left"/>
        </w:tabs>
        <w:numPr>
          <w:ilvl w:val="1"/>
          <w:numId w:val="94"/>
        </w:numPr>
        <w:rPr>
          <w:rFonts w:ascii="Arial" w:cs="Arial" w:eastAsia="Arial" w:hAnsi="Arial"/>
          <w:sz w:val="15"/>
          <w:szCs w:val="15"/>
          <w:color w:val="auto"/>
        </w:rPr>
      </w:pPr>
      <w:r>
        <w:rPr>
          <w:rFonts w:ascii="Arial" w:cs="Arial" w:eastAsia="Arial" w:hAnsi="Arial"/>
          <w:sz w:val="15"/>
          <w:szCs w:val="15"/>
          <w:u w:val="single" w:color="auto"/>
          <w:color w:val="auto"/>
        </w:rPr>
        <w:t>Dividend Equivalents</w:t>
      </w:r>
      <w:r>
        <w:rPr>
          <w:rFonts w:ascii="Arial" w:cs="Arial" w:eastAsia="Arial" w:hAnsi="Arial"/>
          <w:sz w:val="15"/>
          <w:szCs w:val="15"/>
          <w:color w:val="auto"/>
        </w:rPr>
        <w:t xml:space="preserve">. Subject to the requirements of Section 409A of the Code, an Award of Restricted Stock Units may provide the Grantee with the right to receive dividend equivalent payments (“Dividend Equivalents”)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 equivalents may be subject to such conditions, restrictions and contingencies as the Committee shall establish, including the reinvestment of such credited amounts in Stock equivalents;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Dividend Equivalents payable on Awards subject to the achievement of Performance Goals, such Dividend Equivalents shall be deferred until, and not paid unless, the shares of Stock underlying the Award are issued to the Grantee.</w:t>
      </w:r>
    </w:p>
    <w:p>
      <w:pPr>
        <w:spacing w:after="0" w:line="62" w:lineRule="exact"/>
        <w:rPr>
          <w:rFonts w:ascii="Arial" w:cs="Arial" w:eastAsia="Arial" w:hAnsi="Arial"/>
          <w:sz w:val="15"/>
          <w:szCs w:val="15"/>
          <w:color w:val="auto"/>
        </w:rPr>
      </w:pPr>
    </w:p>
    <w:p>
      <w:pPr>
        <w:ind w:right="80" w:firstLine="448"/>
        <w:spacing w:after="0" w:line="256" w:lineRule="auto"/>
        <w:tabs>
          <w:tab w:leader="none" w:pos="669"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Other Stock- or Cash-Based Awards</w:t>
      </w:r>
      <w:r>
        <w:rPr>
          <w:rFonts w:ascii="Arial" w:cs="Arial" w:eastAsia="Arial" w:hAnsi="Arial"/>
          <w:sz w:val="14"/>
          <w:szCs w:val="14"/>
          <w:color w:val="auto"/>
        </w:rPr>
        <w:t xml:space="preserve">. The Committee is authorized to grant Awards to Grantees in the form of Other Stock-Based Awards or Other Cash-Based Awards, as deemed by the Committee to be consistent with the purposes of the Plan. Awards granted pursuant to this paragraph may be granted with value and payment contingent upon the achievement of Performance Goals and, if so granted, such goals shall relate to periods of performance determined by the Committee in its sole discretion;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Awards that are intended to constitute “qualified performance-based compensation” pursuant to Section 162(m) of the Code, such goals shall relate to periods of performance of not less than one calendar year. The Committee shall determine the terms and conditions of such Awards at the date of grant or thereafter. The maximum amount that any Grantee may receive with respect to Other Cash-Based Awards pursuant to this Section 6(b)(v) that are intended to be “qualified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A-8 </w:t>
      </w:r>
      <w:r>
        <w:rPr>
          <w:sz w:val="1"/>
          <w:szCs w:val="1"/>
          <w:color w:val="auto"/>
        </w:rPr>
        <w:drawing>
          <wp:inline distT="0" distB="0" distL="0" distR="0">
            <wp:extent cx="857885" cy="1143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20"/>
          </w:cols>
          <w:pgMar w:left="240" w:top="407" w:right="239" w:bottom="1440" w:gutter="0" w:footer="0" w:header="0"/>
        </w:sectPr>
      </w:pPr>
    </w:p>
    <w:bookmarkStart w:id="68" w:name="page69"/>
    <w:bookmarkEnd w:id="68"/>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89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10" w:right="80"/>
        <w:spacing w:after="0" w:line="251" w:lineRule="auto"/>
        <w:rPr>
          <w:sz w:val="20"/>
          <w:szCs w:val="20"/>
          <w:color w:val="auto"/>
        </w:rPr>
      </w:pPr>
      <w:r>
        <w:rPr>
          <w:rFonts w:ascii="Arial" w:cs="Arial" w:eastAsia="Arial" w:hAnsi="Arial"/>
          <w:sz w:val="14"/>
          <w:szCs w:val="14"/>
          <w:color w:val="auto"/>
        </w:rPr>
        <w:t xml:space="preserve">performance-based compensation” pursuant to Section 162(m) of the Code in respect of any annual performance period is $10 million and for any other performance period in excess of one year, such amount multiplied by a fraction, the numerator of which is the number of months in the performance period and the denominator of which is twelve. Payment in respect of Awards earned hereunder may be decreased or increased in the sole discretion of the Committee based on such factors as the Committee deems appropriate;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Award that is made to a Covered Employee and that is intended to constitute “qualified performance-based compensation” pursuant to Section 162(m) of the Code must preclude discretion to increase the amount of compensation payable thereunder (but may allow the Committee discretion to decrease the amount of compensation payable thereunder). No payment in respect of any Award that is intended to be “qualified performance-based compensation” pursuant to</w:t>
      </w:r>
    </w:p>
    <w:p>
      <w:pPr>
        <w:spacing w:after="0" w:line="3" w:lineRule="exact"/>
        <w:rPr>
          <w:sz w:val="20"/>
          <w:szCs w:val="20"/>
          <w:color w:val="auto"/>
        </w:rPr>
      </w:pPr>
    </w:p>
    <w:p>
      <w:pPr>
        <w:ind w:left="10" w:right="60"/>
        <w:spacing w:after="0" w:line="263" w:lineRule="auto"/>
        <w:rPr>
          <w:sz w:val="20"/>
          <w:szCs w:val="20"/>
          <w:color w:val="auto"/>
        </w:rPr>
      </w:pPr>
      <w:r>
        <w:rPr>
          <w:rFonts w:ascii="Arial" w:cs="Arial" w:eastAsia="Arial" w:hAnsi="Arial"/>
          <w:sz w:val="14"/>
          <w:szCs w:val="14"/>
          <w:color w:val="auto"/>
        </w:rPr>
        <w:t xml:space="preserve">Section 162(m) of the Code shall be made to a Covered Employee prior to the certification by the Committee that the Performance Goals have been attained. The Committee may establish other such rules applicable to Other Stock- or Cash-Based Awards as it determines in its sole discretion,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to the extent that such rules are to apply to Awards intended to be “qualified performance-based compensation,” such rules shall not be inconsistent with the requirements of Section 162(m) of the Code.</w:t>
      </w:r>
    </w:p>
    <w:p>
      <w:pPr>
        <w:spacing w:after="0" w:line="45" w:lineRule="exact"/>
        <w:rPr>
          <w:sz w:val="20"/>
          <w:szCs w:val="20"/>
          <w:color w:val="auto"/>
        </w:rPr>
      </w:pPr>
    </w:p>
    <w:p>
      <w:pPr>
        <w:ind w:left="10" w:right="40" w:hanging="10"/>
        <w:spacing w:after="0" w:line="235" w:lineRule="auto"/>
        <w:tabs>
          <w:tab w:leader="none" w:pos="22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Termination of Service.</w:t>
      </w:r>
      <w:r>
        <w:rPr>
          <w:rFonts w:ascii="Arial" w:cs="Arial" w:eastAsia="Arial" w:hAnsi="Arial"/>
          <w:sz w:val="15"/>
          <w:szCs w:val="15"/>
          <w:color w:val="auto"/>
        </w:rPr>
        <w:t xml:space="preserve"> Except as otherwise set forth in the Award Agreement, each Award shall terminate immediately upon the Grantee’s termination of service with the Company or any of its Subsidiaries, except that the Grantee shall have 90 days following the date of such termination of service to exercise any portion of an Option or SAR that he could have exercised on the date of such termination of service;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exercise must be accomplished prior to the expiration of the Award term. Notwithstanding the foregoing, except as otherwise set forth by the Committee in the Award Agreement, if the Grantee ‘s termination of service is due to his total and permanent disability (as defined in any agreement between the Grantee and the Company or, if no such agreement is in effect, as determined by the Committee in its good faith discretion) or death, the Grantee, or the representative of the estate of the Grantee, as the case may be, may exercise any portion of the Option or SAR which the Participant could have exercised on the date of such termination for a period of six months thereafter;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exercise must be accomplished prior to the expiration of the Award term. Notwithstanding the foregoing, except as set forth by the Committee in the Award Agreement, in the event of a termination of the Grantee‘s service with the Company or any of its Subsidiaries for Cause, the unexercised portion of the Option or SAR shall terminate immediately and the Grantee shall have no right thereafter to exercise any part of the Award.</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7. Change in Control Provisions.</w:t>
      </w:r>
    </w:p>
    <w:p>
      <w:pPr>
        <w:spacing w:after="0" w:line="93" w:lineRule="exact"/>
        <w:rPr>
          <w:sz w:val="20"/>
          <w:szCs w:val="20"/>
          <w:color w:val="auto"/>
        </w:rPr>
      </w:pPr>
    </w:p>
    <w:p>
      <w:pPr>
        <w:ind w:left="10" w:hanging="10"/>
        <w:spacing w:after="0" w:line="236" w:lineRule="auto"/>
        <w:tabs>
          <w:tab w:leader="none" w:pos="230" w:val="left"/>
        </w:tabs>
        <w:numPr>
          <w:ilvl w:val="0"/>
          <w:numId w:val="97"/>
        </w:numPr>
        <w:rPr>
          <w:rFonts w:ascii="Arial" w:cs="Arial" w:eastAsia="Arial" w:hAnsi="Arial"/>
          <w:sz w:val="15"/>
          <w:szCs w:val="15"/>
          <w:color w:val="auto"/>
        </w:rPr>
      </w:pPr>
      <w:r>
        <w:rPr>
          <w:rFonts w:ascii="Arial" w:cs="Arial" w:eastAsia="Arial" w:hAnsi="Arial"/>
          <w:sz w:val="15"/>
          <w:szCs w:val="15"/>
          <w:color w:val="auto"/>
        </w:rPr>
        <w:t>Unless the applicable Award Agreement provides otherwise or in the case of Awards that do not constitute deferred compensation under Section 409A of the Code, unless otherwise determined by the Committee in its discretion, in the event of a Change in Control, (i) each Award outstanding as of the Change in Control shall be assumed, continued, or substituted, effective as of the consummation of the Change in Control, with a new award with an intrinsic value equivalent to that of the original Award and on terms at least as beneficial to the Grantee as those contained in the Grantee’s original Award Agreement (as determined by an independent third party) and (ii) in the event that, within two years following a Change in Control, the Grantee’s service with the Company and its affiliates is terminated (x) by the Company or any of its affiliates for any reason other than for Cause or (y) the Grantee as a result of a Constructive Discharge, all outstanding Awards granted to a Grantee which have not theretofore vested shall immediately vest and become exercisable and all restrictions on such Award shall immediately lapse.</w:t>
      </w:r>
    </w:p>
    <w:p>
      <w:pPr>
        <w:spacing w:after="0" w:line="62" w:lineRule="exact"/>
        <w:rPr>
          <w:rFonts w:ascii="Arial" w:cs="Arial" w:eastAsia="Arial" w:hAnsi="Arial"/>
          <w:sz w:val="15"/>
          <w:szCs w:val="15"/>
          <w:color w:val="auto"/>
        </w:rPr>
      </w:pPr>
    </w:p>
    <w:p>
      <w:pPr>
        <w:ind w:left="10" w:right="20" w:hanging="10"/>
        <w:spacing w:after="0" w:line="236" w:lineRule="auto"/>
        <w:tabs>
          <w:tab w:leader="none" w:pos="230"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“Constructive Discharge: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“Constructive Discharge,” a termination of service as a result of Constructive Discharge shall mean a termination of service by the Grantee from the Company and its Subsidiaries following either (i) a material reduction in the Grantee’s base compensation, (ii) a material adverse change in the nature or status of the Grantee’s duties or responsibilities from those in effect immediately prior to a Change in Control, or (iii) a relocation of more than 30 miles from the Grantee’s principal place of employment immediately prior to the Change in Control; provided, that, in each case, the Grantee shall not be permitted to terminate service as a result of the Constructive Discharge unless the Grantee provides the Company with written notice of the occurrence of the action constituting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73660</wp:posOffset>
            </wp:positionV>
            <wp:extent cx="950595" cy="142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3" w:lineRule="exact"/>
        <w:rPr>
          <w:sz w:val="20"/>
          <w:szCs w:val="20"/>
          <w:color w:val="auto"/>
        </w:rPr>
      </w:pPr>
    </w:p>
    <w:tbl>
      <w:tblPr>
        <w:tblLayout w:type="fixed"/>
        <w:tblInd w:w="9430" w:type="dxa"/>
        <w:tblCellMar>
          <w:top w:w="0" w:type="dxa"/>
          <w:left w:w="0" w:type="dxa"/>
          <w:bottom w:w="0" w:type="dxa"/>
          <w:right w:w="0" w:type="dxa"/>
        </w:tblCellMar>
      </w:tblPr>
      <w:tr>
        <w:trPr>
          <w:trHeight w:val="194"/>
        </w:trPr>
        <w:tc>
          <w:tcPr>
            <w:tcW w:w="156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w w:val="82"/>
              </w:rPr>
              <w:t>A-9</w:t>
            </w:r>
          </w:p>
        </w:tc>
      </w:tr>
    </w:tbl>
    <w:p>
      <w:pPr>
        <w:sectPr>
          <w:pgSz w:w="11900" w:h="16838" w:orient="portrait"/>
          <w:cols w:equalWidth="0" w:num="1">
            <w:col w:w="11430"/>
          </w:cols>
          <w:pgMar w:left="230" w:top="407" w:right="239" w:bottom="1440" w:gutter="0" w:footer="0" w:header="0"/>
        </w:sectPr>
      </w:pPr>
    </w:p>
    <w:bookmarkStart w:id="69" w:name="page70"/>
    <w:bookmarkEnd w:id="69"/>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5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10" w:right="220"/>
        <w:spacing w:after="0"/>
        <w:rPr>
          <w:sz w:val="20"/>
          <w:szCs w:val="20"/>
          <w:color w:val="auto"/>
        </w:rPr>
      </w:pPr>
      <w:r>
        <w:rPr>
          <w:rFonts w:ascii="Arial" w:cs="Arial" w:eastAsia="Arial" w:hAnsi="Arial"/>
          <w:sz w:val="15"/>
          <w:szCs w:val="15"/>
          <w:color w:val="auto"/>
        </w:rPr>
        <w:t>Constructive Discharge within 30 days following the occurrence of such action, the Grantee provides the Company with a minimum of 30 days following delivery of the written notice to cure such action, and the Grantee terminates service within 90 days following the occurrence of such action.</w:t>
      </w:r>
    </w:p>
    <w:p>
      <w:pPr>
        <w:spacing w:after="0" w:line="60" w:lineRule="exact"/>
        <w:rPr>
          <w:sz w:val="20"/>
          <w:szCs w:val="20"/>
          <w:color w:val="auto"/>
        </w:rPr>
      </w:pPr>
    </w:p>
    <w:p>
      <w:pPr>
        <w:ind w:left="10" w:right="20" w:hanging="10"/>
        <w:spacing w:after="0" w:line="257" w:lineRule="auto"/>
        <w:tabs>
          <w:tab w:leader="none" w:pos="221" w:val="left"/>
        </w:tabs>
        <w:numPr>
          <w:ilvl w:val="0"/>
          <w:numId w:val="98"/>
        </w:numPr>
        <w:rPr>
          <w:rFonts w:ascii="Arial" w:cs="Arial" w:eastAsia="Arial" w:hAnsi="Arial"/>
          <w:sz w:val="14"/>
          <w:szCs w:val="14"/>
          <w:color w:val="auto"/>
        </w:rPr>
      </w:pPr>
      <w:r>
        <w:rPr>
          <w:rFonts w:ascii="Arial" w:cs="Arial" w:eastAsia="Arial" w:hAnsi="Arial"/>
          <w:sz w:val="14"/>
          <w:szCs w:val="14"/>
          <w:color w:val="auto"/>
        </w:rPr>
        <w:t>“Cause”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“Cause,” a termination of service for Cause shall mean: (i) the Grantee’s willful failure to substantially perform his duties as an employee of the Company or any Subsidiary (other than any such failure resulting from the Grantee’s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8. General Provisions.</w:t>
      </w:r>
    </w:p>
    <w:p>
      <w:pPr>
        <w:spacing w:after="0" w:line="93" w:lineRule="exact"/>
        <w:rPr>
          <w:sz w:val="20"/>
          <w:szCs w:val="20"/>
          <w:color w:val="auto"/>
        </w:rPr>
      </w:pPr>
    </w:p>
    <w:p>
      <w:pPr>
        <w:ind w:left="210" w:hanging="210"/>
        <w:spacing w:after="0"/>
        <w:tabs>
          <w:tab w:leader="none" w:pos="210"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Awards shall not be transferable by a Grantee except by will or with the laws of descent and distribution and shall be exercisable during the lifetime of a</w:t>
      </w:r>
    </w:p>
    <w:p>
      <w:pPr>
        <w:spacing w:after="0" w:line="7" w:lineRule="exact"/>
        <w:rPr>
          <w:rFonts w:ascii="Arial" w:cs="Arial" w:eastAsia="Arial" w:hAnsi="Arial"/>
          <w:sz w:val="14"/>
          <w:szCs w:val="14"/>
          <w:color w:val="auto"/>
        </w:rPr>
      </w:pPr>
    </w:p>
    <w:p>
      <w:pPr>
        <w:ind w:left="10"/>
        <w:spacing w:after="0" w:line="236" w:lineRule="auto"/>
        <w:rPr>
          <w:rFonts w:ascii="Arial" w:cs="Arial" w:eastAsia="Arial" w:hAnsi="Arial"/>
          <w:sz w:val="14"/>
          <w:szCs w:val="14"/>
          <w:color w:val="auto"/>
        </w:rPr>
      </w:pPr>
      <w:r>
        <w:rPr>
          <w:rFonts w:ascii="Arial" w:cs="Arial" w:eastAsia="Arial" w:hAnsi="Arial"/>
          <w:sz w:val="15"/>
          <w:szCs w:val="15"/>
          <w:color w:val="auto"/>
        </w:rPr>
        <w:t>Grantee only by such Grantee or his guardian or legal representative. Notwithstanding the foregoing, the Committee may, in its sole discretion, permit an Award to be transferred to a “family member” (within the meaning of Section A.1(a)(5) of the general instructions of Form S-8) for estate planning purposes and for no value, provided that such transfer shall only be valid upon execution of a written instrument in form and substance acceptable to the Committee in its sole discretion evidencing such transfer and the transferee’s acceptance thereof signed by the Grantee and the transferee, and provided, further, that such Award may not be subsequently transferred other than by will or by the laws of descent and distribution or to another “family member” (as permitted by the Committee in its sole discretion) in accordance with the terms of the Plan and the applicable Award agreement. In addition, an Award shall not be assigned, negotiated, pledged or hypothecated in any way (except as provided by law or herein), and an Award shall not be subject to execution, attachment or similar process. Upon any attempt to transfer an Award or in the event of any levy upon an Award by reason of any execution, attachment or similar process contrary to the provisions of the Plan or the applicable Award agreement, such transfer shall be void and of no effect and the Company shall have the right to disregard the same on its books and records and to issue “stop transfer” instructions to its transfer agent.</w:t>
      </w:r>
    </w:p>
    <w:p>
      <w:pPr>
        <w:spacing w:after="0" w:line="60" w:lineRule="exact"/>
        <w:rPr>
          <w:rFonts w:ascii="Arial" w:cs="Arial" w:eastAsia="Arial" w:hAnsi="Arial"/>
          <w:sz w:val="14"/>
          <w:szCs w:val="14"/>
          <w:color w:val="auto"/>
        </w:rPr>
      </w:pPr>
    </w:p>
    <w:p>
      <w:pPr>
        <w:jc w:val="both"/>
        <w:ind w:left="10" w:right="120" w:hanging="10"/>
        <w:spacing w:after="0" w:line="237" w:lineRule="auto"/>
        <w:tabs>
          <w:tab w:leader="none" w:pos="230"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No Right to Continued Employment, etc</w:t>
      </w:r>
      <w:r>
        <w:rPr>
          <w:rFonts w:ascii="Arial" w:cs="Arial" w:eastAsia="Arial" w:hAnsi="Arial"/>
          <w:sz w:val="15"/>
          <w:szCs w:val="15"/>
          <w:color w:val="auto"/>
        </w:rPr>
        <w:t>. Nothing in the Plan or in any Award, any Award Agreement or other agreement entered into pursuant hereto shall confer upon any Grantee the right to continue in the employ or service of the Company or Subsidiary of the Company or to be entitled to any remuneration or benefits not set forth in the Plan or such Award Agreement or other agreement or to interfere with or limit in any way the right of the Company or any such Subsidiary to terminate such Grantee’s employment or independent contractor relationship.</w:t>
      </w:r>
    </w:p>
    <w:p>
      <w:pPr>
        <w:spacing w:after="0" w:line="61" w:lineRule="exact"/>
        <w:rPr>
          <w:rFonts w:ascii="Arial" w:cs="Arial" w:eastAsia="Arial" w:hAnsi="Arial"/>
          <w:sz w:val="15"/>
          <w:szCs w:val="15"/>
          <w:color w:val="auto"/>
        </w:rPr>
      </w:pPr>
    </w:p>
    <w:p>
      <w:pPr>
        <w:ind w:left="10" w:right="20" w:hanging="10"/>
        <w:spacing w:after="0" w:line="236" w:lineRule="auto"/>
        <w:tabs>
          <w:tab w:leader="none" w:pos="221"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 The Company or any Subsidiary of the Company is authorized to withhold from any Award granted, any payment relating to an Award under the Plan, including from a distribution of Stock, or any other payment to a Grantee, amounts of withholding and other taxes due in connection with any transaction involving an Award, and to take such other action as the Committee may deem advisable to enable the Company and Grantees to satisfy obligations for the payment of withholding taxes and other tax obligations relating to any Award. This authority shall include authority to withhold or receive Stock or other property and to make cash payments in respect thereof in satisfaction of a Grantee’s tax obligations. The Committee may provide in the Award Agreement that in the event that a Grantee is required to pay any amount to be withheld in connection with the issuance of shares of Stock in settlement or exercise of an Award, such withholding and other taxes shall be satisfied with shares of Stock to be received upon settlement or exercise of such Award equal to the minimum amount required to be withheld.</w:t>
      </w:r>
    </w:p>
    <w:p>
      <w:pPr>
        <w:spacing w:after="0" w:line="62" w:lineRule="exact"/>
        <w:rPr>
          <w:rFonts w:ascii="Arial" w:cs="Arial" w:eastAsia="Arial" w:hAnsi="Arial"/>
          <w:sz w:val="15"/>
          <w:szCs w:val="15"/>
          <w:color w:val="auto"/>
        </w:rPr>
      </w:pPr>
    </w:p>
    <w:p>
      <w:pPr>
        <w:ind w:left="330" w:hanging="330"/>
        <w:spacing w:after="0"/>
        <w:tabs>
          <w:tab w:leader="none" w:pos="330"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Stockholder Approval; Amendment and Termination</w:t>
      </w:r>
      <w:r>
        <w:rPr>
          <w:rFonts w:ascii="Arial" w:cs="Arial" w:eastAsia="Arial" w:hAnsi="Arial"/>
          <w:sz w:val="15"/>
          <w:szCs w:val="15"/>
          <w:color w:val="auto"/>
        </w:rPr>
        <w:t>.</w:t>
      </w:r>
    </w:p>
    <w:p>
      <w:pPr>
        <w:spacing w:after="0" w:line="63" w:lineRule="exact"/>
        <w:rPr>
          <w:rFonts w:ascii="Arial" w:cs="Arial" w:eastAsia="Arial" w:hAnsi="Arial"/>
          <w:sz w:val="15"/>
          <w:szCs w:val="15"/>
          <w:color w:val="auto"/>
        </w:rPr>
      </w:pPr>
    </w:p>
    <w:p>
      <w:pPr>
        <w:ind w:left="630" w:hanging="172"/>
        <w:spacing w:after="0"/>
        <w:tabs>
          <w:tab w:leader="none" w:pos="630"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Plan shall take effect upon its adoption by the Board (the “Effective Date”).</w:t>
      </w:r>
    </w:p>
    <w:p>
      <w:pPr>
        <w:spacing w:after="0" w:line="60" w:lineRule="exact"/>
        <w:rPr>
          <w:rFonts w:ascii="Arial" w:cs="Arial" w:eastAsia="Arial" w:hAnsi="Arial"/>
          <w:sz w:val="15"/>
          <w:szCs w:val="15"/>
          <w:color w:val="auto"/>
        </w:rPr>
      </w:pPr>
    </w:p>
    <w:p>
      <w:pPr>
        <w:ind w:left="650" w:hanging="192"/>
        <w:spacing w:after="0"/>
        <w:tabs>
          <w:tab w:leader="none" w:pos="650"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The Board may at any time and from time to time alter, amend, suspend, or terminate the Plan in whole or in part;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unless otherwise</w:t>
      </w:r>
    </w:p>
    <w:p>
      <w:pPr>
        <w:ind w:left="10" w:right="100"/>
        <w:spacing w:after="0"/>
        <w:rPr>
          <w:rFonts w:ascii="Arial" w:cs="Arial" w:eastAsia="Arial" w:hAnsi="Arial"/>
          <w:sz w:val="15"/>
          <w:szCs w:val="15"/>
          <w:color w:val="auto"/>
        </w:rPr>
      </w:pPr>
      <w:r>
        <w:rPr>
          <w:rFonts w:ascii="Arial" w:cs="Arial" w:eastAsia="Arial" w:hAnsi="Arial"/>
          <w:sz w:val="15"/>
          <w:szCs w:val="15"/>
          <w:color w:val="auto"/>
        </w:rPr>
        <w:t>determined by the Board, an amendment that requires stockholder approval in order for the Plan to continue to comply with Section 162(m) or any other law, regulation or stock exchange requirement shall not be effective unless approved by the requisite vote of stockholders.</w:t>
      </w:r>
    </w:p>
    <w:p>
      <w:pPr>
        <w:spacing w:after="0" w:line="8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 xml:space="preserve">A-10 </w:t>
      </w:r>
      <w:r>
        <w:rPr>
          <w:sz w:val="1"/>
          <w:szCs w:val="1"/>
          <w:color w:val="auto"/>
        </w:rPr>
        <w:drawing>
          <wp:inline distT="0" distB="0" distL="0" distR="0">
            <wp:extent cx="857885" cy="1143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885" cy="114300"/>
                    </a:xfrm>
                    <a:prstGeom prst="rect">
                      <a:avLst/>
                    </a:prstGeom>
                    <a:noFill/>
                    <a:ln>
                      <a:noFill/>
                    </a:ln>
                  </pic:spPr>
                </pic:pic>
              </a:graphicData>
            </a:graphic>
          </wp:inline>
        </w:drawing>
        <w:drawing>
          <wp:inline distT="0" distB="0" distL="0" distR="0">
            <wp:extent cx="6985" cy="14287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85" cy="142875"/>
                    </a:xfrm>
                    <a:prstGeom prst="rect">
                      <a:avLst/>
                    </a:prstGeom>
                    <a:noFill/>
                    <a:ln>
                      <a:noFill/>
                    </a:ln>
                  </pic:spPr>
                </pic:pic>
              </a:graphicData>
            </a:graphic>
          </wp:inline>
        </w:drawing>
      </w:r>
      <w:r>
        <w:rPr>
          <w:rFonts w:ascii="Arial" w:cs="Arial" w:eastAsia="Arial" w:hAnsi="Arial"/>
          <w:sz w:val="15"/>
          <w:szCs w:val="15"/>
          <w:i w:val="1"/>
          <w:iCs w:val="1"/>
          <w:color w:val="auto"/>
        </w:rPr>
        <w:t xml:space="preserve">  2014 Proxy Statement</w:t>
      </w:r>
    </w:p>
    <w:p>
      <w:pPr>
        <w:sectPr>
          <w:pgSz w:w="11900" w:h="16838" w:orient="portrait"/>
          <w:cols w:equalWidth="0" w:num="1">
            <w:col w:w="11430"/>
          </w:cols>
          <w:pgMar w:left="230" w:top="407" w:right="239" w:bottom="1440" w:gutter="0" w:footer="0" w:header="0"/>
        </w:sectPr>
      </w:pPr>
    </w:p>
    <w:bookmarkStart w:id="70" w:name="page71"/>
    <w:bookmarkEnd w:id="70"/>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890"/>
        <w:spacing w:after="0"/>
        <w:rPr>
          <w:sz w:val="20"/>
          <w:szCs w:val="20"/>
          <w:color w:val="auto"/>
        </w:rPr>
      </w:pPr>
      <w:r>
        <w:rPr>
          <w:rFonts w:ascii="Arial" w:cs="Arial" w:eastAsia="Arial" w:hAnsi="Arial"/>
          <w:sz w:val="11"/>
          <w:szCs w:val="11"/>
          <w:b w:val="1"/>
          <w:bCs w:val="1"/>
          <w:color w:val="FFFFFF"/>
          <w:highlight w:val="black"/>
        </w:rPr>
        <w:t>ANNEX A</w:t>
      </w:r>
    </w:p>
    <w:p>
      <w:pPr>
        <w:spacing w:after="0" w:line="138" w:lineRule="exact"/>
        <w:rPr>
          <w:sz w:val="20"/>
          <w:szCs w:val="20"/>
          <w:color w:val="auto"/>
        </w:rPr>
      </w:pPr>
    </w:p>
    <w:p>
      <w:pPr>
        <w:ind w:left="10" w:right="240"/>
        <w:spacing w:after="0"/>
        <w:rPr>
          <w:sz w:val="20"/>
          <w:szCs w:val="20"/>
          <w:color w:val="auto"/>
        </w:rPr>
      </w:pPr>
      <w:r>
        <w:rPr>
          <w:rFonts w:ascii="Arial" w:cs="Arial" w:eastAsia="Arial" w:hAnsi="Arial"/>
          <w:sz w:val="15"/>
          <w:szCs w:val="15"/>
          <w:color w:val="auto"/>
        </w:rPr>
        <w:t>Notwithstanding the foregoing, no amendment to or termination of the Plan shall affect adversely any of the rights of any Grantee, without such Grantee’s consent, under any Award theretofore granted under the Plan.</w:t>
      </w:r>
    </w:p>
    <w:p>
      <w:pPr>
        <w:spacing w:after="0" w:line="60" w:lineRule="exact"/>
        <w:rPr>
          <w:sz w:val="20"/>
          <w:szCs w:val="20"/>
          <w:color w:val="auto"/>
        </w:rPr>
      </w:pPr>
    </w:p>
    <w:p>
      <w:pPr>
        <w:ind w:left="10" w:hanging="10"/>
        <w:spacing w:after="0" w:line="238" w:lineRule="auto"/>
        <w:tabs>
          <w:tab w:leader="none" w:pos="23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Expiration of Plan</w:t>
      </w:r>
      <w:r>
        <w:rPr>
          <w:rFonts w:ascii="Arial" w:cs="Arial" w:eastAsia="Arial" w:hAnsi="Arial"/>
          <w:sz w:val="15"/>
          <w:szCs w:val="15"/>
          <w:color w:val="auto"/>
        </w:rPr>
        <w:t>. Unless earlier terminated by the Board pursuant to the provisions of the Plan, the Plan shall expire on May 23, 2024, provided that no ISO may be granted under the Plan more than ten years after the date of adoption by the Board. No Awards shall be granted under the Plan after such expiration date. The expiration of the Plan shall not affect adversely any of the rights of any Grantee, without such Grantee’s consent, under any Award theretofore granted.</w:t>
      </w:r>
    </w:p>
    <w:p>
      <w:pPr>
        <w:spacing w:after="0" w:line="60" w:lineRule="exact"/>
        <w:rPr>
          <w:rFonts w:ascii="Arial" w:cs="Arial" w:eastAsia="Arial" w:hAnsi="Arial"/>
          <w:sz w:val="15"/>
          <w:szCs w:val="15"/>
          <w:color w:val="auto"/>
        </w:rPr>
      </w:pPr>
    </w:p>
    <w:p>
      <w:pPr>
        <w:jc w:val="both"/>
        <w:ind w:left="10" w:right="40" w:hanging="10"/>
        <w:spacing w:after="0" w:line="238" w:lineRule="auto"/>
        <w:tabs>
          <w:tab w:leader="none" w:pos="189"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Deferrals</w:t>
      </w:r>
      <w:r>
        <w:rPr>
          <w:rFonts w:ascii="Arial" w:cs="Arial" w:eastAsia="Arial" w:hAnsi="Arial"/>
          <w:sz w:val="15"/>
          <w:szCs w:val="15"/>
          <w:color w:val="auto"/>
        </w:rPr>
        <w:t xml:space="preserve">. The Committee shall have the authority to establish such procedures and programs that it deems appropriate to provide Grantees with the ability to defer receipt of cash, Stock or other property payable with respect to Awards granted under the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to the extent that such deferral is subject to Section 409A of the Code, the rules and procedures established by the Committee shall comply with Section 409A of the Code.</w:t>
      </w:r>
    </w:p>
    <w:p>
      <w:pPr>
        <w:spacing w:after="0" w:line="60" w:lineRule="exact"/>
        <w:rPr>
          <w:rFonts w:ascii="Arial" w:cs="Arial" w:eastAsia="Arial" w:hAnsi="Arial"/>
          <w:sz w:val="15"/>
          <w:szCs w:val="15"/>
          <w:color w:val="auto"/>
        </w:rPr>
      </w:pPr>
    </w:p>
    <w:p>
      <w:pPr>
        <w:jc w:val="both"/>
        <w:ind w:left="10" w:right="80" w:hanging="10"/>
        <w:spacing w:after="0" w:line="238" w:lineRule="auto"/>
        <w:tabs>
          <w:tab w:leader="none" w:pos="23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No Rights to Awards; No Stockholder Rights</w:t>
      </w:r>
      <w:r>
        <w:rPr>
          <w:rFonts w:ascii="Arial" w:cs="Arial" w:eastAsia="Arial" w:hAnsi="Arial"/>
          <w:sz w:val="15"/>
          <w:szCs w:val="15"/>
          <w:color w:val="auto"/>
        </w:rPr>
        <w:t>. No Grantee shall have any claim to be granted any Award under the Plan, and there is no obligation for uniformity of treatment of Grantees. Except as provided specifically herein, a Grantee or a transferee of an Award shall have no rights as a stockholder with respect to any shares of Stock covered by the Award until the date of the issuance of a Stock certificate to him for such shares or the issuance of shares to him in book-entry form.</w:t>
      </w:r>
    </w:p>
    <w:p>
      <w:pPr>
        <w:spacing w:after="0" w:line="60" w:lineRule="exact"/>
        <w:rPr>
          <w:rFonts w:ascii="Arial" w:cs="Arial" w:eastAsia="Arial" w:hAnsi="Arial"/>
          <w:sz w:val="15"/>
          <w:szCs w:val="15"/>
          <w:color w:val="auto"/>
        </w:rPr>
      </w:pPr>
    </w:p>
    <w:p>
      <w:pPr>
        <w:ind w:left="10" w:right="60" w:hanging="10"/>
        <w:spacing w:after="0" w:line="238" w:lineRule="auto"/>
        <w:tabs>
          <w:tab w:leader="none" w:pos="23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Unfunded Status of Awards</w:t>
      </w:r>
      <w:r>
        <w:rPr>
          <w:rFonts w:ascii="Arial" w:cs="Arial" w:eastAsia="Arial" w:hAnsi="Arial"/>
          <w:sz w:val="15"/>
          <w:szCs w:val="15"/>
          <w:color w:val="auto"/>
        </w:rPr>
        <w:t>. The Plan is intended to constitute an “unfunded” plan for incentive and deferred compensation. With respect to any payments not yet made to a Grantee pursuant to an Award, nothing contained in the Plan or any Award shall give any such Grantee any rights that are greater than those of a general creditor of the Company.</w:t>
      </w:r>
    </w:p>
    <w:p>
      <w:pPr>
        <w:spacing w:after="0" w:line="60" w:lineRule="exact"/>
        <w:rPr>
          <w:rFonts w:ascii="Arial" w:cs="Arial" w:eastAsia="Arial" w:hAnsi="Arial"/>
          <w:sz w:val="15"/>
          <w:szCs w:val="15"/>
          <w:color w:val="auto"/>
        </w:rPr>
      </w:pPr>
    </w:p>
    <w:p>
      <w:pPr>
        <w:ind w:left="170" w:hanging="170"/>
        <w:spacing w:after="0"/>
        <w:tabs>
          <w:tab w:leader="none" w:pos="17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No Fractional Shares</w:t>
      </w:r>
      <w:r>
        <w:rPr>
          <w:rFonts w:ascii="Arial" w:cs="Arial" w:eastAsia="Arial" w:hAnsi="Arial"/>
          <w:sz w:val="14"/>
          <w:szCs w:val="14"/>
          <w:color w:val="auto"/>
        </w:rPr>
        <w:t>. No fractional shares of Stock shall be required to be issued or delivered pursuant to the Plan or any Award. The Committee shall determine whether</w:t>
      </w:r>
    </w:p>
    <w:p>
      <w:pPr>
        <w:spacing w:after="0" w:line="7" w:lineRule="exact"/>
        <w:rPr>
          <w:rFonts w:ascii="Arial" w:cs="Arial" w:eastAsia="Arial" w:hAnsi="Arial"/>
          <w:sz w:val="14"/>
          <w:szCs w:val="14"/>
          <w:color w:val="auto"/>
        </w:rPr>
      </w:pPr>
    </w:p>
    <w:p>
      <w:pPr>
        <w:ind w:left="10" w:right="60"/>
        <w:spacing w:after="0"/>
        <w:rPr>
          <w:rFonts w:ascii="Arial" w:cs="Arial" w:eastAsia="Arial" w:hAnsi="Arial"/>
          <w:sz w:val="14"/>
          <w:szCs w:val="14"/>
          <w:color w:val="auto"/>
        </w:rPr>
      </w:pPr>
      <w:r>
        <w:rPr>
          <w:rFonts w:ascii="Arial" w:cs="Arial" w:eastAsia="Arial" w:hAnsi="Arial"/>
          <w:sz w:val="15"/>
          <w:szCs w:val="15"/>
          <w:color w:val="auto"/>
        </w:rPr>
        <w:t>cash, other Awards, or other property shall be issued or paid in lieu of such fractional shares of Stock or whether such fractional shares or any rights thereto shall be forfeited or otherwise eliminated.</w:t>
      </w:r>
    </w:p>
    <w:p>
      <w:pPr>
        <w:spacing w:after="0" w:line="60" w:lineRule="exact"/>
        <w:rPr>
          <w:rFonts w:ascii="Arial" w:cs="Arial" w:eastAsia="Arial" w:hAnsi="Arial"/>
          <w:sz w:val="14"/>
          <w:szCs w:val="14"/>
          <w:color w:val="auto"/>
        </w:rPr>
      </w:pPr>
    </w:p>
    <w:p>
      <w:pPr>
        <w:ind w:left="170" w:hanging="170"/>
        <w:spacing w:after="0"/>
        <w:tabs>
          <w:tab w:leader="none" w:pos="17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Regulations and Other Approvals</w:t>
      </w:r>
      <w:r>
        <w:rPr>
          <w:rFonts w:ascii="Arial" w:cs="Arial" w:eastAsia="Arial" w:hAnsi="Arial"/>
          <w:sz w:val="15"/>
          <w:szCs w:val="15"/>
          <w:color w:val="auto"/>
        </w:rPr>
        <w:t>.</w:t>
      </w:r>
    </w:p>
    <w:p>
      <w:pPr>
        <w:spacing w:after="0" w:line="63" w:lineRule="exact"/>
        <w:rPr>
          <w:rFonts w:ascii="Arial" w:cs="Arial" w:eastAsia="Arial" w:hAnsi="Arial"/>
          <w:sz w:val="15"/>
          <w:szCs w:val="15"/>
          <w:color w:val="auto"/>
        </w:rPr>
      </w:pPr>
    </w:p>
    <w:p>
      <w:pPr>
        <w:jc w:val="both"/>
        <w:ind w:left="10" w:right="120" w:firstLine="448"/>
        <w:spacing w:after="0" w:line="238" w:lineRule="auto"/>
        <w:tabs>
          <w:tab w:leader="none" w:pos="639"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obligation of the Company to sell or deliver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60" w:lineRule="exact"/>
        <w:rPr>
          <w:rFonts w:ascii="Arial" w:cs="Arial" w:eastAsia="Arial" w:hAnsi="Arial"/>
          <w:sz w:val="15"/>
          <w:szCs w:val="15"/>
          <w:color w:val="auto"/>
        </w:rPr>
      </w:pPr>
    </w:p>
    <w:p>
      <w:pPr>
        <w:ind w:left="10" w:right="140" w:firstLine="448"/>
        <w:spacing w:after="0" w:line="259" w:lineRule="auto"/>
        <w:tabs>
          <w:tab w:leader="none" w:pos="671"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Each Award is subject to the requirement that, if at any time the Committee determines, in its absolute discretion, that the listing, registration or qualification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such Award shall be granted or payment made or Stock issued, in whole or in part, unless listing, registration, qualification, consent or approval has been effected or obtained free of any conditions not acceptable to the Committee.</w:t>
      </w:r>
    </w:p>
    <w:p>
      <w:pPr>
        <w:spacing w:after="0" w:line="47" w:lineRule="exact"/>
        <w:rPr>
          <w:rFonts w:ascii="Arial" w:cs="Arial" w:eastAsia="Arial" w:hAnsi="Arial"/>
          <w:sz w:val="14"/>
          <w:szCs w:val="14"/>
          <w:color w:val="auto"/>
        </w:rPr>
      </w:pPr>
    </w:p>
    <w:p>
      <w:pPr>
        <w:ind w:left="10" w:firstLine="448"/>
        <w:spacing w:after="0" w:line="237" w:lineRule="auto"/>
        <w:tabs>
          <w:tab w:leader="none" w:pos="70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In the event that the disposition of Stock acquired pursuant to the Plan is not covered by a then current registration statement under the Securities Act and is not otherwise exempt from such registration, such Stock shall be restricted against transfer to the extent required by the Securities Act or regulations thereunder, and the Committee may require a Grantee receiving Stock pursuant to the Plan, as a condition precedent to receipt of such Stock, to represent to the Company in writing that the Stock acquired by such Grantee is acquired for investment only and not with a view to distribution.</w:t>
      </w:r>
    </w:p>
    <w:p>
      <w:pPr>
        <w:spacing w:after="0" w:line="61" w:lineRule="exact"/>
        <w:rPr>
          <w:rFonts w:ascii="Arial" w:cs="Arial" w:eastAsia="Arial" w:hAnsi="Arial"/>
          <w:sz w:val="15"/>
          <w:szCs w:val="15"/>
          <w:color w:val="auto"/>
        </w:rPr>
      </w:pPr>
    </w:p>
    <w:p>
      <w:pPr>
        <w:ind w:left="10" w:right="80" w:firstLine="448"/>
        <w:spacing w:after="0"/>
        <w:tabs>
          <w:tab w:leader="none" w:pos="712"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Committee may require a Grantee receiving Stock pursuant to the Plan, as a condition precedent to receipt of such Stock, to enter into a stockholder agreement or “lock-up” agreement in such form as the Committee shall determine is necessary or desirable to further the Company’s interests.</w:t>
      </w:r>
    </w:p>
    <w:p>
      <w:pPr>
        <w:spacing w:after="0" w:line="60" w:lineRule="exact"/>
        <w:rPr>
          <w:rFonts w:ascii="Arial" w:cs="Arial" w:eastAsia="Arial" w:hAnsi="Arial"/>
          <w:sz w:val="15"/>
          <w:szCs w:val="15"/>
          <w:color w:val="auto"/>
        </w:rPr>
      </w:pPr>
    </w:p>
    <w:p>
      <w:pPr>
        <w:ind w:left="10" w:right="100" w:hanging="10"/>
        <w:spacing w:after="0"/>
        <w:tabs>
          <w:tab w:leader="none" w:pos="221"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determinations made and actions taken pursuant hereto shall be governed by the laws of the State of Delaware without giving effect to the conflict of laws principles thereof.</w:t>
      </w:r>
    </w:p>
    <w:p>
      <w:pPr>
        <w:spacing w:after="0" w:line="128"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4939030</wp:posOffset>
            </wp:positionH>
            <wp:positionV relativeFrom="paragraph">
              <wp:posOffset>74930</wp:posOffset>
            </wp:positionV>
            <wp:extent cx="950595" cy="142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50595" cy="142875"/>
                    </a:xfrm>
                    <a:prstGeom prst="rect">
                      <a:avLst/>
                    </a:prstGeom>
                    <a:noFill/>
                  </pic:spPr>
                </pic:pic>
              </a:graphicData>
            </a:graphic>
          </wp:anchor>
        </w:drawing>
      </w:r>
    </w:p>
    <w:p>
      <w:pPr>
        <w:spacing w:after="0" w:line="105" w:lineRule="exact"/>
        <w:rPr>
          <w:sz w:val="20"/>
          <w:szCs w:val="20"/>
          <w:color w:val="auto"/>
        </w:rPr>
      </w:pPr>
    </w:p>
    <w:tbl>
      <w:tblPr>
        <w:tblLayout w:type="fixed"/>
        <w:tblInd w:w="9330" w:type="dxa"/>
        <w:tblCellMar>
          <w:top w:w="0" w:type="dxa"/>
          <w:left w:w="0" w:type="dxa"/>
          <w:bottom w:w="0" w:type="dxa"/>
          <w:right w:w="0" w:type="dxa"/>
        </w:tblCellMar>
      </w:tblPr>
      <w:tr>
        <w:trPr>
          <w:trHeight w:val="194"/>
        </w:trPr>
        <w:tc>
          <w:tcPr>
            <w:tcW w:w="1580" w:type="dxa"/>
            <w:vAlign w:val="bottom"/>
          </w:tcPr>
          <w:p>
            <w:pPr>
              <w:spacing w:after="0"/>
              <w:rPr>
                <w:sz w:val="20"/>
                <w:szCs w:val="20"/>
                <w:color w:val="auto"/>
              </w:rPr>
            </w:pPr>
            <w:r>
              <w:rPr>
                <w:rFonts w:ascii="Arial" w:cs="Arial" w:eastAsia="Arial" w:hAnsi="Arial"/>
                <w:sz w:val="15"/>
                <w:szCs w:val="15"/>
                <w:i w:val="1"/>
                <w:iCs w:val="1"/>
                <w:color w:val="auto"/>
              </w:rPr>
              <w:t>2014 Proxy Statement</w:t>
            </w:r>
          </w:p>
        </w:tc>
        <w:tc>
          <w:tcPr>
            <w:tcW w:w="440" w:type="dxa"/>
            <w:vAlign w:val="bottom"/>
          </w:tcPr>
          <w:p>
            <w:pPr>
              <w:ind w:left="140"/>
              <w:spacing w:after="0"/>
              <w:rPr>
                <w:sz w:val="20"/>
                <w:szCs w:val="20"/>
                <w:color w:val="auto"/>
              </w:rPr>
            </w:pPr>
            <w:r>
              <w:rPr>
                <w:rFonts w:ascii="Arial" w:cs="Arial" w:eastAsia="Arial" w:hAnsi="Arial"/>
                <w:sz w:val="15"/>
                <w:szCs w:val="15"/>
                <w:b w:val="1"/>
                <w:bCs w:val="1"/>
                <w:color w:val="auto"/>
                <w:w w:val="85"/>
              </w:rPr>
              <w:t>A-11</w:t>
            </w:r>
          </w:p>
        </w:tc>
      </w:tr>
    </w:tbl>
    <w:p>
      <w:pPr>
        <w:sectPr>
          <w:pgSz w:w="11900" w:h="16838" w:orient="portrait"/>
          <w:cols w:equalWidth="0" w:num="1">
            <w:col w:w="11410"/>
          </w:cols>
          <w:pgMar w:left="230" w:top="407" w:right="25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4131310</wp:posOffset>
            </wp:positionV>
            <wp:extent cx="1215390" cy="557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15390" cy="557530"/>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72" w:name="page73"/>
    <w:bookmarkEnd w:id="72"/>
    <w:p>
      <w:pPr>
        <w:ind w:left="10"/>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5989955" cy="1665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89955" cy="1665605"/>
                    </a:xfrm>
                    <a:prstGeom prst="rect">
                      <a:avLst/>
                    </a:prstGeom>
                    <a:noFill/>
                  </pic:spPr>
                </pic:pic>
              </a:graphicData>
            </a:graphic>
          </wp:anchor>
        </w:drawing>
      </w:r>
    </w:p>
    <w:p>
      <w:pPr>
        <w:sectPr>
          <w:pgSz w:w="11900" w:h="16838" w:orient="portrait"/>
          <w:cols w:equalWidth="0" w:num="1">
            <w:col w:w="11450"/>
          </w:cols>
          <w:pgMar w:left="230" w:top="40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 w:right="1160"/>
        <w:spacing w:after="0" w:line="275" w:lineRule="auto"/>
        <w:rPr>
          <w:sz w:val="20"/>
          <w:szCs w:val="20"/>
          <w:color w:val="auto"/>
        </w:rPr>
      </w:pPr>
      <w:r>
        <w:rPr>
          <w:rFonts w:ascii="Arial" w:cs="Arial" w:eastAsia="Arial" w:hAnsi="Arial"/>
          <w:sz w:val="11"/>
          <w:szCs w:val="11"/>
          <w:color w:val="auto"/>
        </w:rPr>
        <w:t xml:space="preserve">Using a </w:t>
      </w:r>
      <w:r>
        <w:rPr>
          <w:rFonts w:ascii="Arial" w:cs="Arial" w:eastAsia="Arial" w:hAnsi="Arial"/>
          <w:sz w:val="11"/>
          <w:szCs w:val="11"/>
          <w:b w:val="1"/>
          <w:bCs w:val="1"/>
          <w:u w:val="single" w:color="auto"/>
          <w:color w:val="auto"/>
        </w:rPr>
        <w:t>black ink</w:t>
      </w:r>
      <w:r>
        <w:rPr>
          <w:rFonts w:ascii="Arial" w:cs="Arial" w:eastAsia="Arial" w:hAnsi="Arial"/>
          <w:sz w:val="11"/>
          <w:szCs w:val="11"/>
          <w:color w:val="auto"/>
        </w:rPr>
        <w:t xml:space="preserve"> pen, mark your votes with an </w:t>
      </w:r>
      <w:r>
        <w:rPr>
          <w:rFonts w:ascii="Arial" w:cs="Arial" w:eastAsia="Arial" w:hAnsi="Arial"/>
          <w:sz w:val="11"/>
          <w:szCs w:val="11"/>
          <w:b w:val="1"/>
          <w:bCs w:val="1"/>
          <w:color w:val="auto"/>
        </w:rPr>
        <w:t>X</w:t>
      </w:r>
      <w:r>
        <w:rPr>
          <w:rFonts w:ascii="Arial" w:cs="Arial" w:eastAsia="Arial" w:hAnsi="Arial"/>
          <w:sz w:val="11"/>
          <w:szCs w:val="11"/>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Electronic Voting Instructions</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Available 24 hours a day, 7 days a week!</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Instead of mailing your proxy, you may choose one of the voting methods outlined below to vote your proxy.</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VALIDATION DETAILS ARE LOCATED BELOW IN THE TITLE BAR.</w:t>
      </w:r>
    </w:p>
    <w:p>
      <w:pPr>
        <w:spacing w:after="0" w:line="62" w:lineRule="exact"/>
        <w:rPr>
          <w:sz w:val="20"/>
          <w:szCs w:val="20"/>
          <w:color w:val="auto"/>
        </w:rPr>
      </w:pPr>
    </w:p>
    <w:p>
      <w:pPr>
        <w:ind w:left="840" w:right="160"/>
        <w:spacing w:after="0" w:line="275" w:lineRule="auto"/>
        <w:rPr>
          <w:sz w:val="20"/>
          <w:szCs w:val="20"/>
          <w:color w:val="auto"/>
        </w:rPr>
      </w:pPr>
      <w:r>
        <w:rPr>
          <w:rFonts w:ascii="Arial" w:cs="Arial" w:eastAsia="Arial" w:hAnsi="Arial"/>
          <w:sz w:val="11"/>
          <w:szCs w:val="11"/>
          <w:b w:val="1"/>
          <w:bCs w:val="1"/>
          <w:color w:val="auto"/>
        </w:rPr>
        <w:t xml:space="preserve">Proxies submitted by the Internet or telephone must be received by </w:t>
      </w:r>
      <w:r>
        <w:rPr>
          <w:rFonts w:ascii="Arial" w:cs="Arial" w:eastAsia="Arial" w:hAnsi="Arial"/>
          <w:sz w:val="11"/>
          <w:szCs w:val="11"/>
          <w:b w:val="1"/>
          <w:bCs w:val="1"/>
          <w:color w:val="00AEEF"/>
        </w:rPr>
        <w:t>11:59 p.m., Eastern Time, on May</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00AEEF"/>
        </w:rPr>
        <w:t>22, 2014.</w:t>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-99060</wp:posOffset>
            </wp:positionV>
            <wp:extent cx="414655" cy="414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14655" cy="414655"/>
                    </a:xfrm>
                    <a:prstGeom prst="rect">
                      <a:avLst/>
                    </a:prstGeom>
                    <a:noFill/>
                  </pic:spPr>
                </pic:pic>
              </a:graphicData>
            </a:graphic>
          </wp:anchor>
        </w:drawing>
      </w:r>
    </w:p>
    <w:p>
      <w:pPr>
        <w:spacing w:after="0" w:line="11" w:lineRule="exact"/>
        <w:rPr>
          <w:sz w:val="20"/>
          <w:szCs w:val="20"/>
          <w:color w:val="auto"/>
        </w:rPr>
      </w:pPr>
    </w:p>
    <w:p>
      <w:pPr>
        <w:ind w:left="1940" w:hanging="68"/>
        <w:spacing w:after="0"/>
        <w:tabs>
          <w:tab w:leader="none" w:pos="19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 xml:space="preserve">Go to </w:t>
      </w:r>
      <w:r>
        <w:rPr>
          <w:rFonts w:ascii="Arial" w:cs="Arial" w:eastAsia="Arial" w:hAnsi="Arial"/>
          <w:sz w:val="11"/>
          <w:szCs w:val="11"/>
          <w:b w:val="1"/>
          <w:bCs w:val="1"/>
          <w:color w:val="auto"/>
        </w:rPr>
        <w:t>www.envisionreports.com/CAR</w:t>
      </w:r>
    </w:p>
    <w:p>
      <w:pPr>
        <w:spacing w:after="0" w:line="56" w:lineRule="exact"/>
        <w:rPr>
          <w:rFonts w:ascii="Arial" w:cs="Arial" w:eastAsia="Arial" w:hAnsi="Arial"/>
          <w:sz w:val="11"/>
          <w:szCs w:val="11"/>
          <w:color w:val="auto"/>
        </w:rPr>
      </w:pPr>
    </w:p>
    <w:p>
      <w:pPr>
        <w:ind w:left="1940" w:hanging="68"/>
        <w:spacing w:after="0"/>
        <w:tabs>
          <w:tab w:leader="none" w:pos="19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Or scan the QR code with your smartphone</w:t>
      </w:r>
    </w:p>
    <w:p>
      <w:pPr>
        <w:spacing w:after="0" w:line="42" w:lineRule="exact"/>
        <w:rPr>
          <w:rFonts w:ascii="Arial" w:cs="Arial" w:eastAsia="Arial" w:hAnsi="Arial"/>
          <w:sz w:val="11"/>
          <w:szCs w:val="11"/>
          <w:color w:val="auto"/>
        </w:rPr>
      </w:pPr>
    </w:p>
    <w:p>
      <w:pPr>
        <w:ind w:left="1940" w:hanging="68"/>
        <w:spacing w:after="0"/>
        <w:tabs>
          <w:tab w:leader="none" w:pos="19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Follow the steps outlined on the secure website</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Vote by telephone</w:t>
      </w:r>
    </w:p>
    <w:p>
      <w:pPr>
        <w:spacing w:after="0" w:line="79" w:lineRule="exact"/>
        <w:rPr>
          <w:sz w:val="20"/>
          <w:szCs w:val="20"/>
          <w:color w:val="auto"/>
        </w:rPr>
      </w:pPr>
    </w:p>
    <w:p>
      <w:pPr>
        <w:ind w:left="1000" w:hanging="97"/>
        <w:spacing w:after="0"/>
        <w:tabs>
          <w:tab w:leader="none" w:pos="100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Call toll free 1-800-652-VOTE (8683) within the USA, US territories &amp;Canada on a touch tone telephone</w:t>
      </w:r>
    </w:p>
    <w:p>
      <w:pPr>
        <w:spacing w:after="0" w:line="76" w:lineRule="exact"/>
        <w:rPr>
          <w:rFonts w:ascii="Arial" w:cs="Arial" w:eastAsia="Arial" w:hAnsi="Arial"/>
          <w:sz w:val="11"/>
          <w:szCs w:val="11"/>
          <w:color w:val="auto"/>
        </w:rPr>
      </w:pPr>
    </w:p>
    <w:p>
      <w:pPr>
        <w:ind w:left="1000" w:hanging="97"/>
        <w:spacing w:after="0"/>
        <w:tabs>
          <w:tab w:leader="none" w:pos="100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Follow the instructions provided by the recorded message</w:t>
      </w:r>
    </w:p>
    <w:p>
      <w:pPr>
        <w:spacing w:after="0" w:line="212" w:lineRule="exact"/>
        <w:rPr>
          <w:sz w:val="20"/>
          <w:szCs w:val="20"/>
          <w:color w:val="auto"/>
        </w:rPr>
      </w:pPr>
    </w:p>
    <w:p>
      <w:pPr>
        <w:spacing w:after="0" w:line="271" w:lineRule="exact"/>
        <w:rPr>
          <w:sz w:val="20"/>
          <w:szCs w:val="20"/>
          <w:color w:val="auto"/>
        </w:rPr>
      </w:pPr>
      <w:r>
        <w:rPr>
          <w:rFonts w:ascii="MS PGothic" w:cs="MS PGothic" w:eastAsia="MS PGothic" w:hAnsi="MS PGothic"/>
          <w:sz w:val="27"/>
          <w:szCs w:val="2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128270</wp:posOffset>
            </wp:positionV>
            <wp:extent cx="5074920" cy="243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74920" cy="24320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4330" w:space="720"/>
            <w:col w:w="6400"/>
          </w:cols>
          <w:pgMar w:left="230" w:top="407" w:right="219" w:bottom="1440" w:gutter="0" w:footer="0" w:header="0"/>
          <w:type w:val="continuous"/>
        </w:sectPr>
      </w:pPr>
    </w:p>
    <w:p>
      <w:pPr>
        <w:spacing w:after="0" w:line="309" w:lineRule="exact"/>
        <w:rPr>
          <w:sz w:val="20"/>
          <w:szCs w:val="20"/>
          <w:color w:val="auto"/>
        </w:rPr>
      </w:pPr>
    </w:p>
    <w:p>
      <w:pPr>
        <w:jc w:val="center"/>
        <w:ind w:right="10"/>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1"/>
          <w:szCs w:val="11"/>
          <w:b w:val="1"/>
          <w:bCs w:val="1"/>
          <w:color w:val="auto"/>
        </w:rPr>
        <w:t>IF YOU HAVE NOT VOTED VIA THE INTERNET</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OR</w:t>
      </w:r>
      <w:r>
        <w:rPr>
          <w:rFonts w:ascii="Arial" w:cs="Arial" w:eastAsia="Arial" w:hAnsi="Arial"/>
          <w:sz w:val="11"/>
          <w:szCs w:val="11"/>
          <w:color w:val="auto"/>
        </w:rPr>
        <w:t xml:space="preserve"> </w:t>
      </w:r>
      <w:r>
        <w:rPr>
          <w:rFonts w:ascii="Arial" w:cs="Arial" w:eastAsia="Arial" w:hAnsi="Arial"/>
          <w:sz w:val="11"/>
          <w:szCs w:val="11"/>
          <w:b w:val="1"/>
          <w:bCs w:val="1"/>
          <w:color w:val="auto"/>
        </w:rPr>
        <w:t>TELEPHONE, FOLD ALONG THE PERFORATION, DETACH AND RETURN THE BOTTOM PORTION IN THE ENCLOSED ENVELOPE.</w:t>
      </w:r>
      <w:r>
        <w:rPr>
          <w:rFonts w:ascii="Arial" w:cs="Arial" w:eastAsia="Arial" w:hAnsi="Arial"/>
          <w:sz w:val="11"/>
          <w:szCs w:val="11"/>
          <w:color w:val="auto"/>
        </w:rPr>
        <w:t xml:space="preserve"> q</w:t>
      </w:r>
    </w:p>
    <w:p>
      <w:pPr>
        <w:spacing w:after="0" w:line="312" w:lineRule="exact"/>
        <w:rPr>
          <w:sz w:val="20"/>
          <w:szCs w:val="20"/>
          <w:color w:val="auto"/>
        </w:rPr>
      </w:pPr>
    </w:p>
    <w:p>
      <w:pPr>
        <w:ind w:left="1730" w:right="540" w:hanging="1695"/>
        <w:spacing w:after="0" w:line="260" w:lineRule="auto"/>
        <w:tabs>
          <w:tab w:leader="none" w:pos="368" w:val="left"/>
        </w:tabs>
        <w:numPr>
          <w:ilvl w:val="0"/>
          <w:numId w:val="103"/>
        </w:numPr>
        <w:rPr>
          <w:rFonts w:ascii="Arial" w:cs="Arial" w:eastAsia="Arial" w:hAnsi="Arial"/>
          <w:sz w:val="15"/>
          <w:szCs w:val="15"/>
          <w:b w:val="1"/>
          <w:bCs w:val="1"/>
          <w:color w:val="FFFFFF"/>
        </w:rPr>
      </w:pPr>
      <w:r>
        <w:rPr>
          <w:rFonts w:ascii="Arial" w:cs="Arial" w:eastAsia="Arial" w:hAnsi="Arial"/>
          <w:sz w:val="15"/>
          <w:szCs w:val="15"/>
          <w:b w:val="1"/>
          <w:bCs w:val="1"/>
          <w:color w:val="auto"/>
        </w:rPr>
        <w:t>Proposals —The Board of Directors unanimously recommends a vote “FOR” Items 1 - 4. This proxy will be voted as directed, or, if no direction is indicated, will be voted “FOR” Items 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149860" cy="1212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9860" cy="121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80"/>
        </w:trPr>
        <w:tc>
          <w:tcPr>
            <w:tcW w:w="1780" w:type="dxa"/>
            <w:vAlign w:val="bottom"/>
            <w:gridSpan w:val="2"/>
          </w:tcPr>
          <w:p>
            <w:pPr>
              <w:spacing w:after="0"/>
              <w:rPr>
                <w:sz w:val="20"/>
                <w:szCs w:val="20"/>
                <w:color w:val="auto"/>
              </w:rPr>
            </w:pPr>
            <w:r>
              <w:rPr>
                <w:rFonts w:ascii="Arial" w:cs="Arial" w:eastAsia="Arial" w:hAnsi="Arial"/>
                <w:sz w:val="11"/>
                <w:szCs w:val="11"/>
                <w:color w:val="auto"/>
              </w:rPr>
              <w:t>1.  Election of Directors:</w:t>
            </w:r>
          </w:p>
        </w:tc>
        <w:tc>
          <w:tcPr>
            <w:tcW w:w="640" w:type="dxa"/>
            <w:vAlign w:val="bottom"/>
          </w:tcPr>
          <w:p>
            <w:pPr>
              <w:ind w:left="340"/>
              <w:spacing w:after="0"/>
              <w:rPr>
                <w:sz w:val="20"/>
                <w:szCs w:val="20"/>
                <w:color w:val="auto"/>
              </w:rPr>
            </w:pPr>
            <w:r>
              <w:rPr>
                <w:rFonts w:ascii="Arial" w:cs="Arial" w:eastAsia="Arial" w:hAnsi="Arial"/>
                <w:sz w:val="11"/>
                <w:szCs w:val="11"/>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Abstain</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Arial" w:cs="Arial" w:eastAsia="Arial" w:hAnsi="Arial"/>
                <w:sz w:val="11"/>
                <w:szCs w:val="11"/>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Abstain</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11"/>
                <w:szCs w:val="11"/>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 xml:space="preserve">Abstain   </w:t>
            </w:r>
            <w:r>
              <w:rPr>
                <w:rFonts w:ascii="Arial" w:cs="Arial" w:eastAsia="Arial" w:hAnsi="Arial"/>
                <w:sz w:val="36"/>
                <w:szCs w:val="36"/>
                <w:b w:val="1"/>
                <w:bCs w:val="1"/>
                <w:color w:val="auto"/>
              </w:rPr>
              <w:t>+</w:t>
            </w:r>
          </w:p>
        </w:tc>
        <w:tc>
          <w:tcPr>
            <w:tcW w:w="0" w:type="dxa"/>
            <w:vAlign w:val="bottom"/>
          </w:tcPr>
          <w:p>
            <w:pPr>
              <w:spacing w:after="0"/>
              <w:rPr>
                <w:sz w:val="1"/>
                <w:szCs w:val="1"/>
                <w:color w:val="auto"/>
              </w:rPr>
            </w:pPr>
          </w:p>
        </w:tc>
      </w:tr>
      <w:tr>
        <w:trPr>
          <w:trHeight w:val="455"/>
        </w:trPr>
        <w:tc>
          <w:tcPr>
            <w:tcW w:w="360" w:type="dxa"/>
            <w:vAlign w:val="bottom"/>
          </w:tcPr>
          <w:p>
            <w:pPr>
              <w:ind w:left="200"/>
              <w:spacing w:after="0"/>
              <w:rPr>
                <w:sz w:val="20"/>
                <w:szCs w:val="20"/>
                <w:color w:val="auto"/>
              </w:rPr>
            </w:pPr>
            <w:r>
              <w:rPr>
                <w:rFonts w:ascii="Arial" w:cs="Arial" w:eastAsia="Arial" w:hAnsi="Arial"/>
                <w:sz w:val="11"/>
                <w:szCs w:val="11"/>
                <w:color w:val="auto"/>
                <w:w w:val="91"/>
              </w:rPr>
              <w:t>1.1</w:t>
            </w:r>
          </w:p>
        </w:tc>
        <w:tc>
          <w:tcPr>
            <w:tcW w:w="1420" w:type="dxa"/>
            <w:vAlign w:val="bottom"/>
          </w:tcPr>
          <w:p>
            <w:pPr>
              <w:ind w:left="20"/>
              <w:spacing w:after="0"/>
              <w:rPr>
                <w:sz w:val="20"/>
                <w:szCs w:val="20"/>
                <w:color w:val="auto"/>
              </w:rPr>
            </w:pPr>
            <w:r>
              <w:rPr>
                <w:rFonts w:ascii="Arial" w:cs="Arial" w:eastAsia="Arial" w:hAnsi="Arial"/>
                <w:sz w:val="11"/>
                <w:szCs w:val="11"/>
                <w:color w:val="auto"/>
              </w:rPr>
              <w:t>Ronald L. Nelson</w:t>
            </w:r>
          </w:p>
        </w:tc>
        <w:tc>
          <w:tcPr>
            <w:tcW w:w="640" w:type="dxa"/>
            <w:vAlign w:val="bottom"/>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1680" w:type="dxa"/>
            <w:vAlign w:val="bottom"/>
            <w:gridSpan w:val="2"/>
          </w:tcPr>
          <w:p>
            <w:pPr>
              <w:ind w:left="100"/>
              <w:spacing w:after="0"/>
              <w:rPr>
                <w:sz w:val="20"/>
                <w:szCs w:val="20"/>
                <w:color w:val="auto"/>
              </w:rPr>
            </w:pPr>
            <w:r>
              <w:rPr>
                <w:rFonts w:ascii="Arial" w:cs="Arial" w:eastAsia="Arial" w:hAnsi="Arial"/>
                <w:sz w:val="11"/>
                <w:szCs w:val="11"/>
                <w:color w:val="auto"/>
              </w:rPr>
              <w:t>1.2 Alun Cathcart</w:t>
            </w:r>
          </w:p>
        </w:tc>
        <w:tc>
          <w:tcPr>
            <w:tcW w:w="800" w:type="dxa"/>
            <w:vAlign w:val="bottom"/>
          </w:tcPr>
          <w:p>
            <w:pPr>
              <w:ind w:left="44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1.3</w:t>
            </w:r>
          </w:p>
        </w:tc>
        <w:tc>
          <w:tcPr>
            <w:tcW w:w="1380" w:type="dxa"/>
            <w:vAlign w:val="bottom"/>
          </w:tcPr>
          <w:p>
            <w:pPr>
              <w:ind w:left="20"/>
              <w:spacing w:after="0"/>
              <w:rPr>
                <w:sz w:val="20"/>
                <w:szCs w:val="20"/>
                <w:color w:val="auto"/>
              </w:rPr>
            </w:pPr>
            <w:r>
              <w:rPr>
                <w:rFonts w:ascii="Arial" w:cs="Arial" w:eastAsia="Arial" w:hAnsi="Arial"/>
                <w:sz w:val="11"/>
                <w:szCs w:val="11"/>
                <w:color w:val="auto"/>
              </w:rPr>
              <w:t>Mary C. Choksi</w:t>
            </w:r>
          </w:p>
        </w:tc>
        <w:tc>
          <w:tcPr>
            <w:tcW w:w="840" w:type="dxa"/>
            <w:vAlign w:val="bottom"/>
          </w:tcPr>
          <w:p>
            <w:pPr>
              <w:ind w:left="480"/>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88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405"/>
        </w:trPr>
        <w:tc>
          <w:tcPr>
            <w:tcW w:w="360" w:type="dxa"/>
            <w:vAlign w:val="bottom"/>
          </w:tcPr>
          <w:p>
            <w:pPr>
              <w:ind w:left="200"/>
              <w:spacing w:after="0"/>
              <w:rPr>
                <w:sz w:val="20"/>
                <w:szCs w:val="20"/>
                <w:color w:val="auto"/>
              </w:rPr>
            </w:pPr>
            <w:r>
              <w:rPr>
                <w:rFonts w:ascii="Arial" w:cs="Arial" w:eastAsia="Arial" w:hAnsi="Arial"/>
                <w:sz w:val="11"/>
                <w:szCs w:val="11"/>
                <w:color w:val="auto"/>
                <w:w w:val="91"/>
              </w:rPr>
              <w:t>1.4</w:t>
            </w:r>
          </w:p>
        </w:tc>
        <w:tc>
          <w:tcPr>
            <w:tcW w:w="1420" w:type="dxa"/>
            <w:vAlign w:val="bottom"/>
          </w:tcPr>
          <w:p>
            <w:pPr>
              <w:ind w:left="20"/>
              <w:spacing w:after="0"/>
              <w:rPr>
                <w:sz w:val="20"/>
                <w:szCs w:val="20"/>
                <w:color w:val="auto"/>
              </w:rPr>
            </w:pPr>
            <w:r>
              <w:rPr>
                <w:rFonts w:ascii="Arial" w:cs="Arial" w:eastAsia="Arial" w:hAnsi="Arial"/>
                <w:sz w:val="11"/>
                <w:szCs w:val="11"/>
                <w:color w:val="auto"/>
              </w:rPr>
              <w:t>Leonard S. Coleman</w:t>
            </w:r>
          </w:p>
        </w:tc>
        <w:tc>
          <w:tcPr>
            <w:tcW w:w="640" w:type="dxa"/>
            <w:vAlign w:val="bottom"/>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ind w:left="100"/>
              <w:spacing w:after="0"/>
              <w:rPr>
                <w:sz w:val="20"/>
                <w:szCs w:val="20"/>
                <w:color w:val="auto"/>
              </w:rPr>
            </w:pPr>
            <w:r>
              <w:rPr>
                <w:rFonts w:ascii="Arial" w:cs="Arial" w:eastAsia="Arial" w:hAnsi="Arial"/>
                <w:sz w:val="11"/>
                <w:szCs w:val="11"/>
                <w:color w:val="auto"/>
                <w:w w:val="91"/>
              </w:rPr>
              <w:t>1.5</w:t>
            </w:r>
          </w:p>
        </w:tc>
        <w:tc>
          <w:tcPr>
            <w:tcW w:w="1420" w:type="dxa"/>
            <w:vAlign w:val="bottom"/>
          </w:tcPr>
          <w:p>
            <w:pPr>
              <w:ind w:left="20"/>
              <w:spacing w:after="0"/>
              <w:rPr>
                <w:sz w:val="20"/>
                <w:szCs w:val="20"/>
                <w:color w:val="auto"/>
              </w:rPr>
            </w:pPr>
            <w:r>
              <w:rPr>
                <w:rFonts w:ascii="Arial" w:cs="Arial" w:eastAsia="Arial" w:hAnsi="Arial"/>
                <w:sz w:val="11"/>
                <w:szCs w:val="11"/>
                <w:color w:val="auto"/>
              </w:rPr>
              <w:t>Jeffrey H. Fox</w:t>
            </w:r>
          </w:p>
        </w:tc>
        <w:tc>
          <w:tcPr>
            <w:tcW w:w="800" w:type="dxa"/>
            <w:vAlign w:val="bottom"/>
          </w:tcPr>
          <w:p>
            <w:pPr>
              <w:ind w:left="44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1.6</w:t>
            </w:r>
          </w:p>
        </w:tc>
        <w:tc>
          <w:tcPr>
            <w:tcW w:w="1380" w:type="dxa"/>
            <w:vAlign w:val="bottom"/>
          </w:tcPr>
          <w:p>
            <w:pPr>
              <w:ind w:left="20"/>
              <w:spacing w:after="0"/>
              <w:rPr>
                <w:sz w:val="20"/>
                <w:szCs w:val="20"/>
                <w:color w:val="auto"/>
              </w:rPr>
            </w:pPr>
            <w:r>
              <w:rPr>
                <w:rFonts w:ascii="Arial" w:cs="Arial" w:eastAsia="Arial" w:hAnsi="Arial"/>
                <w:sz w:val="11"/>
                <w:szCs w:val="11"/>
                <w:color w:val="auto"/>
              </w:rPr>
              <w:t>John D. Hardy, Jr.</w:t>
            </w:r>
          </w:p>
        </w:tc>
        <w:tc>
          <w:tcPr>
            <w:tcW w:w="840" w:type="dxa"/>
            <w:vAlign w:val="bottom"/>
          </w:tcPr>
          <w:p>
            <w:pPr>
              <w:ind w:left="480"/>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88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405"/>
        </w:trPr>
        <w:tc>
          <w:tcPr>
            <w:tcW w:w="360" w:type="dxa"/>
            <w:vAlign w:val="bottom"/>
          </w:tcPr>
          <w:p>
            <w:pPr>
              <w:ind w:left="200"/>
              <w:spacing w:after="0"/>
              <w:rPr>
                <w:sz w:val="20"/>
                <w:szCs w:val="20"/>
                <w:color w:val="auto"/>
              </w:rPr>
            </w:pPr>
            <w:r>
              <w:rPr>
                <w:rFonts w:ascii="Arial" w:cs="Arial" w:eastAsia="Arial" w:hAnsi="Arial"/>
                <w:sz w:val="11"/>
                <w:szCs w:val="11"/>
                <w:color w:val="auto"/>
                <w:w w:val="91"/>
              </w:rPr>
              <w:t>1.7</w:t>
            </w:r>
          </w:p>
        </w:tc>
        <w:tc>
          <w:tcPr>
            <w:tcW w:w="1420" w:type="dxa"/>
            <w:vAlign w:val="bottom"/>
          </w:tcPr>
          <w:p>
            <w:pPr>
              <w:ind w:left="20"/>
              <w:spacing w:after="0"/>
              <w:rPr>
                <w:sz w:val="20"/>
                <w:szCs w:val="20"/>
                <w:color w:val="auto"/>
              </w:rPr>
            </w:pPr>
            <w:r>
              <w:rPr>
                <w:rFonts w:ascii="Arial" w:cs="Arial" w:eastAsia="Arial" w:hAnsi="Arial"/>
                <w:sz w:val="11"/>
                <w:szCs w:val="11"/>
                <w:color w:val="auto"/>
              </w:rPr>
              <w:t>Lynn Krominga</w:t>
            </w:r>
          </w:p>
        </w:tc>
        <w:tc>
          <w:tcPr>
            <w:tcW w:w="640" w:type="dxa"/>
            <w:vAlign w:val="bottom"/>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ind w:left="100"/>
              <w:spacing w:after="0"/>
              <w:rPr>
                <w:sz w:val="20"/>
                <w:szCs w:val="20"/>
                <w:color w:val="auto"/>
              </w:rPr>
            </w:pPr>
            <w:r>
              <w:rPr>
                <w:rFonts w:ascii="Arial" w:cs="Arial" w:eastAsia="Arial" w:hAnsi="Arial"/>
                <w:sz w:val="11"/>
                <w:szCs w:val="11"/>
                <w:color w:val="auto"/>
                <w:w w:val="91"/>
              </w:rPr>
              <w:t>1.8</w:t>
            </w:r>
          </w:p>
        </w:tc>
        <w:tc>
          <w:tcPr>
            <w:tcW w:w="1420" w:type="dxa"/>
            <w:vAlign w:val="bottom"/>
          </w:tcPr>
          <w:p>
            <w:pPr>
              <w:ind w:left="20"/>
              <w:spacing w:after="0"/>
              <w:rPr>
                <w:sz w:val="20"/>
                <w:szCs w:val="20"/>
                <w:color w:val="auto"/>
              </w:rPr>
            </w:pPr>
            <w:r>
              <w:rPr>
                <w:rFonts w:ascii="Arial" w:cs="Arial" w:eastAsia="Arial" w:hAnsi="Arial"/>
                <w:sz w:val="11"/>
                <w:szCs w:val="11"/>
                <w:color w:val="auto"/>
              </w:rPr>
              <w:t>Eduardo G. Mestre</w:t>
            </w:r>
          </w:p>
        </w:tc>
        <w:tc>
          <w:tcPr>
            <w:tcW w:w="800" w:type="dxa"/>
            <w:vAlign w:val="bottom"/>
          </w:tcPr>
          <w:p>
            <w:pPr>
              <w:ind w:left="44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1.9</w:t>
            </w:r>
          </w:p>
        </w:tc>
        <w:tc>
          <w:tcPr>
            <w:tcW w:w="1380" w:type="dxa"/>
            <w:vAlign w:val="bottom"/>
          </w:tcPr>
          <w:p>
            <w:pPr>
              <w:ind w:left="20"/>
              <w:spacing w:after="0"/>
              <w:rPr>
                <w:sz w:val="20"/>
                <w:szCs w:val="20"/>
                <w:color w:val="auto"/>
              </w:rPr>
            </w:pPr>
            <w:r>
              <w:rPr>
                <w:rFonts w:ascii="Arial" w:cs="Arial" w:eastAsia="Arial" w:hAnsi="Arial"/>
                <w:sz w:val="11"/>
                <w:szCs w:val="11"/>
                <w:color w:val="auto"/>
              </w:rPr>
              <w:t>F. Robert Salerno</w:t>
            </w:r>
          </w:p>
        </w:tc>
        <w:tc>
          <w:tcPr>
            <w:tcW w:w="840" w:type="dxa"/>
            <w:vAlign w:val="bottom"/>
          </w:tcPr>
          <w:p>
            <w:pPr>
              <w:ind w:left="480"/>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880" w:type="dxa"/>
            <w:vAlign w:val="bottom"/>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58"/>
        </w:trPr>
        <w:tc>
          <w:tcPr>
            <w:tcW w:w="1780" w:type="dxa"/>
            <w:vAlign w:val="bottom"/>
            <w:gridSpan w:val="2"/>
            <w:vMerge w:val="restart"/>
          </w:tcPr>
          <w:p>
            <w:pPr>
              <w:ind w:left="200"/>
              <w:spacing w:after="0"/>
              <w:rPr>
                <w:sz w:val="20"/>
                <w:szCs w:val="20"/>
                <w:color w:val="auto"/>
              </w:rPr>
            </w:pPr>
            <w:r>
              <w:rPr>
                <w:rFonts w:ascii="Arial" w:cs="Arial" w:eastAsia="Arial" w:hAnsi="Arial"/>
                <w:sz w:val="11"/>
                <w:szCs w:val="11"/>
                <w:color w:val="auto"/>
              </w:rPr>
              <w:t>1.10 Stender E. Sweeney</w:t>
            </w:r>
          </w:p>
        </w:tc>
        <w:tc>
          <w:tcPr>
            <w:tcW w:w="640" w:type="dxa"/>
            <w:vAlign w:val="bottom"/>
          </w:tcPr>
          <w:p>
            <w:pPr>
              <w:ind w:left="300"/>
              <w:spacing w:after="0" w:line="258" w:lineRule="exact"/>
              <w:rPr>
                <w:sz w:val="20"/>
                <w:szCs w:val="20"/>
                <w:color w:val="auto"/>
              </w:rPr>
            </w:pPr>
            <w:r>
              <w:rPr>
                <w:rFonts w:ascii="MS PGothic" w:cs="MS PGothic" w:eastAsia="MS PGothic" w:hAnsi="MS PGothic"/>
                <w:sz w:val="27"/>
                <w:szCs w:val="27"/>
                <w:color w:val="auto"/>
              </w:rPr>
              <w:t>☐</w:t>
            </w:r>
          </w:p>
        </w:tc>
        <w:tc>
          <w:tcPr>
            <w:tcW w:w="660" w:type="dxa"/>
            <w:vAlign w:val="bottom"/>
          </w:tcPr>
          <w:p>
            <w:pPr>
              <w:jc w:val="center"/>
              <w:spacing w:after="0" w:line="258" w:lineRule="exact"/>
              <w:rPr>
                <w:sz w:val="20"/>
                <w:szCs w:val="20"/>
                <w:color w:val="auto"/>
              </w:rPr>
            </w:pPr>
            <w:r>
              <w:rPr>
                <w:rFonts w:ascii="MS PGothic" w:cs="MS PGothic" w:eastAsia="MS PGothic" w:hAnsi="MS PGothic"/>
                <w:sz w:val="27"/>
                <w:szCs w:val="27"/>
                <w:color w:val="auto"/>
                <w:w w:val="88"/>
              </w:rPr>
              <w:t>☐</w:t>
            </w:r>
          </w:p>
        </w:tc>
        <w:tc>
          <w:tcPr>
            <w:tcW w:w="620" w:type="dxa"/>
            <w:vAlign w:val="bottom"/>
          </w:tcPr>
          <w:p>
            <w:pPr>
              <w:jc w:val="center"/>
              <w:spacing w:after="0" w:line="258" w:lineRule="exact"/>
              <w:rPr>
                <w:sz w:val="20"/>
                <w:szCs w:val="20"/>
                <w:color w:val="auto"/>
              </w:rPr>
            </w:pPr>
            <w:r>
              <w:rPr>
                <w:rFonts w:ascii="MS PGothic" w:cs="MS PGothic" w:eastAsia="MS PGothic" w:hAnsi="MS PGothic"/>
                <w:sz w:val="27"/>
                <w:szCs w:val="27"/>
                <w:color w:val="auto"/>
                <w:w w:val="88"/>
              </w:rPr>
              <w:t>☐</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17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50"/>
          </w:cols>
          <w:pgMar w:left="230" w:top="407" w:right="219" w:bottom="1440" w:gutter="0" w:footer="0" w:header="0"/>
          <w:type w:val="continuous"/>
        </w:sectPr>
      </w:pPr>
    </w:p>
    <w:p>
      <w:pPr>
        <w:spacing w:after="0" w:line="364" w:lineRule="exact"/>
        <w:rPr>
          <w:sz w:val="20"/>
          <w:szCs w:val="20"/>
          <w:color w:val="auto"/>
        </w:rPr>
      </w:pPr>
    </w:p>
    <w:p>
      <w:pPr>
        <w:ind w:left="210" w:right="160" w:hanging="210"/>
        <w:spacing w:after="0" w:line="248" w:lineRule="auto"/>
        <w:tabs>
          <w:tab w:leader="none" w:pos="21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To ratify the appointment of Deloitte &amp; Touche LLP as the Company’s independent registered public accounting firm for fiscal year 2014.</w:t>
      </w:r>
    </w:p>
    <w:p>
      <w:pPr>
        <w:spacing w:after="0" w:line="144" w:lineRule="exact"/>
        <w:rPr>
          <w:sz w:val="20"/>
          <w:szCs w:val="20"/>
          <w:color w:val="auto"/>
        </w:rPr>
      </w:pPr>
    </w:p>
    <w:p>
      <w:pPr>
        <w:ind w:left="210" w:hanging="210"/>
        <w:spacing w:after="0" w:line="248" w:lineRule="auto"/>
        <w:tabs>
          <w:tab w:leader="none" w:pos="21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Approval of the Avis Budget Group, Inc. Amended and Restated Equity and Incentive Plan.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20"/>
        <w:spacing w:after="0"/>
        <w:tabs>
          <w:tab w:leader="none" w:pos="460" w:val="left"/>
          <w:tab w:leader="none" w:pos="1140" w:val="left"/>
          <w:tab w:leader="none" w:pos="4860" w:val="left"/>
          <w:tab w:leader="none" w:pos="5340" w:val="left"/>
          <w:tab w:leader="none" w:pos="6060"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w:t>
      </w:r>
      <w:r>
        <w:rPr>
          <w:sz w:val="20"/>
          <w:szCs w:val="20"/>
          <w:color w:val="auto"/>
        </w:rPr>
        <w:tab/>
      </w:r>
      <w:r>
        <w:rPr>
          <w:rFonts w:ascii="Arial" w:cs="Arial" w:eastAsia="Arial" w:hAnsi="Arial"/>
          <w:sz w:val="11"/>
          <w:szCs w:val="11"/>
          <w:b w:val="1"/>
          <w:bCs w:val="1"/>
          <w:color w:val="auto"/>
        </w:rPr>
        <w:t>Abstain</w:t>
      </w:r>
      <w:r>
        <w:rPr>
          <w:sz w:val="20"/>
          <w:szCs w:val="20"/>
          <w:color w:val="auto"/>
        </w:rPr>
        <w:tab/>
      </w: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w:t>
      </w:r>
      <w:r>
        <w:rPr>
          <w:sz w:val="20"/>
          <w:szCs w:val="20"/>
          <w:color w:val="auto"/>
        </w:rPr>
        <w:tab/>
      </w:r>
      <w:r>
        <w:rPr>
          <w:rFonts w:ascii="Arial" w:cs="Arial" w:eastAsia="Arial" w:hAnsi="Arial"/>
          <w:sz w:val="11"/>
          <w:szCs w:val="11"/>
          <w:b w:val="1"/>
          <w:bCs w:val="1"/>
          <w:color w:val="auto"/>
        </w:rPr>
        <w:t>Abstain</w:t>
      </w: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line="203" w:lineRule="exact"/>
              <w:rPr>
                <w:sz w:val="20"/>
                <w:szCs w:val="20"/>
                <w:color w:val="auto"/>
              </w:rPr>
            </w:pPr>
            <w:r>
              <w:rPr>
                <w:rFonts w:ascii="MS PGothic" w:cs="MS PGothic" w:eastAsia="MS PGothic" w:hAnsi="MS PGothic"/>
                <w:sz w:val="27"/>
                <w:szCs w:val="27"/>
                <w:color w:val="auto"/>
              </w:rPr>
              <w:t>☐</w:t>
            </w:r>
          </w:p>
        </w:tc>
        <w:tc>
          <w:tcPr>
            <w:tcW w:w="620" w:type="dxa"/>
            <w:vAlign w:val="bottom"/>
          </w:tcPr>
          <w:p>
            <w:pPr>
              <w:ind w:left="160"/>
              <w:spacing w:after="0" w:line="203" w:lineRule="exact"/>
              <w:rPr>
                <w:sz w:val="20"/>
                <w:szCs w:val="20"/>
                <w:color w:val="auto"/>
              </w:rPr>
            </w:pPr>
            <w:r>
              <w:rPr>
                <w:rFonts w:ascii="MS PGothic" w:cs="MS PGothic" w:eastAsia="MS PGothic" w:hAnsi="MS PGothic"/>
                <w:sz w:val="27"/>
                <w:szCs w:val="27"/>
                <w:color w:val="auto"/>
              </w:rPr>
              <w:t>☐</w:t>
            </w:r>
          </w:p>
        </w:tc>
        <w:tc>
          <w:tcPr>
            <w:tcW w:w="600" w:type="dxa"/>
            <w:vAlign w:val="bottom"/>
          </w:tcPr>
          <w:p>
            <w:pPr>
              <w:ind w:left="220"/>
              <w:spacing w:after="0" w:line="203" w:lineRule="exact"/>
              <w:rPr>
                <w:sz w:val="20"/>
                <w:szCs w:val="20"/>
                <w:color w:val="auto"/>
              </w:rPr>
            </w:pPr>
            <w:r>
              <w:rPr>
                <w:rFonts w:ascii="MS PGothic" w:cs="MS PGothic" w:eastAsia="MS PGothic" w:hAnsi="MS PGothic"/>
                <w:sz w:val="27"/>
                <w:szCs w:val="27"/>
                <w:color w:val="auto"/>
              </w:rPr>
              <w:t>☐</w:t>
            </w:r>
          </w:p>
        </w:tc>
        <w:tc>
          <w:tcPr>
            <w:tcW w:w="3100" w:type="dxa"/>
            <w:vAlign w:val="bottom"/>
            <w:vMerge w:val="restart"/>
          </w:tcPr>
          <w:p>
            <w:pPr>
              <w:ind w:left="140"/>
              <w:spacing w:after="0"/>
              <w:rPr>
                <w:sz w:val="20"/>
                <w:szCs w:val="20"/>
                <w:color w:val="auto"/>
              </w:rPr>
            </w:pPr>
            <w:r>
              <w:rPr>
                <w:rFonts w:ascii="Arial" w:cs="Arial" w:eastAsia="Arial" w:hAnsi="Arial"/>
                <w:sz w:val="11"/>
                <w:szCs w:val="11"/>
                <w:color w:val="auto"/>
              </w:rPr>
              <w:t>3.  Advisory approval of the compensation of our named</w:t>
            </w:r>
          </w:p>
        </w:tc>
        <w:tc>
          <w:tcPr>
            <w:tcW w:w="1700" w:type="dxa"/>
            <w:vAlign w:val="bottom"/>
          </w:tcPr>
          <w:p>
            <w:pPr>
              <w:ind w:left="120"/>
              <w:spacing w:after="0" w:line="203" w:lineRule="exact"/>
              <w:rPr>
                <w:sz w:val="20"/>
                <w:szCs w:val="20"/>
                <w:color w:val="auto"/>
              </w:rPr>
            </w:pPr>
            <w:r>
              <w:rPr>
                <w:rFonts w:ascii="MS PGothic" w:cs="MS PGothic" w:eastAsia="MS PGothic" w:hAnsi="MS PGothic"/>
                <w:sz w:val="27"/>
                <w:szCs w:val="27"/>
                <w:color w:val="auto"/>
              </w:rPr>
              <w:t>☐  ☐  ☐</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ind w:left="340"/>
              <w:spacing w:after="0"/>
              <w:rPr>
                <w:sz w:val="20"/>
                <w:szCs w:val="20"/>
                <w:color w:val="auto"/>
              </w:rPr>
            </w:pPr>
            <w:r>
              <w:rPr>
                <w:rFonts w:ascii="Arial" w:cs="Arial" w:eastAsia="Arial" w:hAnsi="Arial"/>
                <w:sz w:val="11"/>
                <w:szCs w:val="11"/>
                <w:color w:val="auto"/>
              </w:rPr>
              <w:t>executive officers.</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60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3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2">
            <w:col w:w="4450" w:space="440"/>
            <w:col w:w="6560"/>
          </w:cols>
          <w:pgMar w:left="230" w:top="407" w:right="219" w:bottom="1440" w:gutter="0" w:footer="0" w:header="0"/>
          <w:type w:val="continuous"/>
        </w:sectPr>
      </w:pPr>
    </w:p>
    <w:p>
      <w:pPr>
        <w:ind w:left="350" w:hanging="309"/>
        <w:spacing w:after="0"/>
        <w:tabs>
          <w:tab w:leader="none" w:pos="350" w:val="left"/>
        </w:tabs>
        <w:numPr>
          <w:ilvl w:val="0"/>
          <w:numId w:val="106"/>
        </w:numPr>
        <w:rPr>
          <w:rFonts w:ascii="Arial" w:cs="Arial" w:eastAsia="Arial" w:hAnsi="Arial"/>
          <w:sz w:val="15"/>
          <w:szCs w:val="15"/>
          <w:b w:val="1"/>
          <w:bCs w:val="1"/>
          <w:color w:val="FFFFFF"/>
        </w:rPr>
      </w:pPr>
      <w:r>
        <w:rPr>
          <w:rFonts w:ascii="Arial" w:cs="Arial" w:eastAsia="Arial" w:hAnsi="Arial"/>
          <w:sz w:val="15"/>
          <w:szCs w:val="15"/>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49860" cy="1073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9860" cy="107315"/>
                    </a:xfrm>
                    <a:prstGeom prst="rect">
                      <a:avLst/>
                    </a:prstGeom>
                    <a:noFill/>
                  </pic:spPr>
                </pic:pic>
              </a:graphicData>
            </a:graphic>
          </wp:anchor>
        </w:drawing>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1"/>
          <w:szCs w:val="11"/>
          <w:b w:val="1"/>
          <w:bCs w:val="1"/>
          <w:color w:val="auto"/>
        </w:rPr>
        <w:t>NOTE: Please sign as name appears hereon. Joint owners should each sign. When signing as attorney, executor, administrator, trustee or guardian, please give full title as such.</w:t>
      </w:r>
    </w:p>
    <w:p>
      <w:pPr>
        <w:spacing w:after="0" w:line="180" w:lineRule="exact"/>
        <w:rPr>
          <w:sz w:val="20"/>
          <w:szCs w:val="20"/>
          <w:color w:val="auto"/>
        </w:rPr>
      </w:pPr>
    </w:p>
    <w:p>
      <w:pPr>
        <w:ind w:left="10"/>
        <w:spacing w:after="0"/>
        <w:tabs>
          <w:tab w:leader="none" w:pos="3870" w:val="left"/>
          <w:tab w:leader="none" w:pos="7770" w:val="left"/>
        </w:tabs>
        <w:rPr>
          <w:sz w:val="20"/>
          <w:szCs w:val="20"/>
          <w:color w:val="auto"/>
        </w:rPr>
      </w:pPr>
      <w:r>
        <w:rPr>
          <w:rFonts w:ascii="Arial" w:cs="Arial" w:eastAsia="Arial" w:hAnsi="Arial"/>
          <w:sz w:val="11"/>
          <w:szCs w:val="11"/>
          <w:color w:val="auto"/>
        </w:rPr>
        <w:t>Date (mm/dd/yyyy) — Please print date below.</w:t>
      </w:r>
      <w:r>
        <w:rPr>
          <w:sz w:val="20"/>
          <w:szCs w:val="20"/>
          <w:color w:val="auto"/>
        </w:rPr>
        <w:tab/>
      </w:r>
      <w:r>
        <w:rPr>
          <w:rFonts w:ascii="Arial" w:cs="Arial" w:eastAsia="Arial" w:hAnsi="Arial"/>
          <w:sz w:val="11"/>
          <w:szCs w:val="11"/>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76465" cy="278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6465" cy="278765"/>
                    </a:xfrm>
                    <a:prstGeom prst="rect">
                      <a:avLst/>
                    </a:prstGeom>
                    <a:noFill/>
                  </pic:spPr>
                </pic:pic>
              </a:graphicData>
            </a:graphic>
          </wp:anchor>
        </w:drawing>
      </w:r>
    </w:p>
    <w:p>
      <w:pPr>
        <w:ind w:left="910"/>
        <w:spacing w:after="0"/>
        <w:tabs>
          <w:tab w:leader="none" w:pos="1790" w:val="left"/>
        </w:tabs>
        <w:rPr>
          <w:sz w:val="20"/>
          <w:szCs w:val="20"/>
          <w:color w:val="auto"/>
        </w:rPr>
      </w:pPr>
      <w:r>
        <w:rPr>
          <w:rFonts w:ascii="Arial" w:cs="Arial" w:eastAsia="Arial" w:hAnsi="Arial"/>
          <w:sz w:val="36"/>
          <w:szCs w:val="36"/>
          <w:color w:val="auto"/>
        </w:rPr>
        <w:t>/</w:t>
      </w:r>
      <w:r>
        <w:rPr>
          <w:sz w:val="20"/>
          <w:szCs w:val="20"/>
          <w:color w:val="auto"/>
        </w:rPr>
        <w:tab/>
      </w:r>
      <w:r>
        <w:rPr>
          <w:rFonts w:ascii="Arial" w:cs="Arial" w:eastAsia="Arial" w:hAnsi="Arial"/>
          <w:sz w:val="36"/>
          <w:szCs w:val="36"/>
          <w:color w:val="auto"/>
        </w:rPr>
        <w:t>/</w:t>
      </w:r>
    </w:p>
    <w:p>
      <w:pPr>
        <w:spacing w:after="0" w:line="66"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 xml:space="preserve">IF VOTING BY MAIL, YOU </w:t>
      </w:r>
      <w:r>
        <w:rPr>
          <w:rFonts w:ascii="Arial" w:cs="Arial" w:eastAsia="Arial" w:hAnsi="Arial"/>
          <w:sz w:val="15"/>
          <w:szCs w:val="15"/>
          <w:b w:val="1"/>
          <w:bCs w:val="1"/>
          <w:u w:val="single" w:color="auto"/>
          <w:color w:val="auto"/>
        </w:rPr>
        <w:t>MUST</w:t>
      </w:r>
      <w:r>
        <w:rPr>
          <w:rFonts w:ascii="Arial" w:cs="Arial" w:eastAsia="Arial" w:hAnsi="Arial"/>
          <w:sz w:val="15"/>
          <w:szCs w:val="15"/>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114935</wp:posOffset>
            </wp:positionV>
            <wp:extent cx="5074920" cy="4502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7492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10"/>
        <w:spacing w:after="0"/>
        <w:rPr>
          <w:sz w:val="20"/>
          <w:szCs w:val="20"/>
          <w:color w:val="auto"/>
        </w:rPr>
      </w:pPr>
      <w:r>
        <w:rPr>
          <w:rFonts w:ascii="Arial" w:cs="Arial" w:eastAsia="Arial" w:hAnsi="Arial"/>
          <w:sz w:val="11"/>
          <w:szCs w:val="11"/>
          <w:color w:val="auto"/>
        </w:rPr>
        <w:t>01TDBA</w:t>
      </w:r>
    </w:p>
    <w:p>
      <w:pPr>
        <w:sectPr>
          <w:pgSz w:w="11900" w:h="16838" w:orient="portrait"/>
          <w:cols w:equalWidth="0" w:num="1">
            <w:col w:w="11450"/>
          </w:cols>
          <w:pgMar w:left="230" w:top="407" w:right="219" w:bottom="1440" w:gutter="0" w:footer="0" w:header="0"/>
          <w:type w:val="continuous"/>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AVIS BUDGET GROUP, INC.</w:t>
      </w:r>
    </w:p>
    <w:p>
      <w:pPr>
        <w:spacing w:after="0" w:line="119"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THIS IS YOUR PROXY.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YOUR VOTE IS IMPORTANT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Whether or not you plan to attend the Annual Meeting of Stockholders, you can ensure your shares are represented at the Meeting by promptly completing, signing and returning your proxy card to Computershare by mail, or by voting via telephone (1-866-540-5760) or via the Internet at </w:t>
      </w:r>
      <w:r>
        <w:rPr>
          <w:rFonts w:ascii="Arial" w:cs="Arial" w:eastAsia="Arial" w:hAnsi="Arial"/>
          <w:sz w:val="15"/>
          <w:szCs w:val="15"/>
          <w:u w:val="single" w:color="auto"/>
          <w:color w:val="auto"/>
        </w:rPr>
        <w:t>www.envisionreports.com/CAR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ADMISSION TICKET</w:t>
      </w:r>
    </w:p>
    <w:p>
      <w:pPr>
        <w:spacing w:after="0" w:line="108"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AVIS BUDGET GROUP, INC.</w:t>
      </w:r>
    </w:p>
    <w:p>
      <w:pPr>
        <w:spacing w:after="0" w:line="86"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2014 Annual Meeting of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Friday, May 23, 2014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11:00 a.m. Eastern Time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DoubleTree by Hilton Downtown Wilmington–Legal District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700 N. King Street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Wilmington, Delaware 19801</w:t>
      </w:r>
    </w:p>
    <w:p>
      <w:pPr>
        <w:spacing w:after="0" w:line="300" w:lineRule="exact"/>
        <w:rPr>
          <w:sz w:val="20"/>
          <w:szCs w:val="20"/>
          <w:color w:val="auto"/>
        </w:rPr>
      </w:pPr>
    </w:p>
    <w:p>
      <w:pPr>
        <w:spacing w:after="0"/>
        <w:tabs>
          <w:tab w:leader="none" w:pos="9840" w:val="left"/>
        </w:tabs>
        <w:rPr>
          <w:sz w:val="20"/>
          <w:szCs w:val="20"/>
          <w:color w:val="auto"/>
        </w:rPr>
      </w:pPr>
      <w:r>
        <w:rPr>
          <w:rFonts w:ascii="Arial" w:cs="Arial" w:eastAsia="Arial" w:hAnsi="Arial"/>
          <w:sz w:val="15"/>
          <w:szCs w:val="15"/>
          <w:b w:val="1"/>
          <w:bCs w:val="1"/>
          <w:color w:val="auto"/>
        </w:rPr>
        <w:t>NON-TRANSFERABLE</w:t>
      </w:r>
      <w:r>
        <w:rPr>
          <w:sz w:val="20"/>
          <w:szCs w:val="20"/>
          <w:color w:val="auto"/>
        </w:rPr>
        <w:tab/>
      </w:r>
      <w:r>
        <w:rPr>
          <w:rFonts w:ascii="Arial" w:cs="Arial" w:eastAsia="Arial" w:hAnsi="Arial"/>
          <w:sz w:val="14"/>
          <w:szCs w:val="14"/>
          <w:b w:val="1"/>
          <w:bCs w:val="1"/>
          <w:color w:val="auto"/>
        </w:rPr>
        <w:t>NON-TRANSFERABLE</w:t>
      </w:r>
    </w:p>
    <w:p>
      <w:pPr>
        <w:spacing w:after="0" w:line="209" w:lineRule="exact"/>
        <w:rPr>
          <w:sz w:val="20"/>
          <w:szCs w:val="20"/>
          <w:color w:val="auto"/>
        </w:rPr>
      </w:pPr>
    </w:p>
    <w:p>
      <w:pPr>
        <w:jc w:val="center"/>
        <w:spacing w:after="0" w:line="350"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w:t>
      </w:r>
      <w:r>
        <w:rPr>
          <w:rFonts w:ascii="Arial" w:cs="Arial" w:eastAsia="Arial" w:hAnsi="Arial"/>
          <w:sz w:val="18"/>
          <w:szCs w:val="18"/>
          <w:color w:val="auto"/>
        </w:rPr>
        <w:t xml:space="preserve">The Proxy Statement, Annual Report and other proxy materials are available at: </w:t>
      </w:r>
      <w:r>
        <w:rPr>
          <w:rFonts w:ascii="Arial" w:cs="Arial" w:eastAsia="Arial" w:hAnsi="Arial"/>
          <w:sz w:val="18"/>
          <w:szCs w:val="18"/>
          <w:b w:val="1"/>
          <w:bCs w:val="1"/>
          <w:u w:val="single" w:color="auto"/>
          <w:color w:val="auto"/>
        </w:rPr>
        <w:t>www.envisionreports.com/CAR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1"/>
          <w:szCs w:val="11"/>
          <w:b w:val="1"/>
          <w:bCs w:val="1"/>
          <w:color w:val="auto"/>
        </w:rPr>
        <w:t>IF YOU HAVE NOT VOTED VIA THE INTERNET</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OR</w:t>
      </w:r>
      <w:r>
        <w:rPr>
          <w:rFonts w:ascii="Arial" w:cs="Arial" w:eastAsia="Arial" w:hAnsi="Arial"/>
          <w:sz w:val="11"/>
          <w:szCs w:val="11"/>
          <w:color w:val="auto"/>
        </w:rPr>
        <w:t xml:space="preserve"> </w:t>
      </w:r>
      <w:r>
        <w:rPr>
          <w:rFonts w:ascii="Arial" w:cs="Arial" w:eastAsia="Arial" w:hAnsi="Arial"/>
          <w:sz w:val="11"/>
          <w:szCs w:val="11"/>
          <w:b w:val="1"/>
          <w:bCs w:val="1"/>
          <w:color w:val="auto"/>
        </w:rPr>
        <w:t>TELEPHONE, FOLD ALONG THE PERFORATION, DETACH AND RETURN THE BOTTOM PORTION IN THE ENCLOSED ENVELOPE.</w:t>
      </w:r>
      <w:r>
        <w:rPr>
          <w:rFonts w:ascii="Arial" w:cs="Arial" w:eastAsia="Arial" w:hAnsi="Arial"/>
          <w:sz w:val="11"/>
          <w:szCs w:val="11"/>
          <w:color w:val="auto"/>
        </w:rPr>
        <w:t xml:space="preserve"> q</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726948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9480" cy="215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-233045</wp:posOffset>
            </wp:positionV>
            <wp:extent cx="2701925" cy="400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01925" cy="40005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 AVIS BUDGET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6948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9480" cy="215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May 23, 2014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 OF THE COMPANY</w:t>
      </w:r>
    </w:p>
    <w:p>
      <w:pPr>
        <w:spacing w:after="0" w:line="220" w:lineRule="exact"/>
        <w:rPr>
          <w:sz w:val="20"/>
          <w:szCs w:val="20"/>
          <w:color w:val="auto"/>
        </w:rPr>
      </w:pPr>
    </w:p>
    <w:p>
      <w:pPr>
        <w:jc w:val="both"/>
        <w:ind w:firstLine="343"/>
        <w:spacing w:after="0" w:line="238" w:lineRule="auto"/>
        <w:rPr>
          <w:sz w:val="20"/>
          <w:szCs w:val="20"/>
          <w:color w:val="auto"/>
        </w:rPr>
      </w:pPr>
      <w:r>
        <w:rPr>
          <w:rFonts w:ascii="Arial" w:cs="Arial" w:eastAsia="Arial" w:hAnsi="Arial"/>
          <w:sz w:val="18"/>
          <w:szCs w:val="18"/>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23, 2014 or at any adjournment or postponement thereof, with all powers which the undersigned would possess if present at the Meeting.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440"/>
          </w:cols>
          <w:pgMar w:left="240" w:top="407" w:right="219" w:bottom="1440" w:gutter="0" w:footer="0" w:header="0"/>
        </w:sectPr>
      </w:pPr>
    </w:p>
    <w:p>
      <w:pPr>
        <w:spacing w:after="0" w:line="188" w:lineRule="exact"/>
        <w:rPr>
          <w:sz w:val="20"/>
          <w:szCs w:val="20"/>
          <w:color w:val="auto"/>
        </w:rPr>
      </w:pPr>
    </w:p>
    <w:p>
      <w:pPr>
        <w:ind w:left="340" w:hanging="309"/>
        <w:spacing w:after="0"/>
        <w:tabs>
          <w:tab w:leader="none" w:pos="340" w:val="left"/>
        </w:tabs>
        <w:numPr>
          <w:ilvl w:val="0"/>
          <w:numId w:val="107"/>
        </w:numPr>
        <w:rPr>
          <w:rFonts w:ascii="Arial" w:cs="Arial" w:eastAsia="Arial" w:hAnsi="Arial"/>
          <w:sz w:val="15"/>
          <w:szCs w:val="15"/>
          <w:b w:val="1"/>
          <w:bCs w:val="1"/>
          <w:color w:val="FFFFFF"/>
        </w:rPr>
      </w:pPr>
      <w:r>
        <w:rPr>
          <w:rFonts w:ascii="Arial" w:cs="Arial" w:eastAsia="Arial" w:hAnsi="Arial"/>
          <w:sz w:val="15"/>
          <w:szCs w:val="15"/>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149860" cy="1143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9860" cy="11430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Change of Address </w:t>
      </w:r>
      <w:r>
        <w:rPr>
          <w:rFonts w:ascii="Arial" w:cs="Arial" w:eastAsia="Arial" w:hAnsi="Arial"/>
          <w:sz w:val="11"/>
          <w:szCs w:val="11"/>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552190" cy="278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52190" cy="278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3100"/>
        <w:spacing w:after="0"/>
        <w:rPr>
          <w:sz w:val="20"/>
          <w:szCs w:val="20"/>
          <w:color w:val="auto"/>
        </w:rPr>
      </w:pPr>
      <w:r>
        <w:rPr>
          <w:rFonts w:ascii="Arial" w:cs="Arial" w:eastAsia="Arial" w:hAnsi="Arial"/>
          <w:sz w:val="11"/>
          <w:szCs w:val="11"/>
          <w:b w:val="1"/>
          <w:bCs w:val="1"/>
          <w:color w:val="auto"/>
        </w:rPr>
        <w:t xml:space="preserve">Comments </w:t>
      </w:r>
      <w:r>
        <w:rPr>
          <w:rFonts w:ascii="Arial" w:cs="Arial" w:eastAsia="Arial" w:hAnsi="Arial"/>
          <w:sz w:val="11"/>
          <w:szCs w:val="11"/>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7620</wp:posOffset>
            </wp:positionV>
            <wp:extent cx="3638550" cy="2787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38550" cy="27876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120" w:space="720"/>
            <w:col w:w="5600"/>
          </w:cols>
          <w:pgMar w:left="240" w:top="407" w:right="219" w:bottom="1440" w:gutter="0" w:footer="0" w:header="0"/>
          <w:type w:val="continuous"/>
        </w:sect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32"/>
          <w:szCs w:val="32"/>
          <w:color w:val="auto"/>
        </w:rPr>
        <w:t>n</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7560" w:type="dxa"/>
            <w:vAlign w:val="bottom"/>
            <w:gridSpan w:val="3"/>
          </w:tcPr>
          <w:p>
            <w:pPr>
              <w:spacing w:after="0"/>
              <w:rPr>
                <w:sz w:val="20"/>
                <w:szCs w:val="20"/>
                <w:color w:val="auto"/>
              </w:rPr>
            </w:pPr>
            <w:r>
              <w:rPr>
                <w:rFonts w:ascii="Arial" w:cs="Arial" w:eastAsia="Arial" w:hAnsi="Arial"/>
                <w:sz w:val="15"/>
                <w:szCs w:val="15"/>
                <w:b w:val="1"/>
                <w:bCs w:val="1"/>
                <w:color w:val="auto"/>
              </w:rPr>
              <w:t>IF VOTING BY MAIL, YOU MUST COMPLETE SECTIONS A - C ON BOTH SIDES OF THIS CARD.</w:t>
            </w:r>
          </w:p>
        </w:tc>
        <w:tc>
          <w:tcPr>
            <w:tcW w:w="1200" w:type="dxa"/>
            <w:vAlign w:val="bottom"/>
          </w:tcPr>
          <w:p>
            <w:pPr>
              <w:jc w:val="right"/>
              <w:spacing w:after="0"/>
              <w:rPr>
                <w:sz w:val="20"/>
                <w:szCs w:val="20"/>
                <w:color w:val="auto"/>
              </w:rPr>
            </w:pPr>
            <w:r>
              <w:rPr>
                <w:rFonts w:ascii="Arial" w:cs="Arial" w:eastAsia="Arial" w:hAnsi="Arial"/>
                <w:sz w:val="36"/>
                <w:szCs w:val="36"/>
                <w:b w:val="1"/>
                <w:bCs w:val="1"/>
                <w:color w:val="auto"/>
              </w:rPr>
              <w:t>+</w:t>
            </w:r>
          </w:p>
        </w:tc>
      </w:tr>
      <w:tr>
        <w:trPr>
          <w:trHeight w:val="20"/>
        </w:trPr>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1840" w:space="720"/>
        <w:col w:w="8880"/>
      </w:cols>
      <w:pgMar w:left="240" w:top="407"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lvl w:ilvl="1">
      <w:lvlJc w:val="left"/>
      <w:lvlText w:val="(%2)"/>
      <w:numFmt w:val="decimal"/>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1"/>
    </w:lvl>
  </w:abstractNum>
  <w:abstractNum w:abstractNumId="40">
    <w:nsid w:val="5DC79EA8"/>
    <w:multiLevelType w:val="hybridMultilevel"/>
    <w:lvl w:ilvl="0">
      <w:lvlJc w:val="left"/>
      <w:lvlText w:val="(%1)"/>
      <w:numFmt w:val="decimal"/>
      <w:start w:val="12"/>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1"/>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1"/>
      <w:numFmt w:val="upperLetter"/>
      <w:start w:val="44"/>
    </w:lvl>
  </w:abstractNum>
  <w:abstractNum w:abstractNumId="52">
    <w:nsid w:val="68EB2F63"/>
    <w:multiLevelType w:val="hybridMultilevel"/>
    <w:lvl w:ilvl="0">
      <w:lvlJc w:val="left"/>
      <w:lvlText w:val="2"/>
      <w:numFmt w:val="bullet"/>
      <w:start w:val="1"/>
    </w:lvl>
  </w:abstractNum>
  <w:abstractNum w:abstractNumId="53">
    <w:nsid w:val="4962813B"/>
    <w:multiLevelType w:val="hybridMultilevel"/>
    <w:lvl w:ilvl="0">
      <w:lvlJc w:val="left"/>
      <w:lvlText w:val="(%1)"/>
      <w:numFmt w:val="lowerLetter"/>
      <w:start w:val="1"/>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1)"/>
      <w:numFmt w:val="lowerLetter"/>
      <w:start w:val="1"/>
    </w:lvl>
  </w:abstractNum>
  <w:abstractNum w:abstractNumId="57">
    <w:nsid w:val="7FFFCA11"/>
    <w:multiLevelType w:val="hybridMultilevel"/>
    <w:lvl w:ilvl="0">
      <w:lvlJc w:val="left"/>
      <w:lvlText w:val="(%1)"/>
      <w:numFmt w:val="lowerLetter"/>
      <w:start w:val="1"/>
    </w:lvl>
  </w:abstractNum>
  <w:abstractNum w:abstractNumId="58">
    <w:nsid w:val="1A27709E"/>
    <w:multiLevelType w:val="hybridMultilevel"/>
    <w:lvl w:ilvl="0">
      <w:lvlJc w:val="left"/>
      <w:lvlText w:val="(%1)"/>
      <w:numFmt w:val="lowerLetter"/>
      <w:start w:val="12"/>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1)"/>
      <w:numFmt w:val="lowerLetter"/>
      <w:start w:val="1"/>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3"/>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lowerLetter"/>
      <w:start w:val="6"/>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1)"/>
      <w:numFmt w:val="lowerRoman"/>
      <w:start w:val="2"/>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1"/>
      <w:numFmt w:val="decimal"/>
      <w:start w:val="1"/>
    </w:lvl>
    <w:lvl w:ilvl="1">
      <w:lvlJc w:val="left"/>
      <w:lvlText w:val="(%2)"/>
      <w:numFmt w:val="lowerLetter"/>
      <w:start w:val="1"/>
    </w:lvl>
  </w:abstractNum>
  <w:abstractNum w:abstractNumId="79">
    <w:nsid w:val="43F18422"/>
    <w:multiLevelType w:val="hybridMultilevel"/>
    <w:lvl w:ilvl="0">
      <w:lvlJc w:val="left"/>
      <w:lvlText w:val="(%1)"/>
      <w:numFmt w:val="decimal"/>
      <w:start w:val="1"/>
    </w:lvl>
    <w:lvl w:ilvl="1">
      <w:lvlJc w:val="left"/>
      <w:lvlText w:val="%2"/>
      <w:numFmt w:val="lowerLetter"/>
      <w:start w:val="1"/>
    </w:lvl>
  </w:abstractNum>
  <w:abstractNum w:abstractNumId="80">
    <w:nsid w:val="60EF0119"/>
    <w:multiLevelType w:val="hybridMultilevel"/>
    <w:lvl w:ilvl="0">
      <w:lvlJc w:val="left"/>
      <w:lvlText w:val="(%1)"/>
      <w:numFmt w:val="decimal"/>
      <w:start w:val="4"/>
    </w:lvl>
  </w:abstractNum>
  <w:abstractNum w:abstractNumId="81">
    <w:nsid w:val="26F324BA"/>
    <w:multiLevelType w:val="hybridMultilevel"/>
    <w:lvl w:ilvl="0">
      <w:lvlJc w:val="left"/>
      <w:lvlText w:val="(%1)"/>
      <w:numFmt w:val="lowerLetter"/>
      <w:start w:val="5"/>
    </w:lvl>
  </w:abstractNum>
  <w:abstractNum w:abstractNumId="82">
    <w:nsid w:val="7F01579B"/>
    <w:multiLevelType w:val="hybridMultilevel"/>
    <w:lvl w:ilvl="0">
      <w:lvlJc w:val="left"/>
      <w:lvlText w:val="%1"/>
      <w:numFmt w:val="decimal"/>
      <w:start w:val="1"/>
    </w:lvl>
    <w:lvl w:ilvl="1">
      <w:lvlJc w:val="left"/>
      <w:lvlText w:val="(%2)"/>
      <w:numFmt w:val="lowerLetter"/>
      <w:start w:val="18"/>
    </w:lvl>
  </w:abstractNum>
  <w:abstractNum w:abstractNumId="83">
    <w:nsid w:val="49DA307D"/>
    <w:multiLevelType w:val="hybridMultilevel"/>
    <w:lvl w:ilvl="0">
      <w:lvlJc w:val="left"/>
      <w:lvlText w:val="(%1)"/>
      <w:numFmt w:val="decimal"/>
      <w:start w:val="14"/>
    </w:lvl>
    <w:lvl w:ilvl="1">
      <w:lvlJc w:val="left"/>
      <w:lvlText w:val="(%2)"/>
      <w:numFmt w:val="lowerLetter"/>
      <w:start w:val="19"/>
    </w:lvl>
  </w:abstractNum>
  <w:abstractNum w:abstractNumId="84">
    <w:nsid w:val="7055A5F5"/>
    <w:multiLevelType w:val="hybridMultilevel"/>
    <w:lvl w:ilvl="0">
      <w:lvlJc w:val="left"/>
      <w:lvlText w:val="%1"/>
      <w:numFmt w:val="decimal"/>
      <w:start w:val="1"/>
    </w:lvl>
    <w:lvl w:ilvl="1">
      <w:lvlJc w:val="left"/>
      <w:lvlText w:val="(%2)"/>
      <w:numFmt w:val="lowerLetter"/>
      <w:start w:val="27"/>
    </w:lvl>
  </w:abstractNum>
  <w:abstractNum w:abstractNumId="85">
    <w:nsid w:val="5FB8370B"/>
    <w:multiLevelType w:val="hybridMultilevel"/>
    <w:lvl w:ilvl="0">
      <w:lvlJc w:val="left"/>
      <w:lvlText w:val="%1."/>
      <w:numFmt w:val="decimal"/>
      <w:start w:val="3"/>
    </w:lvl>
    <w:lvl w:ilvl="1">
      <w:lvlJc w:val="left"/>
      <w:lvlText w:val="%2"/>
      <w:numFmt w:val="lowerLetter"/>
      <w:start w:val="1"/>
    </w:lvl>
  </w:abstractNum>
  <w:abstractNum w:abstractNumId="86">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488AC1A"/>
    <w:multiLevelType w:val="hybridMultilevel"/>
    <w:lvl w:ilvl="0">
      <w:lvlJc w:val="left"/>
      <w:lvlText w:val="%1"/>
      <w:numFmt w:val="lowerRoman"/>
      <w:start w:val="1"/>
    </w:lvl>
    <w:lvl w:ilvl="1">
      <w:lvlJc w:val="left"/>
      <w:lvlText w:val="(%2)"/>
      <w:numFmt w:val="upperLetter"/>
      <w:start w:val="2"/>
    </w:lvl>
  </w:abstractNum>
  <w:abstractNum w:abstractNumId="88">
    <w:nsid w:val="5FB8011C"/>
    <w:multiLevelType w:val="hybridMultilevel"/>
    <w:lvl w:ilvl="0">
      <w:lvlJc w:val="left"/>
      <w:lvlText w:val="(%1)"/>
      <w:numFmt w:val="lowerRoman"/>
      <w:start w:val="2"/>
    </w:lvl>
    <w:lvl w:ilvl="1">
      <w:lvlJc w:val="left"/>
      <w:lvlText w:val="(%2)"/>
      <w:numFmt w:val="upperLetter"/>
      <w:start w:val="1"/>
    </w:lvl>
  </w:abstractNum>
  <w:abstractNum w:abstractNumId="89">
    <w:nsid w:val="6AA78F7F"/>
    <w:multiLevelType w:val="hybridMultilevel"/>
    <w:lvl w:ilvl="0">
      <w:lvlJc w:val="left"/>
      <w:lvlText w:val="(%1)"/>
      <w:numFmt w:val="lowerRoman"/>
      <w:start w:val="2"/>
    </w:lvl>
    <w:lvl w:ilvl="1">
      <w:lvlJc w:val="left"/>
      <w:lvlText w:val="(%2)"/>
      <w:numFmt w:val="upperLetter"/>
      <w:start w:val="3"/>
    </w:lvl>
  </w:abstractNum>
  <w:abstractNum w:abstractNumId="90">
    <w:nsid w:val="7672BD23"/>
    <w:multiLevelType w:val="hybridMultilevel"/>
    <w:lvl w:ilvl="0">
      <w:lvlJc w:val="left"/>
      <w:lvlText w:val="%1"/>
      <w:numFmt w:val="lowerRoman"/>
      <w:start w:val="1"/>
    </w:lvl>
    <w:lvl w:ilvl="1">
      <w:lvlJc w:val="left"/>
      <w:lvlText w:val="(%2)"/>
      <w:numFmt w:val="upperLetter"/>
      <w:start w:val="1"/>
    </w:lvl>
  </w:abstractNum>
  <w:abstractNum w:abstractNumId="91">
    <w:nsid w:val="6FC75AF8"/>
    <w:multiLevelType w:val="hybridMultilevel"/>
    <w:lvl w:ilvl="0">
      <w:lvlJc w:val="left"/>
      <w:lvlText w:val="%1"/>
      <w:numFmt w:val="lowerRoman"/>
      <w:start w:val="1"/>
    </w:lvl>
    <w:lvl w:ilvl="1">
      <w:lvlJc w:val="left"/>
      <w:lvlText w:val="(%2)"/>
      <w:numFmt w:val="upperLetter"/>
      <w:start w:val="2"/>
    </w:lvl>
  </w:abstractNum>
  <w:abstractNum w:abstractNumId="92">
    <w:nsid w:val="6A5F7029"/>
    <w:multiLevelType w:val="hybridMultilevel"/>
    <w:lvl w:ilvl="0">
      <w:lvlJc w:val="left"/>
      <w:lvlText w:val="(%1)"/>
      <w:numFmt w:val="lowerRoman"/>
      <w:start w:val="4"/>
    </w:lvl>
    <w:lvl w:ilvl="1">
      <w:lvlJc w:val="left"/>
      <w:lvlText w:val="(%2)"/>
      <w:numFmt w:val="upperLetter"/>
      <w:start w:val="1"/>
    </w:lvl>
  </w:abstractNum>
  <w:abstractNum w:abstractNumId="93">
    <w:nsid w:val="7D5E18F8"/>
    <w:multiLevelType w:val="hybridMultilevel"/>
    <w:lvl w:ilvl="0">
      <w:lvlJc w:val="left"/>
      <w:lvlText w:val="(%1)"/>
      <w:numFmt w:val="lowerRoman"/>
      <w:start w:val="2"/>
    </w:lvl>
    <w:lvl w:ilvl="1">
      <w:lvlJc w:val="left"/>
      <w:lvlText w:val="(%2)"/>
      <w:numFmt w:val="upperLetter"/>
      <w:start w:val="2"/>
    </w:lvl>
  </w:abstractNum>
  <w:abstractNum w:abstractNumId="94">
    <w:nsid w:val="5F3534A4"/>
    <w:multiLevelType w:val="hybridMultilevel"/>
    <w:lvl w:ilvl="0">
      <w:lvlJc w:val="left"/>
      <w:lvlText w:val="(%1)"/>
      <w:numFmt w:val="lowerRoman"/>
      <w:start w:val="5"/>
    </w:lvl>
    <w:lvl w:ilvl="1">
      <w:lvlJc w:val="left"/>
      <w:lvlText w:val="%2"/>
      <w:numFmt w:val="upperLetter"/>
      <w:start w:val="1"/>
    </w:lvl>
  </w:abstractNum>
  <w:abstractNum w:abstractNumId="95">
    <w:nsid w:val="73A1821B"/>
    <w:multiLevelType w:val="hybridMultilevel"/>
    <w:lvl w:ilvl="0">
      <w:lvlJc w:val="left"/>
      <w:lvlText w:val="(%1)"/>
      <w:numFmt w:val="lowerLetter"/>
      <w:start w:val="3"/>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3"/>
    </w:lvl>
  </w:abstractNum>
  <w:abstractNum w:abstractNumId="98">
    <w:nsid w:val="3FA62ACA"/>
    <w:multiLevelType w:val="hybridMultilevel"/>
    <w:lvl w:ilvl="0">
      <w:lvlJc w:val="left"/>
      <w:lvlText w:val="(%1)"/>
      <w:numFmt w:val="lowerLetter"/>
      <w:start w:val="1"/>
    </w:lvl>
    <w:lvl w:ilvl="1">
      <w:lvlJc w:val="left"/>
      <w:lvlText w:val="(%2)"/>
      <w:numFmt w:val="lowerRoman"/>
      <w:start w:val="1"/>
    </w:lvl>
  </w:abstractNum>
  <w:abstractNum w:abstractNumId="99">
    <w:nsid w:val="14FCE74E"/>
    <w:multiLevelType w:val="hybridMultilevel"/>
    <w:lvl w:ilvl="0">
      <w:lvlJc w:val="left"/>
      <w:lvlText w:val="(%1)"/>
      <w:numFmt w:val="lowerLetter"/>
      <w:start w:val="5"/>
    </w:lvl>
    <w:lvl w:ilvl="1">
      <w:lvlJc w:val="left"/>
      <w:lvlText w:val="(%2)"/>
      <w:numFmt w:val="lowerRoman"/>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A"/>
      <w:numFmt w:val="bullet"/>
      <w:start w:val="1"/>
    </w:lvl>
  </w:abstractNum>
  <w:abstractNum w:abstractNumId="103">
    <w:nsid w:val="53299938"/>
    <w:multiLevelType w:val="hybridMultilevel"/>
    <w:lvl w:ilvl="0">
      <w:lvlJc w:val="left"/>
      <w:lvlText w:val="%1."/>
      <w:numFmt w:val="decimal"/>
      <w:start w:val="2"/>
    </w:lvl>
  </w:abstractNum>
  <w:abstractNum w:abstractNumId="104">
    <w:nsid w:val="1FBFE8E0"/>
    <w:multiLevelType w:val="hybridMultilevel"/>
    <w:lvl w:ilvl="0">
      <w:lvlJc w:val="left"/>
      <w:lvlText w:val="%1."/>
      <w:numFmt w:val="decimal"/>
      <w:start w:val="4"/>
    </w:lvl>
  </w:abstractNum>
  <w:abstractNum w:abstractNumId="105">
    <w:nsid w:val="5092CA79"/>
    <w:multiLevelType w:val="hybridMultilevel"/>
    <w:lvl w:ilvl="0">
      <w:lvlJc w:val="left"/>
      <w:lvlText w:val="B"/>
      <w:numFmt w:val="bullet"/>
      <w:start w:val="1"/>
    </w:lvl>
  </w:abstractNum>
  <w:abstractNum w:abstractNumId="106">
    <w:nsid w:val="1D545C4D"/>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2019-12-05T20:11:13Z</dcterms:created>
  <dcterms:modified xsi:type="dcterms:W3CDTF">2019-12-05T20:11:13Z</dcterms:modified>
</cp:coreProperties>
</file>