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127"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4"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Exchange Act of 1934 (Amendment No. )</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0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4" w:lineRule="exact"/>
        <w:rPr>
          <w:sz w:val="24"/>
          <w:szCs w:val="24"/>
          <w:color w:val="auto"/>
        </w:rPr>
      </w:pPr>
    </w:p>
    <w:p>
      <w:pPr>
        <w:ind w:left="3020"/>
        <w:spacing w:after="0"/>
        <w:rPr>
          <w:sz w:val="20"/>
          <w:szCs w:val="20"/>
          <w:color w:val="auto"/>
        </w:rPr>
      </w:pPr>
      <w:r>
        <w:rPr>
          <w:rFonts w:ascii="Arial" w:cs="Arial" w:eastAsia="Arial" w:hAnsi="Arial"/>
          <w:sz w:val="32"/>
          <w:szCs w:val="32"/>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50"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6"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393700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256540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93345</wp:posOffset>
            </wp:positionV>
            <wp:extent cx="249428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5,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past year we saw strong demand for vehicle rentals driven by global travel demand which, coupled with our stringent cost discipline and nimble fleet management, allowed us to achieve our best results in our 75-year history for the second year in a row.</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2022, we continued to enhance our sustainability practices, community and philanthropical efforts, diversity and inclusion initiatives and reporting. More information can be found in our Annual Report on Form 10-K for the fiscal year ended December 31, 2022 (the “2022 Annual Report”) and the Environmental, Social and Governance (“ESG”) section of our website, including our latest ESG Report.</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It is our pleasure to invite you to attend the 2023 Annual Meeting of Shareholders of Avis Budget Group, Inc., which will be held virtually on May 24, 2023, at 9:00 a.m. Eastern Time.</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booklet includes the Notice of Annual Meeting and the Proxy Statement. The Proxy Statement describes the business to be conducted at the Annual Meeting and provides other information concerning our Company of which you should be aware when you vote your shares.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behalf of the Board of Directors and the employees of Avis Budget Group, Inc., we would like to thank you for being a shareholder and express our appreciation for your ongoing support of our Company.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180340</wp:posOffset>
            </wp:positionV>
            <wp:extent cx="762635"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63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Bernardo Hees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160655</wp:posOffset>
            </wp:positionV>
            <wp:extent cx="64262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6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Joseph A. Ferraro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109220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2" w:name="page3"/>
    <w:bookmarkEnd w:id="2"/>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9" w:lineRule="exact"/>
        <w:rPr>
          <w:sz w:val="20"/>
          <w:szCs w:val="20"/>
          <w:color w:val="auto"/>
        </w:rPr>
      </w:pPr>
    </w:p>
    <w:p>
      <w:pPr>
        <w:ind w:left="10"/>
        <w:spacing w:after="0"/>
        <w:rPr>
          <w:sz w:val="20"/>
          <w:szCs w:val="20"/>
          <w:color w:val="auto"/>
        </w:rPr>
      </w:pPr>
      <w:r>
        <w:rPr>
          <w:rFonts w:ascii="Arial" w:cs="Arial" w:eastAsia="Arial" w:hAnsi="Arial"/>
          <w:sz w:val="45"/>
          <w:szCs w:val="45"/>
          <w:color w:val="auto"/>
        </w:rPr>
        <w:t>Notice of 2023 Annual Meeting of Shareholders</w:t>
      </w:r>
    </w:p>
    <w:p>
      <w:pPr>
        <w:spacing w:after="0" w:line="200" w:lineRule="exact"/>
        <w:rPr>
          <w:sz w:val="20"/>
          <w:szCs w:val="20"/>
          <w:color w:val="auto"/>
        </w:rPr>
      </w:pPr>
    </w:p>
    <w:p>
      <w:pPr>
        <w:spacing w:after="0" w:line="268"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NOTICE IS HEREBY GIVEN that the Annual Meeting of Shareholders (the “Meeting”) of Avis Budget Group, Inc. (the “Company”) will be held online on May 24, 2023, at 9:00 a.m. Eastern Time, to consider and vote upon the following matters:</w:t>
      </w:r>
    </w:p>
    <w:p>
      <w:pPr>
        <w:spacing w:after="0" w:line="61" w:lineRule="exact"/>
        <w:rPr>
          <w:sz w:val="20"/>
          <w:szCs w:val="20"/>
          <w:color w:val="auto"/>
        </w:rPr>
      </w:pPr>
    </w:p>
    <w:p>
      <w:pPr>
        <w:ind w:left="350" w:hanging="350"/>
        <w:spacing w:after="0" w:line="271"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as directors the six nominees named in the accompanying proxy statement for a one-year term expiring in 2024 and until his or her successor is duly elected and qualified or until his or her earlier resignation or removal.</w:t>
      </w:r>
    </w:p>
    <w:p>
      <w:pPr>
        <w:spacing w:after="0" w:line="45"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independent registered public accounting firm for fiscal year 2023.</w:t>
      </w:r>
    </w:p>
    <w:p>
      <w:pPr>
        <w:spacing w:after="0" w:line="45" w:lineRule="exact"/>
        <w:rPr>
          <w:rFonts w:ascii="Arial" w:cs="Arial" w:eastAsia="Arial" w:hAnsi="Arial"/>
          <w:sz w:val="18"/>
          <w:szCs w:val="18"/>
          <w:color w:val="auto"/>
        </w:rPr>
      </w:pPr>
    </w:p>
    <w:p>
      <w:pPr>
        <w:ind w:left="350" w:hanging="350"/>
        <w:spacing w:after="0"/>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provide advisory approval of the compensation of our named executive officers.</w:t>
      </w:r>
    </w:p>
    <w:p>
      <w:pPr>
        <w:spacing w:after="0" w:line="103" w:lineRule="exact"/>
        <w:rPr>
          <w:rFonts w:ascii="Arial" w:cs="Arial" w:eastAsia="Arial" w:hAnsi="Arial"/>
          <w:sz w:val="18"/>
          <w:szCs w:val="18"/>
          <w:color w:val="auto"/>
        </w:rPr>
      </w:pPr>
    </w:p>
    <w:p>
      <w:pPr>
        <w:ind w:left="350" w:hanging="350"/>
        <w:spacing w:after="0"/>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vote on the frequency of advisory approval of the compensation of our named executive officers.</w:t>
      </w:r>
    </w:p>
    <w:p>
      <w:pPr>
        <w:spacing w:after="0" w:line="103" w:lineRule="exact"/>
        <w:rPr>
          <w:rFonts w:ascii="Arial" w:cs="Arial" w:eastAsia="Arial" w:hAnsi="Arial"/>
          <w:sz w:val="18"/>
          <w:szCs w:val="18"/>
          <w:color w:val="auto"/>
        </w:rPr>
      </w:pPr>
    </w:p>
    <w:p>
      <w:pPr>
        <w:ind w:left="350" w:right="20" w:hanging="350"/>
        <w:spacing w:after="0" w:line="271"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113" w:lineRule="exact"/>
        <w:rPr>
          <w:sz w:val="20"/>
          <w:szCs w:val="20"/>
          <w:color w:val="auto"/>
        </w:rPr>
      </w:pPr>
    </w:p>
    <w:p>
      <w:pPr>
        <w:jc w:val="both"/>
        <w:ind w:left="10"/>
        <w:spacing w:after="0" w:line="239" w:lineRule="auto"/>
        <w:rPr>
          <w:sz w:val="20"/>
          <w:szCs w:val="20"/>
          <w:color w:val="auto"/>
        </w:rPr>
      </w:pPr>
      <w:r>
        <w:rPr>
          <w:rFonts w:ascii="Arial" w:cs="Arial" w:eastAsia="Arial" w:hAnsi="Arial"/>
          <w:sz w:val="18"/>
          <w:szCs w:val="18"/>
          <w:color w:val="auto"/>
        </w:rPr>
        <w:t xml:space="preserve">This year’s Meeting will be held virtually. You will be not be able to attend the Meeting physically in person. We have designed the format of the Meeting to provide shareholders the same ability to participate that they would have at an in-person meeting. Shareholders will be able to listen to the webcast live, submit questions and vote during the online Meeting. You can attend the Meeting by accessing </w:t>
      </w:r>
      <w:r>
        <w:rPr>
          <w:rFonts w:ascii="Arial" w:cs="Arial" w:eastAsia="Arial" w:hAnsi="Arial"/>
          <w:sz w:val="18"/>
          <w:szCs w:val="18"/>
          <w:i w:val="1"/>
          <w:iCs w:val="1"/>
          <w:color w:val="auto"/>
        </w:rPr>
        <w:t>www.meetnow.global/M4WUPKW</w:t>
      </w:r>
      <w:r>
        <w:rPr>
          <w:rFonts w:ascii="Arial" w:cs="Arial" w:eastAsia="Arial" w:hAnsi="Arial"/>
          <w:sz w:val="18"/>
          <w:szCs w:val="18"/>
          <w:color w:val="auto"/>
        </w:rPr>
        <w:t xml:space="preserve"> and entering the 15-digit control number found on the proxy card or notice. No password is required. In the event of a technical malfunction or situation that makes it advisable to adjourn the Meeting, the chair will convene the meeting at 9:00 a.m. Eastern Time on May 24, 2023 at the Company’s principal business address solely for the purpose of adjourning the meeting to reconvene at a date, time and location announced by the meeting chair. If this happens, more information will be provided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156"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 xml:space="preserve">The Board of Directors has fixed the close of business on March 31, 2023 as the record date for the Meeting. Only shareholders of record at that time are entitled to notice of, and to vote at, the Meeting and any adjournment or postponement thereof. A list of shareholders entitled to vote at the Meeting will be available for examination by any shareholder, for any purpose germane to the Meeting, for at least ten days prior to the Meeting during ordinary business hours at the Company’s principal executive offices, by e-mailing </w:t>
      </w:r>
      <w:r>
        <w:rPr>
          <w:rFonts w:ascii="Arial" w:cs="Arial" w:eastAsia="Arial" w:hAnsi="Arial"/>
          <w:sz w:val="18"/>
          <w:szCs w:val="18"/>
          <w:i w:val="1"/>
          <w:iCs w:val="1"/>
          <w:color w:val="auto"/>
        </w:rPr>
        <w:t>chairman@avisbudget.com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29845</wp:posOffset>
            </wp:positionV>
            <wp:extent cx="4680585" cy="865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80585" cy="865505"/>
                    </a:xfrm>
                    <a:prstGeom prst="rect">
                      <a:avLst/>
                    </a:prstGeom>
                    <a:noFill/>
                  </pic:spPr>
                </pic:pic>
              </a:graphicData>
            </a:graphic>
          </wp:anchor>
        </w:drawing>
      </w:r>
    </w:p>
    <w:p>
      <w:pPr>
        <w:spacing w:after="0" w:line="8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for the Shareholder Meeting to Be Held on May 24, 2023</w:t>
      </w:r>
    </w:p>
    <w:p>
      <w:pPr>
        <w:jc w:val="center"/>
        <w:ind w:right="-9"/>
        <w:spacing w:after="0" w:line="234" w:lineRule="auto"/>
        <w:rPr>
          <w:sz w:val="20"/>
          <w:szCs w:val="20"/>
          <w:color w:val="auto"/>
        </w:rPr>
      </w:pPr>
      <w:r>
        <w:rPr>
          <w:rFonts w:ascii="Arial" w:cs="Arial" w:eastAsia="Arial" w:hAnsi="Arial"/>
          <w:sz w:val="18"/>
          <w:szCs w:val="18"/>
          <w:b w:val="1"/>
          <w:bCs w:val="1"/>
          <w:color w:val="auto"/>
        </w:rPr>
        <w:t>The Company’s Proxy Statement on Schedule 14A,</w:t>
      </w:r>
    </w:p>
    <w:p>
      <w:pPr>
        <w:jc w:val="center"/>
        <w:ind w:right="-9"/>
        <w:spacing w:after="0" w:line="235" w:lineRule="auto"/>
        <w:rPr>
          <w:sz w:val="20"/>
          <w:szCs w:val="20"/>
          <w:color w:val="auto"/>
        </w:rPr>
      </w:pPr>
      <w:r>
        <w:rPr>
          <w:rFonts w:ascii="Arial" w:cs="Arial" w:eastAsia="Arial" w:hAnsi="Arial"/>
          <w:sz w:val="18"/>
          <w:szCs w:val="18"/>
          <w:b w:val="1"/>
          <w:bCs w:val="1"/>
          <w:color w:val="auto"/>
        </w:rPr>
        <w:t>form of proxy card and 2022 Annual Report</w:t>
      </w:r>
    </w:p>
    <w:p>
      <w:pPr>
        <w:jc w:val="center"/>
        <w:ind w:right="-9"/>
        <w:spacing w:after="0" w:line="235" w:lineRule="auto"/>
        <w:rPr>
          <w:sz w:val="20"/>
          <w:szCs w:val="20"/>
          <w:color w:val="auto"/>
        </w:rPr>
      </w:pPr>
      <w:r>
        <w:rPr>
          <w:rFonts w:ascii="Arial" w:cs="Arial" w:eastAsia="Arial" w:hAnsi="Arial"/>
          <w:sz w:val="18"/>
          <w:szCs w:val="18"/>
          <w:b w:val="1"/>
          <w:bCs w:val="1"/>
          <w:color w:val="auto"/>
        </w:rPr>
        <w:t>are available at</w:t>
      </w:r>
    </w:p>
    <w:p>
      <w:pPr>
        <w:jc w:val="center"/>
        <w:ind w:right="-9"/>
        <w:spacing w:after="0"/>
        <w:rPr>
          <w:sz w:val="20"/>
          <w:szCs w:val="20"/>
          <w:color w:val="auto"/>
        </w:rPr>
      </w:pPr>
      <w:r>
        <w:rPr>
          <w:rFonts w:ascii="Arial" w:cs="Arial" w:eastAsia="Arial" w:hAnsi="Arial"/>
          <w:sz w:val="18"/>
          <w:szCs w:val="18"/>
          <w:b w:val="1"/>
          <w:bCs w:val="1"/>
          <w:u w:val="single" w:color="auto"/>
          <w:color w:val="auto"/>
        </w:rPr>
        <w:t>www.edocumentview.com/CAR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
        <w:spacing w:after="0"/>
        <w:rPr>
          <w:sz w:val="20"/>
          <w:szCs w:val="20"/>
          <w:color w:val="auto"/>
        </w:rPr>
      </w:pPr>
      <w:r>
        <w:rPr>
          <w:rFonts w:ascii="Arial" w:cs="Arial" w:eastAsia="Arial" w:hAnsi="Arial"/>
          <w:sz w:val="18"/>
          <w:szCs w:val="18"/>
          <w:color w:val="auto"/>
        </w:rPr>
        <w:t> </w:t>
      </w:r>
    </w:p>
    <w:p>
      <w:pPr>
        <w:spacing w:after="0" w:line="131" w:lineRule="exact"/>
        <w:rPr>
          <w:sz w:val="20"/>
          <w:szCs w:val="20"/>
          <w:color w:val="auto"/>
        </w:rPr>
      </w:pPr>
    </w:p>
    <w:p>
      <w:pPr>
        <w:ind w:left="10"/>
        <w:spacing w:after="0"/>
        <w:rPr>
          <w:sz w:val="20"/>
          <w:szCs w:val="20"/>
          <w:color w:val="auto"/>
        </w:rPr>
      </w:pPr>
      <w:r>
        <w:rPr>
          <w:rFonts w:ascii="Arial" w:cs="Arial" w:eastAsia="Arial" w:hAnsi="Arial"/>
          <w:sz w:val="18"/>
          <w:szCs w:val="18"/>
          <w:color w:val="auto"/>
        </w:rPr>
        <w:t>Jean M. Sera</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color w:val="auto"/>
        </w:rPr>
        <w:t>Senior Vice President, General Counsel,</w:t>
      </w:r>
    </w:p>
    <w:p>
      <w:pPr>
        <w:ind w:left="10"/>
        <w:spacing w:after="0"/>
        <w:rPr>
          <w:sz w:val="20"/>
          <w:szCs w:val="20"/>
          <w:color w:val="auto"/>
        </w:rPr>
      </w:pPr>
      <w:r>
        <w:rPr>
          <w:rFonts w:ascii="Arial" w:cs="Arial" w:eastAsia="Arial" w:hAnsi="Arial"/>
          <w:sz w:val="18"/>
          <w:szCs w:val="18"/>
          <w:color w:val="auto"/>
        </w:rPr>
        <w:t>Chief Compliance Officer and Corporate Secretary</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Dated: April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3" w:name="page4"/>
    <w:bookmarkEnd w:id="3"/>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524"/>
        </w:trPr>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14"/>
          </w:tcPr>
          <w:p>
            <w:pPr>
              <w:ind w:left="20"/>
              <w:spacing w:after="0"/>
              <w:rPr>
                <w:sz w:val="20"/>
                <w:szCs w:val="20"/>
                <w:color w:val="auto"/>
              </w:rPr>
            </w:pPr>
            <w:r>
              <w:rPr>
                <w:rFonts w:ascii="Arial" w:cs="Arial" w:eastAsia="Arial" w:hAnsi="Arial"/>
                <w:sz w:val="40"/>
                <w:szCs w:val="40"/>
                <w:color w:val="auto"/>
              </w:rPr>
              <w:t>Proxy Statement</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580" w:type="dxa"/>
            <w:vAlign w:val="bottom"/>
          </w:tcPr>
          <w:p>
            <w:pPr>
              <w:spacing w:after="0"/>
              <w:rPr>
                <w:sz w:val="24"/>
                <w:szCs w:val="24"/>
                <w:color w:val="auto"/>
              </w:rPr>
            </w:pPr>
          </w:p>
        </w:tc>
        <w:tc>
          <w:tcPr>
            <w:tcW w:w="8360" w:type="dxa"/>
            <w:vAlign w:val="bottom"/>
            <w:gridSpan w:val="39"/>
          </w:tcPr>
          <w:p>
            <w:pPr>
              <w:ind w:left="20"/>
              <w:spacing w:after="0"/>
              <w:rPr>
                <w:sz w:val="20"/>
                <w:szCs w:val="20"/>
                <w:color w:val="auto"/>
              </w:rPr>
            </w:pPr>
            <w:r>
              <w:rPr>
                <w:rFonts w:ascii="Arial" w:cs="Arial" w:eastAsia="Arial" w:hAnsi="Arial"/>
                <w:sz w:val="36"/>
                <w:szCs w:val="36"/>
                <w:color w:val="auto"/>
              </w:rPr>
              <w:t>Table of Contents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80" w:type="dxa"/>
            <w:vAlign w:val="bottom"/>
          </w:tcPr>
          <w:p>
            <w:pPr>
              <w:spacing w:after="0"/>
              <w:rPr>
                <w:sz w:val="24"/>
                <w:szCs w:val="24"/>
                <w:color w:val="auto"/>
              </w:rPr>
            </w:pPr>
          </w:p>
        </w:tc>
        <w:tc>
          <w:tcPr>
            <w:tcW w:w="2760" w:type="dxa"/>
            <w:vAlign w:val="bottom"/>
            <w:tcBorders>
              <w:bottom w:val="single" w:sz="8" w:color="0000EE"/>
            </w:tcBorders>
            <w:gridSpan w:val="19"/>
          </w:tcPr>
          <w:p>
            <w:pPr>
              <w:ind w:left="20"/>
              <w:spacing w:after="0"/>
              <w:rPr>
                <w:sz w:val="20"/>
                <w:szCs w:val="20"/>
                <w:color w:val="auto"/>
              </w:rPr>
            </w:pPr>
            <w:r>
              <w:rPr>
                <w:rFonts w:ascii="Arial" w:cs="Arial" w:eastAsia="Arial" w:hAnsi="Arial"/>
                <w:sz w:val="18"/>
                <w:szCs w:val="18"/>
                <w:b w:val="1"/>
                <w:bCs w:val="1"/>
                <w:color w:val="0000EE"/>
                <w:w w:val="98"/>
              </w:rPr>
              <w:t>2023 Proxy Statement Summary</w:t>
            </w:r>
          </w:p>
        </w:tc>
        <w:tc>
          <w:tcPr>
            <w:tcW w:w="5600" w:type="dxa"/>
            <w:vAlign w:val="bottom"/>
            <w:gridSpan w:val="20"/>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99"/>
              </w:rPr>
              <w:t>1</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2240" w:type="dxa"/>
            <w:vAlign w:val="bottom"/>
            <w:tcBorders>
              <w:bottom w:val="single" w:sz="8" w:color="0000EE"/>
            </w:tcBorders>
            <w:gridSpan w:val="12"/>
          </w:tcPr>
          <w:p>
            <w:pPr>
              <w:ind w:left="20"/>
              <w:spacing w:after="0"/>
              <w:rPr>
                <w:sz w:val="20"/>
                <w:szCs w:val="20"/>
                <w:color w:val="auto"/>
              </w:rPr>
            </w:pPr>
            <w:r>
              <w:rPr>
                <w:rFonts w:ascii="Arial" w:cs="Arial" w:eastAsia="Arial" w:hAnsi="Arial"/>
                <w:sz w:val="18"/>
                <w:szCs w:val="18"/>
                <w:b w:val="1"/>
                <w:bCs w:val="1"/>
                <w:color w:val="0000EE"/>
                <w:w w:val="98"/>
              </w:rPr>
              <w:t>About the Annual Meeting</w:t>
            </w:r>
          </w:p>
        </w:tc>
        <w:tc>
          <w:tcPr>
            <w:tcW w:w="6120" w:type="dxa"/>
            <w:vAlign w:val="bottom"/>
            <w:gridSpan w:val="27"/>
          </w:tcPr>
          <w:p>
            <w:pPr>
              <w:spacing w:after="0"/>
              <w:rPr>
                <w:sz w:val="22"/>
                <w:szCs w:val="22"/>
                <w:color w:val="auto"/>
              </w:rPr>
            </w:pPr>
          </w:p>
        </w:tc>
        <w:tc>
          <w:tcPr>
            <w:tcW w:w="136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99"/>
              </w:rPr>
              <w:t>2</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8360" w:type="dxa"/>
            <w:vAlign w:val="bottom"/>
            <w:gridSpan w:val="39"/>
          </w:tcPr>
          <w:p>
            <w:pPr>
              <w:ind w:left="20"/>
              <w:spacing w:after="0"/>
              <w:rPr>
                <w:sz w:val="20"/>
                <w:szCs w:val="20"/>
                <w:color w:val="auto"/>
              </w:rPr>
            </w:pPr>
            <w:r>
              <w:rPr>
                <w:rFonts w:ascii="Arial" w:cs="Arial" w:eastAsia="Arial" w:hAnsi="Arial"/>
                <w:sz w:val="18"/>
                <w:szCs w:val="18"/>
                <w:b w:val="1"/>
                <w:bCs w:val="1"/>
                <w:color w:val="0000EE"/>
              </w:rPr>
              <w:t>Proposals to Be Voted on at Meeting</w:t>
            </w:r>
          </w:p>
        </w:tc>
        <w:tc>
          <w:tcPr>
            <w:tcW w:w="1460" w:type="dxa"/>
            <w:vAlign w:val="bottom"/>
            <w:gridSpan w:val="3"/>
          </w:tcPr>
          <w:p>
            <w:pPr>
              <w:jc w:val="right"/>
              <w:spacing w:after="0"/>
              <w:rPr>
                <w:sz w:val="20"/>
                <w:szCs w:val="20"/>
                <w:color w:val="auto"/>
              </w:rPr>
            </w:pPr>
            <w:r>
              <w:rPr>
                <w:rFonts w:ascii="Arial" w:cs="Arial" w:eastAsia="Arial" w:hAnsi="Arial"/>
                <w:sz w:val="18"/>
                <w:szCs w:val="18"/>
                <w:color w:val="0000EE"/>
              </w:rPr>
              <w:t>7</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080" w:type="dxa"/>
            <w:vAlign w:val="bottom"/>
            <w:tcBorders>
              <w:top w:val="single" w:sz="8" w:color="0000EE"/>
              <w:bottom w:val="single" w:sz="8" w:color="0000EE"/>
            </w:tcBorders>
            <w:gridSpan w:val="21"/>
          </w:tcPr>
          <w:p>
            <w:pPr>
              <w:ind w:left="20"/>
              <w:spacing w:after="0"/>
              <w:rPr>
                <w:sz w:val="20"/>
                <w:szCs w:val="20"/>
                <w:color w:val="auto"/>
              </w:rPr>
            </w:pPr>
            <w:r>
              <w:rPr>
                <w:rFonts w:ascii="Arial" w:cs="Arial" w:eastAsia="Arial" w:hAnsi="Arial"/>
                <w:sz w:val="18"/>
                <w:szCs w:val="18"/>
                <w:b w:val="1"/>
                <w:bCs w:val="1"/>
                <w:color w:val="0000EE"/>
                <w:w w:val="98"/>
              </w:rPr>
              <w:t>Proposal No. 1 Election of Directors</w:t>
            </w:r>
          </w:p>
        </w:tc>
        <w:tc>
          <w:tcPr>
            <w:tcW w:w="40" w:type="dxa"/>
            <w:vAlign w:val="bottom"/>
            <w:tcBorders>
              <w:top w:val="single" w:sz="8" w:color="0000EE"/>
            </w:tcBorders>
          </w:tcPr>
          <w:p>
            <w:pPr>
              <w:spacing w:after="0"/>
              <w:rPr>
                <w:sz w:val="22"/>
                <w:szCs w:val="22"/>
                <w:color w:val="auto"/>
              </w:rPr>
            </w:pPr>
          </w:p>
        </w:tc>
        <w:tc>
          <w:tcPr>
            <w:tcW w:w="5240" w:type="dxa"/>
            <w:vAlign w:val="bottom"/>
            <w:gridSpan w:val="17"/>
          </w:tcPr>
          <w:p>
            <w:pPr>
              <w:spacing w:after="0"/>
              <w:rPr>
                <w:sz w:val="22"/>
                <w:szCs w:val="22"/>
                <w:color w:val="auto"/>
              </w:rPr>
            </w:pPr>
          </w:p>
        </w:tc>
        <w:tc>
          <w:tcPr>
            <w:tcW w:w="1360" w:type="dxa"/>
            <w:vAlign w:val="bottom"/>
            <w:gridSpan w:val="2"/>
          </w:tcPr>
          <w:p>
            <w:pPr>
              <w:spacing w:after="0"/>
              <w:rPr>
                <w:sz w:val="22"/>
                <w:szCs w:val="22"/>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w w:val="99"/>
              </w:rPr>
              <w:t>7</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9"/>
              </w:rPr>
              <w:t>Biographical Information for Nominees</w:t>
            </w:r>
          </w:p>
        </w:tc>
        <w:tc>
          <w:tcPr>
            <w:tcW w:w="4920" w:type="dxa"/>
            <w:vAlign w:val="bottom"/>
            <w:gridSpan w:val="14"/>
          </w:tcPr>
          <w:p>
            <w:pPr>
              <w:spacing w:after="0"/>
              <w:rPr>
                <w:sz w:val="22"/>
                <w:szCs w:val="22"/>
                <w:color w:val="auto"/>
              </w:rPr>
            </w:pPr>
          </w:p>
        </w:tc>
        <w:tc>
          <w:tcPr>
            <w:tcW w:w="136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99"/>
              </w:rPr>
              <w:t>7</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Director Nomination Process</w:t>
            </w:r>
          </w:p>
        </w:tc>
        <w:tc>
          <w:tcPr>
            <w:tcW w:w="5700" w:type="dxa"/>
            <w:vAlign w:val="bottom"/>
            <w:gridSpan w:val="22"/>
          </w:tcPr>
          <w:p>
            <w:pPr>
              <w:spacing w:after="0"/>
              <w:rPr>
                <w:sz w:val="22"/>
                <w:szCs w:val="22"/>
                <w:color w:val="auto"/>
              </w:rPr>
            </w:pPr>
          </w:p>
        </w:tc>
        <w:tc>
          <w:tcPr>
            <w:tcW w:w="136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99"/>
              </w:rPr>
              <w:t>9</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960" w:type="dxa"/>
            <w:vAlign w:val="bottom"/>
            <w:gridSpan w:val="8"/>
          </w:tcPr>
          <w:p>
            <w:pPr>
              <w:ind w:left="20"/>
              <w:spacing w:after="0"/>
              <w:rPr>
                <w:sz w:val="20"/>
                <w:szCs w:val="20"/>
                <w:color w:val="auto"/>
              </w:rPr>
            </w:pPr>
            <w:r>
              <w:rPr>
                <w:rFonts w:ascii="Arial" w:cs="Arial" w:eastAsia="Arial" w:hAnsi="Arial"/>
                <w:sz w:val="18"/>
                <w:szCs w:val="18"/>
                <w:b w:val="1"/>
                <w:bCs w:val="1"/>
                <w:color w:val="0000EE"/>
                <w:w w:val="97"/>
              </w:rPr>
              <w:t>Corporate Governance</w:t>
            </w:r>
          </w:p>
        </w:tc>
        <w:tc>
          <w:tcPr>
            <w:tcW w:w="6400" w:type="dxa"/>
            <w:vAlign w:val="bottom"/>
            <w:gridSpan w:val="31"/>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0" w:type="dxa"/>
            <w:vAlign w:val="bottom"/>
            <w:gridSpan w:val="37"/>
          </w:tcPr>
          <w:p>
            <w:pPr>
              <w:spacing w:after="0"/>
              <w:rPr>
                <w:sz w:val="20"/>
                <w:szCs w:val="20"/>
                <w:color w:val="auto"/>
              </w:rPr>
            </w:pPr>
            <w:r>
              <w:rPr>
                <w:rFonts w:ascii="Arial" w:cs="Arial" w:eastAsia="Arial" w:hAnsi="Arial"/>
                <w:sz w:val="18"/>
                <w:szCs w:val="18"/>
                <w:color w:val="0000EE"/>
              </w:rPr>
              <w:t>Functions and Meetings of the Board of Directors</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40" w:type="dxa"/>
            <w:vAlign w:val="bottom"/>
            <w:gridSpan w:val="12"/>
          </w:tcPr>
          <w:p>
            <w:pPr>
              <w:ind w:left="20"/>
              <w:spacing w:after="0"/>
              <w:rPr>
                <w:sz w:val="20"/>
                <w:szCs w:val="20"/>
                <w:color w:val="auto"/>
              </w:rPr>
            </w:pPr>
            <w:r>
              <w:rPr>
                <w:rFonts w:ascii="Arial" w:cs="Arial" w:eastAsia="Arial" w:hAnsi="Arial"/>
                <w:sz w:val="18"/>
                <w:szCs w:val="18"/>
                <w:color w:val="0000EE"/>
                <w:w w:val="98"/>
              </w:rPr>
              <w:t>Director Independence</w:t>
            </w:r>
          </w:p>
        </w:tc>
        <w:tc>
          <w:tcPr>
            <w:tcW w:w="1700" w:type="dxa"/>
            <w:vAlign w:val="bottom"/>
            <w:gridSpan w:val="16"/>
          </w:tcPr>
          <w:p>
            <w:pPr>
              <w:spacing w:after="0"/>
              <w:rPr>
                <w:sz w:val="22"/>
                <w:szCs w:val="22"/>
                <w:color w:val="auto"/>
              </w:rPr>
            </w:pPr>
          </w:p>
        </w:tc>
        <w:tc>
          <w:tcPr>
            <w:tcW w:w="4100" w:type="dxa"/>
            <w:vAlign w:val="bottom"/>
            <w:gridSpan w:val="8"/>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gridSpan w:val="17"/>
          </w:tcPr>
          <w:p>
            <w:pPr>
              <w:ind w:left="20"/>
              <w:spacing w:after="0"/>
              <w:rPr>
                <w:sz w:val="20"/>
                <w:szCs w:val="20"/>
                <w:color w:val="auto"/>
              </w:rPr>
            </w:pPr>
            <w:r>
              <w:rPr>
                <w:rFonts w:ascii="Arial" w:cs="Arial" w:eastAsia="Arial" w:hAnsi="Arial"/>
                <w:sz w:val="18"/>
                <w:szCs w:val="18"/>
                <w:color w:val="0000EE"/>
                <w:w w:val="99"/>
              </w:rPr>
              <w:t>Board Leadership Structure</w:t>
            </w:r>
          </w:p>
        </w:tc>
        <w:tc>
          <w:tcPr>
            <w:tcW w:w="5420" w:type="dxa"/>
            <w:vAlign w:val="bottom"/>
            <w:gridSpan w:val="19"/>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40" w:type="dxa"/>
            <w:vAlign w:val="bottom"/>
            <w:gridSpan w:val="26"/>
          </w:tcPr>
          <w:p>
            <w:pPr>
              <w:ind w:left="20"/>
              <w:spacing w:after="0"/>
              <w:rPr>
                <w:sz w:val="20"/>
                <w:szCs w:val="20"/>
                <w:color w:val="auto"/>
              </w:rPr>
            </w:pPr>
            <w:r>
              <w:rPr>
                <w:rFonts w:ascii="Arial" w:cs="Arial" w:eastAsia="Arial" w:hAnsi="Arial"/>
                <w:sz w:val="18"/>
                <w:szCs w:val="18"/>
                <w:color w:val="0000EE"/>
                <w:w w:val="99"/>
              </w:rPr>
              <w:t>Risk Management and Risk Assessment</w:t>
            </w:r>
          </w:p>
        </w:tc>
        <w:tc>
          <w:tcPr>
            <w:tcW w:w="4400" w:type="dxa"/>
            <w:vAlign w:val="bottom"/>
            <w:gridSpan w:val="10"/>
          </w:tcPr>
          <w:p>
            <w:pPr>
              <w:spacing w:after="0"/>
              <w:rPr>
                <w:sz w:val="22"/>
                <w:szCs w:val="22"/>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0000EE"/>
              </w:rPr>
              <w:t>11</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40" w:type="dxa"/>
            <w:vAlign w:val="bottom"/>
            <w:gridSpan w:val="36"/>
          </w:tcPr>
          <w:p>
            <w:pPr>
              <w:ind w:left="20"/>
              <w:spacing w:after="0"/>
              <w:rPr>
                <w:sz w:val="20"/>
                <w:szCs w:val="20"/>
                <w:color w:val="auto"/>
              </w:rPr>
            </w:pPr>
            <w:r>
              <w:rPr>
                <w:rFonts w:ascii="Arial" w:cs="Arial" w:eastAsia="Arial" w:hAnsi="Arial"/>
                <w:sz w:val="18"/>
                <w:szCs w:val="18"/>
                <w:color w:val="0000EE"/>
              </w:rPr>
              <w:t>Communicating with the Board of Directors</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20" w:type="dxa"/>
            <w:vAlign w:val="bottom"/>
            <w:gridSpan w:val="7"/>
          </w:tcPr>
          <w:p>
            <w:pPr>
              <w:ind w:left="20"/>
              <w:spacing w:after="0"/>
              <w:rPr>
                <w:sz w:val="20"/>
                <w:szCs w:val="20"/>
                <w:color w:val="auto"/>
              </w:rPr>
            </w:pPr>
            <w:r>
              <w:rPr>
                <w:rFonts w:ascii="Arial" w:cs="Arial" w:eastAsia="Arial" w:hAnsi="Arial"/>
                <w:sz w:val="18"/>
                <w:szCs w:val="18"/>
                <w:color w:val="0000EE"/>
                <w:w w:val="94"/>
              </w:rPr>
              <w:t>Codes of Conduct</w:t>
            </w:r>
          </w:p>
        </w:tc>
        <w:tc>
          <w:tcPr>
            <w:tcW w:w="1960" w:type="dxa"/>
            <w:vAlign w:val="bottom"/>
            <w:gridSpan w:val="20"/>
          </w:tcPr>
          <w:p>
            <w:pPr>
              <w:spacing w:after="0"/>
              <w:rPr>
                <w:sz w:val="22"/>
                <w:szCs w:val="22"/>
                <w:color w:val="auto"/>
              </w:rPr>
            </w:pPr>
          </w:p>
        </w:tc>
        <w:tc>
          <w:tcPr>
            <w:tcW w:w="4260" w:type="dxa"/>
            <w:vAlign w:val="bottom"/>
            <w:gridSpan w:val="9"/>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40" w:type="dxa"/>
            <w:vAlign w:val="bottom"/>
            <w:gridSpan w:val="14"/>
          </w:tcPr>
          <w:p>
            <w:pPr>
              <w:spacing w:after="0"/>
              <w:rPr>
                <w:sz w:val="20"/>
                <w:szCs w:val="20"/>
                <w:color w:val="auto"/>
              </w:rPr>
            </w:pPr>
            <w:r>
              <w:rPr>
                <w:rFonts w:ascii="Arial" w:cs="Arial" w:eastAsia="Arial" w:hAnsi="Arial"/>
                <w:sz w:val="18"/>
                <w:szCs w:val="18"/>
                <w:color w:val="0000EE"/>
                <w:w w:val="99"/>
              </w:rPr>
              <w:t>Board of Directors Meetings</w:t>
            </w:r>
          </w:p>
        </w:tc>
        <w:tc>
          <w:tcPr>
            <w:tcW w:w="5760" w:type="dxa"/>
            <w:vAlign w:val="bottom"/>
            <w:gridSpan w:val="23"/>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0" w:type="dxa"/>
            <w:vAlign w:val="bottom"/>
            <w:gridSpan w:val="37"/>
          </w:tcPr>
          <w:p>
            <w:pPr>
              <w:spacing w:after="0"/>
              <w:rPr>
                <w:sz w:val="20"/>
                <w:szCs w:val="20"/>
                <w:color w:val="auto"/>
              </w:rPr>
            </w:pPr>
            <w:r>
              <w:rPr>
                <w:rFonts w:ascii="Arial" w:cs="Arial" w:eastAsia="Arial" w:hAnsi="Arial"/>
                <w:sz w:val="18"/>
                <w:szCs w:val="18"/>
                <w:color w:val="0000EE"/>
              </w:rPr>
              <w:t>Committees of the Board of Directors</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6"/>
          </w:tcPr>
          <w:p>
            <w:pPr>
              <w:ind w:left="20"/>
              <w:spacing w:after="0"/>
              <w:rPr>
                <w:sz w:val="20"/>
                <w:szCs w:val="20"/>
                <w:color w:val="auto"/>
              </w:rPr>
            </w:pPr>
            <w:r>
              <w:rPr>
                <w:rFonts w:ascii="Arial" w:cs="Arial" w:eastAsia="Arial" w:hAnsi="Arial"/>
                <w:sz w:val="18"/>
                <w:szCs w:val="18"/>
                <w:color w:val="0000EE"/>
                <w:w w:val="94"/>
              </w:rPr>
              <w:t>Audit Committee</w:t>
            </w:r>
          </w:p>
        </w:tc>
        <w:tc>
          <w:tcPr>
            <w:tcW w:w="1280" w:type="dxa"/>
            <w:vAlign w:val="bottom"/>
            <w:gridSpan w:val="15"/>
          </w:tcPr>
          <w:p>
            <w:pPr>
              <w:spacing w:after="0"/>
              <w:rPr>
                <w:sz w:val="22"/>
                <w:szCs w:val="22"/>
                <w:color w:val="auto"/>
              </w:rPr>
            </w:pPr>
          </w:p>
        </w:tc>
        <w:tc>
          <w:tcPr>
            <w:tcW w:w="5040" w:type="dxa"/>
            <w:vAlign w:val="bottom"/>
            <w:gridSpan w:val="15"/>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40" w:type="dxa"/>
            <w:vAlign w:val="bottom"/>
            <w:gridSpan w:val="16"/>
          </w:tcPr>
          <w:p>
            <w:pPr>
              <w:ind w:left="20"/>
              <w:spacing w:after="0"/>
              <w:rPr>
                <w:sz w:val="20"/>
                <w:szCs w:val="20"/>
                <w:color w:val="auto"/>
              </w:rPr>
            </w:pPr>
            <w:r>
              <w:rPr>
                <w:rFonts w:ascii="Arial" w:cs="Arial" w:eastAsia="Arial" w:hAnsi="Arial"/>
                <w:sz w:val="18"/>
                <w:szCs w:val="18"/>
                <w:color w:val="0000EE"/>
                <w:w w:val="95"/>
              </w:rPr>
              <w:t>Compensation Committee</w:t>
            </w:r>
          </w:p>
        </w:tc>
        <w:tc>
          <w:tcPr>
            <w:tcW w:w="5600" w:type="dxa"/>
            <w:vAlign w:val="bottom"/>
            <w:gridSpan w:val="20"/>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720" w:type="dxa"/>
            <w:vAlign w:val="bottom"/>
            <w:gridSpan w:val="22"/>
          </w:tcPr>
          <w:p>
            <w:pPr>
              <w:ind w:left="20"/>
              <w:spacing w:after="0"/>
              <w:rPr>
                <w:sz w:val="20"/>
                <w:szCs w:val="20"/>
                <w:color w:val="auto"/>
              </w:rPr>
            </w:pPr>
            <w:r>
              <w:rPr>
                <w:rFonts w:ascii="Arial" w:cs="Arial" w:eastAsia="Arial" w:hAnsi="Arial"/>
                <w:sz w:val="18"/>
                <w:szCs w:val="18"/>
                <w:color w:val="0000EE"/>
                <w:w w:val="96"/>
              </w:rPr>
              <w:t>Corporate Governance Committee</w:t>
            </w:r>
          </w:p>
        </w:tc>
        <w:tc>
          <w:tcPr>
            <w:tcW w:w="4920" w:type="dxa"/>
            <w:vAlign w:val="bottom"/>
            <w:gridSpan w:val="14"/>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0000EE"/>
                <w:w w:val="98"/>
              </w:rPr>
              <w:t>Diversity</w:t>
            </w:r>
          </w:p>
        </w:tc>
        <w:tc>
          <w:tcPr>
            <w:tcW w:w="7300" w:type="dxa"/>
            <w:vAlign w:val="bottom"/>
            <w:gridSpan w:val="35"/>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0" w:type="dxa"/>
            <w:vAlign w:val="bottom"/>
            <w:gridSpan w:val="37"/>
          </w:tcPr>
          <w:p>
            <w:pPr>
              <w:spacing w:after="0"/>
              <w:rPr>
                <w:sz w:val="20"/>
                <w:szCs w:val="20"/>
                <w:color w:val="auto"/>
              </w:rPr>
            </w:pPr>
            <w:r>
              <w:rPr>
                <w:rFonts w:ascii="Arial" w:cs="Arial" w:eastAsia="Arial" w:hAnsi="Arial"/>
                <w:sz w:val="18"/>
                <w:szCs w:val="18"/>
                <w:color w:val="0000EE"/>
              </w:rPr>
              <w:t>Succession Planning</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0" w:type="dxa"/>
            <w:vAlign w:val="bottom"/>
            <w:gridSpan w:val="37"/>
          </w:tcPr>
          <w:p>
            <w:pPr>
              <w:spacing w:after="0"/>
              <w:rPr>
                <w:sz w:val="20"/>
                <w:szCs w:val="20"/>
                <w:color w:val="auto"/>
              </w:rPr>
            </w:pPr>
            <w:r>
              <w:rPr>
                <w:rFonts w:ascii="Arial" w:cs="Arial" w:eastAsia="Arial" w:hAnsi="Arial"/>
                <w:sz w:val="18"/>
                <w:szCs w:val="18"/>
                <w:color w:val="0000EE"/>
              </w:rPr>
              <w:t>Related Person Transactions</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20" w:type="dxa"/>
            <w:vAlign w:val="bottom"/>
            <w:gridSpan w:val="16"/>
          </w:tcPr>
          <w:p>
            <w:pPr>
              <w:spacing w:after="0"/>
              <w:rPr>
                <w:sz w:val="20"/>
                <w:szCs w:val="20"/>
                <w:color w:val="auto"/>
              </w:rPr>
            </w:pPr>
            <w:r>
              <w:rPr>
                <w:rFonts w:ascii="Arial" w:cs="Arial" w:eastAsia="Arial" w:hAnsi="Arial"/>
                <w:sz w:val="18"/>
                <w:szCs w:val="18"/>
                <w:color w:val="0000EE"/>
              </w:rPr>
              <w:t>Shareholder Engagement</w:t>
            </w:r>
          </w:p>
        </w:tc>
        <w:tc>
          <w:tcPr>
            <w:tcW w:w="5680" w:type="dxa"/>
            <w:vAlign w:val="bottom"/>
            <w:gridSpan w:val="21"/>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440" w:type="dxa"/>
            <w:vAlign w:val="bottom"/>
            <w:gridSpan w:val="5"/>
          </w:tcPr>
          <w:p>
            <w:pPr>
              <w:ind w:left="20"/>
              <w:spacing w:after="0"/>
              <w:rPr>
                <w:sz w:val="20"/>
                <w:szCs w:val="20"/>
                <w:color w:val="auto"/>
              </w:rPr>
            </w:pPr>
            <w:r>
              <w:rPr>
                <w:rFonts w:ascii="Arial" w:cs="Arial" w:eastAsia="Arial" w:hAnsi="Arial"/>
                <w:sz w:val="18"/>
                <w:szCs w:val="18"/>
                <w:b w:val="1"/>
                <w:bCs w:val="1"/>
                <w:color w:val="0000EE"/>
                <w:w w:val="93"/>
              </w:rPr>
              <w:t>Stock Ownership</w:t>
            </w:r>
          </w:p>
        </w:tc>
        <w:tc>
          <w:tcPr>
            <w:tcW w:w="6920" w:type="dxa"/>
            <w:vAlign w:val="bottom"/>
            <w:gridSpan w:val="34"/>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0" w:type="dxa"/>
            <w:vAlign w:val="bottom"/>
            <w:gridSpan w:val="37"/>
          </w:tcPr>
          <w:p>
            <w:pPr>
              <w:spacing w:after="0"/>
              <w:rPr>
                <w:sz w:val="20"/>
                <w:szCs w:val="20"/>
                <w:color w:val="auto"/>
              </w:rPr>
            </w:pPr>
            <w:r>
              <w:rPr>
                <w:rFonts w:ascii="Arial" w:cs="Arial" w:eastAsia="Arial" w:hAnsi="Arial"/>
                <w:sz w:val="18"/>
                <w:szCs w:val="18"/>
                <w:color w:val="0000EE"/>
              </w:rPr>
              <w:t>Equity Compensation Plan Information</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900" w:type="dxa"/>
            <w:vAlign w:val="bottom"/>
            <w:gridSpan w:val="29"/>
          </w:tcPr>
          <w:p>
            <w:pPr>
              <w:spacing w:after="0"/>
              <w:rPr>
                <w:sz w:val="20"/>
                <w:szCs w:val="20"/>
                <w:color w:val="auto"/>
              </w:rPr>
            </w:pPr>
            <w:r>
              <w:rPr>
                <w:rFonts w:ascii="Arial" w:cs="Arial" w:eastAsia="Arial" w:hAnsi="Arial"/>
                <w:sz w:val="18"/>
                <w:szCs w:val="18"/>
                <w:color w:val="0000EE"/>
                <w:w w:val="99"/>
              </w:rPr>
              <w:t>Security Ownership of Certain Beneficial Owners</w:t>
            </w:r>
          </w:p>
        </w:tc>
        <w:tc>
          <w:tcPr>
            <w:tcW w:w="4100" w:type="dxa"/>
            <w:vAlign w:val="bottom"/>
            <w:gridSpan w:val="8"/>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18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8360" w:type="dxa"/>
            <w:vAlign w:val="bottom"/>
            <w:gridSpan w:val="39"/>
          </w:tcPr>
          <w:p>
            <w:pPr>
              <w:ind w:left="20"/>
              <w:spacing w:after="0"/>
              <w:rPr>
                <w:sz w:val="20"/>
                <w:szCs w:val="20"/>
                <w:color w:val="auto"/>
              </w:rPr>
            </w:pPr>
            <w:r>
              <w:rPr>
                <w:rFonts w:ascii="Arial" w:cs="Arial" w:eastAsia="Arial" w:hAnsi="Arial"/>
                <w:sz w:val="18"/>
                <w:szCs w:val="18"/>
                <w:b w:val="1"/>
                <w:bCs w:val="1"/>
                <w:color w:val="0000EE"/>
              </w:rPr>
              <w:t>Executive Officers</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20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8360" w:type="dxa"/>
            <w:vAlign w:val="bottom"/>
            <w:gridSpan w:val="39"/>
          </w:tcPr>
          <w:p>
            <w:pPr>
              <w:ind w:left="20"/>
              <w:spacing w:after="0"/>
              <w:rPr>
                <w:sz w:val="20"/>
                <w:szCs w:val="20"/>
                <w:color w:val="auto"/>
              </w:rPr>
            </w:pPr>
            <w:r>
              <w:rPr>
                <w:rFonts w:ascii="Arial" w:cs="Arial" w:eastAsia="Arial" w:hAnsi="Arial"/>
                <w:sz w:val="18"/>
                <w:szCs w:val="18"/>
                <w:b w:val="1"/>
                <w:bCs w:val="1"/>
                <w:color w:val="0000EE"/>
              </w:rPr>
              <w:t>Executive Compensation</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22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0" w:type="dxa"/>
            <w:vAlign w:val="bottom"/>
            <w:gridSpan w:val="37"/>
          </w:tcPr>
          <w:p>
            <w:pPr>
              <w:spacing w:after="0"/>
              <w:rPr>
                <w:sz w:val="20"/>
                <w:szCs w:val="20"/>
                <w:color w:val="auto"/>
              </w:rPr>
            </w:pPr>
            <w:r>
              <w:rPr>
                <w:rFonts w:ascii="Arial" w:cs="Arial" w:eastAsia="Arial" w:hAnsi="Arial"/>
                <w:sz w:val="18"/>
                <w:szCs w:val="18"/>
                <w:color w:val="0000EE"/>
              </w:rPr>
              <w:t>Compensation Discussion and Analysis</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22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160" w:type="dxa"/>
            <w:vAlign w:val="bottom"/>
            <w:gridSpan w:val="24"/>
          </w:tcPr>
          <w:p>
            <w:pPr>
              <w:spacing w:after="0"/>
              <w:rPr>
                <w:sz w:val="20"/>
                <w:szCs w:val="20"/>
                <w:color w:val="auto"/>
              </w:rPr>
            </w:pPr>
            <w:r>
              <w:rPr>
                <w:rFonts w:ascii="Arial" w:cs="Arial" w:eastAsia="Arial" w:hAnsi="Arial"/>
                <w:sz w:val="18"/>
                <w:szCs w:val="18"/>
                <w:color w:val="0000EE"/>
              </w:rPr>
              <w:t>Summary Compensation Table</w:t>
            </w:r>
          </w:p>
        </w:tc>
        <w:tc>
          <w:tcPr>
            <w:tcW w:w="4840" w:type="dxa"/>
            <w:vAlign w:val="bottom"/>
            <w:gridSpan w:val="13"/>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0" w:type="dxa"/>
            <w:vAlign w:val="bottom"/>
            <w:gridSpan w:val="17"/>
          </w:tcPr>
          <w:p>
            <w:pPr>
              <w:spacing w:after="0"/>
              <w:rPr>
                <w:sz w:val="20"/>
                <w:szCs w:val="20"/>
                <w:color w:val="auto"/>
              </w:rPr>
            </w:pPr>
            <w:r>
              <w:rPr>
                <w:rFonts w:ascii="Arial" w:cs="Arial" w:eastAsia="Arial" w:hAnsi="Arial"/>
                <w:sz w:val="18"/>
                <w:szCs w:val="18"/>
                <w:color w:val="0000EE"/>
                <w:w w:val="97"/>
              </w:rPr>
              <w:t>All Other Compensation Table</w:t>
            </w:r>
          </w:p>
        </w:tc>
        <w:tc>
          <w:tcPr>
            <w:tcW w:w="5600" w:type="dxa"/>
            <w:vAlign w:val="bottom"/>
            <w:gridSpan w:val="20"/>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6"/>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5"/>
          </w:tcPr>
          <w:p>
            <w:pPr>
              <w:spacing w:after="0"/>
              <w:rPr>
                <w:sz w:val="20"/>
                <w:szCs w:val="20"/>
                <w:color w:val="auto"/>
              </w:rPr>
            </w:pPr>
            <w:r>
              <w:rPr>
                <w:rFonts w:ascii="Arial" w:cs="Arial" w:eastAsia="Arial" w:hAnsi="Arial"/>
                <w:sz w:val="18"/>
                <w:szCs w:val="18"/>
                <w:color w:val="0000EE"/>
                <w:w w:val="97"/>
              </w:rPr>
              <w:t>Perquisites Table</w:t>
            </w:r>
          </w:p>
        </w:tc>
        <w:tc>
          <w:tcPr>
            <w:tcW w:w="1020" w:type="dxa"/>
            <w:vAlign w:val="bottom"/>
            <w:gridSpan w:val="12"/>
          </w:tcPr>
          <w:p>
            <w:pPr>
              <w:spacing w:after="0"/>
              <w:rPr>
                <w:sz w:val="22"/>
                <w:szCs w:val="22"/>
                <w:color w:val="auto"/>
              </w:rPr>
            </w:pPr>
          </w:p>
        </w:tc>
        <w:tc>
          <w:tcPr>
            <w:tcW w:w="5600" w:type="dxa"/>
            <w:vAlign w:val="bottom"/>
            <w:gridSpan w:val="20"/>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34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0" w:type="dxa"/>
            <w:vAlign w:val="bottom"/>
            <w:gridSpan w:val="37"/>
          </w:tcPr>
          <w:p>
            <w:pPr>
              <w:spacing w:after="0"/>
              <w:rPr>
                <w:sz w:val="20"/>
                <w:szCs w:val="20"/>
                <w:color w:val="auto"/>
              </w:rPr>
            </w:pPr>
            <w:r>
              <w:rPr>
                <w:rFonts w:ascii="Arial" w:cs="Arial" w:eastAsia="Arial" w:hAnsi="Arial"/>
                <w:sz w:val="18"/>
                <w:szCs w:val="18"/>
                <w:color w:val="0000EE"/>
              </w:rPr>
              <w:t>2022 Grants of Plan-Based Awards Table</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10"/>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180" w:type="dxa"/>
            <w:vAlign w:val="bottom"/>
            <w:gridSpan w:val="31"/>
          </w:tcPr>
          <w:p>
            <w:pPr>
              <w:spacing w:after="0"/>
              <w:rPr>
                <w:sz w:val="20"/>
                <w:szCs w:val="20"/>
                <w:color w:val="auto"/>
              </w:rPr>
            </w:pPr>
            <w:r>
              <w:rPr>
                <w:rFonts w:ascii="Arial" w:cs="Arial" w:eastAsia="Arial" w:hAnsi="Arial"/>
                <w:sz w:val="18"/>
                <w:szCs w:val="18"/>
                <w:color w:val="0000EE"/>
                <w:w w:val="98"/>
              </w:rPr>
              <w:t>Outstanding Equity Awards at Fiscal Year-End Table</w:t>
            </w:r>
          </w:p>
        </w:tc>
        <w:tc>
          <w:tcPr>
            <w:tcW w:w="3820" w:type="dxa"/>
            <w:vAlign w:val="bottom"/>
            <w:gridSpan w:val="6"/>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36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10"/>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740" w:type="dxa"/>
            <w:vAlign w:val="bottom"/>
            <w:gridSpan w:val="28"/>
          </w:tcPr>
          <w:p>
            <w:pPr>
              <w:spacing w:after="0"/>
              <w:rPr>
                <w:sz w:val="20"/>
                <w:szCs w:val="20"/>
                <w:color w:val="auto"/>
              </w:rPr>
            </w:pPr>
            <w:r>
              <w:rPr>
                <w:rFonts w:ascii="Arial" w:cs="Arial" w:eastAsia="Arial" w:hAnsi="Arial"/>
                <w:sz w:val="18"/>
                <w:szCs w:val="18"/>
                <w:color w:val="0000EE"/>
                <w:w w:val="98"/>
              </w:rPr>
              <w:t>2022 Option Exercises and Stock Vested Table</w:t>
            </w:r>
          </w:p>
        </w:tc>
        <w:tc>
          <w:tcPr>
            <w:tcW w:w="440" w:type="dxa"/>
            <w:vAlign w:val="bottom"/>
            <w:gridSpan w:val="3"/>
          </w:tcPr>
          <w:p>
            <w:pPr>
              <w:spacing w:after="0"/>
              <w:rPr>
                <w:sz w:val="22"/>
                <w:szCs w:val="22"/>
                <w:color w:val="auto"/>
              </w:rPr>
            </w:pPr>
          </w:p>
        </w:tc>
        <w:tc>
          <w:tcPr>
            <w:tcW w:w="3820" w:type="dxa"/>
            <w:vAlign w:val="bottom"/>
            <w:gridSpan w:val="6"/>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37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10"/>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740" w:type="dxa"/>
            <w:vAlign w:val="bottom"/>
            <w:gridSpan w:val="28"/>
          </w:tcPr>
          <w:p>
            <w:pPr>
              <w:spacing w:after="0"/>
              <w:rPr>
                <w:sz w:val="20"/>
                <w:szCs w:val="20"/>
                <w:color w:val="auto"/>
              </w:rPr>
            </w:pPr>
            <w:r>
              <w:rPr>
                <w:rFonts w:ascii="Arial" w:cs="Arial" w:eastAsia="Arial" w:hAnsi="Arial"/>
                <w:sz w:val="18"/>
                <w:szCs w:val="18"/>
                <w:color w:val="0000EE"/>
              </w:rPr>
              <w:t>Pension Benefits Table</w:t>
            </w:r>
          </w:p>
        </w:tc>
        <w:tc>
          <w:tcPr>
            <w:tcW w:w="4260" w:type="dxa"/>
            <w:vAlign w:val="bottom"/>
            <w:gridSpan w:val="9"/>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37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20" w:type="dxa"/>
            <w:vAlign w:val="bottom"/>
            <w:gridSpan w:val="26"/>
          </w:tcPr>
          <w:p>
            <w:pPr>
              <w:spacing w:after="0"/>
              <w:rPr>
                <w:sz w:val="20"/>
                <w:szCs w:val="20"/>
                <w:color w:val="auto"/>
              </w:rPr>
            </w:pPr>
            <w:r>
              <w:rPr>
                <w:rFonts w:ascii="Arial" w:cs="Arial" w:eastAsia="Arial" w:hAnsi="Arial"/>
                <w:sz w:val="18"/>
                <w:szCs w:val="18"/>
                <w:color w:val="0000EE"/>
                <w:w w:val="99"/>
              </w:rPr>
              <w:t>Non-qualified Deferred Compensation Table</w:t>
            </w:r>
          </w:p>
        </w:tc>
        <w:tc>
          <w:tcPr>
            <w:tcW w:w="4480" w:type="dxa"/>
            <w:vAlign w:val="bottom"/>
            <w:gridSpan w:val="11"/>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37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840" w:type="dxa"/>
            <w:vAlign w:val="bottom"/>
            <w:tcBorders>
              <w:left w:val="single" w:sz="8" w:color="0000EE"/>
            </w:tcBorders>
            <w:gridSpan w:val="10"/>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0" w:type="dxa"/>
            <w:vAlign w:val="bottom"/>
            <w:gridSpan w:val="37"/>
          </w:tcPr>
          <w:p>
            <w:pPr>
              <w:spacing w:after="0"/>
              <w:rPr>
                <w:sz w:val="20"/>
                <w:szCs w:val="20"/>
                <w:color w:val="auto"/>
              </w:rPr>
            </w:pPr>
            <w:r>
              <w:rPr>
                <w:rFonts w:ascii="Arial" w:cs="Arial" w:eastAsia="Arial" w:hAnsi="Arial"/>
                <w:sz w:val="18"/>
                <w:szCs w:val="18"/>
                <w:color w:val="0000EE"/>
              </w:rPr>
              <w:t>Employment Agreements and Other Arrangements</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38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840" w:type="dxa"/>
            <w:vAlign w:val="bottom"/>
            <w:tcBorders>
              <w:left w:val="single" w:sz="8" w:color="0000EE"/>
            </w:tcBorders>
            <w:gridSpan w:val="10"/>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0" w:type="dxa"/>
            <w:vAlign w:val="bottom"/>
            <w:gridSpan w:val="37"/>
          </w:tcPr>
          <w:p>
            <w:pPr>
              <w:spacing w:after="0"/>
              <w:rPr>
                <w:sz w:val="20"/>
                <w:szCs w:val="20"/>
                <w:color w:val="auto"/>
              </w:rPr>
            </w:pPr>
            <w:r>
              <w:rPr>
                <w:rFonts w:ascii="Arial" w:cs="Arial" w:eastAsia="Arial" w:hAnsi="Arial"/>
                <w:sz w:val="18"/>
                <w:szCs w:val="18"/>
                <w:color w:val="0000EE"/>
              </w:rPr>
              <w:t>Termination, Severance and Change of Control Arrangements</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39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840" w:type="dxa"/>
            <w:vAlign w:val="bottom"/>
            <w:tcBorders>
              <w:left w:val="single" w:sz="8" w:color="0000EE"/>
            </w:tcBorders>
            <w:gridSpan w:val="10"/>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940" w:type="dxa"/>
            <w:vAlign w:val="bottom"/>
            <w:gridSpan w:val="34"/>
          </w:tcPr>
          <w:p>
            <w:pPr>
              <w:spacing w:after="0"/>
              <w:rPr>
                <w:sz w:val="20"/>
                <w:szCs w:val="20"/>
                <w:color w:val="auto"/>
              </w:rPr>
            </w:pPr>
            <w:r>
              <w:rPr>
                <w:rFonts w:ascii="Arial" w:cs="Arial" w:eastAsia="Arial" w:hAnsi="Arial"/>
                <w:sz w:val="18"/>
                <w:szCs w:val="18"/>
                <w:color w:val="0000EE"/>
              </w:rPr>
              <w:t>CEO Pay Ratio</w:t>
            </w:r>
          </w:p>
        </w:tc>
        <w:tc>
          <w:tcPr>
            <w:tcW w:w="3060" w:type="dxa"/>
            <w:vAlign w:val="bottom"/>
            <w:gridSpan w:val="3"/>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40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40" w:type="dxa"/>
            <w:vAlign w:val="bottom"/>
            <w:gridSpan w:val="11"/>
          </w:tcPr>
          <w:p>
            <w:pPr>
              <w:spacing w:after="0"/>
              <w:rPr>
                <w:sz w:val="20"/>
                <w:szCs w:val="20"/>
                <w:color w:val="auto"/>
              </w:rPr>
            </w:pPr>
            <w:r>
              <w:rPr>
                <w:rFonts w:ascii="Arial" w:cs="Arial" w:eastAsia="Arial" w:hAnsi="Arial"/>
                <w:sz w:val="18"/>
                <w:szCs w:val="18"/>
                <w:color w:val="0000EE"/>
                <w:w w:val="94"/>
              </w:rPr>
              <w:t>Pay​ Versus Performance</w:t>
            </w:r>
          </w:p>
        </w:tc>
        <w:tc>
          <w:tcPr>
            <w:tcW w:w="6060" w:type="dxa"/>
            <w:vAlign w:val="bottom"/>
            <w:gridSpan w:val="26"/>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41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840" w:type="dxa"/>
            <w:vAlign w:val="bottom"/>
            <w:tcBorders>
              <w:left w:val="single" w:sz="8" w:color="0000EE"/>
            </w:tcBorders>
            <w:gridSpan w:val="10"/>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1960" w:type="dxa"/>
            <w:vAlign w:val="bottom"/>
            <w:gridSpan w:val="8"/>
          </w:tcPr>
          <w:p>
            <w:pPr>
              <w:ind w:left="20"/>
              <w:spacing w:after="0"/>
              <w:rPr>
                <w:sz w:val="20"/>
                <w:szCs w:val="20"/>
                <w:color w:val="auto"/>
              </w:rPr>
            </w:pPr>
            <w:r>
              <w:rPr>
                <w:rFonts w:ascii="Arial" w:cs="Arial" w:eastAsia="Arial" w:hAnsi="Arial"/>
                <w:sz w:val="18"/>
                <w:szCs w:val="18"/>
                <w:b w:val="1"/>
                <w:bCs w:val="1"/>
                <w:color w:val="0000EE"/>
                <w:w w:val="95"/>
              </w:rPr>
              <w:t>Director Compensation</w:t>
            </w:r>
          </w:p>
        </w:tc>
        <w:tc>
          <w:tcPr>
            <w:tcW w:w="6400" w:type="dxa"/>
            <w:vAlign w:val="bottom"/>
            <w:gridSpan w:val="31"/>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43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5"/>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0" w:type="dxa"/>
            <w:vAlign w:val="bottom"/>
            <w:gridSpan w:val="37"/>
          </w:tcPr>
          <w:p>
            <w:pPr>
              <w:spacing w:after="0"/>
              <w:rPr>
                <w:sz w:val="20"/>
                <w:szCs w:val="20"/>
                <w:color w:val="auto"/>
              </w:rPr>
            </w:pPr>
            <w:r>
              <w:rPr>
                <w:rFonts w:ascii="Arial" w:cs="Arial" w:eastAsia="Arial" w:hAnsi="Arial"/>
                <w:sz w:val="18"/>
                <w:szCs w:val="18"/>
                <w:color w:val="0000EE"/>
              </w:rPr>
              <w:t>2022 Director Compensation Table</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44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840" w:type="dxa"/>
            <w:vAlign w:val="bottom"/>
            <w:tcBorders>
              <w:left w:val="single" w:sz="8" w:color="0000EE"/>
            </w:tcBorders>
            <w:gridSpan w:val="10"/>
            <w:shd w:val="clear" w:color="auto" w:fill="0000EE"/>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5320" w:type="dxa"/>
            <w:vAlign w:val="bottom"/>
            <w:gridSpan w:val="37"/>
          </w:tcPr>
          <w:p>
            <w:pPr>
              <w:ind w:left="20"/>
              <w:spacing w:after="0"/>
              <w:rPr>
                <w:sz w:val="20"/>
                <w:szCs w:val="20"/>
                <w:color w:val="auto"/>
              </w:rPr>
            </w:pPr>
            <w:r>
              <w:rPr>
                <w:rFonts w:ascii="Arial" w:cs="Arial" w:eastAsia="Arial" w:hAnsi="Arial"/>
                <w:sz w:val="18"/>
                <w:szCs w:val="18"/>
                <w:b w:val="1"/>
                <w:bCs w:val="1"/>
                <w:color w:val="0000EE"/>
                <w:w w:val="99"/>
              </w:rPr>
              <w:t>Compensation Committee Interlocks and Insider Participation</w:t>
            </w:r>
          </w:p>
        </w:tc>
        <w:tc>
          <w:tcPr>
            <w:tcW w:w="3040" w:type="dxa"/>
            <w:vAlign w:val="bottom"/>
            <w:gridSpan w:val="2"/>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44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1800" w:type="dxa"/>
            <w:vAlign w:val="bottom"/>
            <w:tcBorders>
              <w:left w:val="single" w:sz="8" w:color="0000EE"/>
            </w:tcBorders>
            <w:gridSpan w:val="17"/>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2300" w:type="dxa"/>
            <w:vAlign w:val="bottom"/>
            <w:gridSpan w:val="13"/>
          </w:tcPr>
          <w:p>
            <w:pPr>
              <w:ind w:left="20"/>
              <w:spacing w:after="0"/>
              <w:rPr>
                <w:sz w:val="20"/>
                <w:szCs w:val="20"/>
                <w:color w:val="auto"/>
              </w:rPr>
            </w:pPr>
            <w:r>
              <w:rPr>
                <w:rFonts w:ascii="Arial" w:cs="Arial" w:eastAsia="Arial" w:hAnsi="Arial"/>
                <w:sz w:val="18"/>
                <w:szCs w:val="18"/>
                <w:b w:val="1"/>
                <w:bCs w:val="1"/>
                <w:color w:val="0000EE"/>
                <w:w w:val="97"/>
              </w:rPr>
              <w:t>Report of Audit Committee</w:t>
            </w:r>
          </w:p>
        </w:tc>
        <w:tc>
          <w:tcPr>
            <w:tcW w:w="3020" w:type="dxa"/>
            <w:vAlign w:val="bottom"/>
            <w:gridSpan w:val="24"/>
          </w:tcPr>
          <w:p>
            <w:pPr>
              <w:spacing w:after="0"/>
              <w:rPr>
                <w:sz w:val="22"/>
                <w:szCs w:val="22"/>
                <w:color w:val="auto"/>
              </w:rPr>
            </w:pPr>
          </w:p>
        </w:tc>
        <w:tc>
          <w:tcPr>
            <w:tcW w:w="3040" w:type="dxa"/>
            <w:vAlign w:val="bottom"/>
            <w:gridSpan w:val="2"/>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45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1800" w:type="dxa"/>
            <w:vAlign w:val="bottom"/>
            <w:gridSpan w:val="1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8360" w:type="dxa"/>
            <w:vAlign w:val="bottom"/>
            <w:gridSpan w:val="39"/>
          </w:tcPr>
          <w:p>
            <w:pPr>
              <w:ind w:left="20"/>
              <w:spacing w:after="0"/>
              <w:rPr>
                <w:sz w:val="20"/>
                <w:szCs w:val="20"/>
                <w:color w:val="auto"/>
              </w:rPr>
            </w:pPr>
            <w:r>
              <w:rPr>
                <w:rFonts w:ascii="Arial" w:cs="Arial" w:eastAsia="Arial" w:hAnsi="Arial"/>
                <w:sz w:val="18"/>
                <w:szCs w:val="18"/>
                <w:b w:val="1"/>
                <w:bCs w:val="1"/>
                <w:color w:val="0000EE"/>
              </w:rPr>
              <w:t>Proposal No. 2 Ratification of Appointment of Auditors</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46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140" w:type="dxa"/>
            <w:vAlign w:val="bottom"/>
            <w:tcBorders>
              <w:left w:val="single" w:sz="8" w:color="0000EE"/>
            </w:tcBorders>
            <w:gridSpan w:val="2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8360" w:type="dxa"/>
            <w:vAlign w:val="bottom"/>
            <w:gridSpan w:val="39"/>
          </w:tcPr>
          <w:p>
            <w:pPr>
              <w:ind w:left="20"/>
              <w:spacing w:after="0"/>
              <w:rPr>
                <w:sz w:val="20"/>
                <w:szCs w:val="20"/>
                <w:color w:val="auto"/>
              </w:rPr>
            </w:pPr>
            <w:r>
              <w:rPr>
                <w:rFonts w:ascii="Arial" w:cs="Arial" w:eastAsia="Arial" w:hAnsi="Arial"/>
                <w:sz w:val="18"/>
                <w:szCs w:val="18"/>
                <w:b w:val="1"/>
                <w:bCs w:val="1"/>
                <w:color w:val="0000EE"/>
              </w:rPr>
              <w:t>Proposal No. 3 Advisory Approval of Executive Compensation</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48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140" w:type="dxa"/>
            <w:vAlign w:val="bottom"/>
            <w:tcBorders>
              <w:left w:val="single" w:sz="8" w:color="0000EE"/>
            </w:tcBorders>
            <w:gridSpan w:val="22"/>
            <w:shd w:val="clear" w:color="auto" w:fill="0000EE"/>
          </w:tcPr>
          <w:p>
            <w:pPr>
              <w:spacing w:after="0" w:line="20" w:lineRule="exact"/>
              <w:rPr>
                <w:sz w:val="1"/>
                <w:szCs w:val="1"/>
                <w:color w:val="auto"/>
              </w:rPr>
            </w:pPr>
          </w:p>
        </w:tc>
        <w:tc>
          <w:tcPr>
            <w:tcW w:w="1220" w:type="dxa"/>
            <w:vAlign w:val="bottom"/>
            <w:tcBorders>
              <w:left w:val="single" w:sz="8" w:color="0000EE"/>
            </w:tcBorders>
            <w:gridSpan w:val="7"/>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8360" w:type="dxa"/>
            <w:vAlign w:val="bottom"/>
            <w:gridSpan w:val="39"/>
          </w:tcPr>
          <w:p>
            <w:pPr>
              <w:ind w:left="20"/>
              <w:spacing w:after="0"/>
              <w:rPr>
                <w:sz w:val="20"/>
                <w:szCs w:val="20"/>
                <w:color w:val="auto"/>
              </w:rPr>
            </w:pPr>
            <w:r>
              <w:rPr>
                <w:rFonts w:ascii="Arial" w:cs="Arial" w:eastAsia="Arial" w:hAnsi="Arial"/>
                <w:sz w:val="18"/>
                <w:szCs w:val="18"/>
                <w:b w:val="1"/>
                <w:bCs w:val="1"/>
                <w:color w:val="0000EE"/>
              </w:rPr>
              <w:t>Proposal No. 4 Advisory Vote on the Frequency of Shareholder Votes on Executive</w:t>
            </w:r>
          </w:p>
        </w:tc>
        <w:tc>
          <w:tcPr>
            <w:tcW w:w="2080" w:type="dxa"/>
            <w:vAlign w:val="bottom"/>
            <w:gridSpan w:val="4"/>
            <w:vMerge w:val="restart"/>
          </w:tcPr>
          <w:p>
            <w:pPr>
              <w:jc w:val="right"/>
              <w:ind w:right="600"/>
              <w:spacing w:after="0"/>
              <w:rPr>
                <w:sz w:val="20"/>
                <w:szCs w:val="20"/>
                <w:color w:val="auto"/>
              </w:rPr>
            </w:pPr>
            <w:r>
              <w:rPr>
                <w:rFonts w:ascii="Arial" w:cs="Arial" w:eastAsia="Arial" w:hAnsi="Arial"/>
                <w:sz w:val="18"/>
                <w:szCs w:val="18"/>
                <w:color w:val="0000EE"/>
              </w:rPr>
              <w:t>49</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gridSpan w:val="4"/>
          </w:tcPr>
          <w:p>
            <w:pPr>
              <w:ind w:left="20"/>
              <w:spacing w:after="0" w:line="182" w:lineRule="exact"/>
              <w:rPr>
                <w:sz w:val="20"/>
                <w:szCs w:val="20"/>
                <w:color w:val="auto"/>
              </w:rPr>
            </w:pPr>
            <w:r>
              <w:rPr>
                <w:rFonts w:ascii="Arial" w:cs="Arial" w:eastAsia="Arial" w:hAnsi="Arial"/>
                <w:sz w:val="18"/>
                <w:szCs w:val="18"/>
                <w:b w:val="1"/>
                <w:bCs w:val="1"/>
                <w:color w:val="0000EE"/>
                <w:w w:val="95"/>
              </w:rPr>
              <w:t>Compensation</w:t>
            </w:r>
          </w:p>
        </w:tc>
        <w:tc>
          <w:tcPr>
            <w:tcW w:w="5640" w:type="dxa"/>
            <w:vAlign w:val="bottom"/>
            <w:tcBorders>
              <w:top w:val="single" w:sz="8" w:color="0000EE"/>
            </w:tcBorders>
            <w:gridSpan w:val="33"/>
          </w:tcPr>
          <w:p>
            <w:pPr>
              <w:spacing w:after="0"/>
              <w:rPr>
                <w:sz w:val="15"/>
                <w:szCs w:val="15"/>
                <w:color w:val="auto"/>
              </w:rPr>
            </w:pPr>
          </w:p>
        </w:tc>
        <w:tc>
          <w:tcPr>
            <w:tcW w:w="1280" w:type="dxa"/>
            <w:vAlign w:val="bottom"/>
          </w:tcPr>
          <w:p>
            <w:pPr>
              <w:spacing w:after="0"/>
              <w:rPr>
                <w:sz w:val="15"/>
                <w:szCs w:val="15"/>
                <w:color w:val="auto"/>
              </w:rPr>
            </w:pPr>
          </w:p>
        </w:tc>
        <w:tc>
          <w:tcPr>
            <w:tcW w:w="20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140" w:type="dxa"/>
            <w:vAlign w:val="bottom"/>
            <w:gridSpan w:val="22"/>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8360" w:type="dxa"/>
            <w:vAlign w:val="bottom"/>
            <w:gridSpan w:val="39"/>
          </w:tcPr>
          <w:p>
            <w:pPr>
              <w:ind w:left="20"/>
              <w:spacing w:after="0"/>
              <w:rPr>
                <w:sz w:val="20"/>
                <w:szCs w:val="20"/>
                <w:color w:val="auto"/>
              </w:rPr>
            </w:pPr>
            <w:r>
              <w:rPr>
                <w:rFonts w:ascii="Arial" w:cs="Arial" w:eastAsia="Arial" w:hAnsi="Arial"/>
                <w:sz w:val="18"/>
                <w:szCs w:val="18"/>
                <w:b w:val="1"/>
                <w:bCs w:val="1"/>
                <w:color w:val="0000EE"/>
              </w:rPr>
              <w:t>Shareholder Proposals for 2024 Annual Meeting</w:t>
            </w: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50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960" w:type="dxa"/>
            <w:vAlign w:val="bottom"/>
            <w:tcBorders>
              <w:right w:val="single" w:sz="8" w:color="0000EE"/>
            </w:tcBorders>
            <w:gridSpan w:val="8"/>
            <w:shd w:val="clear" w:color="auto" w:fill="0000EE"/>
          </w:tcPr>
          <w:p>
            <w:pPr>
              <w:spacing w:after="0" w:line="20" w:lineRule="exact"/>
              <w:rPr>
                <w:sz w:val="1"/>
                <w:szCs w:val="1"/>
                <w:color w:val="auto"/>
              </w:rPr>
            </w:pPr>
          </w:p>
        </w:tc>
        <w:tc>
          <w:tcPr>
            <w:tcW w:w="2140" w:type="dxa"/>
            <w:vAlign w:val="bottom"/>
            <w:tcBorders>
              <w:left w:val="single" w:sz="8" w:color="0000EE"/>
            </w:tcBorders>
            <w:gridSpan w:val="22"/>
            <w:shd w:val="clear" w:color="auto" w:fill="0000EE"/>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4100" w:type="dxa"/>
            <w:vAlign w:val="bottom"/>
            <w:gridSpan w:val="30"/>
          </w:tcPr>
          <w:p>
            <w:pPr>
              <w:ind w:left="20"/>
              <w:spacing w:after="0"/>
              <w:rPr>
                <w:sz w:val="20"/>
                <w:szCs w:val="20"/>
                <w:color w:val="auto"/>
              </w:rPr>
            </w:pPr>
            <w:r>
              <w:rPr>
                <w:rFonts w:ascii="Arial" w:cs="Arial" w:eastAsia="Arial" w:hAnsi="Arial"/>
                <w:sz w:val="18"/>
                <w:szCs w:val="18"/>
                <w:b w:val="1"/>
                <w:bCs w:val="1"/>
                <w:color w:val="0000EE"/>
              </w:rPr>
              <w:t>Additional Information</w:t>
            </w:r>
          </w:p>
        </w:tc>
        <w:tc>
          <w:tcPr>
            <w:tcW w:w="4260" w:type="dxa"/>
            <w:vAlign w:val="bottom"/>
            <w:gridSpan w:val="9"/>
          </w:tcPr>
          <w:p>
            <w:pPr>
              <w:spacing w:after="0"/>
              <w:rPr>
                <w:sz w:val="22"/>
                <w:szCs w:val="22"/>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0000EE"/>
              </w:rPr>
              <w:t>50</w:t>
            </w:r>
          </w:p>
        </w:tc>
        <w:tc>
          <w:tcPr>
            <w:tcW w:w="0" w:type="dxa"/>
            <w:vAlign w:val="bottom"/>
          </w:tcPr>
          <w:p>
            <w:pPr>
              <w:spacing w:after="0"/>
              <w:rPr>
                <w:sz w:val="1"/>
                <w:szCs w:val="1"/>
                <w:color w:val="auto"/>
              </w:rPr>
            </w:pPr>
          </w:p>
        </w:tc>
      </w:tr>
      <w:tr>
        <w:trPr>
          <w:trHeight w:val="244"/>
        </w:trPr>
        <w:tc>
          <w:tcPr>
            <w:tcW w:w="580" w:type="dxa"/>
            <w:vAlign w:val="bottom"/>
            <w:tcBorders>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360" w:type="dxa"/>
            <w:vAlign w:val="bottom"/>
            <w:tcBorders>
              <w:top w:val="single" w:sz="8" w:color="0000EE"/>
              <w:bottom w:val="single" w:sz="8" w:color="auto"/>
            </w:tcBorders>
          </w:tcPr>
          <w:p>
            <w:pPr>
              <w:spacing w:after="0"/>
              <w:rPr>
                <w:sz w:val="21"/>
                <w:szCs w:val="21"/>
                <w:color w:val="auto"/>
              </w:rPr>
            </w:pPr>
          </w:p>
        </w:tc>
        <w:tc>
          <w:tcPr>
            <w:tcW w:w="340" w:type="dxa"/>
            <w:vAlign w:val="bottom"/>
            <w:tcBorders>
              <w:top w:val="single" w:sz="8" w:color="0000EE"/>
              <w:bottom w:val="single" w:sz="8" w:color="auto"/>
            </w:tcBorders>
          </w:tcPr>
          <w:p>
            <w:pPr>
              <w:spacing w:after="0"/>
              <w:rPr>
                <w:sz w:val="21"/>
                <w:szCs w:val="21"/>
                <w:color w:val="auto"/>
              </w:rPr>
            </w:pPr>
          </w:p>
        </w:tc>
        <w:tc>
          <w:tcPr>
            <w:tcW w:w="380" w:type="dxa"/>
            <w:vAlign w:val="bottom"/>
            <w:tcBorders>
              <w:top w:val="single" w:sz="8" w:color="0000EE"/>
              <w:bottom w:val="single" w:sz="8" w:color="auto"/>
            </w:tcBorders>
          </w:tcPr>
          <w:p>
            <w:pPr>
              <w:spacing w:after="0"/>
              <w:rPr>
                <w:sz w:val="21"/>
                <w:szCs w:val="21"/>
                <w:color w:val="auto"/>
              </w:rPr>
            </w:pPr>
          </w:p>
        </w:tc>
        <w:tc>
          <w:tcPr>
            <w:tcW w:w="140" w:type="dxa"/>
            <w:vAlign w:val="bottom"/>
            <w:tcBorders>
              <w:top w:val="single" w:sz="8" w:color="0000EE"/>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220" w:type="dxa"/>
            <w:vAlign w:val="bottom"/>
            <w:tcBorders>
              <w:top w:val="single" w:sz="8" w:color="0000EE"/>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5"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color w:val="auto"/>
        </w:rPr>
        <w:t>2023 Proxy Statement Summary</w:t>
      </w:r>
    </w:p>
    <w:p>
      <w:pPr>
        <w:spacing w:after="0" w:line="160" w:lineRule="exact"/>
        <w:rPr>
          <w:sz w:val="20"/>
          <w:szCs w:val="20"/>
          <w:color w:val="auto"/>
        </w:rPr>
      </w:pPr>
    </w:p>
    <w:p>
      <w:pPr>
        <w:jc w:val="both"/>
        <w:ind w:left="20" w:right="60"/>
        <w:spacing w:after="0" w:line="252"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including under “Executive Compensation.” This summary does not contain all of the information that you should consider and you should read the entire Proxy Statement carefully before voting.</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Annual Meeting of Shareholders</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ind w:left="160"/>
              <w:spacing w:after="0"/>
              <w:rPr>
                <w:sz w:val="20"/>
                <w:szCs w:val="20"/>
                <w:color w:val="auto"/>
              </w:rPr>
            </w:pPr>
            <w:r>
              <w:rPr>
                <w:rFonts w:ascii="Arial" w:cs="Arial" w:eastAsia="Arial" w:hAnsi="Arial"/>
                <w:sz w:val="18"/>
                <w:szCs w:val="18"/>
                <w:color w:val="auto"/>
              </w:rPr>
              <w:t>Date and Time</w:t>
            </w:r>
          </w:p>
        </w:tc>
        <w:tc>
          <w:tcPr>
            <w:tcW w:w="3360" w:type="dxa"/>
            <w:vAlign w:val="bottom"/>
          </w:tcPr>
          <w:p>
            <w:pPr>
              <w:ind w:left="140"/>
              <w:spacing w:after="0"/>
              <w:rPr>
                <w:sz w:val="20"/>
                <w:szCs w:val="20"/>
                <w:color w:val="auto"/>
              </w:rPr>
            </w:pPr>
            <w:r>
              <w:rPr>
                <w:rFonts w:ascii="Arial" w:cs="Arial" w:eastAsia="Arial" w:hAnsi="Arial"/>
                <w:sz w:val="18"/>
                <w:szCs w:val="18"/>
                <w:color w:val="auto"/>
                <w:w w:val="99"/>
              </w:rPr>
              <w:t>May 24, 2023 at 9:00 a.m. Eastern Time</w:t>
            </w:r>
          </w:p>
        </w:tc>
      </w:tr>
      <w:tr>
        <w:trPr>
          <w:trHeight w:val="31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ind w:left="160"/>
              <w:spacing w:after="0"/>
              <w:rPr>
                <w:sz w:val="20"/>
                <w:szCs w:val="20"/>
                <w:color w:val="auto"/>
              </w:rPr>
            </w:pPr>
            <w:r>
              <w:rPr>
                <w:rFonts w:ascii="Arial" w:cs="Arial" w:eastAsia="Arial" w:hAnsi="Arial"/>
                <w:sz w:val="18"/>
                <w:szCs w:val="18"/>
                <w:color w:val="auto"/>
              </w:rPr>
              <w:t>Record Date</w:t>
            </w:r>
          </w:p>
        </w:tc>
        <w:tc>
          <w:tcPr>
            <w:tcW w:w="3360" w:type="dxa"/>
            <w:vAlign w:val="bottom"/>
          </w:tcPr>
          <w:p>
            <w:pPr>
              <w:ind w:left="140"/>
              <w:spacing w:after="0"/>
              <w:rPr>
                <w:sz w:val="20"/>
                <w:szCs w:val="20"/>
                <w:color w:val="auto"/>
              </w:rPr>
            </w:pPr>
            <w:r>
              <w:rPr>
                <w:rFonts w:ascii="Arial" w:cs="Arial" w:eastAsia="Arial" w:hAnsi="Arial"/>
                <w:sz w:val="18"/>
                <w:szCs w:val="18"/>
                <w:color w:val="auto"/>
              </w:rPr>
              <w:t>March 31, 2023</w:t>
            </w:r>
          </w:p>
        </w:tc>
      </w:tr>
      <w:tr>
        <w:trPr>
          <w:trHeight w:val="31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ind w:left="160"/>
              <w:spacing w:after="0"/>
              <w:rPr>
                <w:sz w:val="20"/>
                <w:szCs w:val="20"/>
                <w:color w:val="auto"/>
              </w:rPr>
            </w:pPr>
            <w:r>
              <w:rPr>
                <w:rFonts w:ascii="Arial" w:cs="Arial" w:eastAsia="Arial" w:hAnsi="Arial"/>
                <w:sz w:val="18"/>
                <w:szCs w:val="18"/>
                <w:color w:val="auto"/>
              </w:rPr>
              <w:t>Format</w:t>
            </w:r>
          </w:p>
        </w:tc>
        <w:tc>
          <w:tcPr>
            <w:tcW w:w="3360" w:type="dxa"/>
            <w:vAlign w:val="bottom"/>
          </w:tcPr>
          <w:p>
            <w:pPr>
              <w:ind w:left="140"/>
              <w:spacing w:after="0"/>
              <w:rPr>
                <w:sz w:val="20"/>
                <w:szCs w:val="20"/>
                <w:color w:val="auto"/>
              </w:rPr>
            </w:pPr>
            <w:r>
              <w:rPr>
                <w:rFonts w:ascii="Arial" w:cs="Arial" w:eastAsia="Arial" w:hAnsi="Arial"/>
                <w:sz w:val="18"/>
                <w:szCs w:val="18"/>
                <w:color w:val="auto"/>
              </w:rPr>
              <w:t>Virtual</w:t>
            </w:r>
          </w:p>
        </w:tc>
      </w:tr>
    </w:tbl>
    <w:p>
      <w:pPr>
        <w:spacing w:after="0" w:line="207"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color w:val="auto"/>
        </w:rPr>
        <w:t>These materials were first sent or made available to shareholders on April 5, 2023. The Company’s principal executive offices are located at 6 Sylvan Way, Parsippany, NJ 07054.</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Voting Matters and Voting Recommendations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Proposal</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Our Board’s Voting</w:t>
            </w:r>
          </w:p>
        </w:tc>
      </w:tr>
      <w:tr>
        <w:trPr>
          <w:trHeight w:val="247"/>
        </w:trPr>
        <w:tc>
          <w:tcPr>
            <w:tcW w:w="6840" w:type="dxa"/>
            <w:vAlign w:val="bottom"/>
            <w:gridSpan w:val="11"/>
          </w:tcPr>
          <w:p>
            <w:pPr>
              <w:ind w:left="100"/>
              <w:spacing w:after="0"/>
              <w:rPr>
                <w:sz w:val="20"/>
                <w:szCs w:val="20"/>
                <w:color w:val="auto"/>
              </w:rPr>
            </w:pPr>
            <w:r>
              <w:rPr>
                <w:rFonts w:ascii="Arial" w:cs="Arial" w:eastAsia="Arial" w:hAnsi="Arial"/>
                <w:sz w:val="18"/>
                <w:szCs w:val="18"/>
                <w:b w:val="1"/>
                <w:bCs w:val="1"/>
                <w:color w:val="auto"/>
              </w:rPr>
              <w:t>Voting Matters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No.</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Recommendation</w:t>
            </w:r>
          </w:p>
        </w:tc>
      </w:tr>
      <w:tr>
        <w:trPr>
          <w:trHeight w:val="42"/>
        </w:trPr>
        <w:tc>
          <w:tcPr>
            <w:tcW w:w="2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37"/>
        </w:trPr>
        <w:tc>
          <w:tcPr>
            <w:tcW w:w="6840" w:type="dxa"/>
            <w:vAlign w:val="bottom"/>
            <w:gridSpan w:val="11"/>
            <w:shd w:val="clear" w:color="auto" w:fill="CCCCCC"/>
          </w:tcPr>
          <w:p>
            <w:pPr>
              <w:ind w:left="100"/>
              <w:spacing w:after="0"/>
              <w:rPr>
                <w:sz w:val="20"/>
                <w:szCs w:val="20"/>
                <w:color w:val="auto"/>
              </w:rPr>
            </w:pPr>
            <w:r>
              <w:rPr>
                <w:rFonts w:ascii="Arial" w:cs="Arial" w:eastAsia="Arial" w:hAnsi="Arial"/>
                <w:sz w:val="18"/>
                <w:szCs w:val="18"/>
                <w:color w:val="auto"/>
              </w:rPr>
              <w:t xml:space="preserve">Election of Directors (page </w:t>
            </w:r>
            <w:r>
              <w:rPr>
                <w:rFonts w:ascii="Arial" w:cs="Arial" w:eastAsia="Arial" w:hAnsi="Arial"/>
                <w:sz w:val="18"/>
                <w:szCs w:val="18"/>
                <w:color w:val="0000EE"/>
              </w:rPr>
              <w:t>7</w:t>
            </w:r>
            <w:r>
              <w:rPr>
                <w:rFonts w:ascii="Arial" w:cs="Arial" w:eastAsia="Arial" w:hAnsi="Arial"/>
                <w:sz w:val="18"/>
                <w:szCs w:val="18"/>
                <w:color w:val="auto"/>
              </w:rPr>
              <w:t>)</w:t>
            </w:r>
          </w:p>
        </w:tc>
        <w:tc>
          <w:tcPr>
            <w:tcW w:w="10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1</w:t>
            </w:r>
          </w:p>
        </w:tc>
        <w:tc>
          <w:tcPr>
            <w:tcW w:w="20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FOR ALL NOMINEES</w:t>
            </w:r>
          </w:p>
        </w:tc>
      </w:tr>
      <w:tr>
        <w:trPr>
          <w:trHeight w:val="74"/>
        </w:trPr>
        <w:tc>
          <w:tcPr>
            <w:tcW w:w="2260" w:type="dxa"/>
            <w:vAlign w:val="bottom"/>
            <w:tcBorders>
              <w:top w:val="single" w:sz="8" w:color="CCCCCC"/>
              <w:bottom w:val="single" w:sz="8" w:color="auto"/>
            </w:tcBorders>
            <w:shd w:val="clear" w:color="auto" w:fill="CCCCCC"/>
          </w:tcPr>
          <w:p>
            <w:pPr>
              <w:spacing w:after="0"/>
              <w:rPr>
                <w:sz w:val="6"/>
                <w:szCs w:val="6"/>
                <w:color w:val="auto"/>
              </w:rPr>
            </w:pPr>
          </w:p>
        </w:tc>
        <w:tc>
          <w:tcPr>
            <w:tcW w:w="100" w:type="dxa"/>
            <w:vAlign w:val="bottom"/>
            <w:tcBorders>
              <w:top w:val="single" w:sz="8" w:color="0000EE"/>
              <w:bottom w:val="single" w:sz="8" w:color="auto"/>
            </w:tcBorders>
            <w:shd w:val="clear" w:color="auto" w:fill="CCCCCC"/>
          </w:tcPr>
          <w:p>
            <w:pPr>
              <w:spacing w:after="0"/>
              <w:rPr>
                <w:sz w:val="6"/>
                <w:szCs w:val="6"/>
                <w:color w:val="auto"/>
              </w:rPr>
            </w:pPr>
          </w:p>
        </w:tc>
        <w:tc>
          <w:tcPr>
            <w:tcW w:w="360" w:type="dxa"/>
            <w:vAlign w:val="bottom"/>
            <w:tcBorders>
              <w:top w:val="single" w:sz="8" w:color="CCCCCC"/>
              <w:bottom w:val="single" w:sz="8" w:color="auto"/>
            </w:tcBorders>
            <w:shd w:val="clear" w:color="auto" w:fill="CCCCCC"/>
          </w:tcPr>
          <w:p>
            <w:pPr>
              <w:spacing w:after="0"/>
              <w:rPr>
                <w:sz w:val="6"/>
                <w:szCs w:val="6"/>
                <w:color w:val="auto"/>
              </w:rPr>
            </w:pPr>
          </w:p>
        </w:tc>
        <w:tc>
          <w:tcPr>
            <w:tcW w:w="200" w:type="dxa"/>
            <w:vAlign w:val="bottom"/>
            <w:tcBorders>
              <w:top w:val="single" w:sz="8" w:color="CCCCCC"/>
              <w:bottom w:val="single" w:sz="8" w:color="auto"/>
            </w:tcBorders>
            <w:shd w:val="clear" w:color="auto" w:fill="CCCCCC"/>
          </w:tcPr>
          <w:p>
            <w:pPr>
              <w:spacing w:after="0"/>
              <w:rPr>
                <w:sz w:val="6"/>
                <w:szCs w:val="6"/>
                <w:color w:val="auto"/>
              </w:rPr>
            </w:pPr>
          </w:p>
        </w:tc>
        <w:tc>
          <w:tcPr>
            <w:tcW w:w="880" w:type="dxa"/>
            <w:vAlign w:val="bottom"/>
            <w:tcBorders>
              <w:top w:val="single" w:sz="8" w:color="CCCCCC"/>
              <w:bottom w:val="single" w:sz="8" w:color="auto"/>
            </w:tcBorders>
            <w:shd w:val="clear" w:color="auto" w:fill="CCCCCC"/>
          </w:tcPr>
          <w:p>
            <w:pPr>
              <w:spacing w:after="0"/>
              <w:rPr>
                <w:sz w:val="6"/>
                <w:szCs w:val="6"/>
                <w:color w:val="auto"/>
              </w:rPr>
            </w:pPr>
          </w:p>
        </w:tc>
        <w:tc>
          <w:tcPr>
            <w:tcW w:w="200" w:type="dxa"/>
            <w:vAlign w:val="bottom"/>
            <w:tcBorders>
              <w:top w:val="single" w:sz="8" w:color="CCCCCC"/>
              <w:bottom w:val="single" w:sz="8" w:color="auto"/>
            </w:tcBorders>
            <w:shd w:val="clear" w:color="auto" w:fill="CCCCCC"/>
          </w:tcPr>
          <w:p>
            <w:pPr>
              <w:spacing w:after="0"/>
              <w:rPr>
                <w:sz w:val="6"/>
                <w:szCs w:val="6"/>
                <w:color w:val="auto"/>
              </w:rPr>
            </w:pPr>
          </w:p>
        </w:tc>
        <w:tc>
          <w:tcPr>
            <w:tcW w:w="60" w:type="dxa"/>
            <w:vAlign w:val="bottom"/>
            <w:tcBorders>
              <w:top w:val="single" w:sz="8" w:color="CCCCCC"/>
              <w:bottom w:val="single" w:sz="8" w:color="auto"/>
            </w:tcBorders>
            <w:shd w:val="clear" w:color="auto" w:fill="CCCCCC"/>
          </w:tcPr>
          <w:p>
            <w:pPr>
              <w:spacing w:after="0"/>
              <w:rPr>
                <w:sz w:val="6"/>
                <w:szCs w:val="6"/>
                <w:color w:val="auto"/>
              </w:rPr>
            </w:pPr>
          </w:p>
        </w:tc>
        <w:tc>
          <w:tcPr>
            <w:tcW w:w="200" w:type="dxa"/>
            <w:vAlign w:val="bottom"/>
            <w:tcBorders>
              <w:top w:val="single" w:sz="8" w:color="CCCCCC"/>
              <w:bottom w:val="single" w:sz="8" w:color="auto"/>
            </w:tcBorders>
            <w:shd w:val="clear" w:color="auto" w:fill="CCCCCC"/>
          </w:tcPr>
          <w:p>
            <w:pPr>
              <w:spacing w:after="0"/>
              <w:rPr>
                <w:sz w:val="6"/>
                <w:szCs w:val="6"/>
                <w:color w:val="auto"/>
              </w:rPr>
            </w:pPr>
          </w:p>
        </w:tc>
        <w:tc>
          <w:tcPr>
            <w:tcW w:w="2180" w:type="dxa"/>
            <w:vAlign w:val="bottom"/>
            <w:tcBorders>
              <w:top w:val="single" w:sz="8" w:color="CCCCCC"/>
              <w:bottom w:val="single" w:sz="8" w:color="auto"/>
            </w:tcBorders>
            <w:shd w:val="clear" w:color="auto" w:fill="CCCCCC"/>
          </w:tcPr>
          <w:p>
            <w:pPr>
              <w:spacing w:after="0"/>
              <w:rPr>
                <w:sz w:val="6"/>
                <w:szCs w:val="6"/>
                <w:color w:val="auto"/>
              </w:rPr>
            </w:pPr>
          </w:p>
        </w:tc>
        <w:tc>
          <w:tcPr>
            <w:tcW w:w="200" w:type="dxa"/>
            <w:vAlign w:val="bottom"/>
            <w:tcBorders>
              <w:top w:val="single" w:sz="8" w:color="CCCCCC"/>
              <w:bottom w:val="single" w:sz="8" w:color="auto"/>
            </w:tcBorders>
            <w:shd w:val="clear" w:color="auto" w:fill="CCCCCC"/>
          </w:tcPr>
          <w:p>
            <w:pPr>
              <w:spacing w:after="0"/>
              <w:rPr>
                <w:sz w:val="6"/>
                <w:szCs w:val="6"/>
                <w:color w:val="auto"/>
              </w:rPr>
            </w:pPr>
          </w:p>
        </w:tc>
        <w:tc>
          <w:tcPr>
            <w:tcW w:w="200" w:type="dxa"/>
            <w:vAlign w:val="bottom"/>
            <w:tcBorders>
              <w:top w:val="single" w:sz="8" w:color="CCCCCC"/>
              <w:bottom w:val="single" w:sz="8" w:color="auto"/>
            </w:tcBorders>
            <w:shd w:val="clear" w:color="auto" w:fill="CCCCCC"/>
          </w:tcPr>
          <w:p>
            <w:pPr>
              <w:spacing w:after="0"/>
              <w:rPr>
                <w:sz w:val="6"/>
                <w:szCs w:val="6"/>
                <w:color w:val="auto"/>
              </w:rPr>
            </w:pPr>
          </w:p>
        </w:tc>
        <w:tc>
          <w:tcPr>
            <w:tcW w:w="1000" w:type="dxa"/>
            <w:vAlign w:val="bottom"/>
            <w:tcBorders>
              <w:top w:val="single" w:sz="8" w:color="CCCCCC"/>
              <w:bottom w:val="single" w:sz="8" w:color="auto"/>
            </w:tcBorders>
            <w:shd w:val="clear" w:color="auto" w:fill="CCCCCC"/>
          </w:tcPr>
          <w:p>
            <w:pPr>
              <w:spacing w:after="0"/>
              <w:rPr>
                <w:sz w:val="6"/>
                <w:szCs w:val="6"/>
                <w:color w:val="auto"/>
              </w:rPr>
            </w:pPr>
          </w:p>
        </w:tc>
        <w:tc>
          <w:tcPr>
            <w:tcW w:w="2060" w:type="dxa"/>
            <w:vAlign w:val="bottom"/>
            <w:tcBorders>
              <w:top w:val="single" w:sz="8" w:color="CCCCCC"/>
              <w:bottom w:val="single" w:sz="8" w:color="auto"/>
            </w:tcBorders>
            <w:shd w:val="clear" w:color="auto" w:fill="CCCCCC"/>
          </w:tcPr>
          <w:p>
            <w:pPr>
              <w:spacing w:after="0"/>
              <w:rPr>
                <w:sz w:val="6"/>
                <w:szCs w:val="6"/>
                <w:color w:val="auto"/>
              </w:rPr>
            </w:pPr>
          </w:p>
        </w:tc>
      </w:tr>
      <w:tr>
        <w:trPr>
          <w:trHeight w:val="237"/>
        </w:trPr>
        <w:tc>
          <w:tcPr>
            <w:tcW w:w="6840" w:type="dxa"/>
            <w:vAlign w:val="bottom"/>
            <w:gridSpan w:val="11"/>
          </w:tcPr>
          <w:p>
            <w:pPr>
              <w:ind w:left="100"/>
              <w:spacing w:after="0"/>
              <w:rPr>
                <w:sz w:val="20"/>
                <w:szCs w:val="20"/>
                <w:color w:val="auto"/>
              </w:rPr>
            </w:pPr>
            <w:r>
              <w:rPr>
                <w:rFonts w:ascii="Arial" w:cs="Arial" w:eastAsia="Arial" w:hAnsi="Arial"/>
                <w:sz w:val="18"/>
                <w:szCs w:val="18"/>
                <w:color w:val="auto"/>
              </w:rPr>
              <w:t xml:space="preserve">Ratification of Appointment of Auditors (pages </w:t>
            </w:r>
            <w:r>
              <w:rPr>
                <w:rFonts w:ascii="Arial" w:cs="Arial" w:eastAsia="Arial" w:hAnsi="Arial"/>
                <w:sz w:val="18"/>
                <w:szCs w:val="18"/>
                <w:color w:val="0000EE"/>
              </w:rPr>
              <w:t>46</w:t>
            </w:r>
            <w:r>
              <w:rPr>
                <w:rFonts w:ascii="Arial" w:cs="Arial" w:eastAsia="Arial" w:hAnsi="Arial"/>
                <w:sz w:val="18"/>
                <w:szCs w:val="18"/>
                <w:color w:val="auto"/>
              </w:rPr>
              <w:t>-</w:t>
            </w:r>
            <w:r>
              <w:rPr>
                <w:rFonts w:ascii="Arial" w:cs="Arial" w:eastAsia="Arial" w:hAnsi="Arial"/>
                <w:sz w:val="18"/>
                <w:szCs w:val="18"/>
                <w:color w:val="0000EE"/>
              </w:rPr>
              <w:t>47</w:t>
            </w:r>
            <w:r>
              <w:rPr>
                <w:rFonts w:ascii="Arial" w:cs="Arial" w:eastAsia="Arial" w:hAnsi="Arial"/>
                <w:sz w:val="18"/>
                <w:szCs w:val="18"/>
                <w:color w:val="auto"/>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FOR</w:t>
            </w:r>
          </w:p>
        </w:tc>
      </w:tr>
      <w:tr>
        <w:trPr>
          <w:trHeight w:val="74"/>
        </w:trPr>
        <w:tc>
          <w:tcPr>
            <w:tcW w:w="2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r>
      <w:tr>
        <w:trPr>
          <w:trHeight w:val="237"/>
        </w:trPr>
        <w:tc>
          <w:tcPr>
            <w:tcW w:w="6840" w:type="dxa"/>
            <w:vAlign w:val="bottom"/>
            <w:gridSpan w:val="11"/>
            <w:shd w:val="clear" w:color="auto" w:fill="CCCCCC"/>
          </w:tcPr>
          <w:p>
            <w:pPr>
              <w:ind w:left="100"/>
              <w:spacing w:after="0"/>
              <w:rPr>
                <w:sz w:val="20"/>
                <w:szCs w:val="20"/>
                <w:color w:val="auto"/>
              </w:rPr>
            </w:pPr>
            <w:r>
              <w:rPr>
                <w:rFonts w:ascii="Arial" w:cs="Arial" w:eastAsia="Arial" w:hAnsi="Arial"/>
                <w:sz w:val="18"/>
                <w:szCs w:val="18"/>
                <w:color w:val="auto"/>
              </w:rPr>
              <w:t xml:space="preserve">Advisory Approval of the Compensation of our Named Executive Officers (page </w:t>
            </w:r>
            <w:r>
              <w:rPr>
                <w:rFonts w:ascii="Arial" w:cs="Arial" w:eastAsia="Arial" w:hAnsi="Arial"/>
                <w:sz w:val="18"/>
                <w:szCs w:val="18"/>
                <w:color w:val="0000EE"/>
              </w:rPr>
              <w:t>48</w:t>
            </w:r>
            <w:r>
              <w:rPr>
                <w:rFonts w:ascii="Arial" w:cs="Arial" w:eastAsia="Arial" w:hAnsi="Arial"/>
                <w:sz w:val="18"/>
                <w:szCs w:val="18"/>
                <w:color w:val="auto"/>
              </w:rPr>
              <w:t>)</w:t>
            </w:r>
          </w:p>
        </w:tc>
        <w:tc>
          <w:tcPr>
            <w:tcW w:w="10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3</w:t>
            </w:r>
          </w:p>
        </w:tc>
        <w:tc>
          <w:tcPr>
            <w:tcW w:w="20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FOR</w:t>
            </w:r>
          </w:p>
        </w:tc>
      </w:tr>
      <w:tr>
        <w:trPr>
          <w:trHeight w:val="61"/>
        </w:trPr>
        <w:tc>
          <w:tcPr>
            <w:tcW w:w="2260" w:type="dxa"/>
            <w:vAlign w:val="bottom"/>
            <w:tcBorders>
              <w:top w:val="single" w:sz="8" w:color="CCCCCC"/>
            </w:tcBorders>
            <w:shd w:val="clear" w:color="auto" w:fill="CCCCCC"/>
          </w:tcPr>
          <w:p>
            <w:pPr>
              <w:spacing w:after="0"/>
              <w:rPr>
                <w:sz w:val="5"/>
                <w:szCs w:val="5"/>
                <w:color w:val="auto"/>
              </w:rPr>
            </w:pPr>
          </w:p>
        </w:tc>
        <w:tc>
          <w:tcPr>
            <w:tcW w:w="100" w:type="dxa"/>
            <w:vAlign w:val="bottom"/>
            <w:tcBorders>
              <w:top w:val="single" w:sz="8" w:color="CCCCCC"/>
            </w:tcBorders>
            <w:shd w:val="clear" w:color="auto" w:fill="CCCCCC"/>
          </w:tcPr>
          <w:p>
            <w:pPr>
              <w:spacing w:after="0"/>
              <w:rPr>
                <w:sz w:val="5"/>
                <w:szCs w:val="5"/>
                <w:color w:val="auto"/>
              </w:rPr>
            </w:pPr>
          </w:p>
        </w:tc>
        <w:tc>
          <w:tcPr>
            <w:tcW w:w="360" w:type="dxa"/>
            <w:vAlign w:val="bottom"/>
            <w:tcBorders>
              <w:top w:val="single" w:sz="8" w:color="CCCCCC"/>
            </w:tcBorders>
            <w:shd w:val="clear" w:color="auto" w:fill="CCCCCC"/>
          </w:tcPr>
          <w:p>
            <w:pPr>
              <w:spacing w:after="0"/>
              <w:rPr>
                <w:sz w:val="5"/>
                <w:szCs w:val="5"/>
                <w:color w:val="auto"/>
              </w:rPr>
            </w:pPr>
          </w:p>
        </w:tc>
        <w:tc>
          <w:tcPr>
            <w:tcW w:w="200" w:type="dxa"/>
            <w:vAlign w:val="bottom"/>
            <w:tcBorders>
              <w:top w:val="single" w:sz="8" w:color="CCCCCC"/>
            </w:tcBorders>
            <w:shd w:val="clear" w:color="auto" w:fill="CCCCCC"/>
          </w:tcPr>
          <w:p>
            <w:pPr>
              <w:spacing w:after="0"/>
              <w:rPr>
                <w:sz w:val="5"/>
                <w:szCs w:val="5"/>
                <w:color w:val="auto"/>
              </w:rPr>
            </w:pPr>
          </w:p>
        </w:tc>
        <w:tc>
          <w:tcPr>
            <w:tcW w:w="880" w:type="dxa"/>
            <w:vAlign w:val="bottom"/>
            <w:tcBorders>
              <w:top w:val="single" w:sz="8" w:color="CCCCCC"/>
            </w:tcBorders>
            <w:shd w:val="clear" w:color="auto" w:fill="CCCCCC"/>
          </w:tcPr>
          <w:p>
            <w:pPr>
              <w:spacing w:after="0"/>
              <w:rPr>
                <w:sz w:val="5"/>
                <w:szCs w:val="5"/>
                <w:color w:val="auto"/>
              </w:rPr>
            </w:pPr>
          </w:p>
        </w:tc>
        <w:tc>
          <w:tcPr>
            <w:tcW w:w="200" w:type="dxa"/>
            <w:vAlign w:val="bottom"/>
            <w:tcBorders>
              <w:top w:val="single" w:sz="8" w:color="CCCCCC"/>
            </w:tcBorders>
            <w:shd w:val="clear" w:color="auto" w:fill="CCCCCC"/>
          </w:tcPr>
          <w:p>
            <w:pPr>
              <w:spacing w:after="0"/>
              <w:rPr>
                <w:sz w:val="5"/>
                <w:szCs w:val="5"/>
                <w:color w:val="auto"/>
              </w:rPr>
            </w:pPr>
          </w:p>
        </w:tc>
        <w:tc>
          <w:tcPr>
            <w:tcW w:w="60" w:type="dxa"/>
            <w:vAlign w:val="bottom"/>
            <w:tcBorders>
              <w:top w:val="single" w:sz="8" w:color="CCCCCC"/>
            </w:tcBorders>
            <w:shd w:val="clear" w:color="auto" w:fill="CCCCCC"/>
          </w:tcPr>
          <w:p>
            <w:pPr>
              <w:spacing w:after="0"/>
              <w:rPr>
                <w:sz w:val="5"/>
                <w:szCs w:val="5"/>
                <w:color w:val="auto"/>
              </w:rPr>
            </w:pPr>
          </w:p>
        </w:tc>
        <w:tc>
          <w:tcPr>
            <w:tcW w:w="200" w:type="dxa"/>
            <w:vAlign w:val="bottom"/>
            <w:tcBorders>
              <w:top w:val="single" w:sz="8" w:color="CCCCCC"/>
            </w:tcBorders>
            <w:shd w:val="clear" w:color="auto" w:fill="CCCCCC"/>
          </w:tcPr>
          <w:p>
            <w:pPr>
              <w:spacing w:after="0"/>
              <w:rPr>
                <w:sz w:val="5"/>
                <w:szCs w:val="5"/>
                <w:color w:val="auto"/>
              </w:rPr>
            </w:pPr>
          </w:p>
        </w:tc>
        <w:tc>
          <w:tcPr>
            <w:tcW w:w="2180" w:type="dxa"/>
            <w:vAlign w:val="bottom"/>
            <w:tcBorders>
              <w:top w:val="single" w:sz="8" w:color="CCCCCC"/>
            </w:tcBorders>
            <w:shd w:val="clear" w:color="auto" w:fill="CCCCCC"/>
          </w:tcPr>
          <w:p>
            <w:pPr>
              <w:spacing w:after="0"/>
              <w:rPr>
                <w:sz w:val="5"/>
                <w:szCs w:val="5"/>
                <w:color w:val="auto"/>
              </w:rPr>
            </w:pPr>
          </w:p>
        </w:tc>
        <w:tc>
          <w:tcPr>
            <w:tcW w:w="200" w:type="dxa"/>
            <w:vAlign w:val="bottom"/>
            <w:tcBorders>
              <w:top w:val="single" w:sz="8" w:color="0000EE"/>
            </w:tcBorders>
            <w:shd w:val="clear" w:color="auto" w:fill="CCCCCC"/>
          </w:tcPr>
          <w:p>
            <w:pPr>
              <w:spacing w:after="0"/>
              <w:rPr>
                <w:sz w:val="5"/>
                <w:szCs w:val="5"/>
                <w:color w:val="auto"/>
              </w:rPr>
            </w:pPr>
          </w:p>
        </w:tc>
        <w:tc>
          <w:tcPr>
            <w:tcW w:w="200" w:type="dxa"/>
            <w:vAlign w:val="bottom"/>
            <w:tcBorders>
              <w:top w:val="single" w:sz="8" w:color="CCCCCC"/>
            </w:tcBorders>
            <w:shd w:val="clear" w:color="auto" w:fill="CCCCCC"/>
          </w:tcPr>
          <w:p>
            <w:pPr>
              <w:spacing w:after="0"/>
              <w:rPr>
                <w:sz w:val="5"/>
                <w:szCs w:val="5"/>
                <w:color w:val="auto"/>
              </w:rPr>
            </w:pPr>
          </w:p>
        </w:tc>
        <w:tc>
          <w:tcPr>
            <w:tcW w:w="1000" w:type="dxa"/>
            <w:vAlign w:val="bottom"/>
            <w:tcBorders>
              <w:top w:val="single" w:sz="8" w:color="CCCCCC"/>
            </w:tcBorders>
            <w:shd w:val="clear" w:color="auto" w:fill="CCCCCC"/>
          </w:tcPr>
          <w:p>
            <w:pPr>
              <w:spacing w:after="0"/>
              <w:rPr>
                <w:sz w:val="5"/>
                <w:szCs w:val="5"/>
                <w:color w:val="auto"/>
              </w:rPr>
            </w:pPr>
          </w:p>
        </w:tc>
        <w:tc>
          <w:tcPr>
            <w:tcW w:w="2060" w:type="dxa"/>
            <w:vAlign w:val="bottom"/>
            <w:tcBorders>
              <w:top w:val="single" w:sz="8" w:color="CCCCCC"/>
            </w:tcBorders>
            <w:shd w:val="clear" w:color="auto" w:fill="CCCCCC"/>
          </w:tcPr>
          <w:p>
            <w:pPr>
              <w:spacing w:after="0"/>
              <w:rPr>
                <w:sz w:val="5"/>
                <w:szCs w:val="5"/>
                <w:color w:val="auto"/>
              </w:rPr>
            </w:pPr>
          </w:p>
        </w:tc>
      </w:tr>
      <w:tr>
        <w:trPr>
          <w:trHeight w:val="238"/>
        </w:trPr>
        <w:tc>
          <w:tcPr>
            <w:tcW w:w="6840" w:type="dxa"/>
            <w:vAlign w:val="bottom"/>
            <w:gridSpan w:val="11"/>
          </w:tcPr>
          <w:p>
            <w:pPr>
              <w:ind w:left="100"/>
              <w:spacing w:after="0"/>
              <w:rPr>
                <w:sz w:val="20"/>
                <w:szCs w:val="20"/>
                <w:color w:val="auto"/>
              </w:rPr>
            </w:pPr>
            <w:r>
              <w:rPr>
                <w:rFonts w:ascii="Arial" w:cs="Arial" w:eastAsia="Arial" w:hAnsi="Arial"/>
                <w:sz w:val="18"/>
                <w:szCs w:val="18"/>
                <w:color w:val="auto"/>
              </w:rPr>
              <w:t>Advisory Vote on the Frequency of Advisory Votes on the Compensation of our</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EVERY ONE (1) YEAR</w:t>
            </w:r>
          </w:p>
        </w:tc>
      </w:tr>
      <w:tr>
        <w:trPr>
          <w:trHeight w:val="194"/>
        </w:trPr>
        <w:tc>
          <w:tcPr>
            <w:tcW w:w="6840" w:type="dxa"/>
            <w:vAlign w:val="bottom"/>
            <w:gridSpan w:val="11"/>
          </w:tcPr>
          <w:p>
            <w:pPr>
              <w:ind w:left="100"/>
              <w:spacing w:after="0" w:line="195" w:lineRule="exact"/>
              <w:rPr>
                <w:sz w:val="20"/>
                <w:szCs w:val="20"/>
                <w:color w:val="auto"/>
              </w:rPr>
            </w:pPr>
            <w:r>
              <w:rPr>
                <w:rFonts w:ascii="Arial" w:cs="Arial" w:eastAsia="Arial" w:hAnsi="Arial"/>
                <w:sz w:val="18"/>
                <w:szCs w:val="18"/>
                <w:color w:val="auto"/>
              </w:rPr>
              <w:t xml:space="preserve">Named Executive Officers (page </w:t>
            </w:r>
            <w:r>
              <w:rPr>
                <w:rFonts w:ascii="Arial" w:cs="Arial" w:eastAsia="Arial" w:hAnsi="Arial"/>
                <w:sz w:val="18"/>
                <w:szCs w:val="18"/>
                <w:color w:val="0000EE"/>
              </w:rPr>
              <w:t>49</w:t>
            </w:r>
            <w:r>
              <w:rPr>
                <w:rFonts w:ascii="Arial" w:cs="Arial" w:eastAsia="Arial" w:hAnsi="Arial"/>
                <w:sz w:val="18"/>
                <w:szCs w:val="18"/>
                <w:color w:val="auto"/>
              </w:rPr>
              <w:t>)</w:t>
            </w:r>
          </w:p>
        </w:tc>
        <w:tc>
          <w:tcPr>
            <w:tcW w:w="10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4"/>
        </w:trPr>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pacing w:after="0" w:line="30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Corporate Governance Highlights</w:t>
      </w:r>
    </w:p>
    <w:p>
      <w:pPr>
        <w:spacing w:after="0" w:line="139" w:lineRule="exact"/>
        <w:rPr>
          <w:sz w:val="20"/>
          <w:szCs w:val="20"/>
          <w:color w:val="auto"/>
        </w:rPr>
      </w:pPr>
    </w:p>
    <w:p>
      <w:pPr>
        <w:ind w:left="360" w:hanging="350"/>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 of 6 (83%) of our directors are diverse by gender, ethnicity or race</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Executive Chairman is the only management director</w:t>
      </w:r>
    </w:p>
    <w:p>
      <w:pPr>
        <w:spacing w:after="0" w:line="130" w:lineRule="exact"/>
        <w:rPr>
          <w:rFonts w:ascii="Arial" w:cs="Arial" w:eastAsia="Arial" w:hAnsi="Arial"/>
          <w:sz w:val="18"/>
          <w:szCs w:val="18"/>
          <w:color w:val="auto"/>
        </w:rPr>
      </w:pPr>
    </w:p>
    <w:p>
      <w:pPr>
        <w:ind w:left="360" w:hanging="350"/>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members of our Compensation, Corporate Governance and Audit Committees are independent</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election of all directors</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Majority voting (of votes cast) with a director resignation policy for directors in uncontested elections</w:t>
      </w:r>
    </w:p>
    <w:p>
      <w:pPr>
        <w:spacing w:after="0" w:line="130" w:lineRule="exact"/>
        <w:rPr>
          <w:rFonts w:ascii="Arial" w:cs="Arial" w:eastAsia="Arial" w:hAnsi="Arial"/>
          <w:sz w:val="18"/>
          <w:szCs w:val="18"/>
          <w:color w:val="auto"/>
        </w:rPr>
      </w:pPr>
    </w:p>
    <w:p>
      <w:pPr>
        <w:ind w:left="360" w:hanging="350"/>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Robust executive and director stock ownership guidelines</w:t>
      </w:r>
    </w:p>
    <w:p>
      <w:pPr>
        <w:spacing w:after="0" w:line="144" w:lineRule="exact"/>
        <w:rPr>
          <w:rFonts w:ascii="Arial" w:cs="Arial" w:eastAsia="Arial" w:hAnsi="Arial"/>
          <w:sz w:val="18"/>
          <w:szCs w:val="18"/>
          <w:color w:val="auto"/>
        </w:rPr>
      </w:pPr>
    </w:p>
    <w:p>
      <w:pPr>
        <w:ind w:left="360" w:right="80" w:hanging="350"/>
        <w:spacing w:after="0" w:line="271"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director nominee who served on the Board in 2022 attended at least 75% of Board and Committee meetings held in 2022</w:t>
      </w:r>
    </w:p>
    <w:p>
      <w:pPr>
        <w:spacing w:after="0" w:line="86" w:lineRule="exact"/>
        <w:rPr>
          <w:rFonts w:ascii="Arial" w:cs="Arial" w:eastAsia="Arial" w:hAnsi="Arial"/>
          <w:sz w:val="18"/>
          <w:szCs w:val="18"/>
          <w:color w:val="auto"/>
        </w:rPr>
      </w:pPr>
    </w:p>
    <w:p>
      <w:pPr>
        <w:ind w:left="360" w:hanging="350"/>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Policy requiring annual performance evaluation of the Board</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Company Performance and Executive Compensation</w:t>
      </w:r>
    </w:p>
    <w:p>
      <w:pPr>
        <w:spacing w:after="0" w:line="139" w:lineRule="exact"/>
        <w:rPr>
          <w:sz w:val="20"/>
          <w:szCs w:val="20"/>
          <w:color w:val="auto"/>
        </w:rPr>
      </w:pPr>
    </w:p>
    <w:p>
      <w:pPr>
        <w:jc w:val="both"/>
        <w:ind w:left="20" w:right="60"/>
        <w:spacing w:after="0" w:line="239" w:lineRule="auto"/>
        <w:rPr>
          <w:sz w:val="20"/>
          <w:szCs w:val="20"/>
          <w:color w:val="auto"/>
        </w:rPr>
      </w:pPr>
      <w:r>
        <w:rPr>
          <w:rFonts w:ascii="Arial" w:cs="Arial" w:eastAsia="Arial" w:hAnsi="Arial"/>
          <w:sz w:val="18"/>
          <w:szCs w:val="18"/>
          <w:color w:val="auto"/>
        </w:rPr>
        <w:t>We saw strong demand for vehicle rentals for full year 2022, and our revenues increased totaling approximately $12.0 billion, a 29% increase compared to 2021, despite the impact of the Omicron variant of COVID-19 in late 2021 and early 2022, and the uncertainty it caused. For 2022, net income was approximately $2.8 billion and Adjusted EBITDA (as defined and reconciled in the “Compensation Discussion &amp; Analysis” section below (the “CD&amp;A”)) was approximately $4.1 billion, which was the highest annual Adjusted EBITDA in our Company’s history. In 2022, we also returned capital to our shareholders through the repurchase of $3.3 billion of the Company’s common stock, par value $0.01 per share (the “Common Stock”), resulting in the repurchase of 16.7 million shares. Our closing stock price on December 31, 2022 of $163.93 reflected a reduction compared to our closing stock price on December 31, 2021; however, our three-year cumulative total shareholder return was 408%.</w:t>
      </w: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900"/>
          </w:cols>
          <w:pgMar w:left="1020" w:top="263" w:right="979" w:bottom="1440" w:gutter="0" w:footer="0" w:header="0"/>
        </w:sectPr>
      </w:pPr>
    </w:p>
    <w:bookmarkStart w:id="5" w:name="page6"/>
    <w:bookmarkEnd w:id="5"/>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600" w:right="600"/>
        <w:spacing w:after="0" w:line="244" w:lineRule="auto"/>
        <w:rPr>
          <w:sz w:val="20"/>
          <w:szCs w:val="20"/>
          <w:color w:val="auto"/>
        </w:rPr>
      </w:pPr>
      <w:r>
        <w:rPr>
          <w:rFonts w:ascii="Arial" w:cs="Arial" w:eastAsia="Arial" w:hAnsi="Arial"/>
          <w:sz w:val="18"/>
          <w:szCs w:val="18"/>
          <w:color w:val="auto"/>
        </w:rPr>
        <w:t>As described further in the CD&amp;A, compensation paid to our named executive officers (“NEOs”) for 2022 increased compared to 2021, primarily driven by base salary increases and increases in the grant date value of long-term incentives. The increases were approved by the Compensation Committee based on a market review that indicated that while compensation was generally at median levels, three-year cumulative total shareholder return was well above median, as well as the Company’s robust financial performance during both 2021 and 2022.</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36"/>
          <w:szCs w:val="36"/>
          <w:color w:val="auto"/>
        </w:rPr>
        <w:t>About the Annual Meeting</w:t>
      </w:r>
    </w:p>
    <w:p>
      <w:pPr>
        <w:spacing w:after="0" w:line="200" w:lineRule="exact"/>
        <w:rPr>
          <w:sz w:val="20"/>
          <w:szCs w:val="20"/>
          <w:color w:val="auto"/>
        </w:rPr>
      </w:pPr>
    </w:p>
    <w:p>
      <w:pPr>
        <w:spacing w:after="0" w:line="224"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Why am I receiving proxy materials?</w:t>
      </w:r>
    </w:p>
    <w:p>
      <w:pPr>
        <w:spacing w:after="0" w:line="139" w:lineRule="exact"/>
        <w:rPr>
          <w:sz w:val="20"/>
          <w:szCs w:val="20"/>
          <w:color w:val="auto"/>
        </w:rPr>
      </w:pPr>
    </w:p>
    <w:p>
      <w:pPr>
        <w:jc w:val="both"/>
        <w:ind w:left="600" w:right="600"/>
        <w:spacing w:after="0" w:line="253" w:lineRule="auto"/>
        <w:rPr>
          <w:sz w:val="20"/>
          <w:szCs w:val="20"/>
          <w:color w:val="auto"/>
        </w:rPr>
      </w:pPr>
      <w:r>
        <w:rPr>
          <w:rFonts w:ascii="Arial" w:cs="Arial" w:eastAsia="Arial" w:hAnsi="Arial"/>
          <w:sz w:val="18"/>
          <w:szCs w:val="18"/>
          <w:color w:val="auto"/>
        </w:rPr>
        <w:t>The Board of Directors (the “Board”) of Avis Budget Group, Inc. (the “Company” or “Avis Budget”) is soliciting your vote at the 2023 Annual Meeting of Shareholders, and any adjournment or postponement thereof (the “Meeting”), to be held virtually on May 24, 2023 at 9:00 a.m. Eastern Time, for the purposes set forth in this Proxy Statement.</w:t>
      </w:r>
    </w:p>
    <w:p>
      <w:pPr>
        <w:spacing w:after="0" w:line="88" w:lineRule="exact"/>
        <w:rPr>
          <w:sz w:val="20"/>
          <w:szCs w:val="20"/>
          <w:color w:val="auto"/>
        </w:rPr>
      </w:pPr>
    </w:p>
    <w:p>
      <w:pPr>
        <w:jc w:val="both"/>
        <w:ind w:left="600" w:right="600"/>
        <w:spacing w:after="0" w:line="247" w:lineRule="auto"/>
        <w:rPr>
          <w:sz w:val="20"/>
          <w:szCs w:val="20"/>
          <w:color w:val="auto"/>
        </w:rPr>
      </w:pPr>
      <w:r>
        <w:rPr>
          <w:rFonts w:ascii="Arial" w:cs="Arial" w:eastAsia="Arial" w:hAnsi="Arial"/>
          <w:sz w:val="18"/>
          <w:szCs w:val="18"/>
          <w:color w:val="auto"/>
        </w:rPr>
        <w:t>On or about April 5, 2023, the Company will first mail to certain shareholders of record the Notice of Internet Availability of Proxy Materials containing instructions on how to access this Proxy Statement online, or in the alternative, request a paper copy of the proxy materials and a proxy card, and also will first mail to certain other shareholders this Proxy Statement and the accompanying proxy card.</w:t>
      </w:r>
    </w:p>
    <w:p>
      <w:pPr>
        <w:spacing w:after="0" w:line="331"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When and where will the Meeting be held?</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Meeting is scheduled to be held in a virtual-only format at 9:00 a.m. Eastern Time, on May 24, 2023.</w:t>
      </w:r>
    </w:p>
    <w:p>
      <w:pPr>
        <w:spacing w:after="0" w:line="369"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How can I attend the Meeting?</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Shareholders at the close of business on March 31, 2023 (the “Record Date”) are entitled to virtually attend the Meeting.</w:t>
      </w:r>
    </w:p>
    <w:p>
      <w:pPr>
        <w:spacing w:after="0" w:line="144" w:lineRule="exact"/>
        <w:rPr>
          <w:sz w:val="20"/>
          <w:szCs w:val="20"/>
          <w:color w:val="auto"/>
        </w:rPr>
      </w:pPr>
    </w:p>
    <w:p>
      <w:pPr>
        <w:jc w:val="both"/>
        <w:ind w:left="600" w:right="600"/>
        <w:spacing w:after="0" w:line="247" w:lineRule="auto"/>
        <w:rPr>
          <w:sz w:val="20"/>
          <w:szCs w:val="20"/>
          <w:color w:val="auto"/>
        </w:rPr>
      </w:pPr>
      <w:r>
        <w:rPr>
          <w:rFonts w:ascii="Arial" w:cs="Arial" w:eastAsia="Arial" w:hAnsi="Arial"/>
          <w:sz w:val="18"/>
          <w:szCs w:val="18"/>
          <w:i w:val="1"/>
          <w:iCs w:val="1"/>
          <w:color w:val="auto"/>
        </w:rPr>
        <w:t xml:space="preserve">Registered Shareholders: </w:t>
      </w:r>
      <w:r>
        <w:rPr>
          <w:rFonts w:ascii="Arial" w:cs="Arial" w:eastAsia="Arial" w:hAnsi="Arial"/>
          <w:sz w:val="18"/>
          <w:szCs w:val="18"/>
          <w:color w:val="auto"/>
        </w:rPr>
        <w:t>If you were a holder of record of the Company’s Common Stock as of the Record Date (</w:t>
      </w:r>
      <w:r>
        <w:rPr>
          <w:rFonts w:ascii="Arial" w:cs="Arial" w:eastAsia="Arial" w:hAnsi="Arial"/>
          <w:sz w:val="18"/>
          <w:szCs w:val="18"/>
          <w:i w:val="1"/>
          <w:iCs w:val="1"/>
          <w:color w:val="auto"/>
        </w:rPr>
        <w:t>i.e.</w:t>
      </w:r>
      <w:r>
        <w:rPr>
          <w:rFonts w:ascii="Arial" w:cs="Arial" w:eastAsia="Arial" w:hAnsi="Arial"/>
          <w:sz w:val="18"/>
          <w:szCs w:val="18"/>
          <w:color w:val="auto"/>
        </w:rPr>
        <w:t>, you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held your shares in your own name as reflected in the records of our transfer agent, Computershare), you can attend the Meeting by accessing </w:t>
      </w:r>
      <w:r>
        <w:rPr>
          <w:rFonts w:ascii="Arial" w:cs="Arial" w:eastAsia="Arial" w:hAnsi="Arial"/>
          <w:sz w:val="18"/>
          <w:szCs w:val="18"/>
          <w:i w:val="1"/>
          <w:iCs w:val="1"/>
          <w:color w:val="auto"/>
        </w:rPr>
        <w:t>www.meetnow.global/M4WUPKW</w:t>
      </w:r>
      <w:r>
        <w:rPr>
          <w:rFonts w:ascii="Arial" w:cs="Arial" w:eastAsia="Arial" w:hAnsi="Arial"/>
          <w:sz w:val="18"/>
          <w:szCs w:val="18"/>
          <w:color w:val="auto"/>
        </w:rPr>
        <w:t xml:space="preserve"> and entering the 15-digit control number found on the proxy card or notice. No password is required. You may also vote your shares during the Meeting by following the online instructions.</w:t>
      </w:r>
    </w:p>
    <w:p>
      <w:pPr>
        <w:spacing w:after="0" w:line="106" w:lineRule="exact"/>
        <w:rPr>
          <w:sz w:val="20"/>
          <w:szCs w:val="20"/>
          <w:color w:val="auto"/>
        </w:rPr>
      </w:pPr>
    </w:p>
    <w:p>
      <w:pPr>
        <w:jc w:val="both"/>
        <w:ind w:left="600" w:right="600"/>
        <w:spacing w:after="0"/>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hold your shares through an intermediary, such as a bank, broker or other agent, you must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register in advance to attend the Meeting. To register, you must obtain and submit a legal proxy from the holder of record, reflecting the number of shares of the Company’s Common Stock you held as of the Record Date, along with your name and e-mail address, to Computershare. You must send an e-mail from your broker, bank or other agent, or an image of your legal proxy to </w:t>
      </w:r>
      <w:r>
        <w:rPr>
          <w:rFonts w:ascii="Arial" w:cs="Arial" w:eastAsia="Arial" w:hAnsi="Arial"/>
          <w:sz w:val="18"/>
          <w:szCs w:val="18"/>
          <w:i w:val="1"/>
          <w:iCs w:val="1"/>
          <w:color w:val="auto"/>
        </w:rPr>
        <w:t>legalproxy@computershare.com</w:t>
      </w:r>
      <w:r>
        <w:rPr>
          <w:rFonts w:ascii="Arial" w:cs="Arial" w:eastAsia="Arial" w:hAnsi="Arial"/>
          <w:sz w:val="18"/>
          <w:szCs w:val="18"/>
          <w:color w:val="auto"/>
        </w:rPr>
        <w:t>. Requests for registration must be labeled as “Legal Proxy” and be received no later than 5:00 p.m. (Eastern Time) on May 18, 2023. You will receive a confirmation of your registration by e-mail directly from Computershare.</w:t>
      </w:r>
    </w:p>
    <w:p>
      <w:pPr>
        <w:spacing w:after="0" w:line="104" w:lineRule="exact"/>
        <w:rPr>
          <w:sz w:val="20"/>
          <w:szCs w:val="20"/>
          <w:color w:val="auto"/>
        </w:rPr>
      </w:pPr>
    </w:p>
    <w:p>
      <w:pPr>
        <w:jc w:val="both"/>
        <w:ind w:left="600" w:right="600"/>
        <w:spacing w:after="0" w:line="253" w:lineRule="auto"/>
        <w:rPr>
          <w:sz w:val="20"/>
          <w:szCs w:val="20"/>
          <w:color w:val="auto"/>
        </w:rPr>
      </w:pPr>
      <w:r>
        <w:rPr>
          <w:rFonts w:ascii="Arial" w:cs="Arial" w:eastAsia="Arial" w:hAnsi="Arial"/>
          <w:sz w:val="18"/>
          <w:szCs w:val="18"/>
          <w:color w:val="auto"/>
        </w:rPr>
        <w:t>Those without a control number or legal proxy may attend the Meeting as a guest but will not have the option to vote or ask questions at the Meeting. We encourage you to access the Meeting prior to the start time and allow sufficient time to log into the Meeting.</w:t>
      </w:r>
    </w:p>
    <w:p>
      <w:pPr>
        <w:spacing w:after="0" w:line="326"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What items will I be voting on and what are the Board’s voting recommendations?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8"/>
              </w:rPr>
              <w:t>Board’s Voting</w:t>
            </w:r>
          </w:p>
        </w:tc>
      </w:tr>
      <w:tr>
        <w:trPr>
          <w:trHeight w:val="247"/>
        </w:trPr>
        <w:tc>
          <w:tcPr>
            <w:tcW w:w="580" w:type="dxa"/>
            <w:vAlign w:val="bottom"/>
          </w:tcPr>
          <w:p>
            <w:pPr>
              <w:spacing w:after="0"/>
              <w:rPr>
                <w:sz w:val="21"/>
                <w:szCs w:val="21"/>
                <w:color w:val="auto"/>
              </w:rPr>
            </w:pPr>
          </w:p>
        </w:tc>
        <w:tc>
          <w:tcPr>
            <w:tcW w:w="7780" w:type="dxa"/>
            <w:vAlign w:val="bottom"/>
            <w:gridSpan w:val="11"/>
          </w:tcPr>
          <w:p>
            <w:pPr>
              <w:ind w:left="100"/>
              <w:spacing w:after="0"/>
              <w:rPr>
                <w:sz w:val="20"/>
                <w:szCs w:val="20"/>
                <w:color w:val="auto"/>
              </w:rPr>
            </w:pPr>
            <w:r>
              <w:rPr>
                <w:rFonts w:ascii="Arial" w:cs="Arial" w:eastAsia="Arial" w:hAnsi="Arial"/>
                <w:sz w:val="18"/>
                <w:szCs w:val="18"/>
                <w:b w:val="1"/>
                <w:bCs w:val="1"/>
                <w:color w:val="auto"/>
              </w:rPr>
              <w:t>Proposal</w:t>
            </w:r>
          </w:p>
        </w:tc>
        <w:tc>
          <w:tcPr>
            <w:tcW w:w="2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Recommendation</w:t>
            </w:r>
          </w:p>
        </w:tc>
      </w:tr>
      <w:tr>
        <w:trPr>
          <w:trHeight w:val="42"/>
        </w:trPr>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60" w:type="dxa"/>
            <w:vAlign w:val="bottom"/>
            <w:gridSpan w:val="2"/>
          </w:tcPr>
          <w:p>
            <w:pPr>
              <w:spacing w:after="0"/>
              <w:rPr>
                <w:sz w:val="3"/>
                <w:szCs w:val="3"/>
                <w:color w:val="auto"/>
              </w:rPr>
            </w:pPr>
          </w:p>
        </w:tc>
      </w:tr>
      <w:tr>
        <w:trPr>
          <w:trHeight w:val="236"/>
        </w:trPr>
        <w:tc>
          <w:tcPr>
            <w:tcW w:w="580" w:type="dxa"/>
            <w:vAlign w:val="bottom"/>
          </w:tcPr>
          <w:p>
            <w:pPr>
              <w:spacing w:after="0"/>
              <w:rPr>
                <w:sz w:val="20"/>
                <w:szCs w:val="20"/>
                <w:color w:val="auto"/>
              </w:rPr>
            </w:pPr>
          </w:p>
        </w:tc>
        <w:tc>
          <w:tcPr>
            <w:tcW w:w="7780" w:type="dxa"/>
            <w:vAlign w:val="bottom"/>
            <w:tcBorders>
              <w:top w:val="single" w:sz="8" w:color="auto"/>
            </w:tcBorders>
            <w:gridSpan w:val="11"/>
            <w:shd w:val="clear" w:color="auto" w:fill="CCCCCC"/>
          </w:tcPr>
          <w:p>
            <w:pPr>
              <w:ind w:left="100"/>
              <w:spacing w:after="0"/>
              <w:rPr>
                <w:sz w:val="20"/>
                <w:szCs w:val="20"/>
                <w:color w:val="auto"/>
              </w:rPr>
            </w:pPr>
            <w:r>
              <w:rPr>
                <w:rFonts w:ascii="Arial" w:cs="Arial" w:eastAsia="Arial" w:hAnsi="Arial"/>
                <w:sz w:val="18"/>
                <w:szCs w:val="18"/>
                <w:color w:val="auto"/>
              </w:rPr>
              <w:t xml:space="preserve">No. 1: Election of Directors (see page </w:t>
            </w:r>
            <w:r>
              <w:rPr>
                <w:rFonts w:ascii="Arial" w:cs="Arial" w:eastAsia="Arial" w:hAnsi="Arial"/>
                <w:sz w:val="18"/>
                <w:szCs w:val="18"/>
                <w:color w:val="0000EE"/>
              </w:rPr>
              <w:t>7</w:t>
            </w:r>
            <w:r>
              <w:rPr>
                <w:rFonts w:ascii="Arial" w:cs="Arial" w:eastAsia="Arial" w:hAnsi="Arial"/>
                <w:sz w:val="18"/>
                <w:szCs w:val="18"/>
                <w:color w:val="auto"/>
              </w:rPr>
              <w:t>)</w:t>
            </w:r>
          </w:p>
        </w:tc>
        <w:tc>
          <w:tcPr>
            <w:tcW w:w="2060" w:type="dxa"/>
            <w:vAlign w:val="bottom"/>
            <w:tcBorders>
              <w:top w:val="single" w:sz="8" w:color="auto"/>
            </w:tcBorders>
            <w:shd w:val="clear" w:color="auto" w:fill="CCCCCC"/>
          </w:tcPr>
          <w:p>
            <w:pPr>
              <w:jc w:val="center"/>
              <w:ind w:left="10"/>
              <w:spacing w:after="0"/>
              <w:rPr>
                <w:sz w:val="20"/>
                <w:szCs w:val="20"/>
                <w:color w:val="auto"/>
              </w:rPr>
            </w:pPr>
            <w:r>
              <w:rPr>
                <w:rFonts w:ascii="Arial" w:cs="Arial" w:eastAsia="Arial" w:hAnsi="Arial"/>
                <w:sz w:val="18"/>
                <w:szCs w:val="18"/>
                <w:color w:val="auto"/>
                <w:w w:val="99"/>
              </w:rPr>
              <w:t>FOR ALL NOMINEES</w:t>
            </w:r>
          </w:p>
        </w:tc>
        <w:tc>
          <w:tcPr>
            <w:tcW w:w="600" w:type="dxa"/>
            <w:vAlign w:val="bottom"/>
          </w:tcPr>
          <w:p>
            <w:pPr>
              <w:spacing w:after="0"/>
              <w:rPr>
                <w:sz w:val="20"/>
                <w:szCs w:val="20"/>
                <w:color w:val="auto"/>
              </w:rPr>
            </w:pPr>
          </w:p>
        </w:tc>
      </w:tr>
      <w:tr>
        <w:trPr>
          <w:trHeight w:val="75"/>
        </w:trPr>
        <w:tc>
          <w:tcPr>
            <w:tcW w:w="580" w:type="dxa"/>
            <w:vAlign w:val="bottom"/>
          </w:tcPr>
          <w:p>
            <w:pPr>
              <w:spacing w:after="0"/>
              <w:rPr>
                <w:sz w:val="6"/>
                <w:szCs w:val="6"/>
                <w:color w:val="auto"/>
              </w:rPr>
            </w:pPr>
          </w:p>
        </w:tc>
        <w:tc>
          <w:tcPr>
            <w:tcW w:w="2120" w:type="dxa"/>
            <w:vAlign w:val="bottom"/>
            <w:tcBorders>
              <w:top w:val="single" w:sz="8" w:color="CCCCCC"/>
              <w:bottom w:val="single" w:sz="8" w:color="auto"/>
            </w:tcBorders>
            <w:shd w:val="clear" w:color="auto" w:fill="CCCCCC"/>
          </w:tcPr>
          <w:p>
            <w:pPr>
              <w:spacing w:after="0"/>
              <w:rPr>
                <w:sz w:val="6"/>
                <w:szCs w:val="6"/>
                <w:color w:val="auto"/>
              </w:rPr>
            </w:pPr>
          </w:p>
        </w:tc>
        <w:tc>
          <w:tcPr>
            <w:tcW w:w="200" w:type="dxa"/>
            <w:vAlign w:val="bottom"/>
            <w:tcBorders>
              <w:top w:val="single" w:sz="8" w:color="CCCCCC"/>
              <w:bottom w:val="single" w:sz="8" w:color="auto"/>
            </w:tcBorders>
            <w:shd w:val="clear" w:color="auto" w:fill="CCCCCC"/>
          </w:tcPr>
          <w:p>
            <w:pPr>
              <w:spacing w:after="0"/>
              <w:rPr>
                <w:sz w:val="6"/>
                <w:szCs w:val="6"/>
                <w:color w:val="auto"/>
              </w:rPr>
            </w:pPr>
          </w:p>
        </w:tc>
        <w:tc>
          <w:tcPr>
            <w:tcW w:w="820" w:type="dxa"/>
            <w:vAlign w:val="bottom"/>
            <w:tcBorders>
              <w:top w:val="single" w:sz="8" w:color="CCCCCC"/>
              <w:bottom w:val="single" w:sz="8" w:color="auto"/>
            </w:tcBorders>
            <w:shd w:val="clear" w:color="auto" w:fill="CCCCCC"/>
          </w:tcPr>
          <w:p>
            <w:pPr>
              <w:spacing w:after="0"/>
              <w:rPr>
                <w:sz w:val="6"/>
                <w:szCs w:val="6"/>
                <w:color w:val="auto"/>
              </w:rPr>
            </w:pPr>
          </w:p>
        </w:tc>
        <w:tc>
          <w:tcPr>
            <w:tcW w:w="100" w:type="dxa"/>
            <w:vAlign w:val="bottom"/>
            <w:tcBorders>
              <w:top w:val="single" w:sz="8" w:color="0000EE"/>
              <w:bottom w:val="single" w:sz="8" w:color="auto"/>
            </w:tcBorders>
            <w:shd w:val="clear" w:color="auto" w:fill="CCCCCC"/>
          </w:tcPr>
          <w:p>
            <w:pPr>
              <w:spacing w:after="0"/>
              <w:rPr>
                <w:sz w:val="6"/>
                <w:szCs w:val="6"/>
                <w:color w:val="auto"/>
              </w:rPr>
            </w:pPr>
          </w:p>
        </w:tc>
        <w:tc>
          <w:tcPr>
            <w:tcW w:w="1100" w:type="dxa"/>
            <w:vAlign w:val="bottom"/>
            <w:tcBorders>
              <w:top w:val="single" w:sz="8" w:color="CCCCCC"/>
              <w:bottom w:val="single" w:sz="8" w:color="auto"/>
            </w:tcBorders>
            <w:shd w:val="clear" w:color="auto" w:fill="CCCCCC"/>
          </w:tcPr>
          <w:p>
            <w:pPr>
              <w:spacing w:after="0"/>
              <w:rPr>
                <w:sz w:val="6"/>
                <w:szCs w:val="6"/>
                <w:color w:val="auto"/>
              </w:rPr>
            </w:pPr>
          </w:p>
        </w:tc>
        <w:tc>
          <w:tcPr>
            <w:tcW w:w="200" w:type="dxa"/>
            <w:vAlign w:val="bottom"/>
            <w:tcBorders>
              <w:top w:val="single" w:sz="8" w:color="CCCCCC"/>
              <w:bottom w:val="single" w:sz="8" w:color="auto"/>
            </w:tcBorders>
            <w:shd w:val="clear" w:color="auto" w:fill="CCCCCC"/>
          </w:tcPr>
          <w:p>
            <w:pPr>
              <w:spacing w:after="0"/>
              <w:rPr>
                <w:sz w:val="6"/>
                <w:szCs w:val="6"/>
                <w:color w:val="auto"/>
              </w:rPr>
            </w:pPr>
          </w:p>
        </w:tc>
        <w:tc>
          <w:tcPr>
            <w:tcW w:w="60" w:type="dxa"/>
            <w:vAlign w:val="bottom"/>
            <w:tcBorders>
              <w:top w:val="single" w:sz="8" w:color="CCCCCC"/>
              <w:bottom w:val="single" w:sz="8" w:color="auto"/>
            </w:tcBorders>
            <w:shd w:val="clear" w:color="auto" w:fill="CCCCCC"/>
          </w:tcPr>
          <w:p>
            <w:pPr>
              <w:spacing w:after="0"/>
              <w:rPr>
                <w:sz w:val="6"/>
                <w:szCs w:val="6"/>
                <w:color w:val="auto"/>
              </w:rPr>
            </w:pPr>
          </w:p>
        </w:tc>
        <w:tc>
          <w:tcPr>
            <w:tcW w:w="200" w:type="dxa"/>
            <w:vAlign w:val="bottom"/>
            <w:tcBorders>
              <w:top w:val="single" w:sz="8" w:color="CCCCCC"/>
              <w:bottom w:val="single" w:sz="8" w:color="auto"/>
            </w:tcBorders>
            <w:shd w:val="clear" w:color="auto" w:fill="CCCCCC"/>
          </w:tcPr>
          <w:p>
            <w:pPr>
              <w:spacing w:after="0"/>
              <w:rPr>
                <w:sz w:val="6"/>
                <w:szCs w:val="6"/>
                <w:color w:val="auto"/>
              </w:rPr>
            </w:pPr>
          </w:p>
        </w:tc>
        <w:tc>
          <w:tcPr>
            <w:tcW w:w="2540" w:type="dxa"/>
            <w:vAlign w:val="bottom"/>
            <w:tcBorders>
              <w:top w:val="single" w:sz="8" w:color="CCCCCC"/>
              <w:bottom w:val="single" w:sz="8" w:color="auto"/>
            </w:tcBorders>
            <w:shd w:val="clear" w:color="auto" w:fill="CCCCCC"/>
          </w:tcPr>
          <w:p>
            <w:pPr>
              <w:spacing w:after="0"/>
              <w:rPr>
                <w:sz w:val="6"/>
                <w:szCs w:val="6"/>
                <w:color w:val="auto"/>
              </w:rPr>
            </w:pPr>
          </w:p>
        </w:tc>
        <w:tc>
          <w:tcPr>
            <w:tcW w:w="200" w:type="dxa"/>
            <w:vAlign w:val="bottom"/>
            <w:tcBorders>
              <w:top w:val="single" w:sz="8" w:color="CCCCCC"/>
              <w:bottom w:val="single" w:sz="8" w:color="auto"/>
            </w:tcBorders>
            <w:shd w:val="clear" w:color="auto" w:fill="CCCCCC"/>
          </w:tcPr>
          <w:p>
            <w:pPr>
              <w:spacing w:after="0"/>
              <w:rPr>
                <w:sz w:val="6"/>
                <w:szCs w:val="6"/>
                <w:color w:val="auto"/>
              </w:rPr>
            </w:pPr>
          </w:p>
        </w:tc>
        <w:tc>
          <w:tcPr>
            <w:tcW w:w="240" w:type="dxa"/>
            <w:vAlign w:val="bottom"/>
            <w:tcBorders>
              <w:top w:val="single" w:sz="8" w:color="CCCCCC"/>
              <w:bottom w:val="single" w:sz="8" w:color="auto"/>
            </w:tcBorders>
            <w:shd w:val="clear" w:color="auto" w:fill="CCCCCC"/>
          </w:tcPr>
          <w:p>
            <w:pPr>
              <w:spacing w:after="0"/>
              <w:rPr>
                <w:sz w:val="6"/>
                <w:szCs w:val="6"/>
                <w:color w:val="auto"/>
              </w:rPr>
            </w:pPr>
          </w:p>
        </w:tc>
        <w:tc>
          <w:tcPr>
            <w:tcW w:w="2060" w:type="dxa"/>
            <w:vAlign w:val="bottom"/>
            <w:tcBorders>
              <w:top w:val="single" w:sz="8" w:color="CCCCCC"/>
              <w:bottom w:val="single" w:sz="8" w:color="auto"/>
            </w:tcBorders>
            <w:shd w:val="clear" w:color="auto" w:fill="CCCCCC"/>
          </w:tcPr>
          <w:p>
            <w:pPr>
              <w:spacing w:after="0"/>
              <w:rPr>
                <w:sz w:val="6"/>
                <w:szCs w:val="6"/>
                <w:color w:val="auto"/>
              </w:rPr>
            </w:pPr>
          </w:p>
        </w:tc>
        <w:tc>
          <w:tcPr>
            <w:tcW w:w="600" w:type="dxa"/>
            <w:vAlign w:val="bottom"/>
          </w:tcPr>
          <w:p>
            <w:pPr>
              <w:spacing w:after="0"/>
              <w:rPr>
                <w:sz w:val="6"/>
                <w:szCs w:val="6"/>
                <w:color w:val="auto"/>
              </w:rPr>
            </w:pPr>
          </w:p>
        </w:tc>
      </w:tr>
      <w:tr>
        <w:trPr>
          <w:trHeight w:val="236"/>
        </w:trPr>
        <w:tc>
          <w:tcPr>
            <w:tcW w:w="580" w:type="dxa"/>
            <w:vAlign w:val="bottom"/>
          </w:tcPr>
          <w:p>
            <w:pPr>
              <w:spacing w:after="0"/>
              <w:rPr>
                <w:sz w:val="20"/>
                <w:szCs w:val="20"/>
                <w:color w:val="auto"/>
              </w:rPr>
            </w:pPr>
          </w:p>
        </w:tc>
        <w:tc>
          <w:tcPr>
            <w:tcW w:w="7780" w:type="dxa"/>
            <w:vAlign w:val="bottom"/>
            <w:gridSpan w:val="11"/>
          </w:tcPr>
          <w:p>
            <w:pPr>
              <w:ind w:left="100"/>
              <w:spacing w:after="0"/>
              <w:rPr>
                <w:sz w:val="20"/>
                <w:szCs w:val="20"/>
                <w:color w:val="auto"/>
              </w:rPr>
            </w:pPr>
            <w:r>
              <w:rPr>
                <w:rFonts w:ascii="Arial" w:cs="Arial" w:eastAsia="Arial" w:hAnsi="Arial"/>
                <w:sz w:val="18"/>
                <w:szCs w:val="18"/>
                <w:color w:val="auto"/>
              </w:rPr>
              <w:t xml:space="preserve">No. 2: Ratification of Appointment of Auditors (pages </w:t>
            </w:r>
            <w:r>
              <w:rPr>
                <w:rFonts w:ascii="Arial" w:cs="Arial" w:eastAsia="Arial" w:hAnsi="Arial"/>
                <w:sz w:val="18"/>
                <w:szCs w:val="18"/>
                <w:color w:val="0000EE"/>
              </w:rPr>
              <w:t>46</w:t>
            </w:r>
            <w:r>
              <w:rPr>
                <w:rFonts w:ascii="Arial" w:cs="Arial" w:eastAsia="Arial" w:hAnsi="Arial"/>
                <w:sz w:val="18"/>
                <w:szCs w:val="18"/>
                <w:color w:val="auto"/>
              </w:rPr>
              <w:t>-</w:t>
            </w:r>
            <w:r>
              <w:rPr>
                <w:rFonts w:ascii="Arial" w:cs="Arial" w:eastAsia="Arial" w:hAnsi="Arial"/>
                <w:sz w:val="18"/>
                <w:szCs w:val="18"/>
                <w:color w:val="0000EE"/>
              </w:rPr>
              <w:t>47</w:t>
            </w:r>
            <w:r>
              <w:rPr>
                <w:rFonts w:ascii="Arial" w:cs="Arial" w:eastAsia="Arial" w:hAnsi="Arial"/>
                <w:sz w:val="18"/>
                <w:szCs w:val="18"/>
                <w:color w:val="auto"/>
              </w:rPr>
              <w:t>)</w:t>
            </w:r>
          </w:p>
        </w:tc>
        <w:tc>
          <w:tcPr>
            <w:tcW w:w="26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FOR</w:t>
            </w:r>
          </w:p>
        </w:tc>
      </w:tr>
      <w:tr>
        <w:trPr>
          <w:trHeight w:val="75"/>
        </w:trPr>
        <w:tc>
          <w:tcPr>
            <w:tcW w:w="580" w:type="dxa"/>
            <w:vAlign w:val="bottom"/>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r>
      <w:tr>
        <w:trPr>
          <w:trHeight w:val="236"/>
        </w:trPr>
        <w:tc>
          <w:tcPr>
            <w:tcW w:w="580" w:type="dxa"/>
            <w:vAlign w:val="bottom"/>
          </w:tcPr>
          <w:p>
            <w:pPr>
              <w:spacing w:after="0"/>
              <w:rPr>
                <w:sz w:val="20"/>
                <w:szCs w:val="20"/>
                <w:color w:val="auto"/>
              </w:rPr>
            </w:pPr>
          </w:p>
        </w:tc>
        <w:tc>
          <w:tcPr>
            <w:tcW w:w="7780" w:type="dxa"/>
            <w:vAlign w:val="bottom"/>
            <w:gridSpan w:val="11"/>
            <w:shd w:val="clear" w:color="auto" w:fill="CCCCCC"/>
          </w:tcPr>
          <w:p>
            <w:pPr>
              <w:ind w:left="100"/>
              <w:spacing w:after="0"/>
              <w:rPr>
                <w:sz w:val="20"/>
                <w:szCs w:val="20"/>
                <w:color w:val="auto"/>
              </w:rPr>
            </w:pPr>
            <w:r>
              <w:rPr>
                <w:rFonts w:ascii="Arial" w:cs="Arial" w:eastAsia="Arial" w:hAnsi="Arial"/>
                <w:sz w:val="18"/>
                <w:szCs w:val="18"/>
                <w:color w:val="auto"/>
              </w:rPr>
              <w:t xml:space="preserve">No. 3: Advisory Approval of the Compensation of our Named Executive Officers (see page </w:t>
            </w:r>
            <w:r>
              <w:rPr>
                <w:rFonts w:ascii="Arial" w:cs="Arial" w:eastAsia="Arial" w:hAnsi="Arial"/>
                <w:sz w:val="18"/>
                <w:szCs w:val="18"/>
                <w:color w:val="0000EE"/>
              </w:rPr>
              <w:t>48</w:t>
            </w:r>
            <w:r>
              <w:rPr>
                <w:rFonts w:ascii="Arial" w:cs="Arial" w:eastAsia="Arial" w:hAnsi="Arial"/>
                <w:sz w:val="18"/>
                <w:szCs w:val="18"/>
                <w:color w:val="auto"/>
              </w:rPr>
              <w:t>)</w:t>
            </w:r>
          </w:p>
        </w:tc>
        <w:tc>
          <w:tcPr>
            <w:tcW w:w="20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FOR</w:t>
            </w:r>
          </w:p>
        </w:tc>
        <w:tc>
          <w:tcPr>
            <w:tcW w:w="600" w:type="dxa"/>
            <w:vAlign w:val="bottom"/>
          </w:tcPr>
          <w:p>
            <w:pPr>
              <w:spacing w:after="0"/>
              <w:rPr>
                <w:sz w:val="20"/>
                <w:szCs w:val="20"/>
                <w:color w:val="auto"/>
              </w:rPr>
            </w:pPr>
          </w:p>
        </w:tc>
      </w:tr>
      <w:tr>
        <w:trPr>
          <w:trHeight w:val="61"/>
        </w:trPr>
        <w:tc>
          <w:tcPr>
            <w:tcW w:w="580" w:type="dxa"/>
            <w:vAlign w:val="bottom"/>
          </w:tcPr>
          <w:p>
            <w:pPr>
              <w:spacing w:after="0"/>
              <w:rPr>
                <w:sz w:val="5"/>
                <w:szCs w:val="5"/>
                <w:color w:val="auto"/>
              </w:rPr>
            </w:pPr>
          </w:p>
        </w:tc>
        <w:tc>
          <w:tcPr>
            <w:tcW w:w="2120" w:type="dxa"/>
            <w:vAlign w:val="bottom"/>
            <w:tcBorders>
              <w:top w:val="single" w:sz="8" w:color="CCCCCC"/>
            </w:tcBorders>
            <w:shd w:val="clear" w:color="auto" w:fill="CCCCCC"/>
          </w:tcPr>
          <w:p>
            <w:pPr>
              <w:spacing w:after="0"/>
              <w:rPr>
                <w:sz w:val="5"/>
                <w:szCs w:val="5"/>
                <w:color w:val="auto"/>
              </w:rPr>
            </w:pPr>
          </w:p>
        </w:tc>
        <w:tc>
          <w:tcPr>
            <w:tcW w:w="200" w:type="dxa"/>
            <w:vAlign w:val="bottom"/>
            <w:tcBorders>
              <w:top w:val="single" w:sz="8" w:color="CCCCCC"/>
            </w:tcBorders>
            <w:shd w:val="clear" w:color="auto" w:fill="CCCCCC"/>
          </w:tcPr>
          <w:p>
            <w:pPr>
              <w:spacing w:after="0"/>
              <w:rPr>
                <w:sz w:val="5"/>
                <w:szCs w:val="5"/>
                <w:color w:val="auto"/>
              </w:rPr>
            </w:pPr>
          </w:p>
        </w:tc>
        <w:tc>
          <w:tcPr>
            <w:tcW w:w="820" w:type="dxa"/>
            <w:vAlign w:val="bottom"/>
            <w:tcBorders>
              <w:top w:val="single" w:sz="8" w:color="CCCCCC"/>
            </w:tcBorders>
            <w:shd w:val="clear" w:color="auto" w:fill="CCCCCC"/>
          </w:tcPr>
          <w:p>
            <w:pPr>
              <w:spacing w:after="0"/>
              <w:rPr>
                <w:sz w:val="5"/>
                <w:szCs w:val="5"/>
                <w:color w:val="auto"/>
              </w:rPr>
            </w:pPr>
          </w:p>
        </w:tc>
        <w:tc>
          <w:tcPr>
            <w:tcW w:w="100" w:type="dxa"/>
            <w:vAlign w:val="bottom"/>
            <w:tcBorders>
              <w:top w:val="single" w:sz="8" w:color="CCCCCC"/>
            </w:tcBorders>
            <w:shd w:val="clear" w:color="auto" w:fill="CCCCCC"/>
          </w:tcPr>
          <w:p>
            <w:pPr>
              <w:spacing w:after="0"/>
              <w:rPr>
                <w:sz w:val="5"/>
                <w:szCs w:val="5"/>
                <w:color w:val="auto"/>
              </w:rPr>
            </w:pPr>
          </w:p>
        </w:tc>
        <w:tc>
          <w:tcPr>
            <w:tcW w:w="1100" w:type="dxa"/>
            <w:vAlign w:val="bottom"/>
            <w:tcBorders>
              <w:top w:val="single" w:sz="8" w:color="CCCCCC"/>
            </w:tcBorders>
            <w:shd w:val="clear" w:color="auto" w:fill="CCCCCC"/>
          </w:tcPr>
          <w:p>
            <w:pPr>
              <w:spacing w:after="0"/>
              <w:rPr>
                <w:sz w:val="5"/>
                <w:szCs w:val="5"/>
                <w:color w:val="auto"/>
              </w:rPr>
            </w:pPr>
          </w:p>
        </w:tc>
        <w:tc>
          <w:tcPr>
            <w:tcW w:w="200" w:type="dxa"/>
            <w:vAlign w:val="bottom"/>
            <w:tcBorders>
              <w:top w:val="single" w:sz="8" w:color="CCCCCC"/>
            </w:tcBorders>
            <w:shd w:val="clear" w:color="auto" w:fill="CCCCCC"/>
          </w:tcPr>
          <w:p>
            <w:pPr>
              <w:spacing w:after="0"/>
              <w:rPr>
                <w:sz w:val="5"/>
                <w:szCs w:val="5"/>
                <w:color w:val="auto"/>
              </w:rPr>
            </w:pPr>
          </w:p>
        </w:tc>
        <w:tc>
          <w:tcPr>
            <w:tcW w:w="60" w:type="dxa"/>
            <w:vAlign w:val="bottom"/>
            <w:tcBorders>
              <w:top w:val="single" w:sz="8" w:color="CCCCCC"/>
            </w:tcBorders>
            <w:shd w:val="clear" w:color="auto" w:fill="CCCCCC"/>
          </w:tcPr>
          <w:p>
            <w:pPr>
              <w:spacing w:after="0"/>
              <w:rPr>
                <w:sz w:val="5"/>
                <w:szCs w:val="5"/>
                <w:color w:val="auto"/>
              </w:rPr>
            </w:pPr>
          </w:p>
        </w:tc>
        <w:tc>
          <w:tcPr>
            <w:tcW w:w="200" w:type="dxa"/>
            <w:vAlign w:val="bottom"/>
            <w:tcBorders>
              <w:top w:val="single" w:sz="8" w:color="CCCCCC"/>
            </w:tcBorders>
            <w:shd w:val="clear" w:color="auto" w:fill="CCCCCC"/>
          </w:tcPr>
          <w:p>
            <w:pPr>
              <w:spacing w:after="0"/>
              <w:rPr>
                <w:sz w:val="5"/>
                <w:szCs w:val="5"/>
                <w:color w:val="auto"/>
              </w:rPr>
            </w:pPr>
          </w:p>
        </w:tc>
        <w:tc>
          <w:tcPr>
            <w:tcW w:w="2540" w:type="dxa"/>
            <w:vAlign w:val="bottom"/>
            <w:tcBorders>
              <w:top w:val="single" w:sz="8" w:color="CCCCCC"/>
            </w:tcBorders>
            <w:shd w:val="clear" w:color="auto" w:fill="CCCCCC"/>
          </w:tcPr>
          <w:p>
            <w:pPr>
              <w:spacing w:after="0"/>
              <w:rPr>
                <w:sz w:val="5"/>
                <w:szCs w:val="5"/>
                <w:color w:val="auto"/>
              </w:rPr>
            </w:pPr>
          </w:p>
        </w:tc>
        <w:tc>
          <w:tcPr>
            <w:tcW w:w="200" w:type="dxa"/>
            <w:vAlign w:val="bottom"/>
            <w:tcBorders>
              <w:top w:val="single" w:sz="8" w:color="0000EE"/>
            </w:tcBorders>
            <w:shd w:val="clear" w:color="auto" w:fill="CCCCCC"/>
          </w:tcPr>
          <w:p>
            <w:pPr>
              <w:spacing w:after="0"/>
              <w:rPr>
                <w:sz w:val="5"/>
                <w:szCs w:val="5"/>
                <w:color w:val="auto"/>
              </w:rPr>
            </w:pPr>
          </w:p>
        </w:tc>
        <w:tc>
          <w:tcPr>
            <w:tcW w:w="240" w:type="dxa"/>
            <w:vAlign w:val="bottom"/>
            <w:tcBorders>
              <w:top w:val="single" w:sz="8" w:color="CCCCCC"/>
            </w:tcBorders>
            <w:shd w:val="clear" w:color="auto" w:fill="CCCCCC"/>
          </w:tcPr>
          <w:p>
            <w:pPr>
              <w:spacing w:after="0"/>
              <w:rPr>
                <w:sz w:val="5"/>
                <w:szCs w:val="5"/>
                <w:color w:val="auto"/>
              </w:rPr>
            </w:pPr>
          </w:p>
        </w:tc>
        <w:tc>
          <w:tcPr>
            <w:tcW w:w="2060" w:type="dxa"/>
            <w:vAlign w:val="bottom"/>
            <w:tcBorders>
              <w:top w:val="single" w:sz="8" w:color="CCCCCC"/>
            </w:tcBorders>
            <w:shd w:val="clear" w:color="auto" w:fill="CCCCCC"/>
          </w:tcPr>
          <w:p>
            <w:pPr>
              <w:spacing w:after="0"/>
              <w:rPr>
                <w:sz w:val="5"/>
                <w:szCs w:val="5"/>
                <w:color w:val="auto"/>
              </w:rPr>
            </w:pPr>
          </w:p>
        </w:tc>
        <w:tc>
          <w:tcPr>
            <w:tcW w:w="600" w:type="dxa"/>
            <w:vAlign w:val="bottom"/>
          </w:tcPr>
          <w:p>
            <w:pPr>
              <w:spacing w:after="0"/>
              <w:rPr>
                <w:sz w:val="5"/>
                <w:szCs w:val="5"/>
                <w:color w:val="auto"/>
              </w:rPr>
            </w:pPr>
          </w:p>
        </w:tc>
      </w:tr>
      <w:tr>
        <w:trPr>
          <w:trHeight w:val="238"/>
        </w:trPr>
        <w:tc>
          <w:tcPr>
            <w:tcW w:w="580" w:type="dxa"/>
            <w:vAlign w:val="bottom"/>
          </w:tcPr>
          <w:p>
            <w:pPr>
              <w:spacing w:after="0"/>
              <w:rPr>
                <w:sz w:val="20"/>
                <w:szCs w:val="20"/>
                <w:color w:val="auto"/>
              </w:rPr>
            </w:pPr>
          </w:p>
        </w:tc>
        <w:tc>
          <w:tcPr>
            <w:tcW w:w="7780" w:type="dxa"/>
            <w:vAlign w:val="bottom"/>
            <w:gridSpan w:val="11"/>
          </w:tcPr>
          <w:p>
            <w:pPr>
              <w:ind w:left="100"/>
              <w:spacing w:after="0"/>
              <w:rPr>
                <w:sz w:val="20"/>
                <w:szCs w:val="20"/>
                <w:color w:val="auto"/>
              </w:rPr>
            </w:pPr>
            <w:r>
              <w:rPr>
                <w:rFonts w:ascii="Arial" w:cs="Arial" w:eastAsia="Arial" w:hAnsi="Arial"/>
                <w:sz w:val="18"/>
                <w:szCs w:val="18"/>
                <w:color w:val="auto"/>
              </w:rPr>
              <w:t>No. 4: Advisory Vote on the Frequency of Advisory Votes on the Compensation of our Named</w:t>
            </w:r>
          </w:p>
        </w:tc>
        <w:tc>
          <w:tcPr>
            <w:tcW w:w="26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EVERY ONE (1)</w:t>
            </w:r>
          </w:p>
        </w:tc>
      </w:tr>
      <w:tr>
        <w:trPr>
          <w:trHeight w:val="194"/>
        </w:trPr>
        <w:tc>
          <w:tcPr>
            <w:tcW w:w="580" w:type="dxa"/>
            <w:vAlign w:val="bottom"/>
          </w:tcPr>
          <w:p>
            <w:pPr>
              <w:spacing w:after="0"/>
              <w:rPr>
                <w:sz w:val="16"/>
                <w:szCs w:val="16"/>
                <w:color w:val="auto"/>
              </w:rPr>
            </w:pPr>
          </w:p>
        </w:tc>
        <w:tc>
          <w:tcPr>
            <w:tcW w:w="7780" w:type="dxa"/>
            <w:vAlign w:val="bottom"/>
            <w:gridSpan w:val="11"/>
          </w:tcPr>
          <w:p>
            <w:pPr>
              <w:ind w:left="100"/>
              <w:spacing w:after="0" w:line="195" w:lineRule="exact"/>
              <w:rPr>
                <w:sz w:val="20"/>
                <w:szCs w:val="20"/>
                <w:color w:val="auto"/>
              </w:rPr>
            </w:pPr>
            <w:r>
              <w:rPr>
                <w:rFonts w:ascii="Arial" w:cs="Arial" w:eastAsia="Arial" w:hAnsi="Arial"/>
                <w:sz w:val="18"/>
                <w:szCs w:val="18"/>
                <w:color w:val="auto"/>
              </w:rPr>
              <w:t xml:space="preserve">Executive Officers (page </w:t>
            </w:r>
            <w:r>
              <w:rPr>
                <w:rFonts w:ascii="Arial" w:cs="Arial" w:eastAsia="Arial" w:hAnsi="Arial"/>
                <w:sz w:val="18"/>
                <w:szCs w:val="18"/>
                <w:color w:val="0000EE"/>
              </w:rPr>
              <w:t>49</w:t>
            </w:r>
            <w:r>
              <w:rPr>
                <w:rFonts w:ascii="Arial" w:cs="Arial" w:eastAsia="Arial" w:hAnsi="Arial"/>
                <w:sz w:val="18"/>
                <w:szCs w:val="18"/>
                <w:color w:val="auto"/>
              </w:rPr>
              <w:t>)</w:t>
            </w:r>
          </w:p>
        </w:tc>
        <w:tc>
          <w:tcPr>
            <w:tcW w:w="2660" w:type="dxa"/>
            <w:vAlign w:val="bottom"/>
            <w:gridSpan w:val="2"/>
          </w:tcPr>
          <w:p>
            <w:pPr>
              <w:jc w:val="center"/>
              <w:ind w:right="500"/>
              <w:spacing w:after="0" w:line="195" w:lineRule="exact"/>
              <w:rPr>
                <w:sz w:val="20"/>
                <w:szCs w:val="20"/>
                <w:color w:val="auto"/>
              </w:rPr>
            </w:pPr>
            <w:r>
              <w:rPr>
                <w:rFonts w:ascii="Arial" w:cs="Arial" w:eastAsia="Arial" w:hAnsi="Arial"/>
                <w:sz w:val="18"/>
                <w:szCs w:val="18"/>
                <w:color w:val="auto"/>
                <w:w w:val="97"/>
              </w:rPr>
              <w:t>YEAR</w:t>
            </w:r>
          </w:p>
        </w:tc>
      </w:tr>
      <w:tr>
        <w:trPr>
          <w:trHeight w:val="34"/>
        </w:trPr>
        <w:tc>
          <w:tcPr>
            <w:tcW w:w="5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537"/>
        </w:trPr>
        <w:tc>
          <w:tcPr>
            <w:tcW w:w="7920" w:type="dxa"/>
            <w:vAlign w:val="bottom"/>
            <w:gridSpan w:val="10"/>
          </w:tcPr>
          <w:p>
            <w:pPr>
              <w:jc w:val="right"/>
              <w:ind w:right="23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9"/>
        </w:trPr>
        <w:tc>
          <w:tcPr>
            <w:tcW w:w="5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Could other matters be decided at the Meeting?</w:t>
      </w:r>
    </w:p>
    <w:p>
      <w:pPr>
        <w:spacing w:after="0" w:line="139"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Board is not aware of any other matters to be brought before the Meeting. However, if any other matters properly come before the Meeting, the individuals named as proxies, or their duly constituted substitutes acting at the Meeting, will be authorized to vote or otherwise act thereon in accordance with their judgment on such matters.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do I have?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 will have one vote for every share of Common Stock you owned as of the close of business on the Record Date.</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can be cast by all shareholders?</w:t>
      </w:r>
    </w:p>
    <w:p>
      <w:pPr>
        <w:spacing w:after="0" w:line="139"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39,760,657 votes, consisting of one vote for each share of Common Stock outstanding on the Record Date. There is no cumulative voting, and the holders of the Common Stock vote together as a single class.</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must be present to hold the Meeting?</w:t>
      </w:r>
    </w:p>
    <w:p>
      <w:pPr>
        <w:spacing w:after="0" w:line="139"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One-third of the outstanding shares of Common Stock entitled to vote at the Meeting, or 13,253,553 votes, must be present, in person or by proxy, to constitute a quorum at the Meeting. Abstentions and broker non-votes, if any, will be counted for the purpose of determining whether a quorum is present.</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are required to elect directors and adopt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57785</wp:posOffset>
            </wp:positionV>
            <wp:extent cx="6240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80" w:type="dxa"/>
            <w:vAlign w:val="bottom"/>
          </w:tcPr>
          <w:p>
            <w:pPr>
              <w:ind w:left="100"/>
              <w:spacing w:after="0"/>
              <w:rPr>
                <w:sz w:val="20"/>
                <w:szCs w:val="20"/>
                <w:color w:val="auto"/>
              </w:rPr>
            </w:pPr>
            <w:r>
              <w:rPr>
                <w:rFonts w:ascii="Arial" w:cs="Arial" w:eastAsia="Arial" w:hAnsi="Arial"/>
                <w:sz w:val="18"/>
                <w:szCs w:val="18"/>
                <w:b w:val="1"/>
                <w:bCs w:val="1"/>
                <w:color w:val="auto"/>
              </w:rPr>
              <w:t>Proposal</w:t>
            </w:r>
          </w:p>
        </w:tc>
        <w:tc>
          <w:tcPr>
            <w:tcW w:w="3400" w:type="dxa"/>
            <w:vAlign w:val="bottom"/>
          </w:tcPr>
          <w:p>
            <w:pPr>
              <w:ind w:left="200"/>
              <w:spacing w:after="0"/>
              <w:rPr>
                <w:sz w:val="20"/>
                <w:szCs w:val="20"/>
                <w:color w:val="auto"/>
              </w:rPr>
            </w:pPr>
            <w:r>
              <w:rPr>
                <w:rFonts w:ascii="Arial" w:cs="Arial" w:eastAsia="Arial" w:hAnsi="Arial"/>
                <w:sz w:val="18"/>
                <w:szCs w:val="18"/>
                <w:b w:val="1"/>
                <w:bCs w:val="1"/>
                <w:color w:val="auto"/>
              </w:rPr>
              <w:t>Vote Requirement</w:t>
            </w:r>
          </w:p>
        </w:tc>
        <w:tc>
          <w:tcPr>
            <w:tcW w:w="3260" w:type="dxa"/>
            <w:vAlign w:val="bottom"/>
          </w:tcPr>
          <w:p>
            <w:pPr>
              <w:ind w:left="120"/>
              <w:spacing w:after="0"/>
              <w:rPr>
                <w:sz w:val="20"/>
                <w:szCs w:val="20"/>
                <w:color w:val="auto"/>
              </w:rPr>
            </w:pPr>
            <w:r>
              <w:rPr>
                <w:rFonts w:ascii="Arial" w:cs="Arial" w:eastAsia="Arial" w:hAnsi="Arial"/>
                <w:sz w:val="18"/>
                <w:szCs w:val="18"/>
                <w:b w:val="1"/>
                <w:bCs w:val="1"/>
                <w:color w:val="auto"/>
              </w:rPr>
              <w:t>Impact of Abstentions</w:t>
            </w:r>
          </w:p>
        </w:tc>
      </w:tr>
      <w:tr>
        <w:trPr>
          <w:trHeight w:val="42"/>
        </w:trPr>
        <w:tc>
          <w:tcPr>
            <w:tcW w:w="318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r>
      <w:tr>
        <w:trPr>
          <w:trHeight w:val="245"/>
        </w:trPr>
        <w:tc>
          <w:tcPr>
            <w:tcW w:w="3180" w:type="dxa"/>
            <w:vAlign w:val="bottom"/>
            <w:shd w:val="clear" w:color="auto" w:fill="CCCCCC"/>
          </w:tcPr>
          <w:p>
            <w:pPr>
              <w:ind w:left="100"/>
              <w:spacing w:after="0"/>
              <w:rPr>
                <w:sz w:val="20"/>
                <w:szCs w:val="20"/>
                <w:color w:val="auto"/>
              </w:rPr>
            </w:pPr>
            <w:r>
              <w:rPr>
                <w:rFonts w:ascii="Arial" w:cs="Arial" w:eastAsia="Arial" w:hAnsi="Arial"/>
                <w:sz w:val="18"/>
                <w:szCs w:val="18"/>
                <w:color w:val="auto"/>
              </w:rPr>
              <w:t>No. 1: Election of Directors</w:t>
            </w:r>
          </w:p>
        </w:tc>
        <w:tc>
          <w:tcPr>
            <w:tcW w:w="3400" w:type="dxa"/>
            <w:vAlign w:val="bottom"/>
            <w:shd w:val="clear" w:color="auto" w:fill="CCCCCC"/>
          </w:tcPr>
          <w:p>
            <w:pPr>
              <w:ind w:left="200"/>
              <w:spacing w:after="0"/>
              <w:rPr>
                <w:sz w:val="20"/>
                <w:szCs w:val="20"/>
                <w:color w:val="auto"/>
              </w:rPr>
            </w:pPr>
            <w:r>
              <w:rPr>
                <w:rFonts w:ascii="Arial" w:cs="Arial" w:eastAsia="Arial" w:hAnsi="Arial"/>
                <w:sz w:val="18"/>
                <w:szCs w:val="18"/>
                <w:color w:val="auto"/>
              </w:rPr>
              <w:t>•   Uncontested  Election  (applies  to</w:t>
            </w:r>
          </w:p>
        </w:tc>
        <w:tc>
          <w:tcPr>
            <w:tcW w:w="3260" w:type="dxa"/>
            <w:vAlign w:val="bottom"/>
            <w:shd w:val="clear" w:color="auto" w:fill="CCCCCC"/>
          </w:tcPr>
          <w:p>
            <w:pPr>
              <w:ind w:left="120"/>
              <w:spacing w:after="0"/>
              <w:rPr>
                <w:sz w:val="20"/>
                <w:szCs w:val="20"/>
                <w:color w:val="auto"/>
              </w:rPr>
            </w:pPr>
            <w:r>
              <w:rPr>
                <w:rFonts w:ascii="Arial" w:cs="Arial" w:eastAsia="Arial" w:hAnsi="Arial"/>
                <w:sz w:val="18"/>
                <w:szCs w:val="18"/>
                <w:color w:val="auto"/>
              </w:rPr>
              <w:t>Will have no effect on the outcome</w:t>
            </w:r>
          </w:p>
        </w:tc>
      </w:tr>
      <w:tr>
        <w:trPr>
          <w:trHeight w:val="203"/>
        </w:trPr>
        <w:tc>
          <w:tcPr>
            <w:tcW w:w="3180" w:type="dxa"/>
            <w:vAlign w:val="bottom"/>
            <w:shd w:val="clear" w:color="auto" w:fill="CCCCCC"/>
          </w:tcPr>
          <w:p>
            <w:pPr>
              <w:spacing w:after="0"/>
              <w:rPr>
                <w:sz w:val="17"/>
                <w:szCs w:val="17"/>
                <w:color w:val="auto"/>
              </w:rPr>
            </w:pPr>
          </w:p>
        </w:tc>
        <w:tc>
          <w:tcPr>
            <w:tcW w:w="3400" w:type="dxa"/>
            <w:vAlign w:val="bottom"/>
            <w:shd w:val="clear" w:color="auto" w:fill="CCCCCC"/>
          </w:tcPr>
          <w:p>
            <w:pPr>
              <w:jc w:val="right"/>
              <w:ind w:right="10"/>
              <w:spacing w:after="0" w:line="202" w:lineRule="exact"/>
              <w:rPr>
                <w:sz w:val="20"/>
                <w:szCs w:val="20"/>
                <w:color w:val="auto"/>
              </w:rPr>
            </w:pPr>
            <w:r>
              <w:rPr>
                <w:rFonts w:ascii="Arial" w:cs="Arial" w:eastAsia="Arial" w:hAnsi="Arial"/>
                <w:sz w:val="18"/>
                <w:szCs w:val="18"/>
                <w:color w:val="auto"/>
              </w:rPr>
              <w:t>the Meeting): Directors are elected</w:t>
            </w:r>
          </w:p>
        </w:tc>
        <w:tc>
          <w:tcPr>
            <w:tcW w:w="3260" w:type="dxa"/>
            <w:vAlign w:val="bottom"/>
            <w:shd w:val="clear" w:color="auto" w:fill="CCCCCC"/>
          </w:tcPr>
          <w:p>
            <w:pPr>
              <w:spacing w:after="0"/>
              <w:rPr>
                <w:sz w:val="17"/>
                <w:szCs w:val="17"/>
                <w:color w:val="auto"/>
              </w:rPr>
            </w:pPr>
          </w:p>
        </w:tc>
      </w:tr>
      <w:tr>
        <w:trPr>
          <w:trHeight w:val="203"/>
        </w:trPr>
        <w:tc>
          <w:tcPr>
            <w:tcW w:w="3180" w:type="dxa"/>
            <w:vAlign w:val="bottom"/>
            <w:shd w:val="clear" w:color="auto" w:fill="CCCCCC"/>
          </w:tcPr>
          <w:p>
            <w:pPr>
              <w:spacing w:after="0"/>
              <w:rPr>
                <w:sz w:val="17"/>
                <w:szCs w:val="17"/>
                <w:color w:val="auto"/>
              </w:rPr>
            </w:pPr>
          </w:p>
        </w:tc>
        <w:tc>
          <w:tcPr>
            <w:tcW w:w="3400" w:type="dxa"/>
            <w:vAlign w:val="bottom"/>
            <w:shd w:val="clear" w:color="auto" w:fill="CCCCCC"/>
          </w:tcPr>
          <w:p>
            <w:pPr>
              <w:jc w:val="right"/>
              <w:ind w:right="10"/>
              <w:spacing w:after="0" w:line="202" w:lineRule="exact"/>
              <w:rPr>
                <w:sz w:val="20"/>
                <w:szCs w:val="20"/>
                <w:color w:val="auto"/>
              </w:rPr>
            </w:pPr>
            <w:r>
              <w:rPr>
                <w:rFonts w:ascii="Arial" w:cs="Arial" w:eastAsia="Arial" w:hAnsi="Arial"/>
                <w:sz w:val="18"/>
                <w:szCs w:val="18"/>
                <w:color w:val="auto"/>
              </w:rPr>
              <w:t>by a majority of votes cast (number</w:t>
            </w:r>
          </w:p>
        </w:tc>
        <w:tc>
          <w:tcPr>
            <w:tcW w:w="3260" w:type="dxa"/>
            <w:vAlign w:val="bottom"/>
            <w:shd w:val="clear" w:color="auto" w:fill="CCCCCC"/>
          </w:tcPr>
          <w:p>
            <w:pPr>
              <w:spacing w:after="0"/>
              <w:rPr>
                <w:sz w:val="17"/>
                <w:szCs w:val="17"/>
                <w:color w:val="auto"/>
              </w:rPr>
            </w:pPr>
          </w:p>
        </w:tc>
      </w:tr>
      <w:tr>
        <w:trPr>
          <w:trHeight w:val="203"/>
        </w:trPr>
        <w:tc>
          <w:tcPr>
            <w:tcW w:w="3180" w:type="dxa"/>
            <w:vAlign w:val="bottom"/>
            <w:shd w:val="clear" w:color="auto" w:fill="CCCCCC"/>
          </w:tcPr>
          <w:p>
            <w:pPr>
              <w:spacing w:after="0"/>
              <w:rPr>
                <w:sz w:val="17"/>
                <w:szCs w:val="17"/>
                <w:color w:val="auto"/>
              </w:rPr>
            </w:pPr>
          </w:p>
        </w:tc>
        <w:tc>
          <w:tcPr>
            <w:tcW w:w="3400" w:type="dxa"/>
            <w:vAlign w:val="bottom"/>
            <w:shd w:val="clear" w:color="auto" w:fill="CCCCCC"/>
          </w:tcPr>
          <w:p>
            <w:pPr>
              <w:jc w:val="right"/>
              <w:ind w:right="10"/>
              <w:spacing w:after="0" w:line="202" w:lineRule="exact"/>
              <w:rPr>
                <w:sz w:val="20"/>
                <w:szCs w:val="20"/>
                <w:color w:val="auto"/>
              </w:rPr>
            </w:pPr>
            <w:r>
              <w:rPr>
                <w:rFonts w:ascii="Arial" w:cs="Arial" w:eastAsia="Arial" w:hAnsi="Arial"/>
                <w:sz w:val="18"/>
                <w:szCs w:val="18"/>
                <w:color w:val="auto"/>
              </w:rPr>
              <w:t>of votes cast “for” each nominee</w:t>
            </w:r>
          </w:p>
        </w:tc>
        <w:tc>
          <w:tcPr>
            <w:tcW w:w="3260" w:type="dxa"/>
            <w:vAlign w:val="bottom"/>
            <w:shd w:val="clear" w:color="auto" w:fill="CCCCCC"/>
          </w:tcPr>
          <w:p>
            <w:pPr>
              <w:spacing w:after="0"/>
              <w:rPr>
                <w:sz w:val="17"/>
                <w:szCs w:val="17"/>
                <w:color w:val="auto"/>
              </w:rPr>
            </w:pPr>
          </w:p>
        </w:tc>
      </w:tr>
      <w:tr>
        <w:trPr>
          <w:trHeight w:val="202"/>
        </w:trPr>
        <w:tc>
          <w:tcPr>
            <w:tcW w:w="3180" w:type="dxa"/>
            <w:vAlign w:val="bottom"/>
            <w:shd w:val="clear" w:color="auto" w:fill="CCCCCC"/>
          </w:tcPr>
          <w:p>
            <w:pPr>
              <w:spacing w:after="0"/>
              <w:rPr>
                <w:sz w:val="17"/>
                <w:szCs w:val="17"/>
                <w:color w:val="auto"/>
              </w:rPr>
            </w:pPr>
          </w:p>
        </w:tc>
        <w:tc>
          <w:tcPr>
            <w:tcW w:w="3400" w:type="dxa"/>
            <w:vAlign w:val="bottom"/>
            <w:shd w:val="clear" w:color="auto" w:fill="CCCCCC"/>
          </w:tcPr>
          <w:p>
            <w:pPr>
              <w:jc w:val="right"/>
              <w:ind w:right="10"/>
              <w:spacing w:after="0" w:line="202" w:lineRule="exact"/>
              <w:rPr>
                <w:sz w:val="20"/>
                <w:szCs w:val="20"/>
                <w:color w:val="auto"/>
              </w:rPr>
            </w:pPr>
            <w:r>
              <w:rPr>
                <w:rFonts w:ascii="Arial" w:cs="Arial" w:eastAsia="Arial" w:hAnsi="Arial"/>
                <w:sz w:val="18"/>
                <w:szCs w:val="18"/>
                <w:color w:val="auto"/>
              </w:rPr>
              <w:t>must exceed the number of votes</w:t>
            </w:r>
          </w:p>
        </w:tc>
        <w:tc>
          <w:tcPr>
            <w:tcW w:w="3260" w:type="dxa"/>
            <w:vAlign w:val="bottom"/>
            <w:shd w:val="clear" w:color="auto" w:fill="CCCCCC"/>
          </w:tcPr>
          <w:p>
            <w:pPr>
              <w:spacing w:after="0"/>
              <w:rPr>
                <w:sz w:val="17"/>
                <w:szCs w:val="17"/>
                <w:color w:val="auto"/>
              </w:rPr>
            </w:pPr>
          </w:p>
        </w:tc>
      </w:tr>
      <w:tr>
        <w:trPr>
          <w:trHeight w:val="239"/>
        </w:trPr>
        <w:tc>
          <w:tcPr>
            <w:tcW w:w="3180" w:type="dxa"/>
            <w:vAlign w:val="bottom"/>
            <w:shd w:val="clear" w:color="auto" w:fill="CCCCCC"/>
          </w:tcPr>
          <w:p>
            <w:pPr>
              <w:spacing w:after="0"/>
              <w:rPr>
                <w:sz w:val="20"/>
                <w:szCs w:val="20"/>
                <w:color w:val="auto"/>
              </w:rPr>
            </w:pPr>
          </w:p>
        </w:tc>
        <w:tc>
          <w:tcPr>
            <w:tcW w:w="3400" w:type="dxa"/>
            <w:vAlign w:val="bottom"/>
            <w:shd w:val="clear" w:color="auto" w:fill="CCCCCC"/>
          </w:tcPr>
          <w:p>
            <w:pPr>
              <w:ind w:left="460"/>
              <w:spacing w:after="0"/>
              <w:rPr>
                <w:sz w:val="20"/>
                <w:szCs w:val="20"/>
                <w:color w:val="auto"/>
              </w:rPr>
            </w:pPr>
            <w:r>
              <w:rPr>
                <w:rFonts w:ascii="Arial" w:cs="Arial" w:eastAsia="Arial" w:hAnsi="Arial"/>
                <w:sz w:val="18"/>
                <w:szCs w:val="18"/>
                <w:color w:val="auto"/>
              </w:rPr>
              <w:t>cast “against” that nominee)</w:t>
            </w:r>
          </w:p>
        </w:tc>
        <w:tc>
          <w:tcPr>
            <w:tcW w:w="3260" w:type="dxa"/>
            <w:vAlign w:val="bottom"/>
            <w:shd w:val="clear" w:color="auto" w:fill="CCCCCC"/>
          </w:tcPr>
          <w:p>
            <w:pPr>
              <w:spacing w:after="0"/>
              <w:rPr>
                <w:sz w:val="20"/>
                <w:szCs w:val="20"/>
                <w:color w:val="auto"/>
              </w:rPr>
            </w:pPr>
          </w:p>
        </w:tc>
      </w:tr>
      <w:tr>
        <w:trPr>
          <w:trHeight w:val="274"/>
        </w:trPr>
        <w:tc>
          <w:tcPr>
            <w:tcW w:w="3180" w:type="dxa"/>
            <w:vAlign w:val="bottom"/>
            <w:shd w:val="clear" w:color="auto" w:fill="CCCCCC"/>
          </w:tcPr>
          <w:p>
            <w:pPr>
              <w:spacing w:after="0"/>
              <w:rPr>
                <w:sz w:val="23"/>
                <w:szCs w:val="23"/>
                <w:color w:val="auto"/>
              </w:rPr>
            </w:pPr>
          </w:p>
        </w:tc>
        <w:tc>
          <w:tcPr>
            <w:tcW w:w="340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•   Contested Election: Directors are</w:t>
            </w:r>
          </w:p>
        </w:tc>
        <w:tc>
          <w:tcPr>
            <w:tcW w:w="3260" w:type="dxa"/>
            <w:vAlign w:val="bottom"/>
            <w:shd w:val="clear" w:color="auto" w:fill="CCCCCC"/>
          </w:tcPr>
          <w:p>
            <w:pPr>
              <w:spacing w:after="0"/>
              <w:rPr>
                <w:sz w:val="23"/>
                <w:szCs w:val="23"/>
                <w:color w:val="auto"/>
              </w:rPr>
            </w:pPr>
          </w:p>
        </w:tc>
      </w:tr>
      <w:tr>
        <w:trPr>
          <w:trHeight w:val="203"/>
        </w:trPr>
        <w:tc>
          <w:tcPr>
            <w:tcW w:w="3180" w:type="dxa"/>
            <w:vAlign w:val="bottom"/>
            <w:shd w:val="clear" w:color="auto" w:fill="CCCCCC"/>
          </w:tcPr>
          <w:p>
            <w:pPr>
              <w:spacing w:after="0"/>
              <w:rPr>
                <w:sz w:val="17"/>
                <w:szCs w:val="17"/>
                <w:color w:val="auto"/>
              </w:rPr>
            </w:pPr>
          </w:p>
        </w:tc>
        <w:tc>
          <w:tcPr>
            <w:tcW w:w="3400" w:type="dxa"/>
            <w:vAlign w:val="bottom"/>
            <w:shd w:val="clear" w:color="auto" w:fill="CCCCCC"/>
          </w:tcPr>
          <w:p>
            <w:pPr>
              <w:jc w:val="right"/>
              <w:ind w:right="30"/>
              <w:spacing w:after="0" w:line="202" w:lineRule="exact"/>
              <w:rPr>
                <w:sz w:val="20"/>
                <w:szCs w:val="20"/>
                <w:color w:val="auto"/>
              </w:rPr>
            </w:pPr>
            <w:r>
              <w:rPr>
                <w:rFonts w:ascii="Arial" w:cs="Arial" w:eastAsia="Arial" w:hAnsi="Arial"/>
                <w:sz w:val="18"/>
                <w:szCs w:val="18"/>
                <w:color w:val="auto"/>
              </w:rPr>
              <w:t>elected  by  a  plurality  of  shares</w:t>
            </w:r>
          </w:p>
        </w:tc>
        <w:tc>
          <w:tcPr>
            <w:tcW w:w="3260" w:type="dxa"/>
            <w:vAlign w:val="bottom"/>
            <w:shd w:val="clear" w:color="auto" w:fill="CCCCCC"/>
          </w:tcPr>
          <w:p>
            <w:pPr>
              <w:spacing w:after="0"/>
              <w:rPr>
                <w:sz w:val="17"/>
                <w:szCs w:val="17"/>
                <w:color w:val="auto"/>
              </w:rPr>
            </w:pPr>
          </w:p>
        </w:tc>
      </w:tr>
      <w:tr>
        <w:trPr>
          <w:trHeight w:val="202"/>
        </w:trPr>
        <w:tc>
          <w:tcPr>
            <w:tcW w:w="3180" w:type="dxa"/>
            <w:vAlign w:val="bottom"/>
            <w:shd w:val="clear" w:color="auto" w:fill="CCCCCC"/>
          </w:tcPr>
          <w:p>
            <w:pPr>
              <w:spacing w:after="0"/>
              <w:rPr>
                <w:sz w:val="17"/>
                <w:szCs w:val="17"/>
                <w:color w:val="auto"/>
              </w:rPr>
            </w:pPr>
          </w:p>
        </w:tc>
        <w:tc>
          <w:tcPr>
            <w:tcW w:w="3400" w:type="dxa"/>
            <w:vAlign w:val="bottom"/>
            <w:shd w:val="clear" w:color="auto" w:fill="CCCCCC"/>
          </w:tcPr>
          <w:p>
            <w:pPr>
              <w:jc w:val="right"/>
              <w:ind w:right="30"/>
              <w:spacing w:after="0" w:line="202" w:lineRule="exact"/>
              <w:rPr>
                <w:sz w:val="20"/>
                <w:szCs w:val="20"/>
                <w:color w:val="auto"/>
              </w:rPr>
            </w:pPr>
            <w:r>
              <w:rPr>
                <w:rFonts w:ascii="Arial" w:cs="Arial" w:eastAsia="Arial" w:hAnsi="Arial"/>
                <w:sz w:val="18"/>
                <w:szCs w:val="18"/>
                <w:color w:val="auto"/>
              </w:rPr>
              <w:t>present, in person or by proxy, and</w:t>
            </w:r>
          </w:p>
        </w:tc>
        <w:tc>
          <w:tcPr>
            <w:tcW w:w="3260" w:type="dxa"/>
            <w:vAlign w:val="bottom"/>
            <w:shd w:val="clear" w:color="auto" w:fill="CCCCCC"/>
          </w:tcPr>
          <w:p>
            <w:pPr>
              <w:spacing w:after="0"/>
              <w:rPr>
                <w:sz w:val="17"/>
                <w:szCs w:val="17"/>
                <w:color w:val="auto"/>
              </w:rPr>
            </w:pPr>
          </w:p>
        </w:tc>
      </w:tr>
      <w:tr>
        <w:trPr>
          <w:trHeight w:val="294"/>
        </w:trPr>
        <w:tc>
          <w:tcPr>
            <w:tcW w:w="3180" w:type="dxa"/>
            <w:vAlign w:val="bottom"/>
            <w:tcBorders>
              <w:bottom w:val="single" w:sz="8" w:color="CCCCCC"/>
            </w:tcBorders>
            <w:shd w:val="clear" w:color="auto" w:fill="CCCCCC"/>
          </w:tcPr>
          <w:p>
            <w:pPr>
              <w:spacing w:after="0"/>
              <w:rPr>
                <w:sz w:val="24"/>
                <w:szCs w:val="24"/>
                <w:color w:val="auto"/>
              </w:rPr>
            </w:pPr>
          </w:p>
        </w:tc>
        <w:tc>
          <w:tcPr>
            <w:tcW w:w="3400" w:type="dxa"/>
            <w:vAlign w:val="bottom"/>
            <w:tcBorders>
              <w:bottom w:val="single" w:sz="8" w:color="CCCCCC"/>
            </w:tcBorders>
            <w:shd w:val="clear" w:color="auto" w:fill="CCCCCC"/>
          </w:tcPr>
          <w:p>
            <w:pPr>
              <w:ind w:left="460"/>
              <w:spacing w:after="0"/>
              <w:rPr>
                <w:sz w:val="20"/>
                <w:szCs w:val="20"/>
                <w:color w:val="auto"/>
              </w:rPr>
            </w:pPr>
            <w:r>
              <w:rPr>
                <w:rFonts w:ascii="Arial" w:cs="Arial" w:eastAsia="Arial" w:hAnsi="Arial"/>
                <w:sz w:val="18"/>
                <w:szCs w:val="18"/>
                <w:color w:val="auto"/>
              </w:rPr>
              <w:t>entitled to vote</w:t>
            </w:r>
          </w:p>
        </w:tc>
        <w:tc>
          <w:tcPr>
            <w:tcW w:w="3260" w:type="dxa"/>
            <w:vAlign w:val="bottom"/>
            <w:tcBorders>
              <w:bottom w:val="single" w:sz="8" w:color="CCCCCC"/>
            </w:tcBorders>
            <w:shd w:val="clear" w:color="auto" w:fill="CCCCCC"/>
          </w:tcPr>
          <w:p>
            <w:pPr>
              <w:spacing w:after="0"/>
              <w:rPr>
                <w:sz w:val="24"/>
                <w:szCs w:val="24"/>
                <w:color w:val="auto"/>
              </w:rPr>
            </w:pPr>
          </w:p>
        </w:tc>
      </w:tr>
      <w:tr>
        <w:trPr>
          <w:trHeight w:val="245"/>
        </w:trPr>
        <w:tc>
          <w:tcPr>
            <w:tcW w:w="31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No. 2: Ratification of Appointment of</w:t>
            </w:r>
          </w:p>
        </w:tc>
        <w:tc>
          <w:tcPr>
            <w:tcW w:w="3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Majority of shares present, in person</w:t>
            </w:r>
          </w:p>
        </w:tc>
        <w:tc>
          <w:tcPr>
            <w:tcW w:w="32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Counted and will have the same effect</w:t>
            </w:r>
          </w:p>
        </w:tc>
      </w:tr>
      <w:tr>
        <w:trPr>
          <w:trHeight w:val="239"/>
        </w:trPr>
        <w:tc>
          <w:tcPr>
            <w:tcW w:w="3180" w:type="dxa"/>
            <w:vAlign w:val="bottom"/>
          </w:tcPr>
          <w:p>
            <w:pPr>
              <w:ind w:left="100"/>
              <w:spacing w:after="0"/>
              <w:rPr>
                <w:sz w:val="20"/>
                <w:szCs w:val="20"/>
                <w:color w:val="auto"/>
              </w:rPr>
            </w:pPr>
            <w:r>
              <w:rPr>
                <w:rFonts w:ascii="Arial" w:cs="Arial" w:eastAsia="Arial" w:hAnsi="Arial"/>
                <w:sz w:val="18"/>
                <w:szCs w:val="18"/>
                <w:color w:val="auto"/>
              </w:rPr>
              <w:t>Auditors</w:t>
            </w:r>
          </w:p>
        </w:tc>
        <w:tc>
          <w:tcPr>
            <w:tcW w:w="3400" w:type="dxa"/>
            <w:vAlign w:val="bottom"/>
          </w:tcPr>
          <w:p>
            <w:pPr>
              <w:ind w:left="200"/>
              <w:spacing w:after="0"/>
              <w:rPr>
                <w:sz w:val="20"/>
                <w:szCs w:val="20"/>
                <w:color w:val="auto"/>
              </w:rPr>
            </w:pPr>
            <w:r>
              <w:rPr>
                <w:rFonts w:ascii="Arial" w:cs="Arial" w:eastAsia="Arial" w:hAnsi="Arial"/>
                <w:sz w:val="18"/>
                <w:szCs w:val="18"/>
                <w:color w:val="auto"/>
              </w:rPr>
              <w:t>or by proxy, and entitled to vote</w:t>
            </w:r>
          </w:p>
        </w:tc>
        <w:tc>
          <w:tcPr>
            <w:tcW w:w="3260" w:type="dxa"/>
            <w:vAlign w:val="bottom"/>
          </w:tcPr>
          <w:p>
            <w:pPr>
              <w:ind w:left="120"/>
              <w:spacing w:after="0"/>
              <w:rPr>
                <w:sz w:val="20"/>
                <w:szCs w:val="20"/>
                <w:color w:val="auto"/>
              </w:rPr>
            </w:pPr>
            <w:r>
              <w:rPr>
                <w:rFonts w:ascii="Arial" w:cs="Arial" w:eastAsia="Arial" w:hAnsi="Arial"/>
                <w:sz w:val="18"/>
                <w:szCs w:val="18"/>
                <w:color w:val="auto"/>
              </w:rPr>
              <w:t>as a vote against such proposal</w:t>
            </w:r>
          </w:p>
        </w:tc>
      </w:tr>
      <w:tr>
        <w:trPr>
          <w:trHeight w:val="50"/>
        </w:trPr>
        <w:tc>
          <w:tcPr>
            <w:tcW w:w="318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r>
      <w:tr>
        <w:trPr>
          <w:trHeight w:val="245"/>
        </w:trPr>
        <w:tc>
          <w:tcPr>
            <w:tcW w:w="3180" w:type="dxa"/>
            <w:vAlign w:val="bottom"/>
            <w:shd w:val="clear" w:color="auto" w:fill="CCCCCC"/>
          </w:tcPr>
          <w:p>
            <w:pPr>
              <w:ind w:left="100"/>
              <w:spacing w:after="0"/>
              <w:rPr>
                <w:sz w:val="20"/>
                <w:szCs w:val="20"/>
                <w:color w:val="auto"/>
              </w:rPr>
            </w:pPr>
            <w:r>
              <w:rPr>
                <w:rFonts w:ascii="Arial" w:cs="Arial" w:eastAsia="Arial" w:hAnsi="Arial"/>
                <w:sz w:val="18"/>
                <w:szCs w:val="18"/>
                <w:color w:val="auto"/>
              </w:rPr>
              <w:t>No. 3: Advisory Approval of the</w:t>
            </w:r>
          </w:p>
        </w:tc>
        <w:tc>
          <w:tcPr>
            <w:tcW w:w="340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Majority of shares present, in person</w:t>
            </w:r>
          </w:p>
        </w:tc>
        <w:tc>
          <w:tcPr>
            <w:tcW w:w="3260" w:type="dxa"/>
            <w:vAlign w:val="bottom"/>
            <w:shd w:val="clear" w:color="auto" w:fill="CCCCCC"/>
          </w:tcPr>
          <w:p>
            <w:pPr>
              <w:ind w:left="120"/>
              <w:spacing w:after="0"/>
              <w:rPr>
                <w:sz w:val="20"/>
                <w:szCs w:val="20"/>
                <w:color w:val="auto"/>
              </w:rPr>
            </w:pPr>
            <w:r>
              <w:rPr>
                <w:rFonts w:ascii="Arial" w:cs="Arial" w:eastAsia="Arial" w:hAnsi="Arial"/>
                <w:sz w:val="18"/>
                <w:szCs w:val="18"/>
                <w:color w:val="auto"/>
              </w:rPr>
              <w:t>Counted and will have the same effect</w:t>
            </w:r>
          </w:p>
        </w:tc>
      </w:tr>
      <w:tr>
        <w:trPr>
          <w:trHeight w:val="203"/>
        </w:trPr>
        <w:tc>
          <w:tcPr>
            <w:tcW w:w="318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Compensation of our Named</w:t>
            </w:r>
          </w:p>
        </w:tc>
        <w:tc>
          <w:tcPr>
            <w:tcW w:w="3400" w:type="dxa"/>
            <w:vAlign w:val="bottom"/>
            <w:shd w:val="clear" w:color="auto" w:fill="CCCCCC"/>
          </w:tcPr>
          <w:p>
            <w:pPr>
              <w:ind w:left="200"/>
              <w:spacing w:after="0" w:line="202" w:lineRule="exact"/>
              <w:rPr>
                <w:sz w:val="20"/>
                <w:szCs w:val="20"/>
                <w:color w:val="auto"/>
              </w:rPr>
            </w:pPr>
            <w:r>
              <w:rPr>
                <w:rFonts w:ascii="Arial" w:cs="Arial" w:eastAsia="Arial" w:hAnsi="Arial"/>
                <w:sz w:val="18"/>
                <w:szCs w:val="18"/>
                <w:color w:val="auto"/>
              </w:rPr>
              <w:t>or by proxy, and entitled to vote</w:t>
            </w:r>
          </w:p>
        </w:tc>
        <w:tc>
          <w:tcPr>
            <w:tcW w:w="326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as a vote against such proposal</w:t>
            </w:r>
          </w:p>
        </w:tc>
      </w:tr>
      <w:tr>
        <w:trPr>
          <w:trHeight w:val="239"/>
        </w:trPr>
        <w:tc>
          <w:tcPr>
            <w:tcW w:w="3180" w:type="dxa"/>
            <w:vAlign w:val="bottom"/>
            <w:shd w:val="clear" w:color="auto" w:fill="CCCCCC"/>
          </w:tcPr>
          <w:p>
            <w:pPr>
              <w:ind w:left="100"/>
              <w:spacing w:after="0"/>
              <w:rPr>
                <w:sz w:val="20"/>
                <w:szCs w:val="20"/>
                <w:color w:val="auto"/>
              </w:rPr>
            </w:pPr>
            <w:r>
              <w:rPr>
                <w:rFonts w:ascii="Arial" w:cs="Arial" w:eastAsia="Arial" w:hAnsi="Arial"/>
                <w:sz w:val="18"/>
                <w:szCs w:val="18"/>
                <w:color w:val="auto"/>
              </w:rPr>
              <w:t>Executive Officers</w:t>
            </w:r>
          </w:p>
        </w:tc>
        <w:tc>
          <w:tcPr>
            <w:tcW w:w="3400" w:type="dxa"/>
            <w:vAlign w:val="bottom"/>
            <w:shd w:val="clear" w:color="auto" w:fill="CCCCCC"/>
          </w:tcPr>
          <w:p>
            <w:pPr>
              <w:spacing w:after="0"/>
              <w:rPr>
                <w:sz w:val="20"/>
                <w:szCs w:val="20"/>
                <w:color w:val="auto"/>
              </w:rPr>
            </w:pPr>
          </w:p>
        </w:tc>
        <w:tc>
          <w:tcPr>
            <w:tcW w:w="3260" w:type="dxa"/>
            <w:vAlign w:val="bottom"/>
            <w:shd w:val="clear" w:color="auto" w:fill="CCCCCC"/>
          </w:tcPr>
          <w:p>
            <w:pPr>
              <w:spacing w:after="0"/>
              <w:rPr>
                <w:sz w:val="20"/>
                <w:szCs w:val="20"/>
                <w:color w:val="auto"/>
              </w:rPr>
            </w:pPr>
          </w:p>
        </w:tc>
      </w:tr>
      <w:tr>
        <w:trPr>
          <w:trHeight w:val="36"/>
        </w:trPr>
        <w:tc>
          <w:tcPr>
            <w:tcW w:w="3180" w:type="dxa"/>
            <w:vAlign w:val="bottom"/>
            <w:shd w:val="clear" w:color="auto" w:fill="CCCCCC"/>
          </w:tcPr>
          <w:p>
            <w:pPr>
              <w:spacing w:after="0"/>
              <w:rPr>
                <w:sz w:val="3"/>
                <w:szCs w:val="3"/>
                <w:color w:val="auto"/>
              </w:rPr>
            </w:pPr>
          </w:p>
        </w:tc>
        <w:tc>
          <w:tcPr>
            <w:tcW w:w="3400" w:type="dxa"/>
            <w:vAlign w:val="bottom"/>
            <w:shd w:val="clear" w:color="auto" w:fill="CCCCCC"/>
          </w:tcPr>
          <w:p>
            <w:pPr>
              <w:spacing w:after="0"/>
              <w:rPr>
                <w:sz w:val="3"/>
                <w:szCs w:val="3"/>
                <w:color w:val="auto"/>
              </w:rPr>
            </w:pPr>
          </w:p>
        </w:tc>
        <w:tc>
          <w:tcPr>
            <w:tcW w:w="3260" w:type="dxa"/>
            <w:vAlign w:val="bottom"/>
            <w:shd w:val="clear" w:color="auto" w:fill="CCCCCC"/>
          </w:tcPr>
          <w:p>
            <w:pPr>
              <w:spacing w:after="0"/>
              <w:rPr>
                <w:sz w:val="3"/>
                <w:szCs w:val="3"/>
                <w:color w:val="auto"/>
              </w:rPr>
            </w:pPr>
          </w:p>
        </w:tc>
      </w:tr>
    </w:tbl>
    <w:p>
      <w:pPr>
        <w:spacing w:after="0" w:line="35" w:lineRule="exact"/>
        <w:rPr>
          <w:sz w:val="20"/>
          <w:szCs w:val="20"/>
          <w:color w:val="auto"/>
        </w:rPr>
      </w:pPr>
    </w:p>
    <w:p>
      <w:pPr>
        <w:sectPr>
          <w:pgSz w:w="11900" w:h="16838" w:orient="portrait"/>
          <w:cols w:equalWidth="0" w:num="1">
            <w:col w:w="9840"/>
          </w:cols>
          <w:pgMar w:left="1020" w:top="263" w:right="1039" w:bottom="1440" w:gutter="0" w:footer="0" w:header="0"/>
        </w:sectPr>
      </w:pPr>
    </w:p>
    <w:p>
      <w:pPr>
        <w:ind w:left="100"/>
        <w:spacing w:after="0" w:line="247" w:lineRule="auto"/>
        <w:rPr>
          <w:sz w:val="20"/>
          <w:szCs w:val="20"/>
          <w:color w:val="auto"/>
        </w:rPr>
      </w:pPr>
      <w:r>
        <w:rPr>
          <w:rFonts w:ascii="Arial" w:cs="Arial" w:eastAsia="Arial" w:hAnsi="Arial"/>
          <w:sz w:val="18"/>
          <w:szCs w:val="18"/>
          <w:color w:val="auto"/>
        </w:rPr>
        <w:t>No. 4: Advisory Vote on the Frequency of Advisory Votes on the Compensation of our Named Executive Officers</w:t>
      </w:r>
    </w:p>
    <w:p>
      <w:pPr>
        <w:spacing w:after="0" w:line="20" w:lineRule="exact"/>
        <w:rPr>
          <w:sz w:val="20"/>
          <w:szCs w:val="20"/>
          <w:color w:val="auto"/>
        </w:rPr>
      </w:pPr>
      <w:r>
        <w:rPr>
          <w:sz w:val="20"/>
          <w:szCs w:val="20"/>
          <w:color w:val="auto"/>
        </w:rPr>
        <w:br w:type="column"/>
      </w:r>
    </w:p>
    <w:p>
      <w:pPr>
        <w:jc w:val="both"/>
        <w:spacing w:after="0" w:line="237" w:lineRule="auto"/>
        <w:rPr>
          <w:sz w:val="20"/>
          <w:szCs w:val="20"/>
          <w:color w:val="auto"/>
        </w:rPr>
      </w:pPr>
      <w:r>
        <w:rPr>
          <w:rFonts w:ascii="Arial" w:cs="Arial" w:eastAsia="Arial" w:hAnsi="Arial"/>
          <w:sz w:val="18"/>
          <w:szCs w:val="18"/>
          <w:color w:val="auto"/>
        </w:rPr>
        <w:t>Majority of shares present, in person or by proxy, and entitled to vote. Because this proposal has three choices (every three years, every two years or every one (1) year), if none of the frequency alternatives receives the vote of the majority of shares present in person or by proxy and entitled to vote, then we will consider shareholders to have approved the frequency alternative selected by holders of a plurality of shares present in person or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12065</wp:posOffset>
            </wp:positionV>
            <wp:extent cx="62407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60"/>
        <w:spacing w:after="0" w:line="253" w:lineRule="auto"/>
        <w:rPr>
          <w:sz w:val="20"/>
          <w:szCs w:val="20"/>
          <w:color w:val="auto"/>
        </w:rPr>
      </w:pPr>
      <w:r>
        <w:rPr>
          <w:rFonts w:ascii="Arial" w:cs="Arial" w:eastAsia="Arial" w:hAnsi="Arial"/>
          <w:sz w:val="18"/>
          <w:szCs w:val="18"/>
          <w:color w:val="auto"/>
        </w:rPr>
        <w:t>Counted as present and entitled to vote, but will not be counted in support of any particular frequency</w:t>
      </w:r>
    </w:p>
    <w:p>
      <w:pPr>
        <w:spacing w:after="0" w:line="2406" w:lineRule="exact"/>
        <w:rPr>
          <w:sz w:val="20"/>
          <w:szCs w:val="20"/>
          <w:color w:val="auto"/>
        </w:rPr>
      </w:pPr>
    </w:p>
    <w:p>
      <w:pPr>
        <w:sectPr>
          <w:pgSz w:w="11900" w:h="16838" w:orient="portrait"/>
          <w:cols w:equalWidth="0" w:num="3">
            <w:col w:w="2940" w:space="440"/>
            <w:col w:w="3100" w:space="220"/>
            <w:col w:w="3140"/>
          </w:cols>
          <w:pgMar w:left="1020" w:top="263" w:right="1039" w:bottom="1440" w:gutter="0" w:footer="0" w:header="0"/>
          <w:type w:val="continuous"/>
        </w:sectPr>
      </w:pPr>
    </w:p>
    <w:p>
      <w:pPr>
        <w:spacing w:after="0" w:line="30"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Under the Company’s Amended and Restated By-laws (the “By-laws”), each incumbent director is required to submit a contingent, irrevocable resignation that the Board of Directors may accept if the director fails to receive the required vote for</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type w:val="continuous"/>
        </w:sectPr>
      </w:pPr>
    </w:p>
    <w:bookmarkStart w:id="7" w:name="page8"/>
    <w:bookmarkEnd w:id="7"/>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w:t>
      </w:r>
    </w:p>
    <w:p>
      <w:pPr>
        <w:spacing w:after="0" w:line="101"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If for some reason any director nominee is unable to serve, or for good cause will not serve if elected, the persons named as proxies may vote for a substitute nominee recommended by the Board and, unless you indicate otherwise on the proxy card, your shares will be voted in favor of the remaining nominees. If any substitute nominees are designated prior to the Meeting, the Company will file an amended proxy statement, that, as applicable, identifies the substitute nominees, discloses that such nominees have consented to being named in the revised proxy statement and to serve if elected, and includes certain biographical and other information about such nominee as required by the rules of the Securities and Exchange Commission (the “SEC”). Alternatively, the Board may decide, under certain circumstances, to reduce the size of the Board.</w:t>
      </w:r>
    </w:p>
    <w:p>
      <w:pPr>
        <w:spacing w:after="0" w:line="113"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Pursuant to the By-laws, written notice by shareholders of qualifying nominations for election to the Board must have been received by our Secretary by February 24, 2023.</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 broker non-vote?</w:t>
      </w:r>
    </w:p>
    <w:p>
      <w:pPr>
        <w:spacing w:after="0" w:line="139"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Meeting, your shares of Common Stock will not be voted by the broker for Proposal Nos. 1 (Election of Directors), 3 (Advisory Approval of Named Executive Officer Compensation) or 4 (Advisory Vote on the Frequency of Advisory Votes on the Compensation of our Named Executive Officers), but the broker will have the discretion to vote your shares of Common Stock on Proposal No. 2 (Ratification of Appointment of Auditors). As a result, broker non-votes will have no effect on the outcome of Proposal Nos. 1, 3 or 4.</w:t>
      </w:r>
    </w:p>
    <w:p>
      <w:pPr>
        <w:spacing w:after="0" w:line="283" w:lineRule="exact"/>
        <w:rPr>
          <w:sz w:val="20"/>
          <w:szCs w:val="20"/>
          <w:color w:val="auto"/>
        </w:rPr>
      </w:pPr>
    </w:p>
    <w:p>
      <w:pPr>
        <w:ind w:left="20" w:right="60"/>
        <w:spacing w:after="0" w:line="270" w:lineRule="auto"/>
        <w:rPr>
          <w:sz w:val="20"/>
          <w:szCs w:val="20"/>
          <w:color w:val="auto"/>
        </w:rPr>
      </w:pPr>
      <w:r>
        <w:rPr>
          <w:rFonts w:ascii="Arial" w:cs="Arial" w:eastAsia="Arial" w:hAnsi="Arial"/>
          <w:sz w:val="20"/>
          <w:szCs w:val="20"/>
          <w:b w:val="1"/>
          <w:bCs w:val="1"/>
          <w:color w:val="auto"/>
        </w:rPr>
        <w:t>Why did certain shareholders receive in the mail a one-page Notice regarding Internet availability of this Proxy Statement rather than a printed copy?</w:t>
      </w:r>
    </w:p>
    <w:p>
      <w:pPr>
        <w:spacing w:after="0" w:line="54"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We are sending to virtually all of our shareholders a Notice (the “Notice” or “Notice of Internet Availability”) containing instructions on how to access this Proxy Statement online, as permitted by SEC rules. If you received a Notice of Internet Availability by mail, you will not receive a printed copy of this Proxy Statement in the mail. Instructions on how to access this Proxy Statement over the Internet or how to obtain printed copies, if you prefer, are set forth in such Notice.</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vote?</w:t>
      </w:r>
    </w:p>
    <w:p>
      <w:pPr>
        <w:spacing w:after="0" w:line="126"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You should submit your proxy card or voting instruction form as soon as possible. If you received or requested printed copies of the proxy materials by mail, the materials will include a proxy card for registered shareholders (that is, if you hold your shares of Common Stock directly in your name through our transfer agent), or a voting instruction form for beneficial owners (if your shares of Common Stock are held in “street name,” such as in a stock brokerage account or through a bank or other nominee). Whether you are a registered shareholder or hold any of your shares in “street name,” you may vote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62407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880" w:type="dxa"/>
            <w:vAlign w:val="bottom"/>
          </w:tcPr>
          <w:p>
            <w:pPr>
              <w:ind w:left="100"/>
              <w:spacing w:after="0"/>
              <w:rPr>
                <w:sz w:val="20"/>
                <w:szCs w:val="20"/>
                <w:color w:val="auto"/>
              </w:rPr>
            </w:pPr>
            <w:r>
              <w:rPr>
                <w:rFonts w:ascii="Arial" w:cs="Arial" w:eastAsia="Arial" w:hAnsi="Arial"/>
                <w:sz w:val="18"/>
                <w:szCs w:val="18"/>
                <w:b w:val="1"/>
                <w:bCs w:val="1"/>
                <w:color w:val="auto"/>
              </w:rPr>
              <w:t>By Phone</w:t>
            </w:r>
          </w:p>
        </w:tc>
        <w:tc>
          <w:tcPr>
            <w:tcW w:w="4960" w:type="dxa"/>
            <w:vAlign w:val="bottom"/>
          </w:tcPr>
          <w:p>
            <w:pPr>
              <w:ind w:left="160"/>
              <w:spacing w:after="0"/>
              <w:rPr>
                <w:sz w:val="20"/>
                <w:szCs w:val="20"/>
                <w:color w:val="auto"/>
              </w:rPr>
            </w:pPr>
            <w:r>
              <w:rPr>
                <w:rFonts w:ascii="Arial" w:cs="Arial" w:eastAsia="Arial" w:hAnsi="Arial"/>
                <w:sz w:val="18"/>
                <w:szCs w:val="18"/>
                <w:b w:val="1"/>
                <w:bCs w:val="1"/>
                <w:color w:val="auto"/>
              </w:rPr>
              <w:t>By Mail</w:t>
            </w:r>
          </w:p>
        </w:tc>
      </w:tr>
      <w:tr>
        <w:trPr>
          <w:trHeight w:val="42"/>
        </w:trPr>
        <w:tc>
          <w:tcPr>
            <w:tcW w:w="488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45"/>
        </w:trPr>
        <w:tc>
          <w:tcPr>
            <w:tcW w:w="4880" w:type="dxa"/>
            <w:vAlign w:val="bottom"/>
            <w:shd w:val="clear" w:color="auto" w:fill="CCCCCC"/>
          </w:tcPr>
          <w:p>
            <w:pPr>
              <w:ind w:left="100"/>
              <w:spacing w:after="0"/>
              <w:rPr>
                <w:sz w:val="20"/>
                <w:szCs w:val="20"/>
                <w:color w:val="auto"/>
              </w:rPr>
            </w:pPr>
            <w:r>
              <w:rPr>
                <w:rFonts w:ascii="Arial" w:cs="Arial" w:eastAsia="Arial" w:hAnsi="Arial"/>
                <w:sz w:val="18"/>
                <w:szCs w:val="18"/>
                <w:color w:val="auto"/>
              </w:rPr>
              <w:t>If you received or requested printed copies of the proxy</w:t>
            </w:r>
          </w:p>
        </w:tc>
        <w:tc>
          <w:tcPr>
            <w:tcW w:w="4960" w:type="dxa"/>
            <w:vAlign w:val="bottom"/>
            <w:shd w:val="clear" w:color="auto" w:fill="CCCCCC"/>
          </w:tcPr>
          <w:p>
            <w:pPr>
              <w:ind w:left="160"/>
              <w:spacing w:after="0"/>
              <w:rPr>
                <w:sz w:val="20"/>
                <w:szCs w:val="20"/>
                <w:color w:val="auto"/>
              </w:rPr>
            </w:pPr>
            <w:r>
              <w:rPr>
                <w:rFonts w:ascii="Arial" w:cs="Arial" w:eastAsia="Arial" w:hAnsi="Arial"/>
                <w:sz w:val="18"/>
                <w:szCs w:val="18"/>
                <w:color w:val="auto"/>
              </w:rPr>
              <w:t>If you received or requested printed copies of the proxy</w:t>
            </w:r>
          </w:p>
        </w:tc>
      </w:tr>
      <w:tr>
        <w:trPr>
          <w:trHeight w:val="203"/>
        </w:trPr>
        <w:tc>
          <w:tcPr>
            <w:tcW w:w="488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materials by mail, vote by dialing the number on the proxy</w:t>
            </w:r>
          </w:p>
        </w:tc>
        <w:tc>
          <w:tcPr>
            <w:tcW w:w="496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materials by mail, vote by marking, signing and dating the</w:t>
            </w:r>
          </w:p>
        </w:tc>
      </w:tr>
      <w:tr>
        <w:trPr>
          <w:trHeight w:val="203"/>
        </w:trPr>
        <w:tc>
          <w:tcPr>
            <w:tcW w:w="488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card/voting instruction form and following the easy voice</w:t>
            </w:r>
          </w:p>
        </w:tc>
        <w:tc>
          <w:tcPr>
            <w:tcW w:w="496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proxy card/voting instruction form and returning it promptly</w:t>
            </w:r>
          </w:p>
        </w:tc>
      </w:tr>
      <w:tr>
        <w:trPr>
          <w:trHeight w:val="294"/>
        </w:trPr>
        <w:tc>
          <w:tcPr>
            <w:tcW w:w="48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prompts</w:t>
            </w:r>
          </w:p>
        </w:tc>
        <w:tc>
          <w:tcPr>
            <w:tcW w:w="496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8"/>
                <w:szCs w:val="18"/>
                <w:color w:val="auto"/>
              </w:rPr>
              <w:t>in the envelope provided</w:t>
            </w:r>
          </w:p>
        </w:tc>
      </w:tr>
      <w:tr>
        <w:trPr>
          <w:trHeight w:val="289"/>
        </w:trPr>
        <w:tc>
          <w:tcPr>
            <w:tcW w:w="48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By Internet Before the Meeting</w:t>
            </w:r>
          </w:p>
        </w:tc>
        <w:tc>
          <w:tcPr>
            <w:tcW w:w="49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By Internet During the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wp:posOffset>
            </wp:positionV>
            <wp:extent cx="6240780"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40780" cy="32575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p>
      <w:pPr>
        <w:spacing w:after="0" w:line="104" w:lineRule="exact"/>
        <w:rPr>
          <w:sz w:val="20"/>
          <w:szCs w:val="20"/>
          <w:color w:val="auto"/>
        </w:rPr>
      </w:pPr>
    </w:p>
    <w:p>
      <w:pPr>
        <w:ind w:left="100"/>
        <w:spacing w:after="0" w:line="271" w:lineRule="auto"/>
        <w:rPr>
          <w:sz w:val="20"/>
          <w:szCs w:val="20"/>
          <w:color w:val="auto"/>
        </w:rPr>
      </w:pPr>
      <w:r>
        <w:rPr>
          <w:rFonts w:ascii="Arial" w:cs="Arial" w:eastAsia="Arial" w:hAnsi="Arial"/>
          <w:sz w:val="18"/>
          <w:szCs w:val="18"/>
          <w:color w:val="auto"/>
        </w:rPr>
        <w:t>Follow the instructions included on the proxy card/voting instruction form or Notice of Internet Availability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Vote during the virtual Meeting while the polls remain open by following the online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-10160</wp:posOffset>
            </wp:positionV>
            <wp:extent cx="6240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580" w:space="460"/>
            <w:col w:w="4800"/>
          </w:cols>
          <w:pgMar w:left="1020" w:top="263" w:right="1039" w:bottom="1440" w:gutter="0" w:footer="0" w:header="0"/>
          <w:type w:val="continuous"/>
        </w:sectPr>
      </w:pPr>
    </w:p>
    <w:p>
      <w:pPr>
        <w:jc w:val="both"/>
        <w:ind w:left="20"/>
        <w:spacing w:after="0" w:line="247" w:lineRule="auto"/>
        <w:rPr>
          <w:sz w:val="20"/>
          <w:szCs w:val="20"/>
          <w:color w:val="auto"/>
        </w:rPr>
      </w:pPr>
      <w:r>
        <w:rPr>
          <w:rFonts w:ascii="Arial" w:cs="Arial" w:eastAsia="Arial" w:hAnsi="Arial"/>
          <w:sz w:val="18"/>
          <w:szCs w:val="18"/>
          <w:color w:val="auto"/>
        </w:rPr>
        <w:t>The deadline for voting by telephone or by Internet will vary depending upon how you vote your shares—please follow the instructions shown on your proxy card/voting instruction form or Notice of Internet Availability. If you are not the shareholder of record, please refer to the voting instructions provided by your bank, broker or other nominee to direct it how to vote your shares. Your vote is important.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type w:val="continuous"/>
        </w:sectPr>
      </w:pPr>
    </w:p>
    <w:bookmarkStart w:id="8" w:name="page9"/>
    <w:bookmarkEnd w:id="8"/>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Certain of our shareholders hold their shares in more than one account and may receive separate proxy cards/voting instruction forms or Notices of Internet Availability for each of those accounts. To ensure that all of your shares are represented at the Meeting, we recommend that you follow the instructions included on each proxy card/voting instruction form or Notice of Internet Availability you receive.</w:t>
      </w:r>
    </w:p>
    <w:p>
      <w:pPr>
        <w:spacing w:after="0" w:line="33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Can I change my vote?</w:t>
      </w:r>
    </w:p>
    <w:p>
      <w:pPr>
        <w:spacing w:after="0" w:line="126"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Yes. If you are a registered shareholder, you may revoke your proxy at any time prior to the voting at the Meeting if, in accordance with the voting procedures described above, you:</w:t>
      </w:r>
    </w:p>
    <w:p>
      <w:pPr>
        <w:spacing w:after="0" w:line="86" w:lineRule="exact"/>
        <w:rPr>
          <w:sz w:val="20"/>
          <w:szCs w:val="20"/>
          <w:color w:val="auto"/>
        </w:rPr>
      </w:pPr>
    </w:p>
    <w:p>
      <w:pPr>
        <w:ind w:left="350" w:hanging="350"/>
        <w:spacing w:after="0"/>
        <w:tabs>
          <w:tab w:leader="none" w:pos="35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again (including by phone or Internet by the applicable deadline); or</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sign, date and return a new proxy card or voting instruction form with a later date; or</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5"/>
        </w:numPr>
        <w:rPr>
          <w:rFonts w:ascii="Arial" w:cs="Arial" w:eastAsia="Arial" w:hAnsi="Arial"/>
          <w:sz w:val="18"/>
          <w:szCs w:val="18"/>
          <w:color w:val="auto"/>
        </w:rPr>
      </w:pPr>
      <w:r>
        <w:rPr>
          <w:rFonts w:ascii="Arial" w:cs="Arial" w:eastAsia="Arial" w:hAnsi="Arial"/>
          <w:sz w:val="18"/>
          <w:szCs w:val="18"/>
          <w:color w:val="auto"/>
        </w:rPr>
        <w:t>give timely written notice of such revocation to our Corporate Secretary at 6 Sylvan Way, Parsippany, N.J. 07054; or</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during the virtual Meeting while the polls remain open.</w:t>
      </w:r>
    </w:p>
    <w:p>
      <w:pPr>
        <w:spacing w:after="0" w:line="144"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If your shares are held in “street name” (</w:t>
      </w:r>
      <w:r>
        <w:rPr>
          <w:rFonts w:ascii="Arial" w:cs="Arial" w:eastAsia="Arial" w:hAnsi="Arial"/>
          <w:sz w:val="18"/>
          <w:szCs w:val="18"/>
          <w:i w:val="1"/>
          <w:iCs w:val="1"/>
          <w:color w:val="auto"/>
        </w:rPr>
        <w:t>i.e.</w:t>
      </w:r>
      <w:r>
        <w:rPr>
          <w:rFonts w:ascii="Arial" w:cs="Arial" w:eastAsia="Arial" w:hAnsi="Arial"/>
          <w:sz w:val="18"/>
          <w:szCs w:val="18"/>
          <w:color w:val="auto"/>
        </w:rPr>
        <w:t>, the shares are held of record by a broker, bank or other nominee) and you wish to revoke a proxy, you should contact your bank, broker or nominee and follow its procedures for changing your voting instructions. You also may vote during the virtual Meeting if you obtain a legal proxy from your bank, broker or other nominee.</w:t>
      </w:r>
    </w:p>
    <w:p>
      <w:pPr>
        <w:spacing w:after="0" w:line="147" w:lineRule="exact"/>
        <w:rPr>
          <w:sz w:val="20"/>
          <w:szCs w:val="20"/>
          <w:color w:val="auto"/>
        </w:rPr>
      </w:pPr>
    </w:p>
    <w:p>
      <w:pPr>
        <w:ind w:left="10"/>
        <w:spacing w:after="0"/>
        <w:rPr>
          <w:sz w:val="20"/>
          <w:szCs w:val="20"/>
          <w:color w:val="auto"/>
        </w:rPr>
      </w:pPr>
      <w:r>
        <w:rPr>
          <w:rFonts w:ascii="Arial" w:cs="Arial" w:eastAsia="Arial" w:hAnsi="Arial"/>
          <w:sz w:val="18"/>
          <w:szCs w:val="18"/>
          <w:color w:val="auto"/>
        </w:rPr>
        <w:t>Only the latest validly executed proxy that you submit will be counted.</w:t>
      </w:r>
    </w:p>
    <w:p>
      <w:pPr>
        <w:spacing w:after="0" w:line="35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What if I do not vote with respect to some of the proposals?</w:t>
      </w:r>
    </w:p>
    <w:p>
      <w:pPr>
        <w:spacing w:after="0" w:line="139"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Shares of Common Stock represented by proxies received by the Company (whether through the return of a proxy card or voting instruction form) that do not contain voting instructions (or if you vote by telephone or electronically via the Internet without indicating how you want to vote) will be voted in accordance with the recommendations of the Board, including:</w:t>
      </w:r>
    </w:p>
    <w:p>
      <w:pPr>
        <w:spacing w:after="0" w:line="88" w:lineRule="exact"/>
        <w:rPr>
          <w:sz w:val="20"/>
          <w:szCs w:val="20"/>
          <w:color w:val="auto"/>
        </w:rPr>
      </w:pPr>
    </w:p>
    <w:p>
      <w:pPr>
        <w:ind w:left="350" w:hanging="350"/>
        <w:spacing w:after="0"/>
        <w:tabs>
          <w:tab w:leader="none" w:pos="35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of the nominees recommended by the Board (Proposal No. 1);</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auditors (Proposal No. 2);</w:t>
      </w:r>
    </w:p>
    <w:p>
      <w:pPr>
        <w:spacing w:after="0" w:line="144" w:lineRule="exact"/>
        <w:rPr>
          <w:rFonts w:ascii="Arial" w:cs="Arial" w:eastAsia="Arial" w:hAnsi="Arial"/>
          <w:sz w:val="18"/>
          <w:szCs w:val="18"/>
          <w:color w:val="auto"/>
        </w:rPr>
      </w:pPr>
    </w:p>
    <w:p>
      <w:pPr>
        <w:ind w:left="350" w:right="20" w:hanging="350"/>
        <w:spacing w:after="0" w:line="271" w:lineRule="auto"/>
        <w:tabs>
          <w:tab w:leader="none" w:pos="35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proposal regarding advisory approval of the compensation of our named executive officers (Proposal No. 3); and</w:t>
      </w:r>
    </w:p>
    <w:p>
      <w:pPr>
        <w:spacing w:after="0" w:line="72"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“EVERY ONE (1) YEAR” with respect to the advisory vote on the frequency of advisory votes on the compensation of our named executive officers (Proposal No. 4).</w:t>
      </w:r>
    </w:p>
    <w:p>
      <w:pPr>
        <w:spacing w:after="0" w:line="31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How do participants in savings plans vote?</w:t>
      </w:r>
    </w:p>
    <w:p>
      <w:pPr>
        <w:spacing w:after="0" w:line="126" w:lineRule="exact"/>
        <w:rPr>
          <w:sz w:val="20"/>
          <w:szCs w:val="20"/>
          <w:color w:val="auto"/>
        </w:rPr>
      </w:pPr>
    </w:p>
    <w:p>
      <w:pPr>
        <w:jc w:val="both"/>
        <w:ind w:left="10"/>
        <w:spacing w:after="0" w:line="239" w:lineRule="auto"/>
        <w:rPr>
          <w:sz w:val="20"/>
          <w:szCs w:val="20"/>
          <w:color w:val="auto"/>
        </w:rPr>
      </w:pPr>
      <w:r>
        <w:rPr>
          <w:rFonts w:ascii="Arial" w:cs="Arial" w:eastAsia="Arial" w:hAnsi="Arial"/>
          <w:sz w:val="18"/>
          <w:szCs w:val="18"/>
          <w:color w:val="auto"/>
        </w:rPr>
        <w:t>If you hold shares of Common Stock in the “Avis Budget Group, Inc. Employee Savings Plan” or the “AB Car Rental Services Retirement Savings Plan for Bargaining Hourly Employees” (collectively, the “Savings Plans”), you will receive a proxy card that covers shares of Common Stock held for you in the Savings Plans. In accordance with the provisions of the Savings Plans, the respective trustees will vote your shares of Common Stock as you have directed. To the extent such instructions are not received prior to noon Eastern Time on May 17, 2023, the trustees of the Savings Plans will vote the shares of Common Stock with respect to which they have not received instructions proportionately in accordance with the shares of Common Stock for which they have received instructions. Instructions given with respect to shares of Common Stock in accounts of the Savings Plans may be changed or revoked only in writing, and no such instructions may be revoked after noon Eastern Time on May 17, 2023. Participants in the Savings Plans are not entitled to vote in person at the Meeting.</w:t>
      </w:r>
    </w:p>
    <w:p>
      <w:pPr>
        <w:spacing w:after="0" w:line="28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163195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How do I vote my shares that were purchased under the former Avis Budget Group, Inc. Employee Stock Purchase Plan (“ESPP”)?</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you hold shares of Common Stock that were purchased through the Company’s former ESPP, which was terminated effective December 1, 2020, you will receive a proxy card or notice that covers shares of Common Stock held for you in your Computershare account. You may vote your shares of Common Stock via the Internet, by telephone or mail in the same manner as described above for registered shareholders. If you vote your ESPP shares by noon Eastern Time, on May 17, 2023, Computershare will vote the shares as you have directed. If voting instructions are not received in time, Computershare will not vote your shares for any proposal.</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find the voting results of the Annual Meeting?</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Voting results will be tallied by the inspector of election. The Company will report the results in a Current Report on Form 8-K, to be filed with the SEC within four business days following the Meeting.</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access the Company’s proxy materials and annual report electronically?</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This Proxy Statement and the 2022 Annual Report may be viewed online at </w:t>
      </w:r>
      <w:r>
        <w:rPr>
          <w:rFonts w:ascii="Arial" w:cs="Arial" w:eastAsia="Arial" w:hAnsi="Arial"/>
          <w:sz w:val="18"/>
          <w:szCs w:val="18"/>
          <w:i w:val="1"/>
          <w:iCs w:val="1"/>
          <w:color w:val="auto"/>
        </w:rPr>
        <w:t>www.edocumentview.com/CAR</w:t>
      </w:r>
      <w:r>
        <w:rPr>
          <w:rFonts w:ascii="Arial" w:cs="Arial" w:eastAsia="Arial" w:hAnsi="Arial"/>
          <w:sz w:val="18"/>
          <w:szCs w:val="18"/>
          <w:color w:val="auto"/>
        </w:rPr>
        <w:t xml:space="preserve">. If you are a shareholder of record, you can elect to receive future annual reports and proxy statements electronically by enrolling at </w:t>
      </w:r>
      <w:r>
        <w:rPr>
          <w:rFonts w:ascii="Arial" w:cs="Arial" w:eastAsia="Arial" w:hAnsi="Arial"/>
          <w:sz w:val="18"/>
          <w:szCs w:val="18"/>
          <w:i w:val="1"/>
          <w:iCs w:val="1"/>
          <w:color w:val="auto"/>
        </w:rPr>
        <w:t>www.envisionreports.com/CAR</w:t>
      </w:r>
      <w:r>
        <w:rPr>
          <w:rFonts w:ascii="Arial" w:cs="Arial" w:eastAsia="Arial" w:hAnsi="Arial"/>
          <w:sz w:val="18"/>
          <w:szCs w:val="18"/>
          <w:color w:val="auto"/>
        </w:rPr>
        <w:t>. If you choose this option, you will receive a proxy form in April 2024 listing the website</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where proxy materials will be posted,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does a shareholder nominate someone to be a director?</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Director nominations may be made by a shareholder so long as the qualifying shareholder follows the procedures outlined in the By-laws. Pursuant to the By-laws, for a nomination to be made by a shareholder, such shareholder must have given the proper notice within the specific time limits set forth in the relevant provision therein. For the 2024 annual meeting, the Company must receive this notice on or before February 24, 2024. Such notice and nomination should be submitted in writing to the Corporate Secretary of the Company and should include the information required for shareholder nominations set forth in the By-laws and any additional information required by applicable law. For more information, see “Shareholder Proposals for 2024 Annual Meeting” on page </w:t>
      </w:r>
      <w:r>
        <w:rPr>
          <w:rFonts w:ascii="Arial" w:cs="Arial" w:eastAsia="Arial" w:hAnsi="Arial"/>
          <w:sz w:val="18"/>
          <w:szCs w:val="18"/>
          <w:u w:val="single" w:color="auto"/>
          <w:color w:val="0000EE"/>
        </w:rPr>
        <w:t>50</w:t>
      </w:r>
      <w:r>
        <w:rPr>
          <w:rFonts w:ascii="Arial" w:cs="Arial" w:eastAsia="Arial" w:hAnsi="Arial"/>
          <w:sz w:val="18"/>
          <w:szCs w:val="18"/>
          <w:color w:val="auto"/>
        </w:rPr>
        <w: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Additionally, a copy of the full text of the provision of the By-laws describing the procedure for shareholder nominations may be accessed in the “Investor Relations—Governance” section of the Company’s website at </w:t>
      </w:r>
      <w:r>
        <w:rPr>
          <w:rFonts w:ascii="Arial" w:cs="Arial" w:eastAsia="Arial" w:hAnsi="Arial"/>
          <w:sz w:val="17"/>
          <w:szCs w:val="17"/>
          <w:i w:val="1"/>
          <w:iCs w:val="1"/>
          <w:color w:val="auto"/>
        </w:rPr>
        <w:t>www.avisbudgetgroup.com</w:t>
      </w:r>
      <w:r>
        <w:rPr>
          <w:rFonts w:ascii="Arial" w:cs="Arial" w:eastAsia="Arial" w:hAnsi="Arial"/>
          <w:sz w:val="17"/>
          <w:szCs w:val="17"/>
          <w:color w:val="auto"/>
        </w:rPr>
        <w:t>. Nothing contained in any section of the Company’s website is incorporated by reference into this Proxy Statement.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10" w:name="page11"/>
    <w:bookmarkEnd w:id="10"/>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10" w:right="3980"/>
        <w:spacing w:after="0" w:line="279" w:lineRule="auto"/>
        <w:rPr>
          <w:sz w:val="20"/>
          <w:szCs w:val="20"/>
          <w:color w:val="auto"/>
        </w:rPr>
      </w:pPr>
      <w:r>
        <w:rPr>
          <w:rFonts w:ascii="Arial" w:cs="Arial" w:eastAsia="Arial" w:hAnsi="Arial"/>
          <w:sz w:val="36"/>
          <w:szCs w:val="36"/>
          <w:color w:val="auto"/>
        </w:rPr>
        <w:t>Proposals to Be Voted on at Meeting Proposal No. 1</w:t>
      </w:r>
    </w:p>
    <w:p>
      <w:pPr>
        <w:spacing w:after="0" w:line="144"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Election of Directors</w:t>
      </w:r>
    </w:p>
    <w:p>
      <w:pPr>
        <w:spacing w:after="0" w:line="164" w:lineRule="exact"/>
        <w:rPr>
          <w:sz w:val="20"/>
          <w:szCs w:val="20"/>
          <w:color w:val="auto"/>
        </w:rPr>
      </w:pPr>
    </w:p>
    <w:p>
      <w:pPr>
        <w:jc w:val="both"/>
        <w:ind w:left="10"/>
        <w:spacing w:after="0"/>
        <w:rPr>
          <w:sz w:val="20"/>
          <w:szCs w:val="20"/>
          <w:color w:val="auto"/>
        </w:rPr>
      </w:pPr>
      <w:r>
        <w:rPr>
          <w:rFonts w:ascii="Arial" w:cs="Arial" w:eastAsia="Arial" w:hAnsi="Arial"/>
          <w:sz w:val="18"/>
          <w:szCs w:val="18"/>
          <w:color w:val="auto"/>
        </w:rPr>
        <w:t>The Board of Directors (the “Board”) has nominated Bernardo Hees, Jagdeep Pahwa, Anu Hariharan, Lynn Krominga, Glenn Lurie and Karthik Sarma to be elected at the 2023 Annual Meeting of Shareholders (the “Meeting”) to serve as directors for a one-year term ending at the 2024 annual meeting of shareholders and until his or her successor is duly elected and qualified or until his or her earlier resignation or removal. The nominations of Mr. Pahwa and Mr. Sarma are in accordance with the terms of the Fourth Amended and Restated Cooperation Agreement (as amended through the date hereof, the “Cooperation Agreement”), dated as of December 23, 2022, between the Company and SRS and certain of its affiliates.</w:t>
      </w:r>
    </w:p>
    <w:p>
      <w:pPr>
        <w:spacing w:after="0" w:line="179"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Biographical Information for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2407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84" w:lineRule="exact"/>
        <w:rPr>
          <w:sz w:val="20"/>
          <w:szCs w:val="20"/>
          <w:color w:val="auto"/>
        </w:rPr>
      </w:pPr>
    </w:p>
    <w:p>
      <w:pPr>
        <w:jc w:val="both"/>
        <w:ind w:left="10" w:right="20"/>
        <w:spacing w:after="0" w:line="253" w:lineRule="auto"/>
        <w:rPr>
          <w:sz w:val="20"/>
          <w:szCs w:val="20"/>
          <w:color w:val="auto"/>
        </w:rPr>
      </w:pPr>
      <w:r>
        <w:rPr>
          <w:rFonts w:ascii="Arial" w:cs="Arial" w:eastAsia="Arial" w:hAnsi="Arial"/>
          <w:sz w:val="18"/>
          <w:szCs w:val="18"/>
          <w:color w:val="auto"/>
        </w:rPr>
        <w:t>The following material contains information concerning the Board’s nominees, including their period of service as a director, their recent employment, other directorships, including those held during the past five years with a public company or registered investment company, and age as of the Meeting.</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22"/>
          <w:szCs w:val="22"/>
          <w:b w:val="1"/>
          <w:bCs w:val="1"/>
          <w:i w:val="1"/>
          <w:iCs w:val="1"/>
          <w:color w:val="auto"/>
        </w:rPr>
        <w:t>BERNARDO 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240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6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Executive Chairman of the Board</w:t>
      </w:r>
    </w:p>
    <w:p>
      <w:pPr>
        <w:spacing w:after="0" w:line="131" w:lineRule="exact"/>
        <w:rPr>
          <w:sz w:val="20"/>
          <w:szCs w:val="20"/>
          <w:color w:val="auto"/>
        </w:rPr>
      </w:pPr>
    </w:p>
    <w:p>
      <w:pPr>
        <w:jc w:val="both"/>
        <w:ind w:left="10"/>
        <w:spacing w:after="0"/>
        <w:rPr>
          <w:sz w:val="20"/>
          <w:szCs w:val="20"/>
          <w:color w:val="auto"/>
        </w:rPr>
      </w:pPr>
      <w:r>
        <w:rPr>
          <w:rFonts w:ascii="Arial" w:cs="Arial" w:eastAsia="Arial" w:hAnsi="Arial"/>
          <w:sz w:val="18"/>
          <w:szCs w:val="18"/>
          <w:b w:val="1"/>
          <w:bCs w:val="1"/>
          <w:color w:val="auto"/>
        </w:rPr>
        <w:t>Mr. Hees</w:t>
      </w:r>
      <w:r>
        <w:rPr>
          <w:rFonts w:ascii="Arial" w:cs="Arial" w:eastAsia="Arial" w:hAnsi="Arial"/>
          <w:sz w:val="18"/>
          <w:szCs w:val="18"/>
          <w:color w:val="auto"/>
        </w:rPr>
        <w:t>, age 53, has been a director since February 2020 and Executive Chairman since July 2020. Previously, Mr. Hees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Chief Executive Officer of The Kraft Heinz Company from 2015 to June 2019. He served as Chief Executive Officer of H.J. Heinz Holding Corporation from 2013 until its merger with Kraft Foods Group in 2015. From 2010 to 2013, Mr. Hees served as Chief Executive Officer of Burger King Worldwide Holdings, Inc., a global fast food restaurant chain, and Burger King Worldwide, Inc. from 2012 to 2013. From 2005 to 2010, he was Chief Executive Officer of América Latina Logística, a Brazilian logistics company. Mr. Hees was also a partner at 3G Capital, a global investment firm, from 2010 to 2019. Mr. Hees is also a director of Bunge Limited, which files reports pursuant to the Exchange Act of 1934, as amended (the “Exchange Act”).</w:t>
      </w:r>
    </w:p>
    <w:p>
      <w:pPr>
        <w:spacing w:after="0" w:line="32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04" w:lineRule="exact"/>
        <w:rPr>
          <w:sz w:val="20"/>
          <w:szCs w:val="20"/>
          <w:color w:val="auto"/>
        </w:rPr>
      </w:pPr>
    </w:p>
    <w:p>
      <w:pPr>
        <w:ind w:left="350" w:hanging="350"/>
        <w:spacing w:after="0"/>
        <w:tabs>
          <w:tab w:leader="none" w:pos="35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Chief Executive Officer experience</w:t>
      </w:r>
    </w:p>
    <w:p>
      <w:pPr>
        <w:spacing w:after="0" w:line="103" w:lineRule="exact"/>
        <w:rPr>
          <w:rFonts w:ascii="Arial" w:cs="Arial" w:eastAsia="Arial" w:hAnsi="Arial"/>
          <w:sz w:val="18"/>
          <w:szCs w:val="18"/>
          <w:color w:val="auto"/>
        </w:rPr>
      </w:pPr>
    </w:p>
    <w:p>
      <w:pPr>
        <w:ind w:left="350" w:hanging="350"/>
        <w:spacing w:after="0"/>
        <w:tabs>
          <w:tab w:leader="none" w:pos="35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103" w:lineRule="exact"/>
        <w:rPr>
          <w:rFonts w:ascii="Arial" w:cs="Arial" w:eastAsia="Arial" w:hAnsi="Arial"/>
          <w:sz w:val="18"/>
          <w:szCs w:val="18"/>
          <w:color w:val="auto"/>
        </w:rPr>
      </w:pPr>
    </w:p>
    <w:p>
      <w:pPr>
        <w:ind w:left="350" w:hanging="350"/>
        <w:spacing w:after="0"/>
        <w:tabs>
          <w:tab w:leader="none" w:pos="35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103" w:lineRule="exact"/>
        <w:rPr>
          <w:rFonts w:ascii="Arial" w:cs="Arial" w:eastAsia="Arial" w:hAnsi="Arial"/>
          <w:sz w:val="18"/>
          <w:szCs w:val="18"/>
          <w:color w:val="auto"/>
        </w:rPr>
      </w:pPr>
    </w:p>
    <w:p>
      <w:pPr>
        <w:ind w:left="350" w:hanging="350"/>
        <w:spacing w:after="0"/>
        <w:tabs>
          <w:tab w:leader="none" w:pos="35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204" w:lineRule="exact"/>
        <w:rPr>
          <w:sz w:val="20"/>
          <w:szCs w:val="20"/>
          <w:color w:val="auto"/>
        </w:rPr>
      </w:pPr>
    </w:p>
    <w:p>
      <w:pPr>
        <w:ind w:left="10"/>
        <w:spacing w:after="0"/>
        <w:rPr>
          <w:sz w:val="20"/>
          <w:szCs w:val="20"/>
          <w:color w:val="auto"/>
        </w:rPr>
      </w:pPr>
      <w:r>
        <w:rPr>
          <w:rFonts w:ascii="Arial" w:cs="Arial" w:eastAsia="Arial" w:hAnsi="Arial"/>
          <w:sz w:val="22"/>
          <w:szCs w:val="22"/>
          <w:b w:val="1"/>
          <w:bCs w:val="1"/>
          <w:i w:val="1"/>
          <w:iCs w:val="1"/>
          <w:color w:val="auto"/>
        </w:rPr>
        <w:t>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2407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5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Vice Chairman of the Board</w:t>
      </w:r>
    </w:p>
    <w:p>
      <w:pPr>
        <w:spacing w:after="0" w:line="144"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b w:val="1"/>
          <w:bCs w:val="1"/>
          <w:color w:val="auto"/>
        </w:rPr>
        <w:t>Mr. Pahwa</w:t>
      </w:r>
      <w:r>
        <w:rPr>
          <w:rFonts w:ascii="Arial" w:cs="Arial" w:eastAsia="Arial" w:hAnsi="Arial"/>
          <w:sz w:val="18"/>
          <w:szCs w:val="18"/>
          <w:color w:val="auto"/>
        </w:rPr>
        <w:t>, age 49, has been a director since April 2018 and Vice Chairman since February 2020. Mr. Pahwa has been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SRS Investment Management, LLC since 2017 and has led SRS’s private equity business since 2006. Previously, Mr. Pahwa worked at McKinsey &amp; Company in the U.S. and India, where he led client engagements in the telecom, technology and real estate sectors. Prior thereto, Mr. Pahwa worked in the Mergers &amp; Acquisitions group of Lehman Brothers in New York. Mr. Pahwa received a Bachelor of Technology from the Indian Institute of Technology, Delhi, and an M.S. from Princeton University and an M.B.A. from Harvard Business School.</w:t>
      </w:r>
    </w:p>
    <w:p>
      <w:pPr>
        <w:spacing w:after="0" w:line="32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04" w:lineRule="exact"/>
        <w:rPr>
          <w:sz w:val="20"/>
          <w:szCs w:val="20"/>
          <w:color w:val="auto"/>
        </w:rPr>
      </w:pPr>
    </w:p>
    <w:p>
      <w:pPr>
        <w:ind w:left="350" w:hanging="350"/>
        <w:spacing w:after="0"/>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investment expertise</w:t>
      </w:r>
    </w:p>
    <w:p>
      <w:pPr>
        <w:spacing w:after="0" w:line="103" w:lineRule="exact"/>
        <w:rPr>
          <w:rFonts w:ascii="Arial" w:cs="Arial" w:eastAsia="Arial" w:hAnsi="Arial"/>
          <w:sz w:val="18"/>
          <w:szCs w:val="18"/>
          <w:color w:val="auto"/>
        </w:rPr>
      </w:pPr>
    </w:p>
    <w:p>
      <w:pPr>
        <w:ind w:left="350" w:hanging="350"/>
        <w:spacing w:after="0"/>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Advisory experience in business strategy and growth</w:t>
      </w:r>
    </w:p>
    <w:p>
      <w:pPr>
        <w:spacing w:after="0" w:line="103" w:lineRule="exact"/>
        <w:rPr>
          <w:rFonts w:ascii="Arial" w:cs="Arial" w:eastAsia="Arial" w:hAnsi="Arial"/>
          <w:sz w:val="18"/>
          <w:szCs w:val="18"/>
          <w:color w:val="auto"/>
        </w:rPr>
      </w:pPr>
    </w:p>
    <w:p>
      <w:pPr>
        <w:ind w:left="350" w:hanging="350"/>
        <w:spacing w:after="0"/>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Broad international experience and understanding of the technology sector</w:t>
      </w:r>
    </w:p>
    <w:p>
      <w:pPr>
        <w:spacing w:after="0" w:line="103" w:lineRule="exact"/>
        <w:rPr>
          <w:rFonts w:ascii="Arial" w:cs="Arial" w:eastAsia="Arial" w:hAnsi="Arial"/>
          <w:sz w:val="18"/>
          <w:szCs w:val="18"/>
          <w:color w:val="auto"/>
        </w:rPr>
      </w:pPr>
    </w:p>
    <w:p>
      <w:pPr>
        <w:ind w:left="350" w:hanging="350"/>
        <w:spacing w:after="0"/>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32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11" w:name="page12"/>
    <w:bookmarkEnd w:id="11"/>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10"/>
        <w:spacing w:after="0"/>
        <w:rPr>
          <w:sz w:val="20"/>
          <w:szCs w:val="20"/>
          <w:color w:val="auto"/>
        </w:rPr>
      </w:pPr>
      <w:r>
        <w:rPr>
          <w:rFonts w:ascii="Arial" w:cs="Arial" w:eastAsia="Arial" w:hAnsi="Arial"/>
          <w:sz w:val="22"/>
          <w:szCs w:val="22"/>
          <w:b w:val="1"/>
          <w:bCs w:val="1"/>
          <w:i w:val="1"/>
          <w:iCs w:val="1"/>
          <w:color w:val="auto"/>
        </w:rPr>
        <w:t>ANU HARIHARAN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240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6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Board Committees: Audit</w:t>
      </w:r>
    </w:p>
    <w:p>
      <w:pPr>
        <w:spacing w:after="0" w:line="131" w:lineRule="exact"/>
        <w:rPr>
          <w:sz w:val="20"/>
          <w:szCs w:val="20"/>
          <w:color w:val="auto"/>
        </w:rPr>
      </w:pPr>
    </w:p>
    <w:p>
      <w:pPr>
        <w:jc w:val="both"/>
        <w:ind w:left="10"/>
        <w:spacing w:after="0"/>
        <w:rPr>
          <w:sz w:val="20"/>
          <w:szCs w:val="20"/>
          <w:color w:val="auto"/>
        </w:rPr>
      </w:pPr>
      <w:r>
        <w:rPr>
          <w:rFonts w:ascii="Arial" w:cs="Arial" w:eastAsia="Arial" w:hAnsi="Arial"/>
          <w:sz w:val="18"/>
          <w:szCs w:val="18"/>
          <w:b w:val="1"/>
          <w:bCs w:val="1"/>
          <w:color w:val="auto"/>
        </w:rPr>
        <w:t>Ms. Hariharan</w:t>
      </w:r>
      <w:r>
        <w:rPr>
          <w:rFonts w:ascii="Arial" w:cs="Arial" w:eastAsia="Arial" w:hAnsi="Arial"/>
          <w:sz w:val="18"/>
          <w:szCs w:val="18"/>
          <w:color w:val="auto"/>
        </w:rPr>
        <w:t>, age 42, has been a director since January 2022. Until recently, Ms. Hariharan was Managing Director at Y</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Combinator’s Continuity Fund focused on growth stage investments, where she led investments in Convoy, Brex, Gusto and Faire, among many others. Prior to joining Y Combinator in 2016, Ms. Hariharan was a Partner with the investment team at Andreessen Horowitz, from 2014 to 2016. Previously, Ms. Hariharan was a Principal with The Boston Consulting Group, from 2010 to 2014, and, prior to that, a senior software engineer with Qualcomm. Ms. Hariharan holds a B.E. from the National Institute of Technology Karnataka, an M.S. from Virginia Tech and an M.B.A. from The Wharton School at the University of Pennsylvania.</w:t>
      </w:r>
    </w:p>
    <w:p>
      <w:pPr>
        <w:spacing w:after="0" w:line="33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44" w:lineRule="exact"/>
        <w:rPr>
          <w:sz w:val="20"/>
          <w:szCs w:val="20"/>
          <w:color w:val="auto"/>
        </w:rPr>
      </w:pPr>
    </w:p>
    <w:p>
      <w:pPr>
        <w:ind w:left="350" w:hanging="350"/>
        <w:spacing w:after="0"/>
        <w:tabs>
          <w:tab w:leader="none" w:pos="35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Advisory experience in business strategy and growth</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and technology experience</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204" w:lineRule="exact"/>
        <w:rPr>
          <w:sz w:val="20"/>
          <w:szCs w:val="20"/>
          <w:color w:val="auto"/>
        </w:rPr>
      </w:pPr>
    </w:p>
    <w:p>
      <w:pPr>
        <w:ind w:left="10"/>
        <w:spacing w:after="0"/>
        <w:rPr>
          <w:sz w:val="20"/>
          <w:szCs w:val="20"/>
          <w:color w:val="auto"/>
        </w:rPr>
      </w:pPr>
      <w:r>
        <w:rPr>
          <w:rFonts w:ascii="Arial" w:cs="Arial" w:eastAsia="Arial" w:hAnsi="Arial"/>
          <w:sz w:val="22"/>
          <w:szCs w:val="22"/>
          <w:b w:val="1"/>
          <w:bCs w:val="1"/>
          <w:i w:val="1"/>
          <w:iCs w:val="1"/>
          <w:color w:val="auto"/>
        </w:rPr>
        <w:t>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240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5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Board Committees: Audit, Compensation, Corporate Governance (Chair)</w:t>
      </w:r>
    </w:p>
    <w:p>
      <w:pPr>
        <w:spacing w:after="0" w:line="144" w:lineRule="exact"/>
        <w:rPr>
          <w:sz w:val="20"/>
          <w:szCs w:val="20"/>
          <w:color w:val="auto"/>
        </w:rPr>
      </w:pPr>
    </w:p>
    <w:p>
      <w:pPr>
        <w:jc w:val="both"/>
        <w:ind w:left="10"/>
        <w:spacing w:after="0" w:line="237" w:lineRule="auto"/>
        <w:rPr>
          <w:sz w:val="20"/>
          <w:szCs w:val="20"/>
          <w:color w:val="auto"/>
        </w:rPr>
      </w:pPr>
      <w:r>
        <w:rPr>
          <w:rFonts w:ascii="Arial" w:cs="Arial" w:eastAsia="Arial" w:hAnsi="Arial"/>
          <w:sz w:val="18"/>
          <w:szCs w:val="18"/>
          <w:b w:val="1"/>
          <w:bCs w:val="1"/>
          <w:color w:val="auto"/>
        </w:rPr>
        <w:t>Ms. Krominga</w:t>
      </w:r>
      <w:r>
        <w:rPr>
          <w:rFonts w:ascii="Arial" w:cs="Arial" w:eastAsia="Arial" w:hAnsi="Arial"/>
          <w:sz w:val="18"/>
          <w:szCs w:val="18"/>
          <w:color w:val="auto"/>
        </w:rPr>
        <w:t>, age 72, has been a director since October 2006. Ms. Krominga is an attorney, management consultant and</w:t>
      </w:r>
      <w:r>
        <w:rPr>
          <w:rFonts w:ascii="Arial" w:cs="Arial" w:eastAsia="Arial" w:hAnsi="Arial"/>
          <w:sz w:val="18"/>
          <w:szCs w:val="18"/>
          <w:b w:val="1"/>
          <w:bCs w:val="1"/>
          <w:color w:val="auto"/>
        </w:rPr>
        <w:t xml:space="preserve"> </w:t>
      </w:r>
      <w:r>
        <w:rPr>
          <w:rFonts w:ascii="Arial" w:cs="Arial" w:eastAsia="Arial" w:hAnsi="Arial"/>
          <w:sz w:val="18"/>
          <w:szCs w:val="18"/>
          <w:color w:val="auto"/>
        </w:rPr>
        <w:t>former senior executive of global businesses. Ms. Krominga has served on the boards of directors of public, private and not-for-profit companies, as well as advisory boards of start-up and early stage technology and personal care businesses in the U.S. and abroad. Since 1999, she has been a consultant to private equity, venture capital, hedge funds and angel investors, in which capacity she served in a number of operating and board roles, including Chief Executive Officer of Fashion Wire Daily, Inc.; director and audit committee member of AHAVA Dead Sea Laboratories, Ltd. (a global cosmeceuticals business); advisor to London-based Apax Partners for acquisitions in Israel and the United States; director of StructuredWeb, Inc; board of advisors of Makeover Studios, Inc.; General Manager-North America of Electric Fuel, Inc. (an early stage fuel cell-based technology business); and Internet Consultant for private websites in the U.S. and Europe. From 2007 until January 2013, Ms. Krominga served as a director of publicly traded Sunrise Senior Living, Inc., one of the world’s largest assisted living companies, with operations in the U.S., Canada, the U.K. and Germany. From March through November 2008, she served as Chairman of the Board of Sunrise Senior Living and as Lead Director thereafter until January 2013 (when the company was sold). She also served as Chairman of the Compensation Committee (2008-2011), and as a member of the Audit, Compensation and Governance Committees from 2007-2013. Ms. Krominga is the former President of the Revlon and Coleman Worldwide Licensing Divisions, and previously served as General Counsel and International Counsel for Revlon’s global operations. Prior to joining Revlon, she was Senior Counsel at American Express Company and an associate at Cleary, Gottlieb, Steen &amp; Hamilton.</w:t>
      </w:r>
    </w:p>
    <w:p>
      <w:pPr>
        <w:spacing w:after="0" w:line="33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31" w:lineRule="exact"/>
        <w:rPr>
          <w:sz w:val="20"/>
          <w:szCs w:val="20"/>
          <w:color w:val="auto"/>
        </w:rPr>
      </w:pPr>
    </w:p>
    <w:p>
      <w:pPr>
        <w:ind w:left="350" w:hanging="350"/>
        <w:spacing w:after="0"/>
        <w:tabs>
          <w:tab w:leader="none" w:pos="3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legal, governance, licensing, technology and regulatory expertise</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management experience and financial expertise</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32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12" w:name="page13"/>
    <w:bookmarkEnd w:id="12"/>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10"/>
        <w:spacing w:after="0"/>
        <w:rPr>
          <w:sz w:val="20"/>
          <w:szCs w:val="20"/>
          <w:color w:val="auto"/>
        </w:rPr>
      </w:pPr>
      <w:r>
        <w:rPr>
          <w:rFonts w:ascii="Arial" w:cs="Arial" w:eastAsia="Arial" w:hAnsi="Arial"/>
          <w:sz w:val="22"/>
          <w:szCs w:val="22"/>
          <w:b w:val="1"/>
          <w:bCs w:val="1"/>
          <w:i w:val="1"/>
          <w:iCs w:val="1"/>
          <w:color w:val="auto"/>
        </w:rPr>
        <w:t>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240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6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Board Committees: Audit (Chair), Compensation</w:t>
      </w:r>
    </w:p>
    <w:p>
      <w:pPr>
        <w:spacing w:after="0" w:line="131" w:lineRule="exact"/>
        <w:rPr>
          <w:sz w:val="20"/>
          <w:szCs w:val="20"/>
          <w:color w:val="auto"/>
        </w:rPr>
      </w:pPr>
    </w:p>
    <w:p>
      <w:pPr>
        <w:jc w:val="both"/>
        <w:ind w:left="10"/>
        <w:spacing w:after="0" w:line="237" w:lineRule="auto"/>
        <w:rPr>
          <w:sz w:val="20"/>
          <w:szCs w:val="20"/>
          <w:color w:val="auto"/>
        </w:rPr>
      </w:pPr>
      <w:r>
        <w:rPr>
          <w:rFonts w:ascii="Arial" w:cs="Arial" w:eastAsia="Arial" w:hAnsi="Arial"/>
          <w:sz w:val="18"/>
          <w:szCs w:val="18"/>
          <w:b w:val="1"/>
          <w:bCs w:val="1"/>
          <w:color w:val="auto"/>
        </w:rPr>
        <w:t>Mr. Lurie</w:t>
      </w:r>
      <w:r>
        <w:rPr>
          <w:rFonts w:ascii="Arial" w:cs="Arial" w:eastAsia="Arial" w:hAnsi="Arial"/>
          <w:sz w:val="18"/>
          <w:szCs w:val="18"/>
          <w:color w:val="auto"/>
        </w:rPr>
        <w:t>, age 57, has been a director since May 2018. Since August 2021, Mr. Lurie has served as Venture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Stormbreaker Ventures, an early-stage fund focused on capital-efficient startups. Mr. Lurie was the President and Chief Executive Officer of Synchronoss Technologies, Inc. from 2017 to 2020. Prior to joining Synchronoss, Mr. Lurie was employed by AT&amp;T for 27+ years and was President and Chief Executive Officer of AT&amp;T Mobility and Consumer Operations when he retired in September of 2017. Mr. Lurie helped usher in the smartphone era by leading negotiations for AT&amp;T with Apple for the first iPhone and then for the first iPad. He built three groundbreaking businesses at AT&amp;T: IoT (Internet of Things) business – bringing wireless connectivity to tablets, cars, connected cities and consumer electronics; Digital Life – AT&amp;T’s home automation and security business; and the launch of Aio Wireless – now Cricket Wireless, the company’s industry-leading prepaid flanker brand. At AT&amp;T, Mr. Lurie served in a variety of leadership roles, including as President and Chief Executive Officer of Mobility and Consumer Operations from 2016 to 2017, President and Chief Executive Officer of AT&amp;T Mobility from 2014 to 2016, President of Emerging Enterprises and Partnerships Organization from 2011 to 2014 and President of Emerging Devices Organization (now IoT Organization) from 2008 to 2011. Mr. Lurie previously served as a director of Synchronoss, which files reports pursuant to the Exchange Act. Mr. Lurie also serves as a director of Teal Communications, a global eSIM and IoT connectivity platform provider; Blue Link Wireless, an AT&amp;T Authorized Dealer and service provider; and Pivotal Commware, Inc., which develops 5G network platforms, services and applications.</w:t>
      </w:r>
    </w:p>
    <w:p>
      <w:pPr>
        <w:spacing w:after="0" w:line="33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44" w:lineRule="exact"/>
        <w:rPr>
          <w:sz w:val="20"/>
          <w:szCs w:val="20"/>
          <w:color w:val="auto"/>
        </w:rPr>
      </w:pPr>
    </w:p>
    <w:p>
      <w:pPr>
        <w:ind w:left="350" w:hanging="350"/>
        <w:spacing w:after="0"/>
        <w:tabs>
          <w:tab w:leader="none" w:pos="3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Chief Executive Officer experience</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 operations, strategy, and business development experience</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204" w:lineRule="exact"/>
        <w:rPr>
          <w:sz w:val="20"/>
          <w:szCs w:val="20"/>
          <w:color w:val="auto"/>
        </w:rPr>
      </w:pPr>
    </w:p>
    <w:p>
      <w:pPr>
        <w:ind w:left="10"/>
        <w:spacing w:after="0"/>
        <w:rPr>
          <w:sz w:val="20"/>
          <w:szCs w:val="20"/>
          <w:color w:val="auto"/>
        </w:rPr>
      </w:pPr>
      <w:r>
        <w:rPr>
          <w:rFonts w:ascii="Arial" w:cs="Arial" w:eastAsia="Arial" w:hAnsi="Arial"/>
          <w:sz w:val="22"/>
          <w:szCs w:val="22"/>
          <w:b w:val="1"/>
          <w:bCs w:val="1"/>
          <w:i w:val="1"/>
          <w:iCs w:val="1"/>
          <w:color w:val="auto"/>
        </w:rPr>
        <w:t>KARTHIK SARMA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2407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5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Board Committees: Compensation (Chair), Corporate Governance</w:t>
      </w:r>
    </w:p>
    <w:p>
      <w:pPr>
        <w:spacing w:after="0" w:line="144"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b w:val="1"/>
          <w:bCs w:val="1"/>
          <w:color w:val="auto"/>
        </w:rPr>
        <w:t>Mr. Sarma</w:t>
      </w:r>
      <w:r>
        <w:rPr>
          <w:rFonts w:ascii="Arial" w:cs="Arial" w:eastAsia="Arial" w:hAnsi="Arial"/>
          <w:sz w:val="18"/>
          <w:szCs w:val="18"/>
          <w:color w:val="auto"/>
        </w:rPr>
        <w:t>, age 48, has been a director since May 2020. Mr. Sarma is the Managing Partner at SRS, which he founded in</w:t>
      </w:r>
      <w:r>
        <w:rPr>
          <w:rFonts w:ascii="Arial" w:cs="Arial" w:eastAsia="Arial" w:hAnsi="Arial"/>
          <w:sz w:val="18"/>
          <w:szCs w:val="18"/>
          <w:b w:val="1"/>
          <w:bCs w:val="1"/>
          <w:color w:val="auto"/>
        </w:rPr>
        <w:t xml:space="preserve"> </w:t>
      </w:r>
      <w:r>
        <w:rPr>
          <w:rFonts w:ascii="Arial" w:cs="Arial" w:eastAsia="Arial" w:hAnsi="Arial"/>
          <w:sz w:val="18"/>
          <w:szCs w:val="18"/>
          <w:color w:val="auto"/>
        </w:rPr>
        <w:t>2006. Prior to founding SRS, Mr. Sarma was a Managing Director at Tiger Global Management, LLC, which he joined within a few months of its launch in 2001. Prior to joining Tiger Global, Mr. Sarma worked as a consultant at McKinsey &amp; Company in its New York office. Mr. Sarma received a Bachelor of Technology from the Indian Institute of Technology, Chennai and an M.S. from Princeton University.</w:t>
      </w:r>
    </w:p>
    <w:p>
      <w:pPr>
        <w:spacing w:after="0" w:line="32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31" w:lineRule="exact"/>
        <w:rPr>
          <w:sz w:val="20"/>
          <w:szCs w:val="20"/>
          <w:color w:val="auto"/>
        </w:rPr>
      </w:pPr>
    </w:p>
    <w:p>
      <w:pPr>
        <w:ind w:left="350" w:hanging="350"/>
        <w:spacing w:after="0"/>
        <w:tabs>
          <w:tab w:leader="none" w:pos="3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in the technology sector</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and investment expertise</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providing strategic and operational advice</w:t>
      </w:r>
    </w:p>
    <w:p>
      <w:pPr>
        <w:spacing w:after="0" w:line="130" w:lineRule="exact"/>
        <w:rPr>
          <w:rFonts w:ascii="Arial" w:cs="Arial" w:eastAsia="Arial" w:hAnsi="Arial"/>
          <w:sz w:val="18"/>
          <w:szCs w:val="18"/>
          <w:color w:val="auto"/>
        </w:rPr>
      </w:pPr>
    </w:p>
    <w:p>
      <w:pPr>
        <w:ind w:left="350" w:hanging="350"/>
        <w:spacing w:after="0"/>
        <w:tabs>
          <w:tab w:leader="none" w:pos="3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354"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2407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84" w:lineRule="exact"/>
        <w:rPr>
          <w:sz w:val="20"/>
          <w:szCs w:val="20"/>
          <w:color w:val="auto"/>
        </w:rPr>
      </w:pPr>
    </w:p>
    <w:p>
      <w:pPr>
        <w:ind w:left="10"/>
        <w:spacing w:after="0" w:line="271" w:lineRule="auto"/>
        <w:rPr>
          <w:sz w:val="20"/>
          <w:szCs w:val="20"/>
          <w:color w:val="auto"/>
        </w:rPr>
      </w:pPr>
      <w:r>
        <w:rPr>
          <w:rFonts w:ascii="Arial" w:cs="Arial" w:eastAsia="Arial" w:hAnsi="Arial"/>
          <w:sz w:val="18"/>
          <w:szCs w:val="18"/>
          <w:color w:val="auto"/>
        </w:rPr>
        <w:t xml:space="preserve">For additional information regarding the director nomination process, please see the section titled “Director Nomination Procedures” on page </w:t>
      </w:r>
      <w:r>
        <w:rPr>
          <w:rFonts w:ascii="Arial" w:cs="Arial" w:eastAsia="Arial" w:hAnsi="Arial"/>
          <w:sz w:val="18"/>
          <w:szCs w:val="18"/>
          <w:u w:val="single" w:color="auto"/>
          <w:color w:val="0000EE"/>
        </w:rPr>
        <w:t>14</w:t>
      </w:r>
      <w:r>
        <w:rPr>
          <w:rFonts w:ascii="Arial" w:cs="Arial" w:eastAsia="Arial" w:hAnsi="Arial"/>
          <w:sz w:val="18"/>
          <w:szCs w:val="18"/>
          <w:color w:val="auto"/>
        </w:rPr>
        <w:t xml:space="preserve"> of this Proxy Statement.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
        <w:spacing w:after="0"/>
        <w:rPr>
          <w:sz w:val="20"/>
          <w:szCs w:val="20"/>
          <w:color w:val="auto"/>
        </w:rPr>
      </w:pPr>
      <w:r>
        <w:rPr>
          <w:rFonts w:ascii="Arial" w:cs="Arial" w:eastAsia="Arial" w:hAnsi="Arial"/>
          <w:sz w:val="22"/>
          <w:szCs w:val="22"/>
          <w:b w:val="1"/>
          <w:bCs w:val="1"/>
          <w:color w:val="auto"/>
        </w:rPr>
        <w:t>THE BOARD OF DIRECTORS RECOMMENDS A VOTE “FOR ALL” OF THE NOMINEES.</w:t>
      </w:r>
    </w:p>
    <w:p>
      <w:pPr>
        <w:spacing w:after="0" w:line="32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13" w:name="page14"/>
    <w:bookmarkEnd w:id="13"/>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10"/>
        <w:spacing w:after="0"/>
        <w:rPr>
          <w:sz w:val="20"/>
          <w:szCs w:val="20"/>
          <w:color w:val="auto"/>
        </w:rPr>
      </w:pPr>
      <w:r>
        <w:rPr>
          <w:rFonts w:ascii="Arial" w:cs="Arial" w:eastAsia="Arial" w:hAnsi="Arial"/>
          <w:sz w:val="36"/>
          <w:szCs w:val="36"/>
          <w:color w:val="auto"/>
        </w:rPr>
        <w:t>Corporate Governance</w:t>
      </w:r>
    </w:p>
    <w:p>
      <w:pPr>
        <w:spacing w:after="0" w:line="274"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Functions and 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2407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98" w:lineRule="exact"/>
        <w:rPr>
          <w:sz w:val="20"/>
          <w:szCs w:val="20"/>
          <w:color w:val="auto"/>
        </w:rPr>
      </w:pPr>
    </w:p>
    <w:p>
      <w:pPr>
        <w:jc w:val="both"/>
        <w:ind w:left="10" w:right="20"/>
        <w:spacing w:after="0" w:line="253" w:lineRule="auto"/>
        <w:rPr>
          <w:sz w:val="20"/>
          <w:szCs w:val="20"/>
          <w:color w:val="auto"/>
        </w:rPr>
      </w:pPr>
      <w:r>
        <w:rPr>
          <w:rFonts w:ascii="Arial" w:cs="Arial" w:eastAsia="Arial" w:hAnsi="Arial"/>
          <w:sz w:val="18"/>
          <w:szCs w:val="18"/>
          <w:color w:val="auto"/>
        </w:rPr>
        <w:t xml:space="preserve">The Company’s corporate governance guidelines, committee charters, codes of conduct and other documents setting forth the Company’s corporate governance practices can be accessed in the “Investor Relations—Governance”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auto"/>
        </w:rPr>
        <w:t>Director Independence</w:t>
      </w:r>
    </w:p>
    <w:p>
      <w:pPr>
        <w:spacing w:after="0" w:line="148"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To determine director independence, our Board of Directors reviews, among other things, commercial and charitable relationships of each director to evaluate such director’s independence in accordance with the listing standards of the Nasdaq Stock Market LLC (“Nasdaq”). In conducting its review, the Board of Directors considers a number of factors, including the director’s and his or her family members’ relationships with the Company and its subsidiaries, affiliates, executive officers and auditors and his or her relationships with foundations, universities and other non-profit organizations to which the Company has made a certain level of contributions during the past three years.</w:t>
      </w:r>
    </w:p>
    <w:p>
      <w:pPr>
        <w:spacing w:after="0" w:line="3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Independent Nominees</w:t>
      </w:r>
    </w:p>
    <w:p>
      <w:pPr>
        <w:spacing w:after="0" w:line="144" w:lineRule="exact"/>
        <w:rPr>
          <w:sz w:val="20"/>
          <w:szCs w:val="20"/>
          <w:color w:val="auto"/>
        </w:rPr>
      </w:pPr>
    </w:p>
    <w:p>
      <w:pPr>
        <w:jc w:val="both"/>
        <w:ind w:left="10" w:right="20"/>
        <w:spacing w:after="0" w:line="271" w:lineRule="auto"/>
        <w:rPr>
          <w:sz w:val="20"/>
          <w:szCs w:val="20"/>
          <w:color w:val="auto"/>
        </w:rPr>
      </w:pPr>
      <w:r>
        <w:rPr>
          <w:rFonts w:ascii="Arial" w:cs="Arial" w:eastAsia="Arial" w:hAnsi="Arial"/>
          <w:sz w:val="18"/>
          <w:szCs w:val="18"/>
          <w:color w:val="auto"/>
        </w:rPr>
        <w:t>After evaluating the factors described above, the Board of Directors has affirmatively determined that each of the following director nominees is independent in accordance with Nasdaq rules.</w:t>
      </w:r>
    </w:p>
    <w:p>
      <w:pPr>
        <w:sectPr>
          <w:pgSz w:w="11900" w:h="16838" w:orient="portrait"/>
          <w:cols w:equalWidth="0" w:num="1">
            <w:col w:w="9830"/>
          </w:cols>
          <w:pgMar w:left="1030" w:top="263" w:right="1039" w:bottom="1440" w:gutter="0" w:footer="0" w:header="0"/>
        </w:sectPr>
      </w:pPr>
    </w:p>
    <w:p>
      <w:pPr>
        <w:spacing w:after="0" w:line="59" w:lineRule="exact"/>
        <w:rPr>
          <w:sz w:val="20"/>
          <w:szCs w:val="20"/>
          <w:color w:val="auto"/>
        </w:rPr>
      </w:pPr>
    </w:p>
    <w:p>
      <w:pPr>
        <w:ind w:left="1850"/>
        <w:spacing w:after="0"/>
        <w:rPr>
          <w:sz w:val="20"/>
          <w:szCs w:val="20"/>
          <w:color w:val="auto"/>
        </w:rPr>
      </w:pPr>
      <w:r>
        <w:rPr>
          <w:rFonts w:ascii="Arial" w:cs="Arial" w:eastAsia="Arial" w:hAnsi="Arial"/>
          <w:sz w:val="17"/>
          <w:szCs w:val="17"/>
          <w:color w:val="auto"/>
        </w:rPr>
        <w:t>Lynn Krominga</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Karthik Sarma</w:t>
      </w:r>
    </w:p>
    <w:p>
      <w:pPr>
        <w:spacing w:after="0" w:line="115" w:lineRule="exact"/>
        <w:rPr>
          <w:sz w:val="20"/>
          <w:szCs w:val="20"/>
          <w:color w:val="auto"/>
        </w:rPr>
      </w:pPr>
    </w:p>
    <w:p>
      <w:pPr>
        <w:sectPr>
          <w:pgSz w:w="11900" w:h="16838" w:orient="portrait"/>
          <w:cols w:equalWidth="0" w:num="2">
            <w:col w:w="6110" w:space="720"/>
            <w:col w:w="3000"/>
          </w:cols>
          <w:pgMar w:left="1030" w:top="263" w:right="1039" w:bottom="1440" w:gutter="0" w:footer="0" w:header="0"/>
          <w:type w:val="continuous"/>
        </w:sectPr>
      </w:pPr>
    </w:p>
    <w:p>
      <w:pPr>
        <w:ind w:left="1970"/>
        <w:spacing w:after="0"/>
        <w:rPr>
          <w:sz w:val="20"/>
          <w:szCs w:val="20"/>
          <w:color w:val="auto"/>
        </w:rPr>
      </w:pPr>
      <w:r>
        <w:rPr>
          <w:rFonts w:ascii="Arial" w:cs="Arial" w:eastAsia="Arial" w:hAnsi="Arial"/>
          <w:sz w:val="18"/>
          <w:szCs w:val="18"/>
          <w:color w:val="auto"/>
        </w:rPr>
        <w:t>Glenn Lurie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Anu Hariharan</w:t>
      </w:r>
    </w:p>
    <w:p>
      <w:pPr>
        <w:spacing w:after="0" w:line="211" w:lineRule="exact"/>
        <w:rPr>
          <w:sz w:val="20"/>
          <w:szCs w:val="20"/>
          <w:color w:val="auto"/>
        </w:rPr>
      </w:pPr>
    </w:p>
    <w:p>
      <w:pPr>
        <w:sectPr>
          <w:pgSz w:w="11900" w:h="16838" w:orient="portrait"/>
          <w:cols w:equalWidth="0" w:num="2">
            <w:col w:w="6110" w:space="720"/>
            <w:col w:w="3000"/>
          </w:cols>
          <w:pgMar w:left="1030" w:top="263" w:right="1039" w:bottom="1440" w:gutter="0" w:footer="0" w:header="0"/>
          <w:type w:val="continuous"/>
        </w:sectPr>
      </w:pPr>
    </w:p>
    <w:p>
      <w:pPr>
        <w:spacing w:after="0" w:line="39"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The Board has determined that Mr. Hees is not independent because of his status as Executive Chairman of the Board and that Mr. Pahwa is not independent because his brother-in-law is a partner at Deloitte Haskins &amp; Sells LLP, which is affiliated with Deloitte &amp; Touche, LLP, our independent auditor. All of the directors currently serving on our Corporate Governance Committee, Compensation Committee, and Audit Committee are independent based upon Nasdaq corporate governance listing standards and applicable rules of the SEC.</w:t>
      </w:r>
    </w:p>
    <w:p>
      <w:pPr>
        <w:spacing w:after="0" w:line="180"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auto"/>
        </w:rPr>
        <w:t>Board Leadership Structure</w:t>
      </w:r>
    </w:p>
    <w:p>
      <w:pPr>
        <w:spacing w:after="0" w:line="175" w:lineRule="exact"/>
        <w:rPr>
          <w:sz w:val="20"/>
          <w:szCs w:val="20"/>
          <w:color w:val="auto"/>
        </w:rPr>
      </w:pPr>
    </w:p>
    <w:p>
      <w:pPr>
        <w:ind w:left="10"/>
        <w:spacing w:after="0"/>
        <w:rPr>
          <w:sz w:val="20"/>
          <w:szCs w:val="20"/>
          <w:color w:val="auto"/>
        </w:rPr>
      </w:pPr>
      <w:r>
        <w:rPr>
          <w:rFonts w:ascii="Arial" w:cs="Arial" w:eastAsia="Arial" w:hAnsi="Arial"/>
          <w:sz w:val="18"/>
          <w:szCs w:val="18"/>
          <w:color w:val="auto"/>
        </w:rPr>
        <w:t>Our current Board leadership structure consists of:</w:t>
      </w:r>
    </w:p>
    <w:p>
      <w:pPr>
        <w:spacing w:after="0" w:line="131" w:lineRule="exact"/>
        <w:rPr>
          <w:sz w:val="20"/>
          <w:szCs w:val="20"/>
          <w:color w:val="auto"/>
        </w:rPr>
      </w:pPr>
    </w:p>
    <w:p>
      <w:pPr>
        <w:ind w:left="350" w:hanging="350"/>
        <w:spacing w:after="0"/>
        <w:tabs>
          <w:tab w:leader="none" w:pos="3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Chairman of the Board: Bernardo Hees;</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Vice Chairman of the Board: Jagdeep Pahwa; and</w:t>
      </w:r>
    </w:p>
    <w:p>
      <w:pPr>
        <w:spacing w:after="0" w:line="144" w:lineRule="exact"/>
        <w:rPr>
          <w:rFonts w:ascii="Arial" w:cs="Arial" w:eastAsia="Arial" w:hAnsi="Arial"/>
          <w:sz w:val="18"/>
          <w:szCs w:val="18"/>
          <w:color w:val="auto"/>
        </w:rPr>
      </w:pPr>
    </w:p>
    <w:p>
      <w:pPr>
        <w:ind w:left="350" w:hanging="350"/>
        <w:spacing w:after="0"/>
        <w:tabs>
          <w:tab w:leader="none" w:pos="3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Fully independent Compensation, Corporate Governance and Audit Committees.</w:t>
      </w:r>
    </w:p>
    <w:p>
      <w:pPr>
        <w:spacing w:after="0" w:line="131"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Board of Directors is responsible for establishing and maintaining the most effective leadership structure for the Company. The Board regularly reviews its leadership structure to determine the most appropriate arrangement. The Board, which is comprised of individuals who have extensive experience with board processes, has determined that the current leadership structure, as described above, best serves the Company and its shareholders at this time.</w:t>
      </w:r>
    </w:p>
    <w:p>
      <w:pPr>
        <w:spacing w:after="0" w:line="106" w:lineRule="exact"/>
        <w:rPr>
          <w:sz w:val="20"/>
          <w:szCs w:val="20"/>
          <w:color w:val="auto"/>
        </w:rPr>
      </w:pPr>
    </w:p>
    <w:p>
      <w:pPr>
        <w:jc w:val="both"/>
        <w:ind w:left="10"/>
        <w:spacing w:after="0" w:line="238" w:lineRule="auto"/>
        <w:rPr>
          <w:sz w:val="20"/>
          <w:szCs w:val="20"/>
          <w:color w:val="auto"/>
        </w:rPr>
      </w:pPr>
      <w:r>
        <w:rPr>
          <w:rFonts w:ascii="Arial" w:cs="Arial" w:eastAsia="Arial" w:hAnsi="Arial"/>
          <w:sz w:val="18"/>
          <w:szCs w:val="18"/>
          <w:color w:val="auto"/>
        </w:rPr>
        <w:t>The roles of Chief Executive Officer and Chairman were separated in 2015. Mr. Hees was named Executive Chairman of the Board in July 2020, after having joined the Board as independent Board Chair in February 2020. Our Executive Chairman is typically responsible for (i) together with our Vice Chairman, and in consultation with the Chief Executive Officer and other Directors, collaboratively establishing the annual Board calendar, setting agendas for meetings of the Board and providing input as requested on the meeting agendas for the Board’s committees, (ii) leading the discussion at our Board meetings, (iii) chairing the annual meetings of our shareholders, (iv) being available in appropriate circumstances to speak on behalf of the Board and to consult and communicate directly with shareholders, (v) providing guidance and oversight to our management as appropriate, (vi) together with our Vice Chairman, serving as the Board’s liaison to management, (vii) with management, exercising oversight of the Company’s strategic planning initiatives, M&amp;A opportunities and capital structure allocation policies, and (viii) performing such other duties as may be delegated by the Board from time to time.</w:t>
      </w:r>
    </w:p>
    <w:p>
      <w:pPr>
        <w:spacing w:after="0" w:line="29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 Company’s By-laws, the Board may elect one or more Vice Chairmen to preside at Board and shareholder meetings, in the absence of the Chairman of the Board, and to perform such other duties as may be delegated by the Board. The Board believes that Board leadership is enhanced by the appointment of a Vice Chairman, and appointed Mr. Pahwa as Vice Chairman in February 2020.</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maintain flexibility in carrying out its responsibility with respect to leadership structure, the Board does not currently have a requirement that the roles of Chief Executive Officer and Chairman of the Board be separated, or if separated, that the Chairman be independent. Under the Company’s corporate governance guidelines, if the Chairman of the Board is not an independent director, the Board may, but is not required to, designate an independent lead director. The Board believes it is in the best interest of our Company to make these determinations based on the position and direction of our Company and the constitution of the Board and management team from time to time, and accordingly the Board regularly evaluates the appropriateness of this structure to the Company and its strategy.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Management and Risk Assessment</w:t>
      </w:r>
    </w:p>
    <w:p>
      <w:pPr>
        <w:spacing w:after="0" w:line="14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and its committees are actively involved in overseeing our risk management. The full Board routinely assesses our major risks and mitigation measures, in order to promote our shareholders’ and other stakeholders’ interests in our business continuity, long-term resilience, financial strength, and overall success. We believe that our Board composition provides us with robust and well-rounded experience to assist in effective oversight of management. In addition, the Board delegates to its committees responsibility for overseeing certain types of risk, as reflected in the chart below, and the committees in turn report regularly to the Board on activities in their respective areas of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177165</wp:posOffset>
            </wp:positionV>
            <wp:extent cx="5812155" cy="4946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12155" cy="494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senior management team has developed a comprehensive strategic planning and enterprise risk management process for identifying, assessing, and managing risk, which considers factors including severity, immediacy, likelihood and potential impact on us and our strategy. The risk management framework is reviewed at least annually, and management assesses against this framework throughout the year. As part of this process, management periodically leverages the expertise of external advisors to identify trends and emerging risks. Management reviews areas of significant risk and proposed mitigation activities, as well as key themes in existing and emerging risks, and alignment with the company’s disclosure controls and procedures, with the Board’s committees at regular intervals.</w:t>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Executive Compensation Risk</w:t>
      </w:r>
    </w:p>
    <w:p>
      <w:pPr>
        <w:spacing w:after="0" w:line="1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Management annually reviews the Company’s compensation policies and practices for employees generally as they relate to risk management. As part of this process, management reviews the Company’s incentive compensation programs applicable to all employees with the Compensation Committee and the compensation consultant engaged by the Compensation Committee to determine whether such programs create incentives that might motivate inappropriate or excessive risk-taking. In the course of such review, mitigating features of the Company’s incentive compensation programs are considered, including: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 Company has determined that risks arising from the Company’s compensation policies and practices are not reasonably likely to have a material adverse effect on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Communicating with the Board of Directors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Shareholders and other interested parties may send communications directly to the Board of Directors by writing to the Board of Directors, c/o the Corporate Secretary, Avis Budget Group, Inc., 6 Sylvan Way, Parsippany, N.J. 07054. In addition, all parties interested in communicating directly with the Chairman of the Board or with any other independent director may do so by writing to Avis Budget Group, Inc. at the same address, Attention: Chairman of the Board, c/o the Corporate Secretary, via e-mail at </w:t>
      </w:r>
      <w:r>
        <w:rPr>
          <w:rFonts w:ascii="Arial" w:cs="Arial" w:eastAsia="Arial" w:hAnsi="Arial"/>
          <w:sz w:val="18"/>
          <w:szCs w:val="18"/>
          <w:i w:val="1"/>
          <w:iCs w:val="1"/>
          <w:color w:val="auto"/>
        </w:rPr>
        <w:t>chairman@avisbudget.com</w:t>
      </w:r>
      <w:r>
        <w:rPr>
          <w:rFonts w:ascii="Arial" w:cs="Arial" w:eastAsia="Arial" w:hAnsi="Arial"/>
          <w:sz w:val="18"/>
          <w:szCs w:val="18"/>
          <w:color w:val="auto"/>
        </w:rPr>
        <w:t xml:space="preserve">, or by using the form available in the “Investor Relations— Contact the Board”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Chairman is responsible for reviewing and distributing all interested parties’ communications received to the intended recipients and/or to the full Board of Directors, as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Codes of Conduct</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 Relations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of Directors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62407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held six meetings during 2022. In 2022, all directors attended at least 75% of the meetings of the Board of Directors and committees of the Board of Directors on which they served during such director’s period of service. We expect all directors to attend each regularly scheduled Board of Directors meeting. All directors are welcome to attend the Company’s annual meeting of shareholders, and while there is no formal policy regarding attendance at annual meetings, we encourage at least one representative of each of the Audit Committee, Compensation Committee and Corporate Governance Committee to be present at each annual meeting. The 2022 Annual Meeting of Shareholders was attended by two of our directors.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62407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8"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The standing committees of the Board include the Audit Committee, the Compensation Committee and the Corporate Governance Committee.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Corporate</w:t>
            </w:r>
          </w:p>
        </w:tc>
      </w:tr>
      <w:tr>
        <w:trPr>
          <w:trHeight w:val="247"/>
        </w:trPr>
        <w:tc>
          <w:tcPr>
            <w:tcW w:w="4460" w:type="dxa"/>
            <w:vAlign w:val="bottom"/>
          </w:tcPr>
          <w:p>
            <w:pPr>
              <w:ind w:left="100"/>
              <w:spacing w:after="0"/>
              <w:rPr>
                <w:sz w:val="20"/>
                <w:szCs w:val="20"/>
                <w:color w:val="auto"/>
              </w:rPr>
            </w:pPr>
            <w:r>
              <w:rPr>
                <w:rFonts w:ascii="Arial" w:cs="Arial" w:eastAsia="Arial" w:hAnsi="Arial"/>
                <w:sz w:val="18"/>
                <w:szCs w:val="18"/>
                <w:b w:val="1"/>
                <w:bCs w:val="1"/>
                <w:color w:val="auto"/>
              </w:rPr>
              <w:t>Name</w:t>
            </w:r>
          </w:p>
        </w:tc>
        <w:tc>
          <w:tcPr>
            <w:tcW w:w="2200" w:type="dxa"/>
            <w:vAlign w:val="bottom"/>
          </w:tcPr>
          <w:p>
            <w:pPr>
              <w:ind w:left="1500"/>
              <w:spacing w:after="0"/>
              <w:rPr>
                <w:sz w:val="20"/>
                <w:szCs w:val="20"/>
                <w:color w:val="auto"/>
              </w:rPr>
            </w:pPr>
            <w:r>
              <w:rPr>
                <w:rFonts w:ascii="Arial" w:cs="Arial" w:eastAsia="Arial" w:hAnsi="Arial"/>
                <w:sz w:val="18"/>
                <w:szCs w:val="18"/>
                <w:b w:val="1"/>
                <w:bCs w:val="1"/>
                <w:color w:val="auto"/>
              </w:rPr>
              <w:t>Audit</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9"/>
              </w:rPr>
              <w:t>Compensation</w:t>
            </w:r>
          </w:p>
        </w:tc>
        <w:tc>
          <w:tcPr>
            <w:tcW w:w="144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Governance</w:t>
            </w:r>
          </w:p>
        </w:tc>
      </w:tr>
      <w:tr>
        <w:trPr>
          <w:trHeight w:val="42"/>
        </w:trPr>
        <w:tc>
          <w:tcPr>
            <w:tcW w:w="44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336"/>
        </w:trPr>
        <w:tc>
          <w:tcPr>
            <w:tcW w:w="446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Bernardo Hees</w:t>
            </w:r>
          </w:p>
        </w:tc>
        <w:tc>
          <w:tcPr>
            <w:tcW w:w="2200" w:type="dxa"/>
            <w:vAlign w:val="bottom"/>
            <w:tcBorders>
              <w:bottom w:val="single" w:sz="8" w:color="CCCCCC"/>
            </w:tcBorders>
            <w:shd w:val="clear" w:color="auto" w:fill="CCCCCC"/>
          </w:tcPr>
          <w:p>
            <w:pPr>
              <w:spacing w:after="0"/>
              <w:rPr>
                <w:sz w:val="24"/>
                <w:szCs w:val="24"/>
                <w:color w:val="auto"/>
              </w:rPr>
            </w:pPr>
          </w:p>
        </w:tc>
        <w:tc>
          <w:tcPr>
            <w:tcW w:w="1740" w:type="dxa"/>
            <w:vAlign w:val="bottom"/>
            <w:tcBorders>
              <w:bottom w:val="single" w:sz="8" w:color="CCCCCC"/>
            </w:tcBorders>
            <w:shd w:val="clear" w:color="auto" w:fill="CCCCCC"/>
          </w:tcPr>
          <w:p>
            <w:pPr>
              <w:spacing w:after="0"/>
              <w:rPr>
                <w:sz w:val="24"/>
                <w:szCs w:val="24"/>
                <w:color w:val="auto"/>
              </w:rPr>
            </w:pPr>
          </w:p>
        </w:tc>
        <w:tc>
          <w:tcPr>
            <w:tcW w:w="1440" w:type="dxa"/>
            <w:vAlign w:val="bottom"/>
            <w:tcBorders>
              <w:bottom w:val="single" w:sz="8" w:color="CCCCCC"/>
            </w:tcBorders>
            <w:shd w:val="clear" w:color="auto" w:fill="CCCCCC"/>
          </w:tcPr>
          <w:p>
            <w:pPr>
              <w:spacing w:after="0"/>
              <w:rPr>
                <w:sz w:val="24"/>
                <w:szCs w:val="24"/>
                <w:color w:val="auto"/>
              </w:rPr>
            </w:pPr>
          </w:p>
        </w:tc>
      </w:tr>
      <w:tr>
        <w:trPr>
          <w:trHeight w:val="297"/>
        </w:trPr>
        <w:tc>
          <w:tcPr>
            <w:tcW w:w="4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Anu Hariharan</w:t>
            </w:r>
          </w:p>
        </w:tc>
        <w:tc>
          <w:tcPr>
            <w:tcW w:w="2200" w:type="dxa"/>
            <w:vAlign w:val="bottom"/>
            <w:tcBorders>
              <w:top w:val="single" w:sz="8" w:color="auto"/>
            </w:tcBorders>
          </w:tcPr>
          <w:p>
            <w:pPr>
              <w:jc w:val="center"/>
              <w:ind w:left="1170"/>
              <w:spacing w:after="0" w:line="181" w:lineRule="exact"/>
              <w:rPr>
                <w:sz w:val="20"/>
                <w:szCs w:val="20"/>
                <w:color w:val="auto"/>
              </w:rPr>
            </w:pPr>
            <w:r>
              <w:rPr>
                <w:rFonts w:ascii="MS PGothic" w:cs="MS PGothic" w:eastAsia="MS PGothic" w:hAnsi="MS PGothic"/>
                <w:sz w:val="18"/>
                <w:szCs w:val="18"/>
                <w:color w:val="auto"/>
                <w:w w:val="77"/>
              </w:rPr>
              <w:t>✔</w:t>
            </w:r>
          </w:p>
        </w:tc>
        <w:tc>
          <w:tcPr>
            <w:tcW w:w="17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34"/>
        </w:trPr>
        <w:tc>
          <w:tcPr>
            <w:tcW w:w="44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36"/>
        </w:trPr>
        <w:tc>
          <w:tcPr>
            <w:tcW w:w="446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Lynn Krominga</w:t>
            </w:r>
          </w:p>
        </w:tc>
        <w:tc>
          <w:tcPr>
            <w:tcW w:w="2200" w:type="dxa"/>
            <w:vAlign w:val="bottom"/>
            <w:tcBorders>
              <w:bottom w:val="single" w:sz="8" w:color="CCCCCC"/>
            </w:tcBorders>
            <w:shd w:val="clear" w:color="auto" w:fill="CCCCCC"/>
          </w:tcPr>
          <w:p>
            <w:pPr>
              <w:jc w:val="center"/>
              <w:ind w:left="1170"/>
              <w:spacing w:after="0" w:line="181" w:lineRule="exact"/>
              <w:rPr>
                <w:sz w:val="20"/>
                <w:szCs w:val="20"/>
                <w:color w:val="auto"/>
              </w:rPr>
            </w:pPr>
            <w:r>
              <w:rPr>
                <w:rFonts w:ascii="MS PGothic" w:cs="MS PGothic" w:eastAsia="MS PGothic" w:hAnsi="MS PGothic"/>
                <w:sz w:val="18"/>
                <w:szCs w:val="18"/>
                <w:color w:val="auto"/>
                <w:w w:val="77"/>
              </w:rPr>
              <w:t>✔</w:t>
            </w:r>
          </w:p>
        </w:tc>
        <w:tc>
          <w:tcPr>
            <w:tcW w:w="1740" w:type="dxa"/>
            <w:vAlign w:val="bottom"/>
            <w:tcBorders>
              <w:bottom w:val="single" w:sz="8" w:color="CCCCCC"/>
            </w:tcBorders>
            <w:shd w:val="clear" w:color="auto" w:fill="CCCCCC"/>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Borders>
              <w:bottom w:val="single" w:sz="8" w:color="CCCCCC"/>
            </w:tcBorders>
            <w:shd w:val="clear" w:color="auto" w:fill="CCCCCC"/>
          </w:tcPr>
          <w:p>
            <w:pPr>
              <w:jc w:val="center"/>
              <w:ind w:left="30"/>
              <w:spacing w:after="0"/>
              <w:rPr>
                <w:sz w:val="20"/>
                <w:szCs w:val="20"/>
                <w:color w:val="auto"/>
              </w:rPr>
            </w:pPr>
            <w:r>
              <w:rPr>
                <w:rFonts w:ascii="Arial" w:cs="Arial" w:eastAsia="Arial" w:hAnsi="Arial"/>
                <w:sz w:val="18"/>
                <w:szCs w:val="18"/>
                <w:color w:val="auto"/>
              </w:rPr>
              <w:t>Chair</w:t>
            </w:r>
          </w:p>
        </w:tc>
      </w:tr>
      <w:tr>
        <w:trPr>
          <w:trHeight w:val="297"/>
        </w:trPr>
        <w:tc>
          <w:tcPr>
            <w:tcW w:w="4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Glenn Lurie</w:t>
            </w:r>
          </w:p>
        </w:tc>
        <w:tc>
          <w:tcPr>
            <w:tcW w:w="22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Chair</w:t>
            </w:r>
          </w:p>
        </w:tc>
        <w:tc>
          <w:tcPr>
            <w:tcW w:w="174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Borders>
              <w:top w:val="single" w:sz="8" w:color="auto"/>
            </w:tcBorders>
          </w:tcPr>
          <w:p>
            <w:pPr>
              <w:spacing w:after="0"/>
              <w:rPr>
                <w:sz w:val="24"/>
                <w:szCs w:val="24"/>
                <w:color w:val="auto"/>
              </w:rPr>
            </w:pPr>
          </w:p>
        </w:tc>
      </w:tr>
      <w:tr>
        <w:trPr>
          <w:trHeight w:val="34"/>
        </w:trPr>
        <w:tc>
          <w:tcPr>
            <w:tcW w:w="44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36"/>
        </w:trPr>
        <w:tc>
          <w:tcPr>
            <w:tcW w:w="446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Jagdeep Pahwa</w:t>
            </w:r>
          </w:p>
        </w:tc>
        <w:tc>
          <w:tcPr>
            <w:tcW w:w="2200" w:type="dxa"/>
            <w:vAlign w:val="bottom"/>
            <w:tcBorders>
              <w:bottom w:val="single" w:sz="8" w:color="CCCCCC"/>
            </w:tcBorders>
            <w:shd w:val="clear" w:color="auto" w:fill="CCCCCC"/>
          </w:tcPr>
          <w:p>
            <w:pPr>
              <w:spacing w:after="0"/>
              <w:rPr>
                <w:sz w:val="24"/>
                <w:szCs w:val="24"/>
                <w:color w:val="auto"/>
              </w:rPr>
            </w:pPr>
          </w:p>
        </w:tc>
        <w:tc>
          <w:tcPr>
            <w:tcW w:w="1740" w:type="dxa"/>
            <w:vAlign w:val="bottom"/>
            <w:tcBorders>
              <w:bottom w:val="single" w:sz="8" w:color="CCCCCC"/>
            </w:tcBorders>
            <w:shd w:val="clear" w:color="auto" w:fill="CCCCCC"/>
          </w:tcPr>
          <w:p>
            <w:pPr>
              <w:spacing w:after="0"/>
              <w:rPr>
                <w:sz w:val="24"/>
                <w:szCs w:val="24"/>
                <w:color w:val="auto"/>
              </w:rPr>
            </w:pPr>
          </w:p>
        </w:tc>
        <w:tc>
          <w:tcPr>
            <w:tcW w:w="1440" w:type="dxa"/>
            <w:vAlign w:val="bottom"/>
            <w:tcBorders>
              <w:bottom w:val="single" w:sz="8" w:color="CCCCCC"/>
            </w:tcBorders>
            <w:shd w:val="clear" w:color="auto" w:fill="CCCCCC"/>
          </w:tcPr>
          <w:p>
            <w:pPr>
              <w:spacing w:after="0"/>
              <w:rPr>
                <w:sz w:val="24"/>
                <w:szCs w:val="24"/>
                <w:color w:val="auto"/>
              </w:rPr>
            </w:pPr>
          </w:p>
        </w:tc>
      </w:tr>
      <w:tr>
        <w:trPr>
          <w:trHeight w:val="297"/>
        </w:trPr>
        <w:tc>
          <w:tcPr>
            <w:tcW w:w="4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Karthik Sarma</w:t>
            </w:r>
          </w:p>
        </w:tc>
        <w:tc>
          <w:tcPr>
            <w:tcW w:w="22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Chair</w:t>
            </w:r>
          </w:p>
        </w:tc>
        <w:tc>
          <w:tcPr>
            <w:tcW w:w="1440" w:type="dxa"/>
            <w:vAlign w:val="bottom"/>
            <w:tcBorders>
              <w:top w:val="single" w:sz="8" w:color="auto"/>
            </w:tcBorders>
          </w:tcPr>
          <w:p>
            <w:pPr>
              <w:jc w:val="center"/>
              <w:ind w:left="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4"/>
        </w:trPr>
        <w:tc>
          <w:tcPr>
            <w:tcW w:w="44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90"/>
        </w:trPr>
        <w:tc>
          <w:tcPr>
            <w:tcW w:w="446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Committee Meetings Held in 2022</w:t>
            </w:r>
          </w:p>
        </w:tc>
        <w:tc>
          <w:tcPr>
            <w:tcW w:w="2200" w:type="dxa"/>
            <w:vAlign w:val="bottom"/>
            <w:tcBorders>
              <w:bottom w:val="single" w:sz="8" w:color="auto"/>
            </w:tcBorders>
            <w:shd w:val="clear" w:color="auto" w:fill="CCCCCC"/>
          </w:tcPr>
          <w:p>
            <w:pPr>
              <w:jc w:val="center"/>
              <w:ind w:left="1170"/>
              <w:spacing w:after="0"/>
              <w:rPr>
                <w:sz w:val="20"/>
                <w:szCs w:val="20"/>
                <w:color w:val="auto"/>
              </w:rPr>
            </w:pPr>
            <w:r>
              <w:rPr>
                <w:rFonts w:ascii="Arial" w:cs="Arial" w:eastAsia="Arial" w:hAnsi="Arial"/>
                <w:sz w:val="18"/>
                <w:szCs w:val="18"/>
                <w:color w:val="auto"/>
                <w:w w:val="99"/>
              </w:rPr>
              <w:t>4</w:t>
            </w:r>
          </w:p>
        </w:tc>
        <w:tc>
          <w:tcPr>
            <w:tcW w:w="17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5</w:t>
            </w:r>
          </w:p>
        </w:tc>
        <w:tc>
          <w:tcPr>
            <w:tcW w:w="1440" w:type="dxa"/>
            <w:vAlign w:val="bottom"/>
            <w:tcBorders>
              <w:bottom w:val="single" w:sz="8" w:color="auto"/>
            </w:tcBorders>
            <w:shd w:val="clear" w:color="auto" w:fill="CCCCCC"/>
          </w:tcPr>
          <w:p>
            <w:pPr>
              <w:jc w:val="right"/>
              <w:ind w:right="530"/>
              <w:spacing w:after="0"/>
              <w:rPr>
                <w:sz w:val="20"/>
                <w:szCs w:val="20"/>
                <w:color w:val="auto"/>
              </w:rPr>
            </w:pPr>
            <w:r>
              <w:rPr>
                <w:rFonts w:ascii="Arial" w:cs="Arial" w:eastAsia="Arial" w:hAnsi="Arial"/>
                <w:sz w:val="18"/>
                <w:szCs w:val="18"/>
                <w:color w:val="auto"/>
              </w:rPr>
              <w:t>4</w:t>
            </w:r>
          </w:p>
        </w:tc>
      </w:tr>
    </w:tbl>
    <w:p>
      <w:pPr>
        <w:spacing w:after="0" w:line="197"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 xml:space="preserve">The charters of each of the Audit, Compensation and Corporate Governance Committees, respectively, can be found in the “Investor Relations—Governance”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Audit Committee</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Audit Committee assists in the Board’s oversight of:</w:t>
      </w:r>
    </w:p>
    <w:p>
      <w:pPr>
        <w:spacing w:after="0" w:line="131" w:lineRule="exact"/>
        <w:rPr>
          <w:sz w:val="20"/>
          <w:szCs w:val="20"/>
          <w:color w:val="auto"/>
        </w:rPr>
      </w:pPr>
    </w:p>
    <w:p>
      <w:pPr>
        <w:ind w:left="360" w:hanging="35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integrity of the Company’s consolidated financial statements;</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independent auditors’ qualifications and independence;</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the Company’s independent auditors and the Company’s internal audit function;</w:t>
      </w:r>
    </w:p>
    <w:p>
      <w:pPr>
        <w:spacing w:after="0" w:line="130" w:lineRule="exact"/>
        <w:rPr>
          <w:rFonts w:ascii="Arial" w:cs="Arial" w:eastAsia="Arial" w:hAnsi="Arial"/>
          <w:sz w:val="18"/>
          <w:szCs w:val="18"/>
          <w:color w:val="auto"/>
        </w:rPr>
      </w:pPr>
    </w:p>
    <w:p>
      <w:pPr>
        <w:ind w:left="360" w:hanging="35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systems of disclosure controls and procedures, and internal controls over financial reporting;</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major financial risk exposures and the steps management has undertaken to control such risks; and</w:t>
      </w:r>
    </w:p>
    <w:p>
      <w:pPr>
        <w:spacing w:after="0" w:line="130" w:lineRule="exact"/>
        <w:rPr>
          <w:rFonts w:ascii="Arial" w:cs="Arial" w:eastAsia="Arial" w:hAnsi="Arial"/>
          <w:sz w:val="18"/>
          <w:szCs w:val="18"/>
          <w:color w:val="auto"/>
        </w:rPr>
      </w:pPr>
    </w:p>
    <w:p>
      <w:pPr>
        <w:ind w:left="360" w:hanging="35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risks associated with information technology and cybersecurity.</w:t>
      </w:r>
    </w:p>
    <w:p>
      <w:pPr>
        <w:spacing w:after="0" w:line="144"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Board of Directors has determined that all members of the Audit Committee are independent directors within the meaning of applicable Nasdaq rules, and that each member of the Audit Committee has the ability to read and understand fundamental financial statements. The Board of Directors has determined that each of Mr. Lurie and Ms. Krominga qualifies as an “audit committee financial expert” as defined by the rules of the SEC and satisfies Nasdaq’s “financial sophistication” requirement.</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Compensation Committee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Compensation Committee assists in the Board’s oversight of the Company’s compensation policies and programs by:</w:t>
      </w:r>
    </w:p>
    <w:p>
      <w:pPr>
        <w:spacing w:after="0" w:line="144" w:lineRule="exact"/>
        <w:rPr>
          <w:sz w:val="20"/>
          <w:szCs w:val="20"/>
          <w:color w:val="auto"/>
        </w:rPr>
      </w:pPr>
    </w:p>
    <w:p>
      <w:pPr>
        <w:ind w:left="360" w:hanging="350"/>
        <w:spacing w:after="0" w:line="271"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the Chief Executive Officer and determining and approving the Chief Executive Officer’s compensation;</w:t>
      </w:r>
    </w:p>
    <w:p>
      <w:pPr>
        <w:spacing w:after="0" w:line="72" w:lineRule="exact"/>
        <w:rPr>
          <w:rFonts w:ascii="Arial" w:cs="Arial" w:eastAsia="Arial" w:hAnsi="Arial"/>
          <w:sz w:val="18"/>
          <w:szCs w:val="18"/>
          <w:color w:val="auto"/>
        </w:rPr>
      </w:pPr>
    </w:p>
    <w:p>
      <w:pPr>
        <w:ind w:left="360" w:hanging="35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individual elements of total compensation for our other executive officers;</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our annual and long-term incentive compensation programs and plans;</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all stock option and other equity awards;</w:t>
      </w:r>
    </w:p>
    <w:p>
      <w:pPr>
        <w:spacing w:after="0" w:line="130" w:lineRule="exact"/>
        <w:rPr>
          <w:rFonts w:ascii="Arial" w:cs="Arial" w:eastAsia="Arial" w:hAnsi="Arial"/>
          <w:sz w:val="18"/>
          <w:szCs w:val="18"/>
          <w:color w:val="auto"/>
        </w:rPr>
      </w:pPr>
    </w:p>
    <w:p>
      <w:pPr>
        <w:ind w:left="360" w:hanging="35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assessing the results of the Company’s most recent advisory vote on executive compensation; and</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evaluating whether compensation arrangements for executive officers incentivize unnecessary risk-taking.</w:t>
      </w:r>
    </w:p>
    <w:p>
      <w:pPr>
        <w:spacing w:after="0" w:line="144"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We refer you to “Executive Compensation” below for additional information regarding the Compensation Committee’s processes and procedures.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of Directors has determined that each member of the Compensation Committee is an independent director in accordance with Nasdaq rules and a non-employee director for purposes of Section 16 of the Exchange Act.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Committee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of the Corporate Governance Committee qualifies as an independent director under applicable Nasdaq rules.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Nomination Procedures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Corporate Governance Committee will consider written proposals from shareholders for candidates to be nominees for director positions. In considering candidates submitted by shareholders, the Corporate Governance Committee will take into consideration the needs of the Board of Directors and the qualifications of the candidate. Any such proposal should be submitted to the Corporate Governance Committee, c/o the Corporate Secretary of the Company, at Avis Budget Group, Inc., 6 Sylvan Way, Parsippany, N.J. 07054, and should include the following: (a) the name of the shareholder and evidence of such shareholder’s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and serve as a director, if selected by the Corporate Governance Committee, nominated by the Board of Directors and elected. The written proposal should be submitted in the time frame and consistent with the requirements described in the Company’s By-laws and under the caption “Shareholder Proposals for 2024 Annual Meeting” below.</w:t>
      </w:r>
    </w:p>
    <w:p>
      <w:pPr>
        <w:spacing w:after="0" w:line="1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Corporate Governance Committee’s process for identifying and evaluating candidates to be nominees to the Board of Directors is typically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which would help the Board to identify candidates. As part of the search process, the Corporate Governance Committee includes women and historically underrepresented candidates in the pool of candidates and instructs any search firm the Committee engages to do so (often called a “Rooney Rule”). These candidates are evaluated by the Corporate Governance Committee by reviewing such candidates’ biographical information and qualifications and checking the candidates’ references. The Corporate Governance Committee evaluates whether the candidate is qualified to serve as a director and whether the Corporate Governance Committee should recommend to the Board of Directors that the Board nominate the candidate or elect the candidate to fill a vacancy on the Board of Directors. Candidates recommended by the Corporate Governance Committee are presented to the Board of Directors for selection as nominees to be presented for the approval of the shareholders or for election to fill a vacancy.</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general, the Corporate Governance Committee expects that a similar evaluation process would be used to evaluate director candidates recommended by shareholders.</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Diversity</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set forth in its charter and the Company’s corporate governance guidelines,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 national origin. The Company’s corporate governance guidelines affirm the Committee’s commitment to diversity to include, and shall have any search firm it engages include, women and historically underrepresented candidates in the pool from which the Corporate Governance Committee selects director candidates. The Corporate Governance Committee implements that policy by actively considering diversity in the mix of qualifications, experience, attributes or skills included in its process of identifying and evaluating candidates to be nominees to the Board in accordance with its charter. The Company believes that its nominees further its commitment to enhancing diversity at the Board level.</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Board Diversity Matrix as of April 5, 2023</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43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Total Number of Directors</w:t>
            </w:r>
          </w:p>
        </w:tc>
        <w:tc>
          <w:tcPr>
            <w:tcW w:w="2300" w:type="dxa"/>
            <w:vAlign w:val="bottom"/>
            <w:tcBorders>
              <w:top w:val="single" w:sz="8" w:color="auto"/>
            </w:tcBorders>
          </w:tcPr>
          <w:p>
            <w:pPr>
              <w:spacing w:after="0"/>
              <w:rPr>
                <w:sz w:val="24"/>
                <w:szCs w:val="24"/>
                <w:color w:val="auto"/>
              </w:rPr>
            </w:pPr>
          </w:p>
        </w:tc>
        <w:tc>
          <w:tcPr>
            <w:tcW w:w="3180" w:type="dxa"/>
            <w:vAlign w:val="bottom"/>
            <w:tcBorders>
              <w:top w:val="single" w:sz="8" w:color="auto"/>
              <w:right w:val="single" w:sz="8" w:color="auto"/>
            </w:tcBorders>
            <w:gridSpan w:val="2"/>
          </w:tcPr>
          <w:p>
            <w:pPr>
              <w:jc w:val="right"/>
              <w:ind w:right="2450"/>
              <w:spacing w:after="0"/>
              <w:rPr>
                <w:sz w:val="20"/>
                <w:szCs w:val="20"/>
                <w:color w:val="auto"/>
              </w:rPr>
            </w:pPr>
            <w:r>
              <w:rPr>
                <w:rFonts w:ascii="Arial" w:cs="Arial" w:eastAsia="Arial" w:hAnsi="Arial"/>
                <w:sz w:val="18"/>
                <w:szCs w:val="18"/>
                <w:b w:val="1"/>
                <w:bCs w:val="1"/>
                <w:color w:val="auto"/>
              </w:rPr>
              <w:t>6</w:t>
            </w:r>
          </w:p>
        </w:tc>
      </w:tr>
      <w:tr>
        <w:trPr>
          <w:trHeight w:val="42"/>
        </w:trPr>
        <w:tc>
          <w:tcPr>
            <w:tcW w:w="4360" w:type="dxa"/>
            <w:vAlign w:val="bottom"/>
            <w:tcBorders>
              <w:left w:val="single" w:sz="8" w:color="auto"/>
              <w:bottom w:val="single" w:sz="8" w:color="auto"/>
              <w:right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r>
      <w:tr>
        <w:trPr>
          <w:trHeight w:val="336"/>
        </w:trPr>
        <w:tc>
          <w:tcPr>
            <w:tcW w:w="4360" w:type="dxa"/>
            <w:vAlign w:val="bottom"/>
            <w:tcBorders>
              <w:left w:val="single" w:sz="8" w:color="auto"/>
              <w:bottom w:val="single" w:sz="8" w:color="CCCCCC"/>
              <w:right w:val="single" w:sz="8" w:color="auto"/>
            </w:tcBorders>
            <w:shd w:val="clear" w:color="auto" w:fill="CCCCCC"/>
          </w:tcPr>
          <w:p>
            <w:pPr>
              <w:spacing w:after="0"/>
              <w:rPr>
                <w:sz w:val="24"/>
                <w:szCs w:val="24"/>
                <w:color w:val="auto"/>
              </w:rPr>
            </w:pPr>
          </w:p>
        </w:tc>
        <w:tc>
          <w:tcPr>
            <w:tcW w:w="2300" w:type="dxa"/>
            <w:vAlign w:val="bottom"/>
            <w:tcBorders>
              <w:bottom w:val="single" w:sz="8" w:color="CCCCCC"/>
            </w:tcBorders>
            <w:shd w:val="clear" w:color="auto" w:fill="CCCCCC"/>
          </w:tcPr>
          <w:p>
            <w:pPr>
              <w:jc w:val="center"/>
              <w:ind w:left="510"/>
              <w:spacing w:after="0"/>
              <w:rPr>
                <w:sz w:val="20"/>
                <w:szCs w:val="20"/>
                <w:color w:val="auto"/>
              </w:rPr>
            </w:pPr>
            <w:r>
              <w:rPr>
                <w:rFonts w:ascii="Arial" w:cs="Arial" w:eastAsia="Arial" w:hAnsi="Arial"/>
                <w:sz w:val="18"/>
                <w:szCs w:val="18"/>
                <w:b w:val="1"/>
                <w:bCs w:val="1"/>
                <w:color w:val="auto"/>
                <w:w w:val="99"/>
              </w:rPr>
              <w:t>Female</w:t>
            </w:r>
          </w:p>
        </w:tc>
        <w:tc>
          <w:tcPr>
            <w:tcW w:w="620" w:type="dxa"/>
            <w:vAlign w:val="bottom"/>
            <w:tcBorders>
              <w:bottom w:val="single" w:sz="8" w:color="CCCCCC"/>
              <w:right w:val="single" w:sz="8" w:color="auto"/>
            </w:tcBorders>
            <w:shd w:val="clear" w:color="auto" w:fill="CCCCCC"/>
          </w:tcPr>
          <w:p>
            <w:pPr>
              <w:spacing w:after="0"/>
              <w:rPr>
                <w:sz w:val="24"/>
                <w:szCs w:val="24"/>
                <w:color w:val="auto"/>
              </w:rPr>
            </w:pPr>
          </w:p>
        </w:tc>
        <w:tc>
          <w:tcPr>
            <w:tcW w:w="2560" w:type="dxa"/>
            <w:vAlign w:val="bottom"/>
            <w:tcBorders>
              <w:bottom w:val="single" w:sz="8" w:color="CCCCCC"/>
              <w:right w:val="single" w:sz="8" w:color="auto"/>
            </w:tcBorders>
            <w:shd w:val="clear" w:color="auto" w:fill="CCCCCC"/>
          </w:tcPr>
          <w:p>
            <w:pPr>
              <w:jc w:val="center"/>
              <w:ind w:left="190"/>
              <w:spacing w:after="0"/>
              <w:rPr>
                <w:sz w:val="20"/>
                <w:szCs w:val="20"/>
                <w:color w:val="auto"/>
              </w:rPr>
            </w:pPr>
            <w:r>
              <w:rPr>
                <w:rFonts w:ascii="Arial" w:cs="Arial" w:eastAsia="Arial" w:hAnsi="Arial"/>
                <w:sz w:val="18"/>
                <w:szCs w:val="18"/>
                <w:b w:val="1"/>
                <w:bCs w:val="1"/>
                <w:color w:val="auto"/>
                <w:w w:val="99"/>
              </w:rPr>
              <w:t>Male</w:t>
            </w:r>
          </w:p>
        </w:tc>
      </w:tr>
      <w:tr>
        <w:trPr>
          <w:trHeight w:val="336"/>
        </w:trPr>
        <w:tc>
          <w:tcPr>
            <w:tcW w:w="4360" w:type="dxa"/>
            <w:vAlign w:val="bottom"/>
            <w:tcBorders>
              <w:top w:val="single" w:sz="8" w:color="auto"/>
              <w:left w:val="single" w:sz="8" w:color="auto"/>
              <w:bottom w:val="single" w:sz="8" w:color="CCCCCC"/>
              <w:right w:val="single" w:sz="8" w:color="CCCCCC"/>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Gender Identity</w:t>
            </w:r>
          </w:p>
        </w:tc>
        <w:tc>
          <w:tcPr>
            <w:tcW w:w="2300" w:type="dxa"/>
            <w:vAlign w:val="bottom"/>
            <w:tcBorders>
              <w:top w:val="single" w:sz="8" w:color="auto"/>
              <w:bottom w:val="single" w:sz="8" w:color="CCCCCC"/>
            </w:tcBorders>
            <w:shd w:val="clear" w:color="auto" w:fill="CCCCCC"/>
          </w:tcPr>
          <w:p>
            <w:pPr>
              <w:spacing w:after="0"/>
              <w:rPr>
                <w:sz w:val="24"/>
                <w:szCs w:val="24"/>
                <w:color w:val="auto"/>
              </w:rPr>
            </w:pPr>
          </w:p>
        </w:tc>
        <w:tc>
          <w:tcPr>
            <w:tcW w:w="62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2560" w:type="dxa"/>
            <w:vAlign w:val="bottom"/>
            <w:tcBorders>
              <w:top w:val="single" w:sz="8" w:color="auto"/>
              <w:bottom w:val="single" w:sz="8" w:color="CCCCCC"/>
              <w:right w:val="single" w:sz="8" w:color="auto"/>
            </w:tcBorders>
            <w:shd w:val="clear" w:color="auto" w:fill="CCCCCC"/>
          </w:tcPr>
          <w:p>
            <w:pPr>
              <w:spacing w:after="0"/>
              <w:rPr>
                <w:sz w:val="24"/>
                <w:szCs w:val="24"/>
                <w:color w:val="auto"/>
              </w:rPr>
            </w:pPr>
          </w:p>
        </w:tc>
      </w:tr>
      <w:tr>
        <w:trPr>
          <w:trHeight w:val="281"/>
        </w:trPr>
        <w:tc>
          <w:tcPr>
            <w:tcW w:w="43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Directors</w:t>
            </w:r>
          </w:p>
        </w:tc>
        <w:tc>
          <w:tcPr>
            <w:tcW w:w="2300" w:type="dxa"/>
            <w:vAlign w:val="bottom"/>
            <w:tcBorders>
              <w:top w:val="single" w:sz="8" w:color="auto"/>
            </w:tcBorders>
          </w:tcPr>
          <w:p>
            <w:pPr>
              <w:jc w:val="center"/>
              <w:ind w:left="510"/>
              <w:spacing w:after="0"/>
              <w:rPr>
                <w:sz w:val="20"/>
                <w:szCs w:val="20"/>
                <w:color w:val="auto"/>
              </w:rPr>
            </w:pPr>
            <w:r>
              <w:rPr>
                <w:rFonts w:ascii="Arial" w:cs="Arial" w:eastAsia="Arial" w:hAnsi="Arial"/>
                <w:sz w:val="18"/>
                <w:szCs w:val="18"/>
                <w:color w:val="auto"/>
                <w:w w:val="99"/>
              </w:rPr>
              <w:t>2</w:t>
            </w:r>
          </w:p>
        </w:tc>
        <w:tc>
          <w:tcPr>
            <w:tcW w:w="620" w:type="dxa"/>
            <w:vAlign w:val="bottom"/>
            <w:tcBorders>
              <w:top w:val="single" w:sz="8" w:color="auto"/>
              <w:right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99"/>
              </w:rPr>
              <w:t>4</w:t>
            </w:r>
          </w:p>
        </w:tc>
      </w:tr>
      <w:tr>
        <w:trPr>
          <w:trHeight w:val="50"/>
        </w:trPr>
        <w:tc>
          <w:tcPr>
            <w:tcW w:w="4360" w:type="dxa"/>
            <w:vAlign w:val="bottom"/>
            <w:tcBorders>
              <w:left w:val="single" w:sz="8" w:color="auto"/>
              <w:bottom w:val="single" w:sz="8" w:color="auto"/>
              <w:right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r>
      <w:tr>
        <w:trPr>
          <w:trHeight w:val="336"/>
        </w:trPr>
        <w:tc>
          <w:tcPr>
            <w:tcW w:w="4360" w:type="dxa"/>
            <w:vAlign w:val="bottom"/>
            <w:tcBorders>
              <w:left w:val="single" w:sz="8" w:color="auto"/>
              <w:bottom w:val="single" w:sz="8" w:color="CCCCCC"/>
              <w:right w:val="single" w:sz="8" w:color="CCCCCC"/>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Demographic Background</w:t>
            </w:r>
          </w:p>
        </w:tc>
        <w:tc>
          <w:tcPr>
            <w:tcW w:w="2300" w:type="dxa"/>
            <w:vAlign w:val="bottom"/>
            <w:tcBorders>
              <w:bottom w:val="single" w:sz="8" w:color="CCCCCC"/>
            </w:tcBorders>
            <w:shd w:val="clear" w:color="auto" w:fill="CCCCCC"/>
          </w:tcPr>
          <w:p>
            <w:pPr>
              <w:spacing w:after="0"/>
              <w:rPr>
                <w:sz w:val="24"/>
                <w:szCs w:val="24"/>
                <w:color w:val="auto"/>
              </w:rPr>
            </w:pPr>
          </w:p>
        </w:tc>
        <w:tc>
          <w:tcPr>
            <w:tcW w:w="620" w:type="dxa"/>
            <w:vAlign w:val="bottom"/>
            <w:tcBorders>
              <w:bottom w:val="single" w:sz="8" w:color="CCCCCC"/>
              <w:right w:val="single" w:sz="8" w:color="CCCCCC"/>
            </w:tcBorders>
            <w:shd w:val="clear" w:color="auto" w:fill="CCCCCC"/>
          </w:tcPr>
          <w:p>
            <w:pPr>
              <w:spacing w:after="0"/>
              <w:rPr>
                <w:sz w:val="24"/>
                <w:szCs w:val="24"/>
                <w:color w:val="auto"/>
              </w:rPr>
            </w:pPr>
          </w:p>
        </w:tc>
        <w:tc>
          <w:tcPr>
            <w:tcW w:w="2560" w:type="dxa"/>
            <w:vAlign w:val="bottom"/>
            <w:tcBorders>
              <w:bottom w:val="single" w:sz="8" w:color="CCCCCC"/>
              <w:right w:val="single" w:sz="8" w:color="auto"/>
            </w:tcBorders>
            <w:shd w:val="clear" w:color="auto" w:fill="CCCCCC"/>
          </w:tcPr>
          <w:p>
            <w:pPr>
              <w:spacing w:after="0"/>
              <w:rPr>
                <w:sz w:val="24"/>
                <w:szCs w:val="24"/>
                <w:color w:val="auto"/>
              </w:rPr>
            </w:pPr>
          </w:p>
        </w:tc>
      </w:tr>
      <w:tr>
        <w:trPr>
          <w:trHeight w:val="281"/>
        </w:trPr>
        <w:tc>
          <w:tcPr>
            <w:tcW w:w="43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Asian</w:t>
            </w:r>
          </w:p>
        </w:tc>
        <w:tc>
          <w:tcPr>
            <w:tcW w:w="2300" w:type="dxa"/>
            <w:vAlign w:val="bottom"/>
            <w:tcBorders>
              <w:top w:val="single" w:sz="8" w:color="auto"/>
            </w:tcBorders>
          </w:tcPr>
          <w:p>
            <w:pPr>
              <w:jc w:val="center"/>
              <w:ind w:left="510"/>
              <w:spacing w:after="0"/>
              <w:rPr>
                <w:sz w:val="20"/>
                <w:szCs w:val="20"/>
                <w:color w:val="auto"/>
              </w:rPr>
            </w:pPr>
            <w:r>
              <w:rPr>
                <w:rFonts w:ascii="Arial" w:cs="Arial" w:eastAsia="Arial" w:hAnsi="Arial"/>
                <w:sz w:val="18"/>
                <w:szCs w:val="18"/>
                <w:color w:val="auto"/>
                <w:w w:val="99"/>
              </w:rPr>
              <w:t>1</w:t>
            </w:r>
          </w:p>
        </w:tc>
        <w:tc>
          <w:tcPr>
            <w:tcW w:w="620" w:type="dxa"/>
            <w:vAlign w:val="bottom"/>
            <w:tcBorders>
              <w:top w:val="single" w:sz="8" w:color="auto"/>
              <w:right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99"/>
              </w:rPr>
              <w:t>2</w:t>
            </w:r>
          </w:p>
        </w:tc>
      </w:tr>
      <w:tr>
        <w:trPr>
          <w:trHeight w:val="50"/>
        </w:trPr>
        <w:tc>
          <w:tcPr>
            <w:tcW w:w="4360" w:type="dxa"/>
            <w:vAlign w:val="bottom"/>
            <w:tcBorders>
              <w:left w:val="single" w:sz="8" w:color="auto"/>
              <w:bottom w:val="single" w:sz="8" w:color="auto"/>
              <w:right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r>
      <w:tr>
        <w:trPr>
          <w:trHeight w:val="281"/>
        </w:trPr>
        <w:tc>
          <w:tcPr>
            <w:tcW w:w="43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Hispanic or Latinx</w:t>
            </w:r>
          </w:p>
        </w:tc>
        <w:tc>
          <w:tcPr>
            <w:tcW w:w="2300" w:type="dxa"/>
            <w:vAlign w:val="bottom"/>
          </w:tcPr>
          <w:p>
            <w:pPr>
              <w:jc w:val="center"/>
              <w:ind w:left="510"/>
              <w:spacing w:after="0"/>
              <w:rPr>
                <w:sz w:val="20"/>
                <w:szCs w:val="20"/>
                <w:color w:val="auto"/>
              </w:rPr>
            </w:pPr>
            <w:r>
              <w:rPr>
                <w:rFonts w:ascii="Arial" w:cs="Arial" w:eastAsia="Arial" w:hAnsi="Arial"/>
                <w:sz w:val="18"/>
                <w:szCs w:val="18"/>
                <w:color w:val="auto"/>
                <w:w w:val="99"/>
              </w:rPr>
              <w:t>0</w:t>
            </w:r>
          </w:p>
        </w:tc>
        <w:tc>
          <w:tcPr>
            <w:tcW w:w="62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tcPr>
          <w:p>
            <w:pPr>
              <w:jc w:val="center"/>
              <w:ind w:left="210"/>
              <w:spacing w:after="0"/>
              <w:rPr>
                <w:sz w:val="20"/>
                <w:szCs w:val="20"/>
                <w:color w:val="auto"/>
              </w:rPr>
            </w:pPr>
            <w:r>
              <w:rPr>
                <w:rFonts w:ascii="Arial" w:cs="Arial" w:eastAsia="Arial" w:hAnsi="Arial"/>
                <w:sz w:val="18"/>
                <w:szCs w:val="18"/>
                <w:color w:val="auto"/>
                <w:w w:val="99"/>
              </w:rPr>
              <w:t>1</w:t>
            </w:r>
          </w:p>
        </w:tc>
      </w:tr>
      <w:tr>
        <w:trPr>
          <w:trHeight w:val="50"/>
        </w:trPr>
        <w:tc>
          <w:tcPr>
            <w:tcW w:w="4360" w:type="dxa"/>
            <w:vAlign w:val="bottom"/>
            <w:tcBorders>
              <w:left w:val="single" w:sz="8" w:color="auto"/>
              <w:bottom w:val="single" w:sz="8" w:color="auto"/>
              <w:right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r>
      <w:tr>
        <w:trPr>
          <w:trHeight w:val="286"/>
        </w:trPr>
        <w:tc>
          <w:tcPr>
            <w:tcW w:w="43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White</w:t>
            </w:r>
          </w:p>
        </w:tc>
        <w:tc>
          <w:tcPr>
            <w:tcW w:w="23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9"/>
              </w:rPr>
              <w:t>1</w:t>
            </w:r>
          </w:p>
        </w:tc>
        <w:tc>
          <w:tcPr>
            <w:tcW w:w="62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99"/>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1978025</wp:posOffset>
            </wp:positionH>
            <wp:positionV relativeFrom="paragraph">
              <wp:posOffset>214630</wp:posOffset>
            </wp:positionV>
            <wp:extent cx="2305685" cy="1868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0568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Oversight of Environmental, Social and Governance (“ESG”) Matters</w:t>
      </w:r>
    </w:p>
    <w:p>
      <w:pPr>
        <w:spacing w:after="0" w:line="12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Board and our management recognize the importance of oversight of ESG matters. Oversight responsibilities of the Corporate Governance Committee for ESG matters for the Company are memorialized in the Committee’s charter to specify its responsibility to:</w:t>
      </w:r>
    </w:p>
    <w:p>
      <w:pPr>
        <w:spacing w:after="0" w:line="101" w:lineRule="exact"/>
        <w:rPr>
          <w:sz w:val="20"/>
          <w:szCs w:val="20"/>
          <w:color w:val="auto"/>
        </w:rPr>
      </w:pPr>
    </w:p>
    <w:p>
      <w:pPr>
        <w:ind w:left="360" w:hanging="350"/>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discuss emerging best practices, trends and key issues related to ESG matters; and</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 the Company’s strategy and governance of ESG matters and to advise the Board on such matters.</w:t>
      </w:r>
    </w:p>
    <w:p>
      <w:pPr>
        <w:spacing w:after="0" w:line="131"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The Corporate Governance Committee reviews all significant ESG policies, processes, and commitments, and oversees the Company’s assessments of its progress towards achieving its ESG targets and goals. The Corporate Governance Committee also oversees the Company’s risks and disclosures related to ESG and annual ESG reporting, which cover matters such as the environment, human rights, labor, health and safety, workforce diversity, supply chain, governance and similar matters affecting our stakeholders, and causes a briefing on ESG matters to be provided to the Board on at least an annual basis.</w:t>
      </w:r>
    </w:p>
    <w:p>
      <w:pPr>
        <w:spacing w:after="0" w:line="111" w:lineRule="exact"/>
        <w:rPr>
          <w:sz w:val="20"/>
          <w:szCs w:val="20"/>
          <w:color w:val="auto"/>
        </w:rPr>
      </w:pPr>
    </w:p>
    <w:p>
      <w:pPr>
        <w:jc w:val="both"/>
        <w:ind w:left="20" w:right="20"/>
        <w:spacing w:after="0" w:line="247" w:lineRule="auto"/>
        <w:rPr>
          <w:sz w:val="20"/>
          <w:szCs w:val="20"/>
          <w:color w:val="auto"/>
        </w:rPr>
      </w:pPr>
      <w:r>
        <w:rPr>
          <w:rFonts w:ascii="Arial" w:cs="Arial" w:eastAsia="Arial" w:hAnsi="Arial"/>
          <w:sz w:val="18"/>
          <w:szCs w:val="18"/>
          <w:color w:val="auto"/>
        </w:rPr>
        <w:t>In addition, the Corporate Governance Committee conducts periodic reviews of the Company’s programs, policies and procedures in the area of ESG. This includes, among other things, directing senior management to report to the Corporate Governance Committee, on a periodic basis, assessments and progress against both longer- and shorter-term key objectives, metrics and program enhancements set by senior management and reviewed by the Committee.</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62407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84"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Board of Directors is responsible for the development, implementation and periodic review of a succession plan for the Chief Executive Officer and for overseeing the development, implementation and periodic review of a succession plan for senior executives. 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w:t>
      </w:r>
    </w:p>
    <w:p>
      <w:pPr>
        <w:spacing w:after="0" w:line="109"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The Board of Directors views succession planning as an ongoing process and will continue its review of available talent, both internal and external, to ensure the uninterrupted strength of the entire management team. In order to ensure that qualified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19" w:name="page20"/>
    <w:bookmarkEnd w:id="19"/>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candidates are available for senior executive positions, the Board of Directors oversees the development of internal candidates and is responsible, if necessary, for the identification of suitable external successor candidates. The Board of Directors also maintains an “emergency” succession plan in the event of an unexpected disability or inability of any of our senior executives to perform his or her duties.</w:t>
      </w:r>
    </w:p>
    <w:p>
      <w:pPr>
        <w:spacing w:after="0" w:line="182"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2407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8"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The Company has adopted written procedures for the review, approval or ratification of transactions with related persons that apply to any transaction, arrangement or relationship in which:</w:t>
      </w:r>
    </w:p>
    <w:p>
      <w:pPr>
        <w:spacing w:after="0" w:line="73" w:lineRule="exact"/>
        <w:rPr>
          <w:sz w:val="20"/>
          <w:szCs w:val="20"/>
          <w:color w:val="auto"/>
        </w:rPr>
      </w:pPr>
    </w:p>
    <w:p>
      <w:pPr>
        <w:ind w:left="350" w:hanging="350"/>
        <w:spacing w:after="0"/>
        <w:tabs>
          <w:tab w:leader="none" w:pos="3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(including any of its subsidiaries) was, is or will be a participant; and</w:t>
      </w:r>
    </w:p>
    <w:p>
      <w:pPr>
        <w:spacing w:after="0" w:line="144" w:lineRule="exact"/>
        <w:rPr>
          <w:rFonts w:ascii="Arial" w:cs="Arial" w:eastAsia="Arial" w:hAnsi="Arial"/>
          <w:sz w:val="18"/>
          <w:szCs w:val="18"/>
          <w:color w:val="auto"/>
        </w:rPr>
      </w:pPr>
    </w:p>
    <w:p>
      <w:pPr>
        <w:jc w:val="both"/>
        <w:ind w:left="350" w:hanging="350"/>
        <w:spacing w:after="0" w:line="247" w:lineRule="auto"/>
        <w:tabs>
          <w:tab w:leader="none" w:pos="3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related person (</w:t>
      </w:r>
      <w:r>
        <w:rPr>
          <w:rFonts w:ascii="Arial" w:cs="Arial" w:eastAsia="Arial" w:hAnsi="Arial"/>
          <w:sz w:val="18"/>
          <w:szCs w:val="18"/>
          <w:i w:val="1"/>
          <w:iCs w:val="1"/>
          <w:color w:val="auto"/>
        </w:rPr>
        <w:t>i.e.</w:t>
      </w:r>
      <w:r>
        <w:rPr>
          <w:rFonts w:ascii="Arial" w:cs="Arial" w:eastAsia="Arial" w:hAnsi="Arial"/>
          <w:sz w:val="18"/>
          <w:szCs w:val="18"/>
          <w:color w:val="auto"/>
        </w:rPr>
        <w:t>, a director, executive officer, director nominee, or any greater than 5% beneficial owner, or any immediate family member of the foregoing, or any entity in which any of the foregoing persons is employed, or is a partner, principal or in a similar position, or has any greater than 5% beneficial interest) had, has or will have a direct or indirect interest.</w:t>
      </w:r>
    </w:p>
    <w:p>
      <w:pPr>
        <w:spacing w:after="0" w:line="106"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Under the Company’s related persons policy, transactions with related persons are reviewed in advance by the General Counsel, Chief Compliance Officer and Corporate Secretary of the Company, or in certain circumstances, as soon as possible thereafter. If it is determined by such officer that the transaction is a related person transaction and the amount involved exceeds $120,000:</w:t>
      </w:r>
    </w:p>
    <w:p>
      <w:pPr>
        <w:spacing w:after="0" w:line="93" w:lineRule="exact"/>
        <w:rPr>
          <w:sz w:val="20"/>
          <w:szCs w:val="20"/>
          <w:color w:val="auto"/>
        </w:rPr>
      </w:pPr>
    </w:p>
    <w:p>
      <w:pPr>
        <w:ind w:left="350" w:hanging="350"/>
        <w:spacing w:after="0" w:line="271" w:lineRule="auto"/>
        <w:tabs>
          <w:tab w:leader="none" w:pos="3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transaction will be submitted for review to the Audit Committee, or, under certain circumstances, to the Chairman of the Audit Committee.</w:t>
      </w:r>
    </w:p>
    <w:p>
      <w:pPr>
        <w:spacing w:after="0" w:line="86" w:lineRule="exact"/>
        <w:rPr>
          <w:rFonts w:ascii="Arial" w:cs="Arial" w:eastAsia="Arial" w:hAnsi="Arial"/>
          <w:sz w:val="18"/>
          <w:szCs w:val="18"/>
          <w:color w:val="auto"/>
        </w:rPr>
      </w:pPr>
    </w:p>
    <w:p>
      <w:pPr>
        <w:ind w:left="350" w:hanging="350"/>
        <w:spacing w:after="0"/>
        <w:tabs>
          <w:tab w:leader="none" w:pos="3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Audit Committee or its Chairman will then consider all relevant facts and circumstances available.</w:t>
      </w:r>
    </w:p>
    <w:p>
      <w:pPr>
        <w:spacing w:after="0" w:line="144"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Audit Committee or its Chairman will approve only those transactions, determined in good faith to be in, or not inconsistent with, the best interests of the Company and its shareholders.</w:t>
      </w:r>
    </w:p>
    <w:p>
      <w:pPr>
        <w:spacing w:after="0" w:line="73"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Additionally, under certain circumstances, the General Counsel or Chairman of the Audit Committee may recommend that the independent members of the Board consider the advisability of a related person transaction. The Audit Committee reviews on an annual basis contributions by the Company in excess of $1,000, in the aggregate (other than contributions made pursuant to the Company’s matching contribution program for employees and directors), to a charitable organization at which a related person is actively involved with fund-raising or serves as a director, trustee or in a similar capacity.</w:t>
      </w:r>
    </w:p>
    <w:p>
      <w:pPr>
        <w:spacing w:after="0" w:line="109" w:lineRule="exact"/>
        <w:rPr>
          <w:sz w:val="20"/>
          <w:szCs w:val="20"/>
          <w:color w:val="auto"/>
        </w:rPr>
      </w:pPr>
    </w:p>
    <w:p>
      <w:pPr>
        <w:jc w:val="both"/>
        <w:ind w:left="10"/>
        <w:spacing w:after="0"/>
        <w:rPr>
          <w:sz w:val="20"/>
          <w:szCs w:val="20"/>
          <w:color w:val="auto"/>
        </w:rPr>
      </w:pPr>
      <w:r>
        <w:rPr>
          <w:rFonts w:ascii="Arial" w:cs="Arial" w:eastAsia="Arial" w:hAnsi="Arial"/>
          <w:sz w:val="18"/>
          <w:szCs w:val="18"/>
          <w:color w:val="auto"/>
        </w:rPr>
        <w:t>On September 1, 2022, SRS Mobility Ventures, LLC increased their ownership in one of our subsidiaries, Avis Mobility Ventures LLC (“AMV”) to 51% at a fair value of $62 million, through the issuance of Class B Preferred Voting Membership Interests in AMV. Prior to this transaction, since August 2021, SRS Mobility Ventures, LLC had owned a 33 1/3% Class A Membership Interest in AMV. SRS Mobility Ventures, LLC is an affiliate of our largest shareholder, SRS Investment Management, LLC. We provide vehicles and related fleet services to AMV, as well as certain administrative services to support their operations. For the year ended December 31, 2022, we recognized $ 7 million of income related to these services within other (income) expense, net, had receivables from AMV of $6 million and had a net investment in vehicle finance leases of $36 million.</w:t>
      </w:r>
    </w:p>
    <w:p>
      <w:pPr>
        <w:spacing w:after="0" w:line="188"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2407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84" w:lineRule="exact"/>
        <w:rPr>
          <w:sz w:val="20"/>
          <w:szCs w:val="20"/>
          <w:color w:val="auto"/>
        </w:rPr>
      </w:pPr>
    </w:p>
    <w:p>
      <w:pPr>
        <w:jc w:val="both"/>
        <w:ind w:left="10"/>
        <w:spacing w:after="0" w:line="239" w:lineRule="auto"/>
        <w:rPr>
          <w:sz w:val="20"/>
          <w:szCs w:val="20"/>
          <w:color w:val="auto"/>
        </w:rPr>
      </w:pPr>
      <w:r>
        <w:rPr>
          <w:rFonts w:ascii="Arial" w:cs="Arial" w:eastAsia="Arial" w:hAnsi="Arial"/>
          <w:sz w:val="18"/>
          <w:szCs w:val="18"/>
          <w:color w:val="auto"/>
        </w:rPr>
        <w:t>We regularly conduct engagement and outreach efforts in order to communicate with existing and prospective shareholders, lenders, research analysts, rating agencies, governance firms and others. In 2022, our key engagement activities included numerous group and one-on-one investor meetings, conference calls accessible to all shareholders following each of our quarterly earnings releases, presentations at various investor conferences, and our 2022 Annual Meeting of Shareholders. Members of management, in addition to our Chief Executive Officer and Chief Financial Officer, participated in these activities, each of which contained opportunities for shareholders and other constituents to provide feedback to management. We value the input and insights of our shareholders and are committed to continued engagement with investors. Key topics of focus in 2022 included our strategy and results as well as travel and industry trends.</w:t>
      </w:r>
    </w:p>
    <w:p>
      <w:pPr>
        <w:spacing w:after="0" w:line="116" w:lineRule="exact"/>
        <w:rPr>
          <w:sz w:val="20"/>
          <w:szCs w:val="20"/>
          <w:color w:val="auto"/>
        </w:rPr>
      </w:pPr>
    </w:p>
    <w:p>
      <w:pPr>
        <w:jc w:val="both"/>
        <w:ind w:left="10" w:right="20"/>
        <w:spacing w:after="0" w:line="271" w:lineRule="auto"/>
        <w:rPr>
          <w:sz w:val="20"/>
          <w:szCs w:val="20"/>
          <w:color w:val="auto"/>
        </w:rPr>
      </w:pPr>
      <w:r>
        <w:rPr>
          <w:rFonts w:ascii="Arial" w:cs="Arial" w:eastAsia="Arial" w:hAnsi="Arial"/>
          <w:sz w:val="18"/>
          <w:szCs w:val="18"/>
          <w:color w:val="auto"/>
        </w:rPr>
        <w:t>From time to time, certain of our independent Board members attend investor meetings, in addition to attending the Annual Meeting of Shareholders.</w:t>
      </w:r>
    </w:p>
    <w:p>
      <w:pPr>
        <w:spacing w:after="0" w:line="26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 xml:space="preserve">Our investor relations department is the key point of contact for shareholder interaction with the Company. Shareholders and other interested parties may access investor information about our Company through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investor relations department coordinates institutional investor meetings with</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appearances at investor conferences and our quarterly earnings calls. We consider shareholder requests to meet with members of our Board of Directors on a case-by-case basis.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36"/>
          <w:szCs w:val="36"/>
          <w:color w:val="auto"/>
        </w:rPr>
        <w:t>Stock Ownership</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62407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8"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and restricted stock units under all of our existing equity compensation plans as of December 31, 2022.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40" w:type="dxa"/>
            <w:vAlign w:val="bottom"/>
          </w:tcPr>
          <w:p>
            <w:pPr>
              <w:jc w:val="center"/>
              <w:ind w:left="123"/>
              <w:spacing w:after="0"/>
              <w:rPr>
                <w:sz w:val="20"/>
                <w:szCs w:val="20"/>
                <w:color w:val="auto"/>
              </w:rPr>
            </w:pPr>
            <w:r>
              <w:rPr>
                <w:rFonts w:ascii="Arial" w:cs="Arial" w:eastAsia="Arial" w:hAnsi="Arial"/>
                <w:sz w:val="14"/>
                <w:szCs w:val="14"/>
                <w:b w:val="1"/>
                <w:bCs w:val="1"/>
                <w:color w:val="auto"/>
              </w:rPr>
              <w:t>Number of Securities to</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860" w:type="dxa"/>
            <w:vAlign w:val="bottom"/>
          </w:tcPr>
          <w:p>
            <w:pPr>
              <w:jc w:val="center"/>
              <w:ind w:left="23"/>
              <w:spacing w:after="0"/>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w w:val="97"/>
              </w:rPr>
              <w:t>be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rPr>
              <w:t>Issued Upon Exercise of</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rPr>
              <w:t>Outstanding Options,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rPr>
              <w:t>Warrants, Rights and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(Excludes Restricted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rPr>
              <w:t>Restricted Stock Units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First Column)</w:t>
            </w:r>
          </w:p>
        </w:tc>
        <w:tc>
          <w:tcPr>
            <w:tcW w:w="0" w:type="dxa"/>
            <w:vAlign w:val="bottom"/>
          </w:tcPr>
          <w:p>
            <w:pPr>
              <w:spacing w:after="0"/>
              <w:rPr>
                <w:sz w:val="1"/>
                <w:szCs w:val="1"/>
                <w:color w:val="auto"/>
              </w:rPr>
            </w:pPr>
          </w:p>
        </w:tc>
      </w:tr>
      <w:tr>
        <w:trPr>
          <w:trHeight w:val="196"/>
        </w:trPr>
        <w:tc>
          <w:tcPr>
            <w:tcW w:w="3940" w:type="dxa"/>
            <w:vAlign w:val="bottom"/>
          </w:tcPr>
          <w:p>
            <w:pPr>
              <w:ind w:left="100"/>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tcPr>
          <w:p>
            <w:pPr>
              <w:jc w:val="center"/>
              <w:ind w:left="123"/>
              <w:spacing w:after="0"/>
              <w:rPr>
                <w:sz w:val="20"/>
                <w:szCs w:val="20"/>
                <w:color w:val="auto"/>
              </w:rPr>
            </w:pPr>
            <w:r>
              <w:rPr>
                <w:rFonts w:ascii="Arial" w:cs="Arial" w:eastAsia="Arial" w:hAnsi="Arial"/>
                <w:sz w:val="14"/>
                <w:szCs w:val="14"/>
                <w:b w:val="1"/>
                <w:bCs w:val="1"/>
                <w:color w:val="auto"/>
                <w:w w:val="93"/>
              </w:rPr>
              <w:t>(a)</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60" w:type="dxa"/>
            <w:vAlign w:val="bottom"/>
          </w:tcPr>
          <w:p>
            <w:pPr>
              <w:jc w:val="center"/>
              <w:ind w:left="3"/>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43"/>
        </w:trPr>
        <w:tc>
          <w:tcPr>
            <w:tcW w:w="39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940" w:type="dxa"/>
            <w:vAlign w:val="bottom"/>
            <w:shd w:val="clear" w:color="auto" w:fill="CCCCCC"/>
          </w:tcPr>
          <w:p>
            <w:pPr>
              <w:ind w:left="100"/>
              <w:spacing w:after="0"/>
              <w:rPr>
                <w:sz w:val="20"/>
                <w:szCs w:val="20"/>
                <w:color w:val="auto"/>
              </w:rPr>
            </w:pPr>
            <w:r>
              <w:rPr>
                <w:rFonts w:ascii="Arial" w:cs="Arial" w:eastAsia="Arial" w:hAnsi="Arial"/>
                <w:sz w:val="18"/>
                <w:szCs w:val="18"/>
                <w:color w:val="auto"/>
              </w:rPr>
              <w:t>Equity compensation plans approved by</w:t>
            </w:r>
          </w:p>
        </w:tc>
        <w:tc>
          <w:tcPr>
            <w:tcW w:w="2240" w:type="dxa"/>
            <w:vAlign w:val="bottom"/>
            <w:vMerge w:val="restart"/>
            <w:shd w:val="clear" w:color="auto" w:fill="CCCCCC"/>
          </w:tcPr>
          <w:p>
            <w:pPr>
              <w:jc w:val="center"/>
              <w:ind w:left="123"/>
              <w:spacing w:after="0"/>
              <w:rPr>
                <w:sz w:val="20"/>
                <w:szCs w:val="20"/>
                <w:color w:val="auto"/>
              </w:rPr>
            </w:pPr>
            <w:r>
              <w:rPr>
                <w:rFonts w:ascii="Arial" w:cs="Arial" w:eastAsia="Arial" w:hAnsi="Arial"/>
                <w:sz w:val="18"/>
                <w:szCs w:val="18"/>
                <w:color w:val="auto"/>
                <w:w w:val="99"/>
              </w:rPr>
              <w:t>1,233,845</w:t>
            </w:r>
          </w:p>
        </w:tc>
        <w:tc>
          <w:tcPr>
            <w:tcW w:w="1800" w:type="dxa"/>
            <w:vAlign w:val="bottom"/>
            <w:vMerge w:val="restart"/>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vMerge w:val="restart"/>
            <w:shd w:val="clear" w:color="auto" w:fill="CCCCCC"/>
          </w:tcPr>
          <w:p>
            <w:pPr>
              <w:jc w:val="center"/>
              <w:ind w:left="23"/>
              <w:spacing w:after="0"/>
              <w:rPr>
                <w:sz w:val="20"/>
                <w:szCs w:val="20"/>
                <w:color w:val="auto"/>
              </w:rPr>
            </w:pPr>
            <w:r>
              <w:rPr>
                <w:rFonts w:ascii="Arial" w:cs="Arial" w:eastAsia="Arial" w:hAnsi="Arial"/>
                <w:sz w:val="18"/>
                <w:szCs w:val="18"/>
                <w:color w:val="auto"/>
                <w:w w:val="99"/>
              </w:rPr>
              <w:t>4,135,434</w:t>
            </w:r>
          </w:p>
        </w:tc>
        <w:tc>
          <w:tcPr>
            <w:tcW w:w="0" w:type="dxa"/>
            <w:vAlign w:val="bottom"/>
          </w:tcPr>
          <w:p>
            <w:pPr>
              <w:spacing w:after="0"/>
              <w:rPr>
                <w:sz w:val="1"/>
                <w:szCs w:val="1"/>
                <w:color w:val="auto"/>
              </w:rPr>
            </w:pPr>
          </w:p>
        </w:tc>
      </w:tr>
      <w:tr>
        <w:trPr>
          <w:trHeight w:val="131"/>
        </w:trPr>
        <w:tc>
          <w:tcPr>
            <w:tcW w:w="3940" w:type="dxa"/>
            <w:vAlign w:val="bottom"/>
            <w:vMerge w:val="restart"/>
            <w:shd w:val="clear" w:color="auto" w:fill="CCCCCC"/>
          </w:tcPr>
          <w:p>
            <w:pPr>
              <w:ind w:left="100"/>
              <w:spacing w:after="0"/>
              <w:rPr>
                <w:sz w:val="20"/>
                <w:szCs w:val="20"/>
                <w:color w:val="auto"/>
              </w:rPr>
            </w:pPr>
            <w:r>
              <w:rPr>
                <w:rFonts w:ascii="Arial" w:cs="Arial" w:eastAsia="Arial" w:hAnsi="Arial"/>
                <w:sz w:val="18"/>
                <w:szCs w:val="18"/>
                <w:color w:val="auto"/>
              </w:rPr>
              <w:t>security holders</w:t>
            </w:r>
          </w:p>
        </w:tc>
        <w:tc>
          <w:tcPr>
            <w:tcW w:w="2240" w:type="dxa"/>
            <w:vAlign w:val="bottom"/>
            <w:vMerge w:val="continue"/>
            <w:shd w:val="clear" w:color="auto" w:fill="CCCCCC"/>
          </w:tcPr>
          <w:p>
            <w:pPr>
              <w:spacing w:after="0"/>
              <w:rPr>
                <w:sz w:val="11"/>
                <w:szCs w:val="11"/>
                <w:color w:val="auto"/>
              </w:rPr>
            </w:pPr>
          </w:p>
        </w:tc>
        <w:tc>
          <w:tcPr>
            <w:tcW w:w="1800" w:type="dxa"/>
            <w:vAlign w:val="bottom"/>
            <w:vMerge w:val="continue"/>
            <w:shd w:val="clear" w:color="auto" w:fill="CCCCCC"/>
          </w:tcPr>
          <w:p>
            <w:pPr>
              <w:spacing w:after="0"/>
              <w:rPr>
                <w:sz w:val="11"/>
                <w:szCs w:val="11"/>
                <w:color w:val="auto"/>
              </w:rPr>
            </w:pPr>
          </w:p>
        </w:tc>
        <w:tc>
          <w:tcPr>
            <w:tcW w:w="1860" w:type="dxa"/>
            <w:vAlign w:val="bottom"/>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940" w:type="dxa"/>
            <w:vAlign w:val="bottom"/>
            <w:tcBorders>
              <w:bottom w:val="single" w:sz="8" w:color="CCCCCC"/>
            </w:tcBorders>
            <w:vMerge w:val="continue"/>
            <w:shd w:val="clear" w:color="auto" w:fill="CCCCCC"/>
          </w:tcPr>
          <w:p>
            <w:pPr>
              <w:spacing w:after="0"/>
              <w:rPr>
                <w:sz w:val="13"/>
                <w:szCs w:val="13"/>
                <w:color w:val="auto"/>
              </w:rPr>
            </w:pPr>
          </w:p>
        </w:tc>
        <w:tc>
          <w:tcPr>
            <w:tcW w:w="2240" w:type="dxa"/>
            <w:vAlign w:val="bottom"/>
            <w:tcBorders>
              <w:bottom w:val="single" w:sz="8" w:color="CCCCCC"/>
            </w:tcBorders>
            <w:shd w:val="clear" w:color="auto" w:fill="CCCCCC"/>
          </w:tcPr>
          <w:p>
            <w:pPr>
              <w:spacing w:after="0"/>
              <w:rPr>
                <w:sz w:val="13"/>
                <w:szCs w:val="13"/>
                <w:color w:val="auto"/>
              </w:rPr>
            </w:pPr>
          </w:p>
        </w:tc>
        <w:tc>
          <w:tcPr>
            <w:tcW w:w="1800" w:type="dxa"/>
            <w:vAlign w:val="bottom"/>
            <w:tcBorders>
              <w:bottom w:val="single" w:sz="8" w:color="CCCCCC"/>
            </w:tcBorders>
            <w:shd w:val="clear" w:color="auto" w:fill="CCCCCC"/>
          </w:tcPr>
          <w:p>
            <w:pPr>
              <w:spacing w:after="0"/>
              <w:rPr>
                <w:sz w:val="13"/>
                <w:szCs w:val="13"/>
                <w:color w:val="auto"/>
              </w:rPr>
            </w:pPr>
          </w:p>
        </w:tc>
        <w:tc>
          <w:tcPr>
            <w:tcW w:w="1860" w:type="dxa"/>
            <w:vAlign w:val="bottom"/>
            <w:tcBorders>
              <w:bottom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39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Equity compensation plans not approved by</w:t>
            </w:r>
          </w:p>
        </w:tc>
        <w:tc>
          <w:tcPr>
            <w:tcW w:w="2240" w:type="dxa"/>
            <w:vAlign w:val="bottom"/>
            <w:tcBorders>
              <w:top w:val="single" w:sz="8" w:color="auto"/>
            </w:tcBorders>
            <w:vMerge w:val="restart"/>
          </w:tcPr>
          <w:p>
            <w:pPr>
              <w:ind w:left="144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vMerge w:val="restart"/>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3940" w:type="dxa"/>
            <w:vAlign w:val="bottom"/>
            <w:vMerge w:val="restart"/>
          </w:tcPr>
          <w:p>
            <w:pPr>
              <w:ind w:left="100"/>
              <w:spacing w:after="0"/>
              <w:rPr>
                <w:sz w:val="20"/>
                <w:szCs w:val="20"/>
                <w:color w:val="auto"/>
              </w:rPr>
            </w:pPr>
            <w:r>
              <w:rPr>
                <w:rFonts w:ascii="Arial" w:cs="Arial" w:eastAsia="Arial" w:hAnsi="Arial"/>
                <w:sz w:val="18"/>
                <w:szCs w:val="18"/>
                <w:color w:val="auto"/>
              </w:rPr>
              <w:t>security holders</w:t>
            </w:r>
          </w:p>
        </w:tc>
        <w:tc>
          <w:tcPr>
            <w:tcW w:w="224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94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39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394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shd w:val="clear" w:color="auto" w:fill="CCCCCC"/>
          </w:tcPr>
          <w:p>
            <w:pPr>
              <w:jc w:val="center"/>
              <w:ind w:left="123"/>
              <w:spacing w:after="0"/>
              <w:rPr>
                <w:sz w:val="20"/>
                <w:szCs w:val="20"/>
                <w:color w:val="auto"/>
              </w:rPr>
            </w:pPr>
            <w:r>
              <w:rPr>
                <w:rFonts w:ascii="Arial" w:cs="Arial" w:eastAsia="Arial" w:hAnsi="Arial"/>
                <w:sz w:val="18"/>
                <w:szCs w:val="18"/>
                <w:color w:val="auto"/>
                <w:w w:val="99"/>
              </w:rPr>
              <w:t>1,233,845</w:t>
            </w:r>
          </w:p>
        </w:tc>
        <w:tc>
          <w:tcPr>
            <w:tcW w:w="18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CCCC"/>
          </w:tcPr>
          <w:p>
            <w:pPr>
              <w:jc w:val="center"/>
              <w:ind w:left="23"/>
              <w:spacing w:after="0"/>
              <w:rPr>
                <w:sz w:val="20"/>
                <w:szCs w:val="20"/>
                <w:color w:val="auto"/>
              </w:rPr>
            </w:pPr>
            <w:r>
              <w:rPr>
                <w:rFonts w:ascii="Arial" w:cs="Arial" w:eastAsia="Arial" w:hAnsi="Arial"/>
                <w:sz w:val="18"/>
                <w:szCs w:val="18"/>
                <w:color w:val="auto"/>
                <w:w w:val="99"/>
              </w:rPr>
              <w:t>4,135,434</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60" w:hanging="350"/>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awards granted under the Amended and Restated Equity and Incentive Plan, which plan was approved by shareholders.</w:t>
      </w:r>
    </w:p>
    <w:p>
      <w:pPr>
        <w:spacing w:after="0" w:line="68" w:lineRule="exact"/>
        <w:rPr>
          <w:rFonts w:ascii="Arial" w:cs="Arial" w:eastAsia="Arial" w:hAnsi="Arial"/>
          <w:sz w:val="14"/>
          <w:szCs w:val="14"/>
          <w:color w:val="auto"/>
        </w:rPr>
      </w:pPr>
    </w:p>
    <w:p>
      <w:pPr>
        <w:ind w:left="360" w:hanging="350"/>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4,135,434 shares available for issuance under the Amended and Restated Equity and Incentive Plan.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62407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98"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The following table sets forth information regarding beneficial ownership of shares of Common Stock as of March 13, 2023, by (i) each person who is known by us to beneficially own more than 5% of the outstanding shares of Common Stock, (ii) each of the Company’s directors and each of its named executive officers, and (iii) all of the Company’s directors, nominees and current executive officers, as a group.</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Percent of</w:t>
            </w:r>
          </w:p>
        </w:tc>
        <w:tc>
          <w:tcPr>
            <w:tcW w:w="2420" w:type="dxa"/>
            <w:vAlign w:val="bottom"/>
          </w:tcPr>
          <w:p>
            <w:pPr>
              <w:jc w:val="center"/>
              <w:ind w:left="128"/>
              <w:spacing w:after="0"/>
              <w:rPr>
                <w:sz w:val="20"/>
                <w:szCs w:val="20"/>
                <w:color w:val="auto"/>
              </w:rPr>
            </w:pPr>
            <w:r>
              <w:rPr>
                <w:rFonts w:ascii="Arial" w:cs="Arial" w:eastAsia="Arial" w:hAnsi="Arial"/>
                <w:sz w:val="14"/>
                <w:szCs w:val="14"/>
                <w:b w:val="1"/>
                <w:bCs w:val="1"/>
                <w:color w:val="auto"/>
              </w:rPr>
              <w:t>Of the Total Number of Shares</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420" w:type="dxa"/>
            <w:vAlign w:val="bottom"/>
          </w:tcPr>
          <w:p>
            <w:pPr>
              <w:jc w:val="center"/>
              <w:ind w:left="108"/>
              <w:spacing w:after="0"/>
              <w:rPr>
                <w:sz w:val="20"/>
                <w:szCs w:val="20"/>
                <w:color w:val="auto"/>
              </w:rPr>
            </w:pPr>
            <w:r>
              <w:rPr>
                <w:rFonts w:ascii="Arial" w:cs="Arial" w:eastAsia="Arial" w:hAnsi="Arial"/>
                <w:sz w:val="14"/>
                <w:szCs w:val="14"/>
                <w:b w:val="1"/>
                <w:bCs w:val="1"/>
                <w:color w:val="auto"/>
              </w:rPr>
              <w:t>Beneficially Owned, Shares</w:t>
            </w:r>
          </w:p>
        </w:tc>
        <w:tc>
          <w:tcPr>
            <w:tcW w:w="0" w:type="dxa"/>
            <w:vAlign w:val="bottom"/>
          </w:tcPr>
          <w:p>
            <w:pPr>
              <w:spacing w:after="0"/>
              <w:rPr>
                <w:sz w:val="1"/>
                <w:szCs w:val="1"/>
                <w:color w:val="auto"/>
              </w:rPr>
            </w:pPr>
          </w:p>
        </w:tc>
      </w:tr>
      <w:tr>
        <w:trPr>
          <w:trHeight w:val="159"/>
        </w:trPr>
        <w:tc>
          <w:tcPr>
            <w:tcW w:w="3980" w:type="dxa"/>
            <w:vAlign w:val="bottom"/>
          </w:tcPr>
          <w:p>
            <w:pPr>
              <w:spacing w:after="0"/>
              <w:rPr>
                <w:sz w:val="13"/>
                <w:szCs w:val="13"/>
                <w:color w:val="auto"/>
              </w:rPr>
            </w:pPr>
          </w:p>
        </w:tc>
        <w:tc>
          <w:tcPr>
            <w:tcW w:w="22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Total Amount of Shares</w:t>
            </w:r>
          </w:p>
        </w:tc>
        <w:tc>
          <w:tcPr>
            <w:tcW w:w="12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Stock</w:t>
            </w:r>
          </w:p>
        </w:tc>
        <w:tc>
          <w:tcPr>
            <w:tcW w:w="2420" w:type="dxa"/>
            <w:vAlign w:val="bottom"/>
          </w:tcPr>
          <w:p>
            <w:pPr>
              <w:jc w:val="center"/>
              <w:ind w:left="128"/>
              <w:spacing w:after="0" w:line="159" w:lineRule="exact"/>
              <w:rPr>
                <w:sz w:val="20"/>
                <w:szCs w:val="20"/>
                <w:color w:val="auto"/>
              </w:rPr>
            </w:pPr>
            <w:r>
              <w:rPr>
                <w:rFonts w:ascii="Arial" w:cs="Arial" w:eastAsia="Arial" w:hAnsi="Arial"/>
                <w:sz w:val="14"/>
                <w:szCs w:val="14"/>
                <w:b w:val="1"/>
                <w:bCs w:val="1"/>
                <w:color w:val="auto"/>
              </w:rPr>
              <w:t>which May be Acquired within</w:t>
            </w:r>
          </w:p>
        </w:tc>
        <w:tc>
          <w:tcPr>
            <w:tcW w:w="0" w:type="dxa"/>
            <w:vAlign w:val="bottom"/>
          </w:tcPr>
          <w:p>
            <w:pPr>
              <w:spacing w:after="0"/>
              <w:rPr>
                <w:sz w:val="1"/>
                <w:szCs w:val="1"/>
                <w:color w:val="auto"/>
              </w:rPr>
            </w:pPr>
          </w:p>
        </w:tc>
      </w:tr>
      <w:tr>
        <w:trPr>
          <w:trHeight w:val="269"/>
        </w:trPr>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Beneficially Owned</w:t>
            </w:r>
            <w:r>
              <w:rPr>
                <w:rFonts w:ascii="Arial" w:cs="Arial" w:eastAsia="Arial" w:hAnsi="Arial"/>
                <w:sz w:val="23"/>
                <w:szCs w:val="23"/>
                <w:b w:val="1"/>
                <w:bCs w:val="1"/>
                <w:color w:val="auto"/>
                <w:w w:val="99"/>
                <w:vertAlign w:val="superscript"/>
              </w:rPr>
              <w:t>(1)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Owned</w:t>
            </w:r>
            <w:r>
              <w:rPr>
                <w:rFonts w:ascii="Arial" w:cs="Arial" w:eastAsia="Arial" w:hAnsi="Arial"/>
                <w:sz w:val="23"/>
                <w:szCs w:val="23"/>
                <w:b w:val="1"/>
                <w:bCs w:val="1"/>
                <w:color w:val="auto"/>
                <w:w w:val="97"/>
                <w:vertAlign w:val="superscript"/>
              </w:rPr>
              <w:t>(2)</w:t>
            </w:r>
          </w:p>
        </w:tc>
        <w:tc>
          <w:tcPr>
            <w:tcW w:w="24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4"/>
              </w:rPr>
              <w:t>60 Days</w:t>
            </w:r>
            <w:r>
              <w:rPr>
                <w:rFonts w:ascii="Arial" w:cs="Arial" w:eastAsia="Arial" w:hAnsi="Arial"/>
                <w:sz w:val="23"/>
                <w:szCs w:val="23"/>
                <w:b w:val="1"/>
                <w:bCs w:val="1"/>
                <w:color w:val="auto"/>
                <w:w w:val="94"/>
                <w:vertAlign w:val="superscript"/>
              </w:rPr>
              <w:t>(3)</w:t>
            </w:r>
          </w:p>
        </w:tc>
        <w:tc>
          <w:tcPr>
            <w:tcW w:w="0" w:type="dxa"/>
            <w:vAlign w:val="bottom"/>
          </w:tcPr>
          <w:p>
            <w:pPr>
              <w:spacing w:after="0"/>
              <w:rPr>
                <w:sz w:val="1"/>
                <w:szCs w:val="1"/>
                <w:color w:val="auto"/>
              </w:rPr>
            </w:pPr>
          </w:p>
        </w:tc>
      </w:tr>
      <w:tr>
        <w:trPr>
          <w:trHeight w:val="296"/>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b w:val="1"/>
                <w:bCs w:val="1"/>
                <w:color w:val="auto"/>
              </w:rPr>
              <w:t>Principal Shareholders:**</w:t>
            </w:r>
          </w:p>
        </w:tc>
        <w:tc>
          <w:tcPr>
            <w:tcW w:w="2200" w:type="dxa"/>
            <w:vAlign w:val="bottom"/>
            <w:tcBorders>
              <w:bottom w:val="single" w:sz="8" w:color="CCCCCC"/>
            </w:tcBorders>
            <w:shd w:val="clear" w:color="auto" w:fill="CCCCCC"/>
          </w:tcPr>
          <w:p>
            <w:pPr>
              <w:spacing w:after="0"/>
              <w:rPr>
                <w:sz w:val="24"/>
                <w:szCs w:val="24"/>
                <w:color w:val="auto"/>
              </w:rPr>
            </w:pPr>
          </w:p>
        </w:tc>
        <w:tc>
          <w:tcPr>
            <w:tcW w:w="1240" w:type="dxa"/>
            <w:vAlign w:val="bottom"/>
            <w:tcBorders>
              <w:bottom w:val="single" w:sz="8" w:color="CCCCCC"/>
            </w:tcBorders>
            <w:shd w:val="clear" w:color="auto" w:fill="CCCCCC"/>
          </w:tcPr>
          <w:p>
            <w:pPr>
              <w:spacing w:after="0"/>
              <w:rPr>
                <w:sz w:val="24"/>
                <w:szCs w:val="24"/>
                <w:color w:val="auto"/>
              </w:rPr>
            </w:pPr>
          </w:p>
        </w:tc>
        <w:tc>
          <w:tcPr>
            <w:tcW w:w="2420" w:type="dxa"/>
            <w:vAlign w:val="bottom"/>
            <w:tcBorders>
              <w:bottom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980" w:type="dxa"/>
            <w:vAlign w:val="bottom"/>
            <w:tcBorders>
              <w:top w:val="single" w:sz="8" w:color="auto"/>
            </w:tcBorders>
          </w:tcPr>
          <w:p>
            <w:pPr>
              <w:ind w:left="100"/>
              <w:spacing w:after="0" w:line="237" w:lineRule="exact"/>
              <w:rPr>
                <w:sz w:val="20"/>
                <w:szCs w:val="20"/>
                <w:color w:val="auto"/>
              </w:rPr>
            </w:pPr>
            <w:r>
              <w:rPr>
                <w:rFonts w:ascii="Arial" w:cs="Arial" w:eastAsia="Arial" w:hAnsi="Arial"/>
                <w:sz w:val="14"/>
                <w:szCs w:val="14"/>
                <w:color w:val="auto"/>
              </w:rPr>
              <w:t>SRS Investment Management, LLC</w:t>
            </w:r>
            <w:r>
              <w:rPr>
                <w:rFonts w:ascii="Arial" w:cs="Arial" w:eastAsia="Arial" w:hAnsi="Arial"/>
                <w:sz w:val="23"/>
                <w:szCs w:val="23"/>
                <w:color w:val="auto"/>
                <w:vertAlign w:val="superscript"/>
              </w:rPr>
              <w:t>(4)</w:t>
            </w:r>
          </w:p>
        </w:tc>
        <w:tc>
          <w:tcPr>
            <w:tcW w:w="2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980" w:type="dxa"/>
            <w:vAlign w:val="bottom"/>
          </w:tcPr>
          <w:p>
            <w:pPr>
              <w:ind w:left="100"/>
              <w:spacing w:after="0" w:line="192" w:lineRule="exact"/>
              <w:rPr>
                <w:sz w:val="20"/>
                <w:szCs w:val="20"/>
                <w:color w:val="auto"/>
              </w:rPr>
            </w:pPr>
            <w:r>
              <w:rPr>
                <w:rFonts w:ascii="Arial" w:cs="Arial" w:eastAsia="Arial" w:hAnsi="Arial"/>
                <w:sz w:val="14"/>
                <w:szCs w:val="14"/>
                <w:color w:val="auto"/>
              </w:rPr>
              <w:t>One Bryant Park, 39</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2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80" w:type="dxa"/>
            <w:vAlign w:val="bottom"/>
          </w:tcPr>
          <w:p>
            <w:pPr>
              <w:ind w:left="100"/>
              <w:spacing w:after="0"/>
              <w:rPr>
                <w:sz w:val="20"/>
                <w:szCs w:val="20"/>
                <w:color w:val="auto"/>
              </w:rPr>
            </w:pPr>
            <w:r>
              <w:rPr>
                <w:rFonts w:ascii="Arial" w:cs="Arial" w:eastAsia="Arial" w:hAnsi="Arial"/>
                <w:sz w:val="14"/>
                <w:szCs w:val="14"/>
                <w:color w:val="auto"/>
              </w:rPr>
              <w:t>New York, NY 10036</w:t>
            </w:r>
          </w:p>
        </w:tc>
        <w:tc>
          <w:tcPr>
            <w:tcW w:w="2200" w:type="dxa"/>
            <w:vAlign w:val="bottom"/>
          </w:tcPr>
          <w:p>
            <w:pPr>
              <w:jc w:val="center"/>
              <w:spacing w:after="0"/>
              <w:rPr>
                <w:sz w:val="20"/>
                <w:szCs w:val="20"/>
                <w:color w:val="auto"/>
              </w:rPr>
            </w:pPr>
            <w:r>
              <w:rPr>
                <w:rFonts w:ascii="Arial" w:cs="Arial" w:eastAsia="Arial" w:hAnsi="Arial"/>
                <w:sz w:val="14"/>
                <w:szCs w:val="14"/>
                <w:color w:val="auto"/>
              </w:rPr>
              <w:t>18,430,882</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46.4%</w:t>
            </w:r>
          </w:p>
        </w:tc>
        <w:tc>
          <w:tcPr>
            <w:tcW w:w="242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3980" w:type="dxa"/>
            <w:vAlign w:val="bottom"/>
            <w:shd w:val="clear" w:color="auto" w:fill="CCCCCC"/>
          </w:tcPr>
          <w:p>
            <w:pPr>
              <w:ind w:left="100"/>
              <w:spacing w:after="0" w:line="241" w:lineRule="exact"/>
              <w:rPr>
                <w:sz w:val="20"/>
                <w:szCs w:val="20"/>
                <w:color w:val="auto"/>
              </w:rPr>
            </w:pPr>
            <w:r>
              <w:rPr>
                <w:rFonts w:ascii="Arial" w:cs="Arial" w:eastAsia="Arial" w:hAnsi="Arial"/>
                <w:sz w:val="14"/>
                <w:szCs w:val="14"/>
                <w:color w:val="auto"/>
              </w:rPr>
              <w:t>FMR LLC</w:t>
            </w:r>
            <w:r>
              <w:rPr>
                <w:rFonts w:ascii="Arial" w:cs="Arial" w:eastAsia="Arial" w:hAnsi="Arial"/>
                <w:sz w:val="23"/>
                <w:szCs w:val="23"/>
                <w:color w:val="auto"/>
                <w:vertAlign w:val="superscript"/>
              </w:rPr>
              <w:t>(5)</w:t>
            </w:r>
          </w:p>
        </w:tc>
        <w:tc>
          <w:tcPr>
            <w:tcW w:w="2200" w:type="dxa"/>
            <w:vAlign w:val="bottom"/>
            <w:shd w:val="clear" w:color="auto" w:fill="CCCCCC"/>
          </w:tcPr>
          <w:p>
            <w:pPr>
              <w:spacing w:after="0"/>
              <w:rPr>
                <w:sz w:val="20"/>
                <w:szCs w:val="20"/>
                <w:color w:val="auto"/>
              </w:rPr>
            </w:pPr>
          </w:p>
        </w:tc>
        <w:tc>
          <w:tcPr>
            <w:tcW w:w="1240" w:type="dxa"/>
            <w:vAlign w:val="bottom"/>
            <w:shd w:val="clear" w:color="auto" w:fill="CCCCCC"/>
          </w:tcPr>
          <w:p>
            <w:pPr>
              <w:spacing w:after="0"/>
              <w:rPr>
                <w:sz w:val="20"/>
                <w:szCs w:val="20"/>
                <w:color w:val="auto"/>
              </w:rPr>
            </w:pPr>
          </w:p>
        </w:tc>
        <w:tc>
          <w:tcPr>
            <w:tcW w:w="2420" w:type="dxa"/>
            <w:vAlign w:val="bottom"/>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980" w:type="dxa"/>
            <w:vAlign w:val="bottom"/>
            <w:shd w:val="clear" w:color="auto" w:fill="CCCCCC"/>
          </w:tcPr>
          <w:p>
            <w:pPr>
              <w:ind w:left="100"/>
              <w:spacing w:after="0"/>
              <w:rPr>
                <w:sz w:val="20"/>
                <w:szCs w:val="20"/>
                <w:color w:val="auto"/>
              </w:rPr>
            </w:pPr>
            <w:r>
              <w:rPr>
                <w:rFonts w:ascii="Arial" w:cs="Arial" w:eastAsia="Arial" w:hAnsi="Arial"/>
                <w:sz w:val="14"/>
                <w:szCs w:val="14"/>
                <w:color w:val="auto"/>
              </w:rPr>
              <w:t>245 Summer Street</w:t>
            </w:r>
          </w:p>
        </w:tc>
        <w:tc>
          <w:tcPr>
            <w:tcW w:w="2200" w:type="dxa"/>
            <w:vAlign w:val="bottom"/>
            <w:shd w:val="clear" w:color="auto" w:fill="CCCCCC"/>
          </w:tcPr>
          <w:p>
            <w:pPr>
              <w:spacing w:after="0"/>
              <w:rPr>
                <w:sz w:val="14"/>
                <w:szCs w:val="14"/>
                <w:color w:val="auto"/>
              </w:rPr>
            </w:pPr>
          </w:p>
        </w:tc>
        <w:tc>
          <w:tcPr>
            <w:tcW w:w="1240" w:type="dxa"/>
            <w:vAlign w:val="bottom"/>
            <w:shd w:val="clear" w:color="auto" w:fill="CCCCCC"/>
          </w:tcPr>
          <w:p>
            <w:pPr>
              <w:spacing w:after="0"/>
              <w:rPr>
                <w:sz w:val="14"/>
                <w:szCs w:val="14"/>
                <w:color w:val="auto"/>
              </w:rPr>
            </w:pPr>
          </w:p>
        </w:tc>
        <w:tc>
          <w:tcPr>
            <w:tcW w:w="242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Boston, Massachusetts 02210</w:t>
            </w:r>
          </w:p>
        </w:tc>
        <w:tc>
          <w:tcPr>
            <w:tcW w:w="2200" w:type="dxa"/>
            <w:vAlign w:val="bottom"/>
            <w:tcBorders>
              <w:bottom w:val="single" w:sz="8" w:color="CCCCCC"/>
            </w:tcBorders>
            <w:shd w:val="clear" w:color="auto" w:fill="CCCCCC"/>
          </w:tcPr>
          <w:p>
            <w:pPr>
              <w:jc w:val="right"/>
              <w:ind w:right="648"/>
              <w:spacing w:after="0"/>
              <w:rPr>
                <w:sz w:val="20"/>
                <w:szCs w:val="20"/>
                <w:color w:val="auto"/>
              </w:rPr>
            </w:pPr>
            <w:r>
              <w:rPr>
                <w:rFonts w:ascii="Arial" w:cs="Arial" w:eastAsia="Arial" w:hAnsi="Arial"/>
                <w:sz w:val="14"/>
                <w:szCs w:val="14"/>
                <w:color w:val="auto"/>
              </w:rPr>
              <w:t>5,593,641</w:t>
            </w:r>
          </w:p>
        </w:tc>
        <w:tc>
          <w:tcPr>
            <w:tcW w:w="1240" w:type="dxa"/>
            <w:vAlign w:val="bottom"/>
            <w:tcBorders>
              <w:bottom w:val="single" w:sz="8" w:color="CCCCCC"/>
            </w:tcBorders>
            <w:shd w:val="clear" w:color="auto" w:fill="CCCCCC"/>
          </w:tcPr>
          <w:p>
            <w:pPr>
              <w:jc w:val="right"/>
              <w:ind w:right="288"/>
              <w:spacing w:after="0"/>
              <w:rPr>
                <w:sz w:val="20"/>
                <w:szCs w:val="20"/>
                <w:color w:val="auto"/>
              </w:rPr>
            </w:pPr>
            <w:r>
              <w:rPr>
                <w:rFonts w:ascii="Arial" w:cs="Arial" w:eastAsia="Arial" w:hAnsi="Arial"/>
                <w:sz w:val="14"/>
                <w:szCs w:val="14"/>
                <w:color w:val="auto"/>
              </w:rPr>
              <w:t>14.1%</w:t>
            </w:r>
          </w:p>
        </w:tc>
        <w:tc>
          <w:tcPr>
            <w:tcW w:w="2420" w:type="dxa"/>
            <w:vAlign w:val="bottom"/>
            <w:tcBorders>
              <w:bottom w:val="single" w:sz="8" w:color="CCCCCC"/>
            </w:tcBorders>
            <w:shd w:val="clear" w:color="auto" w:fill="CCCCCC"/>
          </w:tcPr>
          <w:p>
            <w:pPr>
              <w:jc w:val="right"/>
              <w:ind w:right="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980" w:type="dxa"/>
            <w:vAlign w:val="bottom"/>
            <w:tcBorders>
              <w:top w:val="single" w:sz="8" w:color="auto"/>
            </w:tcBorders>
          </w:tcPr>
          <w:p>
            <w:pPr>
              <w:ind w:left="100"/>
              <w:spacing w:after="0" w:line="241" w:lineRule="exact"/>
              <w:rPr>
                <w:sz w:val="20"/>
                <w:szCs w:val="20"/>
                <w:color w:val="auto"/>
              </w:rPr>
            </w:pPr>
            <w:r>
              <w:rPr>
                <w:rFonts w:ascii="Arial" w:cs="Arial" w:eastAsia="Arial" w:hAnsi="Arial"/>
                <w:sz w:val="14"/>
                <w:szCs w:val="14"/>
                <w:color w:val="auto"/>
              </w:rPr>
              <w:t>BlackRock, Inc.</w:t>
            </w:r>
            <w:r>
              <w:rPr>
                <w:rFonts w:ascii="Arial" w:cs="Arial" w:eastAsia="Arial" w:hAnsi="Arial"/>
                <w:sz w:val="23"/>
                <w:szCs w:val="23"/>
                <w:color w:val="auto"/>
                <w:vertAlign w:val="superscript"/>
              </w:rPr>
              <w:t>(6)</w:t>
            </w:r>
          </w:p>
        </w:tc>
        <w:tc>
          <w:tcPr>
            <w:tcW w:w="2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100"/>
              <w:spacing w:after="0"/>
              <w:rPr>
                <w:sz w:val="20"/>
                <w:szCs w:val="20"/>
                <w:color w:val="auto"/>
              </w:rPr>
            </w:pPr>
            <w:r>
              <w:rPr>
                <w:rFonts w:ascii="Arial" w:cs="Arial" w:eastAsia="Arial" w:hAnsi="Arial"/>
                <w:sz w:val="14"/>
                <w:szCs w:val="14"/>
                <w:color w:val="auto"/>
              </w:rPr>
              <w:t>55 East 52nd Street</w:t>
            </w:r>
          </w:p>
        </w:tc>
        <w:tc>
          <w:tcPr>
            <w:tcW w:w="2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80" w:type="dxa"/>
            <w:vAlign w:val="bottom"/>
          </w:tcPr>
          <w:p>
            <w:pPr>
              <w:ind w:left="100"/>
              <w:spacing w:after="0"/>
              <w:rPr>
                <w:sz w:val="20"/>
                <w:szCs w:val="20"/>
                <w:color w:val="auto"/>
              </w:rPr>
            </w:pPr>
            <w:r>
              <w:rPr>
                <w:rFonts w:ascii="Arial" w:cs="Arial" w:eastAsia="Arial" w:hAnsi="Arial"/>
                <w:sz w:val="14"/>
                <w:szCs w:val="14"/>
                <w:color w:val="auto"/>
              </w:rPr>
              <w:t>New York, NY 10055</w:t>
            </w:r>
          </w:p>
        </w:tc>
        <w:tc>
          <w:tcPr>
            <w:tcW w:w="2200" w:type="dxa"/>
            <w:vAlign w:val="bottom"/>
          </w:tcPr>
          <w:p>
            <w:pPr>
              <w:jc w:val="right"/>
              <w:ind w:right="648"/>
              <w:spacing w:after="0"/>
              <w:rPr>
                <w:sz w:val="20"/>
                <w:szCs w:val="20"/>
                <w:color w:val="auto"/>
              </w:rPr>
            </w:pPr>
            <w:r>
              <w:rPr>
                <w:rFonts w:ascii="Arial" w:cs="Arial" w:eastAsia="Arial" w:hAnsi="Arial"/>
                <w:sz w:val="14"/>
                <w:szCs w:val="14"/>
                <w:color w:val="auto"/>
              </w:rPr>
              <w:t>2,363,381</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5.9%</w:t>
            </w:r>
          </w:p>
        </w:tc>
        <w:tc>
          <w:tcPr>
            <w:tcW w:w="242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3980" w:type="dxa"/>
            <w:vAlign w:val="bottom"/>
            <w:shd w:val="clear" w:color="auto" w:fill="CCCCCC"/>
          </w:tcPr>
          <w:p>
            <w:pPr>
              <w:ind w:left="100"/>
              <w:spacing w:after="0" w:line="241" w:lineRule="exact"/>
              <w:rPr>
                <w:sz w:val="20"/>
                <w:szCs w:val="20"/>
                <w:color w:val="auto"/>
              </w:rPr>
            </w:pPr>
            <w:r>
              <w:rPr>
                <w:rFonts w:ascii="Arial" w:cs="Arial" w:eastAsia="Arial" w:hAnsi="Arial"/>
                <w:sz w:val="14"/>
                <w:szCs w:val="14"/>
                <w:color w:val="auto"/>
              </w:rPr>
              <w:t xml:space="preserve">Vanguard Group, Inc. </w:t>
            </w:r>
            <w:r>
              <w:rPr>
                <w:rFonts w:ascii="Arial" w:cs="Arial" w:eastAsia="Arial" w:hAnsi="Arial"/>
                <w:sz w:val="23"/>
                <w:szCs w:val="23"/>
                <w:color w:val="auto"/>
                <w:vertAlign w:val="superscript"/>
              </w:rPr>
              <w:t>(7)</w:t>
            </w:r>
          </w:p>
        </w:tc>
        <w:tc>
          <w:tcPr>
            <w:tcW w:w="2200" w:type="dxa"/>
            <w:vAlign w:val="bottom"/>
            <w:shd w:val="clear" w:color="auto" w:fill="CCCCCC"/>
          </w:tcPr>
          <w:p>
            <w:pPr>
              <w:spacing w:after="0"/>
              <w:rPr>
                <w:sz w:val="20"/>
                <w:szCs w:val="20"/>
                <w:color w:val="auto"/>
              </w:rPr>
            </w:pPr>
          </w:p>
        </w:tc>
        <w:tc>
          <w:tcPr>
            <w:tcW w:w="1240" w:type="dxa"/>
            <w:vAlign w:val="bottom"/>
            <w:shd w:val="clear" w:color="auto" w:fill="CCCCCC"/>
          </w:tcPr>
          <w:p>
            <w:pPr>
              <w:spacing w:after="0"/>
              <w:rPr>
                <w:sz w:val="20"/>
                <w:szCs w:val="20"/>
                <w:color w:val="auto"/>
              </w:rPr>
            </w:pPr>
          </w:p>
        </w:tc>
        <w:tc>
          <w:tcPr>
            <w:tcW w:w="2420" w:type="dxa"/>
            <w:vAlign w:val="bottom"/>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980" w:type="dxa"/>
            <w:vAlign w:val="bottom"/>
            <w:shd w:val="clear" w:color="auto" w:fill="CCCCCC"/>
          </w:tcPr>
          <w:p>
            <w:pPr>
              <w:ind w:left="100"/>
              <w:spacing w:after="0"/>
              <w:rPr>
                <w:sz w:val="20"/>
                <w:szCs w:val="20"/>
                <w:color w:val="auto"/>
              </w:rPr>
            </w:pPr>
            <w:r>
              <w:rPr>
                <w:rFonts w:ascii="Arial" w:cs="Arial" w:eastAsia="Arial" w:hAnsi="Arial"/>
                <w:sz w:val="14"/>
                <w:szCs w:val="14"/>
                <w:color w:val="auto"/>
              </w:rPr>
              <w:t>100 Vanguard Blvd.</w:t>
            </w:r>
          </w:p>
        </w:tc>
        <w:tc>
          <w:tcPr>
            <w:tcW w:w="2200" w:type="dxa"/>
            <w:vAlign w:val="bottom"/>
            <w:shd w:val="clear" w:color="auto" w:fill="CCCCCC"/>
          </w:tcPr>
          <w:p>
            <w:pPr>
              <w:spacing w:after="0"/>
              <w:rPr>
                <w:sz w:val="14"/>
                <w:szCs w:val="14"/>
                <w:color w:val="auto"/>
              </w:rPr>
            </w:pPr>
          </w:p>
        </w:tc>
        <w:tc>
          <w:tcPr>
            <w:tcW w:w="1240" w:type="dxa"/>
            <w:vAlign w:val="bottom"/>
            <w:shd w:val="clear" w:color="auto" w:fill="CCCCCC"/>
          </w:tcPr>
          <w:p>
            <w:pPr>
              <w:spacing w:after="0"/>
              <w:rPr>
                <w:sz w:val="14"/>
                <w:szCs w:val="14"/>
                <w:color w:val="auto"/>
              </w:rPr>
            </w:pPr>
          </w:p>
        </w:tc>
        <w:tc>
          <w:tcPr>
            <w:tcW w:w="242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Malvern, PA 19355</w:t>
            </w:r>
          </w:p>
        </w:tc>
        <w:tc>
          <w:tcPr>
            <w:tcW w:w="2200" w:type="dxa"/>
            <w:vAlign w:val="bottom"/>
            <w:tcBorders>
              <w:bottom w:val="single" w:sz="8" w:color="CCCCCC"/>
            </w:tcBorders>
            <w:shd w:val="clear" w:color="auto" w:fill="CCCCCC"/>
          </w:tcPr>
          <w:p>
            <w:pPr>
              <w:jc w:val="right"/>
              <w:ind w:right="648"/>
              <w:spacing w:after="0"/>
              <w:rPr>
                <w:sz w:val="20"/>
                <w:szCs w:val="20"/>
                <w:color w:val="auto"/>
              </w:rPr>
            </w:pPr>
            <w:r>
              <w:rPr>
                <w:rFonts w:ascii="Arial" w:cs="Arial" w:eastAsia="Arial" w:hAnsi="Arial"/>
                <w:sz w:val="14"/>
                <w:szCs w:val="14"/>
                <w:color w:val="auto"/>
              </w:rPr>
              <w:t>2,115,373</w:t>
            </w:r>
          </w:p>
        </w:tc>
        <w:tc>
          <w:tcPr>
            <w:tcW w:w="1240" w:type="dxa"/>
            <w:vAlign w:val="bottom"/>
            <w:tcBorders>
              <w:bottom w:val="single" w:sz="8" w:color="CCCCCC"/>
            </w:tcBorders>
            <w:shd w:val="clear" w:color="auto" w:fill="CCCCCC"/>
          </w:tcPr>
          <w:p>
            <w:pPr>
              <w:jc w:val="right"/>
              <w:ind w:right="288"/>
              <w:spacing w:after="0"/>
              <w:rPr>
                <w:sz w:val="20"/>
                <w:szCs w:val="20"/>
                <w:color w:val="auto"/>
              </w:rPr>
            </w:pPr>
            <w:r>
              <w:rPr>
                <w:rFonts w:ascii="Arial" w:cs="Arial" w:eastAsia="Arial" w:hAnsi="Arial"/>
                <w:sz w:val="14"/>
                <w:szCs w:val="14"/>
                <w:color w:val="auto"/>
              </w:rPr>
              <w:t>5.3%</w:t>
            </w:r>
          </w:p>
        </w:tc>
        <w:tc>
          <w:tcPr>
            <w:tcW w:w="2420" w:type="dxa"/>
            <w:vAlign w:val="bottom"/>
            <w:tcBorders>
              <w:bottom w:val="single" w:sz="8" w:color="CCCCCC"/>
            </w:tcBorders>
            <w:shd w:val="clear" w:color="auto" w:fill="CCCCCC"/>
          </w:tcPr>
          <w:p>
            <w:pPr>
              <w:jc w:val="right"/>
              <w:ind w:right="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8"/>
        </w:trPr>
        <w:tc>
          <w:tcPr>
            <w:tcW w:w="39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Directors, Nominees and Named Executive Officers:</w:t>
            </w:r>
          </w:p>
        </w:tc>
        <w:tc>
          <w:tcPr>
            <w:tcW w:w="2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398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Bernardo Hees</w:t>
            </w:r>
          </w:p>
        </w:tc>
        <w:tc>
          <w:tcPr>
            <w:tcW w:w="2200" w:type="dxa"/>
            <w:vAlign w:val="bottom"/>
            <w:tcBorders>
              <w:bottom w:val="single" w:sz="8" w:color="CCCCCC"/>
            </w:tcBorders>
            <w:shd w:val="clear" w:color="auto" w:fill="CCCCCC"/>
          </w:tcPr>
          <w:p>
            <w:pPr>
              <w:jc w:val="right"/>
              <w:ind w:right="648"/>
              <w:spacing w:after="0"/>
              <w:rPr>
                <w:sz w:val="20"/>
                <w:szCs w:val="20"/>
                <w:color w:val="auto"/>
              </w:rPr>
            </w:pPr>
            <w:r>
              <w:rPr>
                <w:rFonts w:ascii="Arial" w:cs="Arial" w:eastAsia="Arial" w:hAnsi="Arial"/>
                <w:sz w:val="14"/>
                <w:szCs w:val="14"/>
                <w:color w:val="auto"/>
              </w:rPr>
              <w:t>457,140</w:t>
            </w:r>
          </w:p>
        </w:tc>
        <w:tc>
          <w:tcPr>
            <w:tcW w:w="1240" w:type="dxa"/>
            <w:vAlign w:val="bottom"/>
            <w:tcBorders>
              <w:bottom w:val="single" w:sz="8" w:color="CCCCCC"/>
            </w:tcBorders>
            <w:shd w:val="clear" w:color="auto" w:fill="CCCCCC"/>
          </w:tcPr>
          <w:p>
            <w:pPr>
              <w:jc w:val="right"/>
              <w:ind w:right="288"/>
              <w:spacing w:after="0"/>
              <w:rPr>
                <w:sz w:val="20"/>
                <w:szCs w:val="20"/>
                <w:color w:val="auto"/>
              </w:rPr>
            </w:pPr>
            <w:r>
              <w:rPr>
                <w:rFonts w:ascii="Arial" w:cs="Arial" w:eastAsia="Arial" w:hAnsi="Arial"/>
                <w:sz w:val="14"/>
                <w:szCs w:val="14"/>
                <w:color w:val="auto"/>
              </w:rPr>
              <w:t>1.1%</w:t>
            </w:r>
          </w:p>
        </w:tc>
        <w:tc>
          <w:tcPr>
            <w:tcW w:w="2420" w:type="dxa"/>
            <w:vAlign w:val="bottom"/>
            <w:tcBorders>
              <w:bottom w:val="single" w:sz="8" w:color="CCCCCC"/>
            </w:tcBorders>
            <w:shd w:val="clear" w:color="auto" w:fill="CCCCCC"/>
          </w:tcPr>
          <w:p>
            <w:pPr>
              <w:jc w:val="right"/>
              <w:ind w:right="828"/>
              <w:spacing w:after="0"/>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242"/>
        </w:trPr>
        <w:tc>
          <w:tcPr>
            <w:tcW w:w="398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Anu Hariharan</w:t>
            </w:r>
          </w:p>
        </w:tc>
        <w:tc>
          <w:tcPr>
            <w:tcW w:w="220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rPr>
              <w:t>952</w:t>
            </w:r>
          </w:p>
        </w:tc>
        <w:tc>
          <w:tcPr>
            <w:tcW w:w="12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top w:val="single" w:sz="8" w:color="auto"/>
            </w:tcBorders>
          </w:tcPr>
          <w:p>
            <w:pPr>
              <w:jc w:val="right"/>
              <w:ind w:right="828"/>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48"/>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Lynn Krominga</w:t>
            </w:r>
          </w:p>
        </w:tc>
        <w:tc>
          <w:tcPr>
            <w:tcW w:w="2200" w:type="dxa"/>
            <w:vAlign w:val="bottom"/>
            <w:tcBorders>
              <w:bottom w:val="single" w:sz="8" w:color="CCCCCC"/>
            </w:tcBorders>
            <w:shd w:val="clear" w:color="auto" w:fill="CCCCCC"/>
          </w:tcPr>
          <w:p>
            <w:pPr>
              <w:jc w:val="right"/>
              <w:ind w:right="648"/>
              <w:spacing w:after="0"/>
              <w:rPr>
                <w:sz w:val="20"/>
                <w:szCs w:val="20"/>
                <w:color w:val="auto"/>
              </w:rPr>
            </w:pPr>
            <w:r>
              <w:rPr>
                <w:rFonts w:ascii="Arial" w:cs="Arial" w:eastAsia="Arial" w:hAnsi="Arial"/>
                <w:sz w:val="14"/>
                <w:szCs w:val="14"/>
                <w:color w:val="auto"/>
              </w:rPr>
              <w:t>16,194</w:t>
            </w:r>
          </w:p>
        </w:tc>
        <w:tc>
          <w:tcPr>
            <w:tcW w:w="1240" w:type="dxa"/>
            <w:vAlign w:val="bottom"/>
            <w:tcBorders>
              <w:bottom w:val="single" w:sz="8" w:color="CCCCCC"/>
            </w:tcBorders>
            <w:shd w:val="clear" w:color="auto" w:fill="CCCCCC"/>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CCCCCC"/>
            </w:tcBorders>
            <w:shd w:val="clear" w:color="auto" w:fill="CCCCCC"/>
          </w:tcPr>
          <w:p>
            <w:pPr>
              <w:jc w:val="right"/>
              <w:ind w:right="828"/>
              <w:spacing w:after="0"/>
              <w:rPr>
                <w:sz w:val="20"/>
                <w:szCs w:val="20"/>
                <w:color w:val="auto"/>
              </w:rPr>
            </w:pPr>
            <w:r>
              <w:rPr>
                <w:rFonts w:ascii="Arial" w:cs="Arial" w:eastAsia="Arial" w:hAnsi="Arial"/>
                <w:sz w:val="14"/>
                <w:szCs w:val="14"/>
                <w:color w:val="auto"/>
              </w:rPr>
              <w:t>16,194</w:t>
            </w:r>
          </w:p>
        </w:tc>
        <w:tc>
          <w:tcPr>
            <w:tcW w:w="0" w:type="dxa"/>
            <w:vAlign w:val="bottom"/>
          </w:tcPr>
          <w:p>
            <w:pPr>
              <w:spacing w:after="0"/>
              <w:rPr>
                <w:sz w:val="1"/>
                <w:szCs w:val="1"/>
                <w:color w:val="auto"/>
              </w:rPr>
            </w:pPr>
          </w:p>
        </w:tc>
      </w:tr>
      <w:tr>
        <w:trPr>
          <w:trHeight w:val="242"/>
        </w:trPr>
        <w:tc>
          <w:tcPr>
            <w:tcW w:w="398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Glenn Lurie</w:t>
            </w:r>
          </w:p>
        </w:tc>
        <w:tc>
          <w:tcPr>
            <w:tcW w:w="220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rPr>
              <w:t>12,027</w:t>
            </w:r>
          </w:p>
        </w:tc>
        <w:tc>
          <w:tcPr>
            <w:tcW w:w="12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top w:val="single" w:sz="8" w:color="auto"/>
            </w:tcBorders>
          </w:tcPr>
          <w:p>
            <w:pPr>
              <w:jc w:val="right"/>
              <w:ind w:right="828"/>
              <w:spacing w:after="0"/>
              <w:rPr>
                <w:sz w:val="20"/>
                <w:szCs w:val="20"/>
                <w:color w:val="auto"/>
              </w:rPr>
            </w:pPr>
            <w:r>
              <w:rPr>
                <w:rFonts w:ascii="Arial" w:cs="Arial" w:eastAsia="Arial" w:hAnsi="Arial"/>
                <w:sz w:val="14"/>
                <w:szCs w:val="14"/>
                <w:color w:val="auto"/>
              </w:rPr>
              <w:t>12,027</w:t>
            </w:r>
          </w:p>
        </w:tc>
        <w:tc>
          <w:tcPr>
            <w:tcW w:w="0" w:type="dxa"/>
            <w:vAlign w:val="bottom"/>
          </w:tcPr>
          <w:p>
            <w:pPr>
              <w:spacing w:after="0"/>
              <w:rPr>
                <w:sz w:val="1"/>
                <w:szCs w:val="1"/>
                <w:color w:val="auto"/>
              </w:rPr>
            </w:pPr>
          </w:p>
        </w:tc>
      </w:tr>
      <w:tr>
        <w:trPr>
          <w:trHeight w:val="49"/>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Jagdeep Pahwa</w:t>
            </w:r>
          </w:p>
        </w:tc>
        <w:tc>
          <w:tcPr>
            <w:tcW w:w="2200" w:type="dxa"/>
            <w:vAlign w:val="bottom"/>
            <w:tcBorders>
              <w:bottom w:val="single" w:sz="8" w:color="CCCCCC"/>
            </w:tcBorders>
            <w:shd w:val="clear" w:color="auto" w:fill="CCCCCC"/>
          </w:tcPr>
          <w:p>
            <w:pPr>
              <w:jc w:val="right"/>
              <w:ind w:right="6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CCCC"/>
            </w:tcBorders>
            <w:shd w:val="clear" w:color="auto" w:fill="CCCCCC"/>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CCCCCC"/>
            </w:tcBorders>
            <w:shd w:val="clear" w:color="auto" w:fill="CCCCCC"/>
          </w:tcPr>
          <w:p>
            <w:pPr>
              <w:jc w:val="right"/>
              <w:ind w:right="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39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Karthik Sarma</w:t>
            </w:r>
            <w:r>
              <w:rPr>
                <w:rFonts w:ascii="Arial" w:cs="Arial" w:eastAsia="Arial" w:hAnsi="Arial"/>
                <w:sz w:val="23"/>
                <w:szCs w:val="23"/>
                <w:color w:val="auto"/>
                <w:vertAlign w:val="superscript"/>
              </w:rPr>
              <w:t>(8)</w:t>
            </w:r>
          </w:p>
        </w:tc>
        <w:tc>
          <w:tcPr>
            <w:tcW w:w="2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18,430,882</w:t>
            </w:r>
          </w:p>
        </w:tc>
        <w:tc>
          <w:tcPr>
            <w:tcW w:w="12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46.4%</w:t>
            </w:r>
          </w:p>
        </w:tc>
        <w:tc>
          <w:tcPr>
            <w:tcW w:w="242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5"/>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Joseph A. Ferraro</w:t>
            </w:r>
          </w:p>
        </w:tc>
        <w:tc>
          <w:tcPr>
            <w:tcW w:w="2200" w:type="dxa"/>
            <w:vAlign w:val="bottom"/>
            <w:tcBorders>
              <w:bottom w:val="single" w:sz="8" w:color="CCCCCC"/>
            </w:tcBorders>
            <w:shd w:val="clear" w:color="auto" w:fill="CCCCCC"/>
          </w:tcPr>
          <w:p>
            <w:pPr>
              <w:jc w:val="right"/>
              <w:ind w:right="648"/>
              <w:spacing w:after="0"/>
              <w:rPr>
                <w:sz w:val="20"/>
                <w:szCs w:val="20"/>
                <w:color w:val="auto"/>
              </w:rPr>
            </w:pPr>
            <w:r>
              <w:rPr>
                <w:rFonts w:ascii="Arial" w:cs="Arial" w:eastAsia="Arial" w:hAnsi="Arial"/>
                <w:sz w:val="14"/>
                <w:szCs w:val="14"/>
                <w:color w:val="auto"/>
              </w:rPr>
              <w:t>238,341</w:t>
            </w:r>
          </w:p>
        </w:tc>
        <w:tc>
          <w:tcPr>
            <w:tcW w:w="1240" w:type="dxa"/>
            <w:vAlign w:val="bottom"/>
            <w:tcBorders>
              <w:bottom w:val="single" w:sz="8" w:color="CCCCCC"/>
            </w:tcBorders>
            <w:shd w:val="clear" w:color="auto" w:fill="CCCCCC"/>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CCCCCC"/>
            </w:tcBorders>
            <w:shd w:val="clear" w:color="auto" w:fill="CCCCCC"/>
          </w:tcPr>
          <w:p>
            <w:pPr>
              <w:jc w:val="right"/>
              <w:ind w:right="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398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Brian J. Choi</w:t>
            </w:r>
          </w:p>
        </w:tc>
        <w:tc>
          <w:tcPr>
            <w:tcW w:w="220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rPr>
              <w:t>70,378</w:t>
            </w:r>
          </w:p>
        </w:tc>
        <w:tc>
          <w:tcPr>
            <w:tcW w:w="12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top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3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Ravi Simhambatla</w:t>
            </w:r>
          </w:p>
        </w:tc>
        <w:tc>
          <w:tcPr>
            <w:tcW w:w="2200" w:type="dxa"/>
            <w:vAlign w:val="bottom"/>
            <w:tcBorders>
              <w:bottom w:val="single" w:sz="8" w:color="CCCCCC"/>
            </w:tcBorders>
            <w:shd w:val="clear" w:color="auto" w:fill="CCCCCC"/>
          </w:tcPr>
          <w:p>
            <w:pPr>
              <w:jc w:val="right"/>
              <w:ind w:right="6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CCCC"/>
            </w:tcBorders>
            <w:shd w:val="clear" w:color="auto" w:fill="CCCCCC"/>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CCCCCC"/>
            </w:tcBorders>
            <w:shd w:val="clear" w:color="auto" w:fill="CCCCCC"/>
          </w:tcPr>
          <w:p>
            <w:pPr>
              <w:jc w:val="right"/>
              <w:ind w:right="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398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Izilda “Izzy” P. Martins</w:t>
            </w:r>
          </w:p>
        </w:tc>
        <w:tc>
          <w:tcPr>
            <w:tcW w:w="220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rPr>
              <w:t>25,095</w:t>
            </w:r>
          </w:p>
        </w:tc>
        <w:tc>
          <w:tcPr>
            <w:tcW w:w="12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2420" w:type="dxa"/>
            <w:vAlign w:val="bottom"/>
            <w:tcBorders>
              <w:top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
        </w:trPr>
        <w:tc>
          <w:tcPr>
            <w:tcW w:w="39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3980" w:type="dxa"/>
            <w:vAlign w:val="bottom"/>
            <w:shd w:val="clear" w:color="auto" w:fill="CCCCCC"/>
          </w:tcPr>
          <w:p>
            <w:pPr>
              <w:ind w:left="100"/>
              <w:spacing w:after="0"/>
              <w:rPr>
                <w:sz w:val="20"/>
                <w:szCs w:val="20"/>
                <w:color w:val="auto"/>
              </w:rPr>
            </w:pPr>
            <w:r>
              <w:rPr>
                <w:rFonts w:ascii="Arial" w:cs="Arial" w:eastAsia="Arial" w:hAnsi="Arial"/>
                <w:sz w:val="14"/>
                <w:szCs w:val="14"/>
                <w:b w:val="1"/>
                <w:bCs w:val="1"/>
                <w:color w:val="auto"/>
              </w:rPr>
              <w:t>All Directors, Nominees and Executive Officers as a</w:t>
            </w:r>
          </w:p>
        </w:tc>
        <w:tc>
          <w:tcPr>
            <w:tcW w:w="2200" w:type="dxa"/>
            <w:vAlign w:val="bottom"/>
            <w:shd w:val="clear" w:color="auto" w:fill="CCCCCC"/>
          </w:tcPr>
          <w:p>
            <w:pPr>
              <w:spacing w:after="0"/>
              <w:rPr>
                <w:sz w:val="18"/>
                <w:szCs w:val="18"/>
                <w:color w:val="auto"/>
              </w:rPr>
            </w:pPr>
          </w:p>
        </w:tc>
        <w:tc>
          <w:tcPr>
            <w:tcW w:w="1240" w:type="dxa"/>
            <w:vAlign w:val="bottom"/>
            <w:shd w:val="clear" w:color="auto" w:fill="CCCCCC"/>
          </w:tcPr>
          <w:p>
            <w:pPr>
              <w:spacing w:after="0"/>
              <w:rPr>
                <w:sz w:val="18"/>
                <w:szCs w:val="18"/>
                <w:color w:val="auto"/>
              </w:rPr>
            </w:pPr>
          </w:p>
        </w:tc>
        <w:tc>
          <w:tcPr>
            <w:tcW w:w="2420" w:type="dxa"/>
            <w:vAlign w:val="bottom"/>
            <w:vMerge w:val="restart"/>
            <w:shd w:val="clear" w:color="auto" w:fill="CCCCCC"/>
          </w:tcPr>
          <w:p>
            <w:pPr>
              <w:jc w:val="right"/>
              <w:ind w:right="708"/>
              <w:spacing w:after="0"/>
              <w:rPr>
                <w:sz w:val="20"/>
                <w:szCs w:val="20"/>
                <w:color w:val="auto"/>
              </w:rPr>
            </w:pPr>
            <w:r>
              <w:rPr>
                <w:rFonts w:ascii="Arial" w:cs="Arial" w:eastAsia="Arial" w:hAnsi="Arial"/>
                <w:sz w:val="14"/>
                <w:szCs w:val="14"/>
                <w:color w:val="auto"/>
              </w:rPr>
              <w:t>30,698</w:t>
            </w:r>
            <w:r>
              <w:rPr>
                <w:rFonts w:ascii="Arial" w:cs="Arial" w:eastAsia="Arial" w:hAnsi="Arial"/>
                <w:sz w:val="23"/>
                <w:szCs w:val="23"/>
                <w:color w:val="auto"/>
                <w:vertAlign w:val="superscript"/>
              </w:rPr>
              <w:t>(9)</w:t>
            </w:r>
          </w:p>
        </w:tc>
        <w:tc>
          <w:tcPr>
            <w:tcW w:w="0" w:type="dxa"/>
            <w:vAlign w:val="bottom"/>
          </w:tcPr>
          <w:p>
            <w:pPr>
              <w:spacing w:after="0"/>
              <w:rPr>
                <w:sz w:val="1"/>
                <w:szCs w:val="1"/>
                <w:color w:val="auto"/>
              </w:rPr>
            </w:pPr>
          </w:p>
        </w:tc>
      </w:tr>
      <w:tr>
        <w:trPr>
          <w:trHeight w:val="198"/>
        </w:trPr>
        <w:tc>
          <w:tcPr>
            <w:tcW w:w="3980" w:type="dxa"/>
            <w:vAlign w:val="bottom"/>
            <w:tcBorders>
              <w:bottom w:val="single" w:sz="8" w:color="auto"/>
            </w:tcBorders>
            <w:shd w:val="clear" w:color="auto" w:fill="CCCCCC"/>
          </w:tcPr>
          <w:p>
            <w:pPr>
              <w:ind w:left="280"/>
              <w:spacing w:after="0"/>
              <w:rPr>
                <w:sz w:val="20"/>
                <w:szCs w:val="20"/>
                <w:color w:val="auto"/>
              </w:rPr>
            </w:pPr>
            <w:r>
              <w:rPr>
                <w:rFonts w:ascii="Arial" w:cs="Arial" w:eastAsia="Arial" w:hAnsi="Arial"/>
                <w:sz w:val="14"/>
                <w:szCs w:val="14"/>
                <w:b w:val="1"/>
                <w:bCs w:val="1"/>
                <w:color w:val="auto"/>
              </w:rPr>
              <w:t>group (14 persons)</w:t>
            </w:r>
          </w:p>
        </w:tc>
        <w:tc>
          <w:tcPr>
            <w:tcW w:w="22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19,374,860</w:t>
            </w:r>
          </w:p>
        </w:tc>
        <w:tc>
          <w:tcPr>
            <w:tcW w:w="1240" w:type="dxa"/>
            <w:vAlign w:val="bottom"/>
            <w:tcBorders>
              <w:bottom w:val="single" w:sz="8" w:color="auto"/>
            </w:tcBorders>
            <w:shd w:val="clear" w:color="auto" w:fill="CCCCCC"/>
          </w:tcPr>
          <w:p>
            <w:pPr>
              <w:jc w:val="right"/>
              <w:ind w:right="288"/>
              <w:spacing w:after="0"/>
              <w:rPr>
                <w:sz w:val="20"/>
                <w:szCs w:val="20"/>
                <w:color w:val="auto"/>
              </w:rPr>
            </w:pPr>
            <w:r>
              <w:rPr>
                <w:rFonts w:ascii="Arial" w:cs="Arial" w:eastAsia="Arial" w:hAnsi="Arial"/>
                <w:sz w:val="14"/>
                <w:szCs w:val="14"/>
                <w:color w:val="auto"/>
              </w:rPr>
              <w:t>48.8%</w:t>
            </w:r>
          </w:p>
        </w:tc>
        <w:tc>
          <w:tcPr>
            <w:tcW w:w="2420" w:type="dxa"/>
            <w:vAlign w:val="bottom"/>
            <w:tcBorders>
              <w:bottom w:val="single" w:sz="8" w:color="auto"/>
            </w:tcBorders>
            <w:vMerge w:val="continue"/>
            <w:shd w:val="clear" w:color="auto" w:fill="CCCCCC"/>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60" w:hanging="350"/>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 represents less than 1% of outstanding Common Stock.</w:t>
      </w:r>
    </w:p>
    <w:p>
      <w:pPr>
        <w:spacing w:after="0" w:line="82" w:lineRule="exact"/>
        <w:rPr>
          <w:sz w:val="20"/>
          <w:szCs w:val="20"/>
          <w:color w:val="auto"/>
        </w:rPr>
      </w:pPr>
    </w:p>
    <w:p>
      <w:pPr>
        <w:ind w:left="360" w:hanging="350"/>
        <w:spacing w:after="0" w:line="285" w:lineRule="auto"/>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Information is based upon the assumption that there was no change in the beneficial ownership of such shares of Common Stock from the publicly filed information through March 13, 2023.</w:t>
      </w:r>
    </w:p>
    <w:p>
      <w:pPr>
        <w:spacing w:after="0" w:line="9" w:lineRule="exact"/>
        <w:rPr>
          <w:sz w:val="20"/>
          <w:szCs w:val="20"/>
          <w:color w:val="auto"/>
        </w:rPr>
      </w:pPr>
    </w:p>
    <w:p>
      <w:pPr>
        <w:ind w:left="360" w:right="20" w:hanging="350"/>
        <w:spacing w:after="0" w:line="285"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Shares beneficially owned include (i) direct and indirect ownership of shares, (ii) restricted stock units held by executive officers that may vest within 60 days of March 13, 2023, and (iii) restricted stock units held by directors that may be settled within 60 days of March 13, 2023.</w:t>
      </w:r>
    </w:p>
    <w:p>
      <w:pPr>
        <w:spacing w:after="0" w:line="9" w:lineRule="exact"/>
        <w:rPr>
          <w:rFonts w:ascii="Arial" w:cs="Arial" w:eastAsia="Arial" w:hAnsi="Arial"/>
          <w:sz w:val="14"/>
          <w:szCs w:val="14"/>
          <w:color w:val="auto"/>
        </w:rPr>
      </w:pPr>
    </w:p>
    <w:p>
      <w:pPr>
        <w:ind w:left="360" w:hanging="350"/>
        <w:spacing w:after="0"/>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39,761,415 shares of Common Stock outstanding on March 13, 2023.</w:t>
      </w:r>
    </w:p>
    <w:p>
      <w:pPr>
        <w:spacing w:after="0" w:line="82" w:lineRule="exact"/>
        <w:rPr>
          <w:rFonts w:ascii="Arial" w:cs="Arial" w:eastAsia="Arial" w:hAnsi="Arial"/>
          <w:sz w:val="14"/>
          <w:szCs w:val="14"/>
          <w:color w:val="auto"/>
        </w:rPr>
      </w:pPr>
    </w:p>
    <w:p>
      <w:pPr>
        <w:ind w:left="360" w:right="20" w:hanging="350"/>
        <w:spacing w:after="0" w:line="285"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(i) restricted stock units held by executive officers that may vest within 60 days of March 13, 2023 and (ii) restricted stock units held by directors that may be settled within 60 days of March 13, 2023.</w:t>
      </w:r>
    </w:p>
    <w:p>
      <w:pPr>
        <w:spacing w:after="0" w:line="9" w:lineRule="exact"/>
        <w:rPr>
          <w:rFonts w:ascii="Arial" w:cs="Arial" w:eastAsia="Arial" w:hAnsi="Arial"/>
          <w:sz w:val="14"/>
          <w:szCs w:val="14"/>
          <w:color w:val="auto"/>
        </w:rPr>
      </w:pPr>
    </w:p>
    <w:p>
      <w:pPr>
        <w:jc w:val="both"/>
        <w:ind w:left="360" w:hanging="350"/>
        <w:spacing w:after="0" w:line="245"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beneficial ownership of 18,430,882 shares of Common Stock by SRS and Karthik R. Sarma (the “Reporting Persons”), as derived solely from information reported on Schedule 13D/A under the Exchange Act, as filed with the SEC on December 27, 2022. Such Schedule 13D/A indicates that SRS and Mr. Sarma share voting and dispositive power over the shares of Common Stock. SRS serves as investment manager to certain investment funds (the “Funds”) and has investment discretion with respect to the shares of Common Stock held by the Funds. SRS Investment Management, LP (“SRS IM”) is the managing member of SRS. SRS Investment Management GP, LLC (“SRS IM GP”) is the general partner of SRS IM. Mr. Sarma is the managing member and principal of SRS IM GP. In such capacities, Mr. Sarma and SRS may be deemed to have voting and dispositive power with respect to the shares of Common Stock held for the Funds. The shares of Common Stock beneficially owned by the Reporting Persons include 9,250,000 shares of Common Stock that are subject to a pledge arrangement. The Reporting Persons have economic exposure to, and may be deemed to beneficially own, an additional 2,862,283 notional shares of Common Stock pursuant to cash-settled equity swaps, as derived solely from information reported on the Schedule 13D. Such notional shares represent approximately 7.2% of the shares of Common Stock outstanding on March 13, 2023. Such Schedule 13D indicates that the Reporting Persons do not have voting power or dispositive power with respect to the shares referenced in such swaps, and disclaim beneficial ownership of the shares underlying such swaps.</w:t>
      </w:r>
    </w:p>
    <w:p>
      <w:pPr>
        <w:spacing w:after="0" w:line="39" w:lineRule="exact"/>
        <w:rPr>
          <w:rFonts w:ascii="Arial" w:cs="Arial" w:eastAsia="Arial" w:hAnsi="Arial"/>
          <w:sz w:val="14"/>
          <w:szCs w:val="14"/>
          <w:color w:val="auto"/>
        </w:rPr>
      </w:pPr>
    </w:p>
    <w:p>
      <w:pPr>
        <w:jc w:val="both"/>
        <w:ind w:left="360" w:hanging="350"/>
        <w:spacing w:after="0" w:line="256"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beneficial ownership of 5,593,641 shares of Common Stock by FMR LLC (“FMR”) and Abigail P. Johnson, a director and the Chairman and Chief Executive Officer of FMR, as derived solely from information in a Schedule 13G/A under the Exchange Act, filed with the SEC on February 9, 2023. Such Schedule 13G/A indicates that FMR has sole voting power over 5,592,157 shares of Common Stock and sole dispositive power over 5,593,641 shares of Common Stock.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22" w:name="page23"/>
    <w:bookmarkEnd w:id="22"/>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both"/>
        <w:ind w:left="350" w:right="20" w:hanging="350"/>
        <w:spacing w:after="0" w:line="263" w:lineRule="auto"/>
        <w:tabs>
          <w:tab w:leader="none" w:pos="35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beneficial ownership of 2,363,381 shares of Common Stock by BlackRock, Inc. (“BlackRock”), as derived solely from information in a Schedule 13G/A under the Exchange Act, filed with the SEC on February 1, 2023. Such Schedule 13G/A indicates that BlackRock has sole voting power over 2,259,325 shares of Common Stock and sole dispositive power over 2,363,381 shares of Common Stock.</w:t>
      </w:r>
    </w:p>
    <w:p>
      <w:pPr>
        <w:spacing w:after="0" w:line="37" w:lineRule="exact"/>
        <w:rPr>
          <w:rFonts w:ascii="Arial" w:cs="Arial" w:eastAsia="Arial" w:hAnsi="Arial"/>
          <w:sz w:val="14"/>
          <w:szCs w:val="14"/>
          <w:color w:val="auto"/>
        </w:rPr>
      </w:pPr>
    </w:p>
    <w:p>
      <w:pPr>
        <w:jc w:val="both"/>
        <w:ind w:left="350" w:hanging="350"/>
        <w:spacing w:after="0" w:line="256" w:lineRule="auto"/>
        <w:tabs>
          <w:tab w:leader="none" w:pos="35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beneficial ownership of 2,115,373 shares of Common Stock by The Vanguard Group, Inc., as derived solely from information reported in a Schedule 13G/A under the Exchange Act, filed with the SEC on February 9, 2023. Such Schedule 13G/A indicates that The Vanguard Group, Inc. has shared voting power over 9,863 shares of Common Stock, sole dispositive power over 2,077,426 shares of Common Stock, and shared dispositive power over 37,947 shares of Common Stock.</w:t>
      </w:r>
    </w:p>
    <w:p>
      <w:pPr>
        <w:spacing w:after="0" w:line="28" w:lineRule="exact"/>
        <w:rPr>
          <w:rFonts w:ascii="Arial" w:cs="Arial" w:eastAsia="Arial" w:hAnsi="Arial"/>
          <w:sz w:val="14"/>
          <w:szCs w:val="14"/>
          <w:color w:val="auto"/>
        </w:rPr>
      </w:pPr>
    </w:p>
    <w:p>
      <w:pPr>
        <w:jc w:val="both"/>
        <w:ind w:left="350" w:hanging="350"/>
        <w:spacing w:after="0" w:line="263" w:lineRule="auto"/>
        <w:tabs>
          <w:tab w:leader="none" w:pos="35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shared beneficial ownership of 18,430,882 shares of Common Stock by SRS and Mr. Sarma, as described above in footnote (4). All of these shares are included in the 19,416,253 shares of Common Stock deemed to be beneficially owned by all directors, nominees and executive officers as a group.</w:t>
      </w:r>
    </w:p>
    <w:p>
      <w:pPr>
        <w:spacing w:after="0" w:line="24" w:lineRule="exact"/>
        <w:rPr>
          <w:rFonts w:ascii="Arial" w:cs="Arial" w:eastAsia="Arial" w:hAnsi="Arial"/>
          <w:sz w:val="14"/>
          <w:szCs w:val="14"/>
          <w:color w:val="auto"/>
        </w:rPr>
      </w:pPr>
    </w:p>
    <w:p>
      <w:pPr>
        <w:ind w:left="350" w:right="20" w:hanging="350"/>
        <w:spacing w:after="0" w:line="285" w:lineRule="auto"/>
        <w:tabs>
          <w:tab w:leader="none" w:pos="35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29,173 restricted stock units held by non-employee directors and 1,525 restricted stock units held by Mr. Hees that may be settled within 60 days of March 13, 2023.</w:t>
      </w:r>
    </w:p>
    <w:p>
      <w:pPr>
        <w:spacing w:after="0" w:line="129" w:lineRule="exact"/>
        <w:rPr>
          <w:sz w:val="20"/>
          <w:szCs w:val="20"/>
          <w:color w:val="auto"/>
        </w:rPr>
      </w:pPr>
    </w:p>
    <w:p>
      <w:pPr>
        <w:ind w:left="10"/>
        <w:spacing w:after="0"/>
        <w:rPr>
          <w:sz w:val="20"/>
          <w:szCs w:val="20"/>
          <w:color w:val="auto"/>
        </w:rPr>
      </w:pPr>
      <w:r>
        <w:rPr>
          <w:rFonts w:ascii="Arial" w:cs="Arial" w:eastAsia="Arial" w:hAnsi="Arial"/>
          <w:sz w:val="36"/>
          <w:szCs w:val="36"/>
          <w:color w:val="auto"/>
        </w:rPr>
        <w:t>Delinquent Section 16(a) Reports</w:t>
      </w:r>
    </w:p>
    <w:p>
      <w:pPr>
        <w:spacing w:after="0" w:line="158"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Company believes that all filings required to be made under Section 16(a) of the Exchange Act during 2022 were timely made except for one Form 4 that was inadvertently filed late on behalf of Cathleen DeGenova, the Company’s Chief Accounting Officer, relating to the vesting and related tax withholding of restricted stock units previously awarded to Ms. DeGenova.</w:t>
      </w:r>
    </w:p>
    <w:p>
      <w:pPr>
        <w:spacing w:after="0" w:line="28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163195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23" w:name="page24"/>
    <w:bookmarkEnd w:id="23"/>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36"/>
          <w:szCs w:val="36"/>
          <w:color w:val="auto"/>
        </w:rPr>
        <w:t>Executive Officers</w:t>
      </w:r>
    </w:p>
    <w:p>
      <w:pPr>
        <w:spacing w:after="0" w:line="158" w:lineRule="exact"/>
        <w:rPr>
          <w:sz w:val="20"/>
          <w:szCs w:val="20"/>
          <w:color w:val="auto"/>
        </w:rPr>
      </w:pPr>
    </w:p>
    <w:p>
      <w:pPr>
        <w:jc w:val="both"/>
        <w:ind w:left="600" w:right="620"/>
        <w:spacing w:after="0" w:line="253" w:lineRule="auto"/>
        <w:rPr>
          <w:sz w:val="20"/>
          <w:szCs w:val="20"/>
          <w:color w:val="auto"/>
        </w:rPr>
      </w:pPr>
      <w:r>
        <w:rPr>
          <w:rFonts w:ascii="Arial" w:cs="Arial" w:eastAsia="Arial" w:hAnsi="Arial"/>
          <w:sz w:val="18"/>
          <w:szCs w:val="18"/>
          <w:color w:val="auto"/>
        </w:rPr>
        <w:t>Executive officers of the Company are set forth below. Each executive officer is appointed to hold office at the discretion of the Board of Directors and may be removed at any time by the Board of Directors with or without cause. Of our nine executive officers, approximately 67% are women and/or individuals from historically underrepresented groups.</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98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7860" w:type="dxa"/>
            <w:vAlign w:val="bottom"/>
          </w:tcPr>
          <w:p>
            <w:pPr>
              <w:ind w:left="140"/>
              <w:spacing w:after="0"/>
              <w:rPr>
                <w:sz w:val="20"/>
                <w:szCs w:val="20"/>
                <w:color w:val="auto"/>
              </w:rPr>
            </w:pPr>
            <w:r>
              <w:rPr>
                <w:rFonts w:ascii="Arial" w:cs="Arial" w:eastAsia="Arial" w:hAnsi="Arial"/>
                <w:sz w:val="14"/>
                <w:szCs w:val="14"/>
                <w:b w:val="1"/>
                <w:bCs w:val="1"/>
                <w:color w:val="auto"/>
              </w:rPr>
              <w:t>Offices or Positions To be Held</w:t>
            </w:r>
          </w:p>
        </w:tc>
      </w:tr>
      <w:tr>
        <w:trPr>
          <w:trHeight w:val="43"/>
        </w:trPr>
        <w:tc>
          <w:tcPr>
            <w:tcW w:w="1980" w:type="dxa"/>
            <w:vAlign w:val="bottom"/>
            <w:tcBorders>
              <w:bottom w:val="single" w:sz="8" w:color="auto"/>
            </w:tcBorders>
          </w:tcPr>
          <w:p>
            <w:pPr>
              <w:spacing w:after="0"/>
              <w:rPr>
                <w:sz w:val="3"/>
                <w:szCs w:val="3"/>
                <w:color w:val="auto"/>
              </w:rPr>
            </w:pPr>
          </w:p>
        </w:tc>
        <w:tc>
          <w:tcPr>
            <w:tcW w:w="7860" w:type="dxa"/>
            <w:vAlign w:val="bottom"/>
            <w:tcBorders>
              <w:bottom w:val="single" w:sz="8" w:color="auto"/>
            </w:tcBorders>
          </w:tcPr>
          <w:p>
            <w:pPr>
              <w:spacing w:after="0"/>
              <w:rPr>
                <w:sz w:val="3"/>
                <w:szCs w:val="3"/>
                <w:color w:val="auto"/>
              </w:rPr>
            </w:pPr>
          </w:p>
        </w:tc>
      </w:tr>
      <w:tr>
        <w:trPr>
          <w:trHeight w:val="336"/>
        </w:trPr>
        <w:tc>
          <w:tcPr>
            <w:tcW w:w="1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Bernardo Hees</w:t>
            </w:r>
          </w:p>
        </w:tc>
        <w:tc>
          <w:tcPr>
            <w:tcW w:w="7860" w:type="dxa"/>
            <w:vAlign w:val="bottom"/>
            <w:tcBorders>
              <w:bottom w:val="single" w:sz="8" w:color="CCCCCC"/>
            </w:tcBorders>
            <w:shd w:val="clear" w:color="auto" w:fill="CCCCCC"/>
          </w:tcPr>
          <w:p>
            <w:pPr>
              <w:ind w:left="140"/>
              <w:spacing w:after="0"/>
              <w:rPr>
                <w:sz w:val="20"/>
                <w:szCs w:val="20"/>
                <w:color w:val="auto"/>
              </w:rPr>
            </w:pPr>
            <w:r>
              <w:rPr>
                <w:rFonts w:ascii="Arial" w:cs="Arial" w:eastAsia="Arial" w:hAnsi="Arial"/>
                <w:sz w:val="18"/>
                <w:szCs w:val="18"/>
                <w:color w:val="auto"/>
              </w:rPr>
              <w:t>Executive Chairman of the Board</w:t>
            </w:r>
          </w:p>
        </w:tc>
      </w:tr>
      <w:tr>
        <w:trPr>
          <w:trHeight w:val="281"/>
        </w:trPr>
        <w:tc>
          <w:tcPr>
            <w:tcW w:w="1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Joseph A. Ferraro</w:t>
            </w:r>
          </w:p>
        </w:tc>
        <w:tc>
          <w:tcPr>
            <w:tcW w:w="78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50"/>
        </w:trPr>
        <w:tc>
          <w:tcPr>
            <w:tcW w:w="1980" w:type="dxa"/>
            <w:vAlign w:val="bottom"/>
            <w:tcBorders>
              <w:bottom w:val="single" w:sz="8" w:color="auto"/>
            </w:tcBorders>
          </w:tcPr>
          <w:p>
            <w:pPr>
              <w:spacing w:after="0"/>
              <w:rPr>
                <w:sz w:val="4"/>
                <w:szCs w:val="4"/>
                <w:color w:val="auto"/>
              </w:rPr>
            </w:pPr>
          </w:p>
        </w:tc>
        <w:tc>
          <w:tcPr>
            <w:tcW w:w="7860" w:type="dxa"/>
            <w:vAlign w:val="bottom"/>
            <w:tcBorders>
              <w:bottom w:val="single" w:sz="8" w:color="auto"/>
            </w:tcBorders>
          </w:tcPr>
          <w:p>
            <w:pPr>
              <w:spacing w:after="0"/>
              <w:rPr>
                <w:sz w:val="4"/>
                <w:szCs w:val="4"/>
                <w:color w:val="auto"/>
              </w:rPr>
            </w:pPr>
          </w:p>
        </w:tc>
      </w:tr>
      <w:tr>
        <w:trPr>
          <w:trHeight w:val="336"/>
        </w:trPr>
        <w:tc>
          <w:tcPr>
            <w:tcW w:w="1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Brian J. Choi</w:t>
            </w:r>
          </w:p>
        </w:tc>
        <w:tc>
          <w:tcPr>
            <w:tcW w:w="7860" w:type="dxa"/>
            <w:vAlign w:val="bottom"/>
            <w:tcBorders>
              <w:bottom w:val="single" w:sz="8" w:color="CCCCCC"/>
            </w:tcBorders>
            <w:shd w:val="clear" w:color="auto" w:fill="CCCCCC"/>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81"/>
        </w:trPr>
        <w:tc>
          <w:tcPr>
            <w:tcW w:w="1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Patrick “Keith” Rankin</w:t>
            </w:r>
          </w:p>
        </w:tc>
        <w:tc>
          <w:tcPr>
            <w:tcW w:w="78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President, International</w:t>
            </w:r>
          </w:p>
        </w:tc>
      </w:tr>
      <w:tr>
        <w:trPr>
          <w:trHeight w:val="50"/>
        </w:trPr>
        <w:tc>
          <w:tcPr>
            <w:tcW w:w="1980" w:type="dxa"/>
            <w:vAlign w:val="bottom"/>
            <w:tcBorders>
              <w:bottom w:val="single" w:sz="8" w:color="auto"/>
            </w:tcBorders>
          </w:tcPr>
          <w:p>
            <w:pPr>
              <w:spacing w:after="0"/>
              <w:rPr>
                <w:sz w:val="4"/>
                <w:szCs w:val="4"/>
                <w:color w:val="auto"/>
              </w:rPr>
            </w:pPr>
          </w:p>
        </w:tc>
        <w:tc>
          <w:tcPr>
            <w:tcW w:w="7860" w:type="dxa"/>
            <w:vAlign w:val="bottom"/>
            <w:tcBorders>
              <w:bottom w:val="single" w:sz="8" w:color="auto"/>
            </w:tcBorders>
          </w:tcPr>
          <w:p>
            <w:pPr>
              <w:spacing w:after="0"/>
              <w:rPr>
                <w:sz w:val="4"/>
                <w:szCs w:val="4"/>
                <w:color w:val="auto"/>
              </w:rPr>
            </w:pPr>
          </w:p>
        </w:tc>
      </w:tr>
      <w:tr>
        <w:trPr>
          <w:trHeight w:val="336"/>
        </w:trPr>
        <w:tc>
          <w:tcPr>
            <w:tcW w:w="1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Izilda P. Martins</w:t>
            </w:r>
          </w:p>
        </w:tc>
        <w:tc>
          <w:tcPr>
            <w:tcW w:w="7860" w:type="dxa"/>
            <w:vAlign w:val="bottom"/>
            <w:tcBorders>
              <w:bottom w:val="single" w:sz="8" w:color="CCCCCC"/>
            </w:tcBorders>
            <w:shd w:val="clear" w:color="auto" w:fill="CCCCCC"/>
          </w:tcPr>
          <w:p>
            <w:pPr>
              <w:ind w:left="140"/>
              <w:spacing w:after="0"/>
              <w:rPr>
                <w:sz w:val="20"/>
                <w:szCs w:val="20"/>
                <w:color w:val="auto"/>
              </w:rPr>
            </w:pPr>
            <w:r>
              <w:rPr>
                <w:rFonts w:ascii="Arial" w:cs="Arial" w:eastAsia="Arial" w:hAnsi="Arial"/>
                <w:sz w:val="18"/>
                <w:szCs w:val="18"/>
                <w:color w:val="auto"/>
              </w:rPr>
              <w:t>Executive Vice President, Americas</w:t>
            </w:r>
          </w:p>
        </w:tc>
      </w:tr>
      <w:tr>
        <w:trPr>
          <w:trHeight w:val="281"/>
        </w:trPr>
        <w:tc>
          <w:tcPr>
            <w:tcW w:w="1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Edward P. Linnen</w:t>
            </w:r>
          </w:p>
        </w:tc>
        <w:tc>
          <w:tcPr>
            <w:tcW w:w="78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Executive Vice President, Chief Human Resources Officer</w:t>
            </w:r>
          </w:p>
        </w:tc>
      </w:tr>
      <w:tr>
        <w:trPr>
          <w:trHeight w:val="50"/>
        </w:trPr>
        <w:tc>
          <w:tcPr>
            <w:tcW w:w="1980" w:type="dxa"/>
            <w:vAlign w:val="bottom"/>
            <w:tcBorders>
              <w:bottom w:val="single" w:sz="8" w:color="auto"/>
            </w:tcBorders>
          </w:tcPr>
          <w:p>
            <w:pPr>
              <w:spacing w:after="0"/>
              <w:rPr>
                <w:sz w:val="4"/>
                <w:szCs w:val="4"/>
                <w:color w:val="auto"/>
              </w:rPr>
            </w:pPr>
          </w:p>
        </w:tc>
        <w:tc>
          <w:tcPr>
            <w:tcW w:w="7860" w:type="dxa"/>
            <w:vAlign w:val="bottom"/>
            <w:tcBorders>
              <w:bottom w:val="single" w:sz="8" w:color="auto"/>
            </w:tcBorders>
          </w:tcPr>
          <w:p>
            <w:pPr>
              <w:spacing w:after="0"/>
              <w:rPr>
                <w:sz w:val="4"/>
                <w:szCs w:val="4"/>
                <w:color w:val="auto"/>
              </w:rPr>
            </w:pPr>
          </w:p>
        </w:tc>
      </w:tr>
      <w:tr>
        <w:trPr>
          <w:trHeight w:val="336"/>
        </w:trPr>
        <w:tc>
          <w:tcPr>
            <w:tcW w:w="19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Ravi Simhambhatla</w:t>
            </w:r>
          </w:p>
        </w:tc>
        <w:tc>
          <w:tcPr>
            <w:tcW w:w="7860" w:type="dxa"/>
            <w:vAlign w:val="bottom"/>
            <w:tcBorders>
              <w:bottom w:val="single" w:sz="8" w:color="CCCCCC"/>
            </w:tcBorders>
            <w:shd w:val="clear" w:color="auto" w:fill="CCCCCC"/>
          </w:tcPr>
          <w:p>
            <w:pPr>
              <w:ind w:left="140"/>
              <w:spacing w:after="0"/>
              <w:rPr>
                <w:sz w:val="20"/>
                <w:szCs w:val="20"/>
                <w:color w:val="auto"/>
              </w:rPr>
            </w:pPr>
            <w:r>
              <w:rPr>
                <w:rFonts w:ascii="Arial" w:cs="Arial" w:eastAsia="Arial" w:hAnsi="Arial"/>
                <w:sz w:val="18"/>
                <w:szCs w:val="18"/>
                <w:color w:val="auto"/>
              </w:rPr>
              <w:t>Executive Vice President, Chief Digital and Innovation Officer</w:t>
            </w:r>
          </w:p>
        </w:tc>
      </w:tr>
      <w:tr>
        <w:trPr>
          <w:trHeight w:val="281"/>
        </w:trPr>
        <w:tc>
          <w:tcPr>
            <w:tcW w:w="1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Jean M. Sera</w:t>
            </w:r>
          </w:p>
        </w:tc>
        <w:tc>
          <w:tcPr>
            <w:tcW w:w="78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Senior Vice President, General Counsel, Chief Compliance Officer and Corporate Secretary</w:t>
            </w:r>
          </w:p>
        </w:tc>
      </w:tr>
      <w:tr>
        <w:trPr>
          <w:trHeight w:val="50"/>
        </w:trPr>
        <w:tc>
          <w:tcPr>
            <w:tcW w:w="1980" w:type="dxa"/>
            <w:vAlign w:val="bottom"/>
            <w:tcBorders>
              <w:bottom w:val="single" w:sz="8" w:color="auto"/>
            </w:tcBorders>
          </w:tcPr>
          <w:p>
            <w:pPr>
              <w:spacing w:after="0"/>
              <w:rPr>
                <w:sz w:val="4"/>
                <w:szCs w:val="4"/>
                <w:color w:val="auto"/>
              </w:rPr>
            </w:pPr>
          </w:p>
        </w:tc>
        <w:tc>
          <w:tcPr>
            <w:tcW w:w="7860" w:type="dxa"/>
            <w:vAlign w:val="bottom"/>
            <w:tcBorders>
              <w:bottom w:val="single" w:sz="8" w:color="auto"/>
            </w:tcBorders>
          </w:tcPr>
          <w:p>
            <w:pPr>
              <w:spacing w:after="0"/>
              <w:rPr>
                <w:sz w:val="4"/>
                <w:szCs w:val="4"/>
                <w:color w:val="auto"/>
              </w:rPr>
            </w:pPr>
          </w:p>
        </w:tc>
      </w:tr>
      <w:tr>
        <w:trPr>
          <w:trHeight w:val="286"/>
        </w:trPr>
        <w:tc>
          <w:tcPr>
            <w:tcW w:w="19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Cathleen DeGenova</w:t>
            </w:r>
          </w:p>
        </w:tc>
        <w:tc>
          <w:tcPr>
            <w:tcW w:w="7860" w:type="dxa"/>
            <w:vAlign w:val="bottom"/>
            <w:tcBorders>
              <w:bottom w:val="single" w:sz="8" w:color="auto"/>
            </w:tcBorders>
            <w:shd w:val="clear" w:color="auto" w:fill="CCCCCC"/>
          </w:tcPr>
          <w:p>
            <w:pPr>
              <w:ind w:left="140"/>
              <w:spacing w:after="0"/>
              <w:rPr>
                <w:sz w:val="20"/>
                <w:szCs w:val="20"/>
                <w:color w:val="auto"/>
              </w:rPr>
            </w:pPr>
            <w:r>
              <w:rPr>
                <w:rFonts w:ascii="Arial" w:cs="Arial" w:eastAsia="Arial" w:hAnsi="Arial"/>
                <w:sz w:val="18"/>
                <w:szCs w:val="18"/>
                <w:color w:val="auto"/>
              </w:rPr>
              <w:t>Vice President and Chief Accounting Officer</w:t>
            </w:r>
          </w:p>
        </w:tc>
      </w:tr>
    </w:tbl>
    <w:p>
      <w:pPr>
        <w:spacing w:after="0" w:line="197" w:lineRule="exact"/>
        <w:rPr>
          <w:sz w:val="20"/>
          <w:szCs w:val="20"/>
          <w:color w:val="auto"/>
        </w:rPr>
      </w:pPr>
    </w:p>
    <w:p>
      <w:pPr>
        <w:jc w:val="both"/>
        <w:ind w:left="600" w:right="600"/>
        <w:spacing w:after="0" w:line="271" w:lineRule="auto"/>
        <w:rPr>
          <w:sz w:val="20"/>
          <w:szCs w:val="20"/>
          <w:color w:val="auto"/>
        </w:rPr>
      </w:pPr>
      <w:r>
        <w:rPr>
          <w:rFonts w:ascii="Arial" w:cs="Arial" w:eastAsia="Arial" w:hAnsi="Arial"/>
          <w:sz w:val="18"/>
          <w:szCs w:val="18"/>
          <w:color w:val="auto"/>
        </w:rPr>
        <w:t>Biographical information for our Executive Chairman is set forth above under “Board of Directors—Biographical Information for Nominees.” Biographical information for all other present executive officers is set forth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172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8720" w:type="dxa"/>
            <w:vAlign w:val="bottom"/>
            <w:gridSpan w:val="2"/>
          </w:tcPr>
          <w:p>
            <w:pPr>
              <w:ind w:left="160"/>
              <w:spacing w:after="0"/>
              <w:rPr>
                <w:sz w:val="20"/>
                <w:szCs w:val="20"/>
                <w:color w:val="auto"/>
              </w:rPr>
            </w:pPr>
            <w:r>
              <w:rPr>
                <w:rFonts w:ascii="Arial" w:cs="Arial" w:eastAsia="Arial" w:hAnsi="Arial"/>
                <w:sz w:val="14"/>
                <w:szCs w:val="14"/>
                <w:b w:val="1"/>
                <w:bCs w:val="1"/>
                <w:color w:val="auto"/>
              </w:rPr>
              <w:t>Biographical Information</w:t>
            </w:r>
          </w:p>
        </w:tc>
      </w:tr>
      <w:tr>
        <w:trPr>
          <w:trHeight w:val="56"/>
        </w:trPr>
        <w:tc>
          <w:tcPr>
            <w:tcW w:w="5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720" w:type="dxa"/>
            <w:vAlign w:val="bottom"/>
            <w:gridSpan w:val="2"/>
          </w:tcPr>
          <w:p>
            <w:pPr>
              <w:spacing w:after="0"/>
              <w:rPr>
                <w:sz w:val="4"/>
                <w:szCs w:val="4"/>
                <w:color w:val="auto"/>
              </w:rPr>
            </w:pPr>
          </w:p>
        </w:tc>
      </w:tr>
      <w:tr>
        <w:trPr>
          <w:trHeight w:val="258"/>
        </w:trPr>
        <w:tc>
          <w:tcPr>
            <w:tcW w:w="580" w:type="dxa"/>
            <w:vAlign w:val="bottom"/>
          </w:tcPr>
          <w:p>
            <w:pPr>
              <w:spacing w:after="0"/>
              <w:rPr>
                <w:sz w:val="22"/>
                <w:szCs w:val="22"/>
                <w:color w:val="auto"/>
              </w:rPr>
            </w:pPr>
          </w:p>
        </w:tc>
        <w:tc>
          <w:tcPr>
            <w:tcW w:w="172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Joseph A. Ferraro</w:t>
            </w:r>
          </w:p>
        </w:tc>
        <w:tc>
          <w:tcPr>
            <w:tcW w:w="8120" w:type="dxa"/>
            <w:vAlign w:val="bottom"/>
            <w:tcBorders>
              <w:top w:val="single" w:sz="8" w:color="auto"/>
            </w:tcBorders>
            <w:shd w:val="clear" w:color="auto" w:fill="CCCCCC"/>
          </w:tcPr>
          <w:p>
            <w:pPr>
              <w:ind w:left="160"/>
              <w:spacing w:after="0"/>
              <w:rPr>
                <w:sz w:val="20"/>
                <w:szCs w:val="20"/>
                <w:color w:val="auto"/>
              </w:rPr>
            </w:pPr>
            <w:r>
              <w:rPr>
                <w:rFonts w:ascii="Arial" w:cs="Arial" w:eastAsia="Arial" w:hAnsi="Arial"/>
                <w:sz w:val="18"/>
                <w:szCs w:val="18"/>
                <w:b w:val="1"/>
                <w:bCs w:val="1"/>
                <w:color w:val="auto"/>
              </w:rPr>
              <w:t>Mr. Ferraro</w:t>
            </w:r>
            <w:r>
              <w:rPr>
                <w:rFonts w:ascii="Arial" w:cs="Arial" w:eastAsia="Arial" w:hAnsi="Arial"/>
                <w:sz w:val="18"/>
                <w:szCs w:val="18"/>
                <w:color w:val="auto"/>
              </w:rPr>
              <w:t>, age 66, was appointed President and Chief Executive Officer in June 2020.</w:t>
            </w:r>
          </w:p>
        </w:tc>
        <w:tc>
          <w:tcPr>
            <w:tcW w:w="600" w:type="dxa"/>
            <w:vAlign w:val="bottom"/>
          </w:tcPr>
          <w:p>
            <w:pPr>
              <w:spacing w:after="0"/>
              <w:rPr>
                <w:sz w:val="22"/>
                <w:szCs w:val="22"/>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Previously, Mr. Ferraro held various executive roles with the Company, including Interim President</w:t>
            </w:r>
          </w:p>
        </w:tc>
        <w:tc>
          <w:tcPr>
            <w:tcW w:w="60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and Chief Executive Officer from January 2020 through June 2020, President, Americas from</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January 2015 through December 2019 and Senior Vice President, North America Operations from</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October 2011 to December 2014. Mr. Ferraro joined the Company in 1979, and served in various</w:t>
            </w:r>
          </w:p>
        </w:tc>
        <w:tc>
          <w:tcPr>
            <w:tcW w:w="600" w:type="dxa"/>
            <w:vAlign w:val="bottom"/>
          </w:tcPr>
          <w:p>
            <w:pPr>
              <w:spacing w:after="0"/>
              <w:rPr>
                <w:sz w:val="17"/>
                <w:szCs w:val="17"/>
                <w:color w:val="auto"/>
              </w:rPr>
            </w:pPr>
          </w:p>
        </w:tc>
      </w:tr>
      <w:tr>
        <w:trPr>
          <w:trHeight w:val="294"/>
        </w:trPr>
        <w:tc>
          <w:tcPr>
            <w:tcW w:w="580" w:type="dxa"/>
            <w:vAlign w:val="bottom"/>
          </w:tcPr>
          <w:p>
            <w:pPr>
              <w:spacing w:after="0"/>
              <w:rPr>
                <w:sz w:val="24"/>
                <w:szCs w:val="24"/>
                <w:color w:val="auto"/>
              </w:rPr>
            </w:pPr>
          </w:p>
        </w:tc>
        <w:tc>
          <w:tcPr>
            <w:tcW w:w="1720" w:type="dxa"/>
            <w:vAlign w:val="bottom"/>
            <w:tcBorders>
              <w:bottom w:val="single" w:sz="8" w:color="CCCCCC"/>
            </w:tcBorders>
            <w:shd w:val="clear" w:color="auto" w:fill="CCCCCC"/>
          </w:tcPr>
          <w:p>
            <w:pPr>
              <w:spacing w:after="0"/>
              <w:rPr>
                <w:sz w:val="24"/>
                <w:szCs w:val="24"/>
                <w:color w:val="auto"/>
              </w:rPr>
            </w:pPr>
          </w:p>
        </w:tc>
        <w:tc>
          <w:tcPr>
            <w:tcW w:w="812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8"/>
                <w:szCs w:val="18"/>
                <w:color w:val="auto"/>
              </w:rPr>
              <w:t>positions of increasing responsibility in the Company’s North American operations.</w:t>
            </w:r>
          </w:p>
        </w:tc>
        <w:tc>
          <w:tcPr>
            <w:tcW w:w="6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1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Brian J. Choi</w:t>
            </w:r>
          </w:p>
        </w:tc>
        <w:tc>
          <w:tcPr>
            <w:tcW w:w="812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Mr. Choi</w:t>
            </w:r>
            <w:r>
              <w:rPr>
                <w:rFonts w:ascii="Arial" w:cs="Arial" w:eastAsia="Arial" w:hAnsi="Arial"/>
                <w:sz w:val="18"/>
                <w:szCs w:val="18"/>
                <w:color w:val="auto"/>
              </w:rPr>
              <w:t>, age 40, was appointed Executive Vice President and Chief Financial Officer in August</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2020. Previously, Mr. Choi served on the Board of Directors of the Company from January 2016</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through August 2020. Prior to joining the Company, Mr. Choi was a partner at SRS and served in</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various roles at SRS since October 2008. Previously, Mr. Choi worked at Metalmark Capital from</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2007 to 2008 and he also served as an analyst in the Leveraged Finance Group at Lehman</w:t>
            </w:r>
          </w:p>
        </w:tc>
      </w:tr>
      <w:tr>
        <w:trPr>
          <w:trHeight w:val="239"/>
        </w:trPr>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Brothers from 2005 to 2007.</w:t>
            </w:r>
          </w:p>
        </w:tc>
      </w:tr>
      <w:tr>
        <w:trPr>
          <w:trHeight w:val="50"/>
        </w:trPr>
        <w:tc>
          <w:tcPr>
            <w:tcW w:w="5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720" w:type="dxa"/>
            <w:vAlign w:val="bottom"/>
            <w:gridSpan w:val="2"/>
          </w:tcPr>
          <w:p>
            <w:pPr>
              <w:spacing w:after="0"/>
              <w:rPr>
                <w:sz w:val="4"/>
                <w:szCs w:val="4"/>
                <w:color w:val="auto"/>
              </w:rPr>
            </w:pPr>
          </w:p>
        </w:tc>
      </w:tr>
      <w:tr>
        <w:trPr>
          <w:trHeight w:val="245"/>
        </w:trPr>
        <w:tc>
          <w:tcPr>
            <w:tcW w:w="580" w:type="dxa"/>
            <w:vAlign w:val="bottom"/>
          </w:tcPr>
          <w:p>
            <w:pPr>
              <w:spacing w:after="0"/>
              <w:rPr>
                <w:sz w:val="21"/>
                <w:szCs w:val="21"/>
                <w:color w:val="auto"/>
              </w:rPr>
            </w:pPr>
          </w:p>
        </w:tc>
        <w:tc>
          <w:tcPr>
            <w:tcW w:w="172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Keith Rankin</w:t>
            </w:r>
          </w:p>
        </w:tc>
        <w:tc>
          <w:tcPr>
            <w:tcW w:w="8120" w:type="dxa"/>
            <w:vAlign w:val="bottom"/>
            <w:tcBorders>
              <w:top w:val="single" w:sz="8" w:color="auto"/>
            </w:tcBorders>
            <w:shd w:val="clear" w:color="auto" w:fill="CCCCCC"/>
          </w:tcPr>
          <w:p>
            <w:pPr>
              <w:ind w:left="160"/>
              <w:spacing w:after="0"/>
              <w:rPr>
                <w:sz w:val="20"/>
                <w:szCs w:val="20"/>
                <w:color w:val="auto"/>
              </w:rPr>
            </w:pPr>
            <w:r>
              <w:rPr>
                <w:rFonts w:ascii="Arial" w:cs="Arial" w:eastAsia="Arial" w:hAnsi="Arial"/>
                <w:sz w:val="18"/>
                <w:szCs w:val="18"/>
                <w:b w:val="1"/>
                <w:bCs w:val="1"/>
                <w:color w:val="auto"/>
              </w:rPr>
              <w:t>Mr. Rankin</w:t>
            </w:r>
            <w:r>
              <w:rPr>
                <w:rFonts w:ascii="Arial" w:cs="Arial" w:eastAsia="Arial" w:hAnsi="Arial"/>
                <w:sz w:val="18"/>
                <w:szCs w:val="18"/>
                <w:color w:val="auto"/>
              </w:rPr>
              <w:t>, age 53, has been President of International since June 2019. Prior to joining the</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Company, Mr. Rankin held the position of Chief Executive Officer for the automotive division of</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Barloworld in South Africa from March 2015. Barloworld is a distributor of leading global brands,</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providing integrated rental, fleet management, product support and logistics solutions, and a</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licensee partner of Avis Budget Group. Mr. Rankin began his career with Avis in South Africa in</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1998 and was appointed Chief Executive of Avis Car Rental Southern Africa in 2004. In 2007, he</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CCCCC"/>
          </w:tcPr>
          <w:p>
            <w:pPr>
              <w:spacing w:after="0"/>
              <w:rPr>
                <w:sz w:val="17"/>
                <w:szCs w:val="17"/>
                <w:color w:val="auto"/>
              </w:rPr>
            </w:pPr>
          </w:p>
        </w:tc>
        <w:tc>
          <w:tcPr>
            <w:tcW w:w="812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was appointed Chief Executive Officer of car rental, part of Barloworld’s automotive division that</w:t>
            </w:r>
          </w:p>
        </w:tc>
        <w:tc>
          <w:tcPr>
            <w:tcW w:w="600" w:type="dxa"/>
            <w:vAlign w:val="bottom"/>
          </w:tcPr>
          <w:p>
            <w:pPr>
              <w:spacing w:after="0"/>
              <w:rPr>
                <w:sz w:val="17"/>
                <w:szCs w:val="17"/>
                <w:color w:val="auto"/>
              </w:rPr>
            </w:pPr>
          </w:p>
        </w:tc>
      </w:tr>
      <w:tr>
        <w:trPr>
          <w:trHeight w:val="294"/>
        </w:trPr>
        <w:tc>
          <w:tcPr>
            <w:tcW w:w="580" w:type="dxa"/>
            <w:vAlign w:val="bottom"/>
          </w:tcPr>
          <w:p>
            <w:pPr>
              <w:spacing w:after="0"/>
              <w:rPr>
                <w:sz w:val="24"/>
                <w:szCs w:val="24"/>
                <w:color w:val="auto"/>
              </w:rPr>
            </w:pPr>
          </w:p>
        </w:tc>
        <w:tc>
          <w:tcPr>
            <w:tcW w:w="1720" w:type="dxa"/>
            <w:vAlign w:val="bottom"/>
            <w:tcBorders>
              <w:bottom w:val="single" w:sz="8" w:color="CCCCCC"/>
            </w:tcBorders>
            <w:shd w:val="clear" w:color="auto" w:fill="CCCCCC"/>
          </w:tcPr>
          <w:p>
            <w:pPr>
              <w:spacing w:after="0"/>
              <w:rPr>
                <w:sz w:val="24"/>
                <w:szCs w:val="24"/>
                <w:color w:val="auto"/>
              </w:rPr>
            </w:pPr>
          </w:p>
        </w:tc>
        <w:tc>
          <w:tcPr>
            <w:tcW w:w="812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8"/>
                <w:szCs w:val="18"/>
                <w:color w:val="auto"/>
              </w:rPr>
              <w:t>included Barloworld’s southern Africa and Scandinavian car rental operations.</w:t>
            </w:r>
          </w:p>
        </w:tc>
        <w:tc>
          <w:tcPr>
            <w:tcW w:w="6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1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Izilda P. Martins</w:t>
            </w:r>
          </w:p>
        </w:tc>
        <w:tc>
          <w:tcPr>
            <w:tcW w:w="812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Ms. Martins</w:t>
            </w:r>
            <w:r>
              <w:rPr>
                <w:rFonts w:ascii="Arial" w:cs="Arial" w:eastAsia="Arial" w:hAnsi="Arial"/>
                <w:sz w:val="18"/>
                <w:szCs w:val="18"/>
                <w:color w:val="auto"/>
              </w:rPr>
              <w:t>, age 51, was appointed Executive Vice President, Americas in June 2020, after</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assuming the responsibilities associated with this role on an interim basis in January 2020.</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Previously, Ms. Martins held various strategic and financial roles with the Company, including</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Senior Vice President and Chief Financial Officer, Americas from May 2014 through December</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2019, Senior Vice President and Acting Chief Accounting Officer from November 2010 through</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May 2014, and Vice President of Tax from August 2006 through November 2010. Ms. Martins was</w:t>
            </w:r>
          </w:p>
        </w:tc>
      </w:tr>
      <w:tr>
        <w:trPr>
          <w:trHeight w:val="202"/>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Director of Tax Planning and Mergers &amp; Acquisitions of Cendant Corporation (as the Company was</w:t>
            </w:r>
          </w:p>
        </w:tc>
      </w:tr>
      <w:tr>
        <w:trPr>
          <w:trHeight w:val="203"/>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7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formerly known) from November 2004 through August 2006. Prior to joining the Company,</w:t>
            </w:r>
          </w:p>
        </w:tc>
      </w:tr>
      <w:tr>
        <w:trPr>
          <w:trHeight w:val="244"/>
        </w:trPr>
        <w:tc>
          <w:tcPr>
            <w:tcW w:w="5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Ms. Martins was associated with Deloitte &amp; Touche LLP for seven years.</w:t>
            </w:r>
          </w:p>
        </w:tc>
      </w:tr>
      <w:tr>
        <w:trPr>
          <w:trHeight w:val="542"/>
        </w:trPr>
        <w:tc>
          <w:tcPr>
            <w:tcW w:w="58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8120" w:type="dxa"/>
            <w:vAlign w:val="bottom"/>
            <w:tcBorders>
              <w:top w:val="single" w:sz="8" w:color="auto"/>
            </w:tcBorders>
          </w:tcPr>
          <w:p>
            <w:pPr>
              <w:ind w:left="3100"/>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24"/>
                <w:szCs w:val="24"/>
                <w:color w:val="auto"/>
              </w:rPr>
            </w:pPr>
          </w:p>
        </w:tc>
      </w:tr>
      <w:tr>
        <w:trPr>
          <w:trHeight w:val="219"/>
        </w:trPr>
        <w:tc>
          <w:tcPr>
            <w:tcW w:w="5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24" w:name="page25"/>
    <w:bookmarkEnd w:id="24"/>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0" w:type="dxa"/>
            <w:vAlign w:val="bottom"/>
          </w:tcPr>
          <w:p>
            <w:pPr>
              <w:spacing w:after="0"/>
              <w:rPr>
                <w:sz w:val="21"/>
                <w:szCs w:val="21"/>
                <w:color w:val="auto"/>
              </w:rPr>
            </w:pPr>
          </w:p>
        </w:tc>
        <w:tc>
          <w:tcPr>
            <w:tcW w:w="178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Edward P. Linnen</w:t>
            </w:r>
          </w:p>
        </w:tc>
        <w:tc>
          <w:tcPr>
            <w:tcW w:w="806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Mr. Linnen</w:t>
            </w:r>
            <w:r>
              <w:rPr>
                <w:rFonts w:ascii="Arial" w:cs="Arial" w:eastAsia="Arial" w:hAnsi="Arial"/>
                <w:sz w:val="18"/>
                <w:szCs w:val="18"/>
                <w:color w:val="auto"/>
              </w:rPr>
              <w:t>, age 53, has been Executive Vice President, Chief Human Resources Officer since</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80" w:type="dxa"/>
            <w:vAlign w:val="bottom"/>
            <w:shd w:val="clear" w:color="auto" w:fill="CCCCCC"/>
          </w:tcPr>
          <w:p>
            <w:pPr>
              <w:spacing w:after="0"/>
              <w:rPr>
                <w:sz w:val="17"/>
                <w:szCs w:val="17"/>
                <w:color w:val="auto"/>
              </w:rPr>
            </w:pPr>
          </w:p>
        </w:tc>
        <w:tc>
          <w:tcPr>
            <w:tcW w:w="80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January 2015. Previously, Mr. Linnen held the title of Senior Vice President, Chief Human</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80" w:type="dxa"/>
            <w:vAlign w:val="bottom"/>
            <w:shd w:val="clear" w:color="auto" w:fill="CCCCCC"/>
          </w:tcPr>
          <w:p>
            <w:pPr>
              <w:spacing w:after="0"/>
              <w:rPr>
                <w:sz w:val="17"/>
                <w:szCs w:val="17"/>
                <w:color w:val="auto"/>
              </w:rPr>
            </w:pPr>
          </w:p>
        </w:tc>
        <w:tc>
          <w:tcPr>
            <w:tcW w:w="80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Resources Officer from February 2013 until January 2015, and Senior Vice President, Human</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80" w:type="dxa"/>
            <w:vAlign w:val="bottom"/>
            <w:shd w:val="clear" w:color="auto" w:fill="CCCCCC"/>
          </w:tcPr>
          <w:p>
            <w:pPr>
              <w:spacing w:after="0"/>
              <w:rPr>
                <w:sz w:val="17"/>
                <w:szCs w:val="17"/>
                <w:color w:val="auto"/>
              </w:rPr>
            </w:pPr>
          </w:p>
        </w:tc>
        <w:tc>
          <w:tcPr>
            <w:tcW w:w="80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Resources for North America from October 2011 to February 2013. Mr. Linnen joined the Company</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80" w:type="dxa"/>
            <w:vAlign w:val="bottom"/>
            <w:shd w:val="clear" w:color="auto" w:fill="CCCCCC"/>
          </w:tcPr>
          <w:p>
            <w:pPr>
              <w:spacing w:after="0"/>
              <w:rPr>
                <w:sz w:val="17"/>
                <w:szCs w:val="17"/>
                <w:color w:val="auto"/>
              </w:rPr>
            </w:pPr>
          </w:p>
        </w:tc>
        <w:tc>
          <w:tcPr>
            <w:tcW w:w="80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in 2001, and served in several positions in the Company’s human resources function, including as</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80" w:type="dxa"/>
            <w:vAlign w:val="bottom"/>
            <w:shd w:val="clear" w:color="auto" w:fill="CCCCCC"/>
          </w:tcPr>
          <w:p>
            <w:pPr>
              <w:spacing w:after="0"/>
              <w:rPr>
                <w:sz w:val="17"/>
                <w:szCs w:val="17"/>
                <w:color w:val="auto"/>
              </w:rPr>
            </w:pPr>
          </w:p>
        </w:tc>
        <w:tc>
          <w:tcPr>
            <w:tcW w:w="80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Vice President, Labor Relations &amp; International Human Resources, Vice President, Domestic</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80" w:type="dxa"/>
            <w:vAlign w:val="bottom"/>
            <w:shd w:val="clear" w:color="auto" w:fill="CCCCCC"/>
          </w:tcPr>
          <w:p>
            <w:pPr>
              <w:spacing w:after="0"/>
              <w:rPr>
                <w:sz w:val="17"/>
                <w:szCs w:val="17"/>
                <w:color w:val="auto"/>
              </w:rPr>
            </w:pPr>
          </w:p>
        </w:tc>
        <w:tc>
          <w:tcPr>
            <w:tcW w:w="80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Human Resources, and Field Human Resources Director. Prior to joining the Company, Mr. Linnen</w:t>
            </w:r>
          </w:p>
        </w:tc>
        <w:tc>
          <w:tcPr>
            <w:tcW w:w="600" w:type="dxa"/>
            <w:vAlign w:val="bottom"/>
          </w:tcPr>
          <w:p>
            <w:pPr>
              <w:spacing w:after="0"/>
              <w:rPr>
                <w:sz w:val="17"/>
                <w:szCs w:val="17"/>
                <w:color w:val="auto"/>
              </w:rPr>
            </w:pPr>
          </w:p>
        </w:tc>
      </w:tr>
      <w:tr>
        <w:trPr>
          <w:trHeight w:val="294"/>
        </w:trPr>
        <w:tc>
          <w:tcPr>
            <w:tcW w:w="580" w:type="dxa"/>
            <w:vAlign w:val="bottom"/>
          </w:tcPr>
          <w:p>
            <w:pPr>
              <w:spacing w:after="0"/>
              <w:rPr>
                <w:sz w:val="24"/>
                <w:szCs w:val="24"/>
                <w:color w:val="auto"/>
              </w:rPr>
            </w:pPr>
          </w:p>
        </w:tc>
        <w:tc>
          <w:tcPr>
            <w:tcW w:w="1780" w:type="dxa"/>
            <w:vAlign w:val="bottom"/>
            <w:tcBorders>
              <w:bottom w:val="single" w:sz="8" w:color="CCCCCC"/>
            </w:tcBorders>
            <w:shd w:val="clear" w:color="auto" w:fill="CCCCCC"/>
          </w:tcPr>
          <w:p>
            <w:pPr>
              <w:spacing w:after="0"/>
              <w:rPr>
                <w:sz w:val="24"/>
                <w:szCs w:val="24"/>
                <w:color w:val="auto"/>
              </w:rPr>
            </w:pPr>
          </w:p>
        </w:tc>
        <w:tc>
          <w:tcPr>
            <w:tcW w:w="806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served in various positions within human resources at Kraft Foods Inc. and Nabisco, Inc.</w:t>
            </w:r>
          </w:p>
        </w:tc>
        <w:tc>
          <w:tcPr>
            <w:tcW w:w="6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17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Ravi Simhambhatla</w:t>
            </w:r>
          </w:p>
        </w:tc>
        <w:tc>
          <w:tcPr>
            <w:tcW w:w="80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Mr. Simhambhatla</w:t>
            </w:r>
            <w:r>
              <w:rPr>
                <w:rFonts w:ascii="Arial" w:cs="Arial" w:eastAsia="Arial" w:hAnsi="Arial"/>
                <w:sz w:val="18"/>
                <w:szCs w:val="18"/>
                <w:color w:val="auto"/>
              </w:rPr>
              <w:t>, age 55, was appointed Executive Vice President, Chief Digital and Innovation</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Officer, in July 2022. Prior to joining Avis Budget Group, Mr. Simhambhatla was Managing Director</w:t>
            </w:r>
          </w:p>
        </w:tc>
      </w:tr>
      <w:tr>
        <w:trPr>
          <w:trHeight w:val="203"/>
        </w:trPr>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Cloud Customer Experience &amp; Transformation Officer at Google Cloud since April 2020. Previously,</w:t>
            </w:r>
          </w:p>
        </w:tc>
      </w:tr>
      <w:tr>
        <w:trPr>
          <w:trHeight w:val="203"/>
        </w:trPr>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Mr. Simhambhatla worked at United Airlines from July 2015 to March 2020, where he served as</w:t>
            </w:r>
          </w:p>
        </w:tc>
      </w:tr>
      <w:tr>
        <w:trPr>
          <w:trHeight w:val="203"/>
        </w:trPr>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Vice President &amp; Chief Technology Officer from June 2019 and previously as Vice President,</w:t>
            </w:r>
          </w:p>
        </w:tc>
      </w:tr>
      <w:tr>
        <w:trPr>
          <w:trHeight w:val="203"/>
        </w:trPr>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Commercial Technology. Prior to joining United Airlines, Mr. Simhambhatla also served in various</w:t>
            </w:r>
          </w:p>
        </w:tc>
      </w:tr>
      <w:tr>
        <w:trPr>
          <w:trHeight w:val="239"/>
        </w:trPr>
        <w:tc>
          <w:tcPr>
            <w:tcW w:w="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660" w:type="dxa"/>
            <w:vAlign w:val="bottom"/>
            <w:gridSpan w:val="2"/>
          </w:tcPr>
          <w:p>
            <w:pPr>
              <w:ind w:left="100"/>
              <w:spacing w:after="0"/>
              <w:rPr>
                <w:sz w:val="20"/>
                <w:szCs w:val="20"/>
                <w:color w:val="auto"/>
              </w:rPr>
            </w:pPr>
            <w:r>
              <w:rPr>
                <w:rFonts w:ascii="Arial" w:cs="Arial" w:eastAsia="Arial" w:hAnsi="Arial"/>
                <w:sz w:val="18"/>
                <w:szCs w:val="18"/>
                <w:color w:val="auto"/>
              </w:rPr>
              <w:t>technical leadership roles, including at Air Lingus, Tesla Motors and Virgin America.</w:t>
            </w:r>
          </w:p>
        </w:tc>
      </w:tr>
      <w:tr>
        <w:trPr>
          <w:trHeight w:val="50"/>
        </w:trPr>
        <w:tc>
          <w:tcPr>
            <w:tcW w:w="5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660" w:type="dxa"/>
            <w:vAlign w:val="bottom"/>
            <w:gridSpan w:val="2"/>
          </w:tcPr>
          <w:p>
            <w:pPr>
              <w:spacing w:after="0"/>
              <w:rPr>
                <w:sz w:val="4"/>
                <w:szCs w:val="4"/>
                <w:color w:val="auto"/>
              </w:rPr>
            </w:pPr>
          </w:p>
        </w:tc>
      </w:tr>
      <w:tr>
        <w:trPr>
          <w:trHeight w:val="245"/>
        </w:trPr>
        <w:tc>
          <w:tcPr>
            <w:tcW w:w="580" w:type="dxa"/>
            <w:vAlign w:val="bottom"/>
          </w:tcPr>
          <w:p>
            <w:pPr>
              <w:spacing w:after="0"/>
              <w:rPr>
                <w:sz w:val="21"/>
                <w:szCs w:val="21"/>
                <w:color w:val="auto"/>
              </w:rPr>
            </w:pPr>
          </w:p>
        </w:tc>
        <w:tc>
          <w:tcPr>
            <w:tcW w:w="178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Jean M. Sera</w:t>
            </w:r>
          </w:p>
        </w:tc>
        <w:tc>
          <w:tcPr>
            <w:tcW w:w="806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Ms. Sera</w:t>
            </w:r>
            <w:r>
              <w:rPr>
                <w:rFonts w:ascii="Arial" w:cs="Arial" w:eastAsia="Arial" w:hAnsi="Arial"/>
                <w:sz w:val="18"/>
                <w:szCs w:val="18"/>
                <w:color w:val="auto"/>
              </w:rPr>
              <w:t>, age 53, has been Senior Vice President, General Counsel, Chief Compliance Officer</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80" w:type="dxa"/>
            <w:vAlign w:val="bottom"/>
            <w:shd w:val="clear" w:color="auto" w:fill="CCCCCC"/>
          </w:tcPr>
          <w:p>
            <w:pPr>
              <w:spacing w:after="0"/>
              <w:rPr>
                <w:sz w:val="17"/>
                <w:szCs w:val="17"/>
                <w:color w:val="auto"/>
              </w:rPr>
            </w:pPr>
          </w:p>
        </w:tc>
        <w:tc>
          <w:tcPr>
            <w:tcW w:w="80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and Corporate Secretary since March 2020. Ms. Sera held the title of Senior Vice President,</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80" w:type="dxa"/>
            <w:vAlign w:val="bottom"/>
            <w:shd w:val="clear" w:color="auto" w:fill="CCCCCC"/>
          </w:tcPr>
          <w:p>
            <w:pPr>
              <w:spacing w:after="0"/>
              <w:rPr>
                <w:sz w:val="17"/>
                <w:szCs w:val="17"/>
                <w:color w:val="auto"/>
              </w:rPr>
            </w:pPr>
          </w:p>
        </w:tc>
        <w:tc>
          <w:tcPr>
            <w:tcW w:w="80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Corporate Secretary and Global Programs from August 2016 to March 2020, and the title of Senior</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80" w:type="dxa"/>
            <w:vAlign w:val="bottom"/>
            <w:shd w:val="clear" w:color="auto" w:fill="CCCCCC"/>
          </w:tcPr>
          <w:p>
            <w:pPr>
              <w:spacing w:after="0"/>
              <w:rPr>
                <w:sz w:val="17"/>
                <w:szCs w:val="17"/>
                <w:color w:val="auto"/>
              </w:rPr>
            </w:pPr>
          </w:p>
        </w:tc>
        <w:tc>
          <w:tcPr>
            <w:tcW w:w="80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Vice President and Corporate Secretary from August 2006 to August 2016. Ms. Sera was a</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80" w:type="dxa"/>
            <w:vAlign w:val="bottom"/>
            <w:shd w:val="clear" w:color="auto" w:fill="CCCCCC"/>
          </w:tcPr>
          <w:p>
            <w:pPr>
              <w:spacing w:after="0"/>
              <w:rPr>
                <w:sz w:val="17"/>
                <w:szCs w:val="17"/>
                <w:color w:val="auto"/>
              </w:rPr>
            </w:pPr>
          </w:p>
        </w:tc>
        <w:tc>
          <w:tcPr>
            <w:tcW w:w="80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member of the Legal Department of Cendant Corporation (as the Company was formerly known)</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80" w:type="dxa"/>
            <w:vAlign w:val="bottom"/>
            <w:shd w:val="clear" w:color="auto" w:fill="CCCCCC"/>
          </w:tcPr>
          <w:p>
            <w:pPr>
              <w:spacing w:after="0"/>
              <w:rPr>
                <w:sz w:val="17"/>
                <w:szCs w:val="17"/>
                <w:color w:val="auto"/>
              </w:rPr>
            </w:pPr>
          </w:p>
        </w:tc>
        <w:tc>
          <w:tcPr>
            <w:tcW w:w="80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from January 2002 to August 2006, where she held roles of increasing responsibility, including Vice</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80" w:type="dxa"/>
            <w:vAlign w:val="bottom"/>
            <w:shd w:val="clear" w:color="auto" w:fill="CCCCCC"/>
          </w:tcPr>
          <w:p>
            <w:pPr>
              <w:spacing w:after="0"/>
              <w:rPr>
                <w:sz w:val="17"/>
                <w:szCs w:val="17"/>
                <w:color w:val="auto"/>
              </w:rPr>
            </w:pPr>
          </w:p>
        </w:tc>
        <w:tc>
          <w:tcPr>
            <w:tcW w:w="80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President and Group Vice President. Prior to joining the Company, Ms. Sera was an associate with</w:t>
            </w:r>
          </w:p>
        </w:tc>
        <w:tc>
          <w:tcPr>
            <w:tcW w:w="600" w:type="dxa"/>
            <w:vAlign w:val="bottom"/>
          </w:tcPr>
          <w:p>
            <w:pPr>
              <w:spacing w:after="0"/>
              <w:rPr>
                <w:sz w:val="17"/>
                <w:szCs w:val="17"/>
                <w:color w:val="auto"/>
              </w:rPr>
            </w:pPr>
          </w:p>
        </w:tc>
      </w:tr>
      <w:tr>
        <w:trPr>
          <w:trHeight w:val="294"/>
        </w:trPr>
        <w:tc>
          <w:tcPr>
            <w:tcW w:w="580" w:type="dxa"/>
            <w:vAlign w:val="bottom"/>
          </w:tcPr>
          <w:p>
            <w:pPr>
              <w:spacing w:after="0"/>
              <w:rPr>
                <w:sz w:val="24"/>
                <w:szCs w:val="24"/>
                <w:color w:val="auto"/>
              </w:rPr>
            </w:pPr>
          </w:p>
        </w:tc>
        <w:tc>
          <w:tcPr>
            <w:tcW w:w="1780" w:type="dxa"/>
            <w:vAlign w:val="bottom"/>
            <w:tcBorders>
              <w:bottom w:val="single" w:sz="8" w:color="CCCCCC"/>
            </w:tcBorders>
            <w:shd w:val="clear" w:color="auto" w:fill="CCCCCC"/>
          </w:tcPr>
          <w:p>
            <w:pPr>
              <w:spacing w:after="0"/>
              <w:rPr>
                <w:sz w:val="24"/>
                <w:szCs w:val="24"/>
                <w:color w:val="auto"/>
              </w:rPr>
            </w:pPr>
          </w:p>
        </w:tc>
        <w:tc>
          <w:tcPr>
            <w:tcW w:w="806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the law firm of Shearman &amp; Sterling LLP.</w:t>
            </w:r>
          </w:p>
        </w:tc>
        <w:tc>
          <w:tcPr>
            <w:tcW w:w="6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17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Cathleen</w:t>
            </w:r>
          </w:p>
        </w:tc>
        <w:tc>
          <w:tcPr>
            <w:tcW w:w="80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Ms. DeGenova</w:t>
            </w:r>
            <w:r>
              <w:rPr>
                <w:rFonts w:ascii="Arial" w:cs="Arial" w:eastAsia="Arial" w:hAnsi="Arial"/>
                <w:sz w:val="18"/>
                <w:szCs w:val="18"/>
                <w:color w:val="auto"/>
              </w:rPr>
              <w:t>, age 61, has been Vice President and Chief Accounting Officer since August 2019.</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80" w:type="dxa"/>
            <w:vAlign w:val="bottom"/>
          </w:tcPr>
          <w:p>
            <w:pPr>
              <w:ind w:left="100"/>
              <w:spacing w:after="0" w:line="202" w:lineRule="exact"/>
              <w:rPr>
                <w:sz w:val="20"/>
                <w:szCs w:val="20"/>
                <w:color w:val="auto"/>
              </w:rPr>
            </w:pPr>
            <w:r>
              <w:rPr>
                <w:rFonts w:ascii="Arial" w:cs="Arial" w:eastAsia="Arial" w:hAnsi="Arial"/>
                <w:sz w:val="18"/>
                <w:szCs w:val="18"/>
                <w:color w:val="auto"/>
              </w:rPr>
              <w:t>DeGenova</w:t>
            </w:r>
          </w:p>
        </w:tc>
        <w:tc>
          <w:tcPr>
            <w:tcW w:w="86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Previously, Ms. DeGenova held the title of Vice President of the Company overseeing External</w:t>
            </w:r>
          </w:p>
        </w:tc>
      </w:tr>
      <w:tr>
        <w:trPr>
          <w:trHeight w:val="203"/>
        </w:trPr>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Reporting and Technical Accounting since April 2018. Ms. DeGenova previously held the title of</w:t>
            </w:r>
          </w:p>
        </w:tc>
      </w:tr>
      <w:tr>
        <w:trPr>
          <w:trHeight w:val="203"/>
        </w:trPr>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Director of External Reporting &amp; Technical Accounting from June 2013, when she joined the</w:t>
            </w:r>
          </w:p>
        </w:tc>
      </w:tr>
      <w:tr>
        <w:trPr>
          <w:trHeight w:val="203"/>
        </w:trPr>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Company. Prior to joining the Company, Ms. DeGenova held similar roles at Zipcar, Inc., which the</w:t>
            </w:r>
          </w:p>
        </w:tc>
      </w:tr>
      <w:tr>
        <w:trPr>
          <w:trHeight w:val="203"/>
        </w:trPr>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Company acquired in 2013, Charles River Labs and Millipore, and was an accountant with Ernst &amp;</w:t>
            </w:r>
          </w:p>
        </w:tc>
      </w:tr>
      <w:tr>
        <w:trPr>
          <w:trHeight w:val="244"/>
        </w:trPr>
        <w:tc>
          <w:tcPr>
            <w:tcW w:w="5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660" w:type="dxa"/>
            <w:vAlign w:val="bottom"/>
            <w:gridSpan w:val="2"/>
          </w:tcPr>
          <w:p>
            <w:pPr>
              <w:ind w:left="100"/>
              <w:spacing w:after="0"/>
              <w:rPr>
                <w:sz w:val="20"/>
                <w:szCs w:val="20"/>
                <w:color w:val="auto"/>
              </w:rPr>
            </w:pPr>
            <w:r>
              <w:rPr>
                <w:rFonts w:ascii="Arial" w:cs="Arial" w:eastAsia="Arial" w:hAnsi="Arial"/>
                <w:sz w:val="18"/>
                <w:szCs w:val="18"/>
                <w:color w:val="auto"/>
              </w:rPr>
              <w:t>Young. Ms. DeGenova is a Certified Public Accountant.</w:t>
            </w:r>
          </w:p>
        </w:tc>
      </w:tr>
      <w:tr>
        <w:trPr>
          <w:trHeight w:val="542"/>
        </w:trPr>
        <w:tc>
          <w:tcPr>
            <w:tcW w:w="58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8060" w:type="dxa"/>
            <w:vAlign w:val="bottom"/>
            <w:tcBorders>
              <w:top w:val="single" w:sz="8" w:color="auto"/>
            </w:tcBorders>
          </w:tcPr>
          <w:p>
            <w:pPr>
              <w:ind w:left="304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4"/>
                <w:szCs w:val="24"/>
                <w:color w:val="auto"/>
              </w:rPr>
            </w:pPr>
          </w:p>
        </w:tc>
      </w:tr>
      <w:tr>
        <w:trPr>
          <w:trHeight w:val="233"/>
        </w:trPr>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25" w:name="page26"/>
    <w:bookmarkEnd w:id="25"/>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10"/>
        <w:spacing w:after="0"/>
        <w:rPr>
          <w:sz w:val="20"/>
          <w:szCs w:val="20"/>
          <w:color w:val="auto"/>
        </w:rPr>
      </w:pPr>
      <w:r>
        <w:rPr>
          <w:rFonts w:ascii="Arial" w:cs="Arial" w:eastAsia="Arial" w:hAnsi="Arial"/>
          <w:sz w:val="36"/>
          <w:szCs w:val="36"/>
          <w:color w:val="auto"/>
        </w:rPr>
        <w:t>Executive Compensation</w:t>
      </w:r>
    </w:p>
    <w:p>
      <w:pPr>
        <w:spacing w:after="0" w:line="274"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Compensation Discussion and Analysis</w:t>
      </w:r>
    </w:p>
    <w:p>
      <w:pPr>
        <w:spacing w:after="0" w:line="166" w:lineRule="exact"/>
        <w:rPr>
          <w:sz w:val="20"/>
          <w:szCs w:val="20"/>
          <w:color w:val="auto"/>
        </w:rPr>
      </w:pPr>
    </w:p>
    <w:p>
      <w:pPr>
        <w:jc w:val="both"/>
        <w:ind w:left="10"/>
        <w:spacing w:after="0" w:line="252" w:lineRule="auto"/>
        <w:rPr>
          <w:sz w:val="20"/>
          <w:szCs w:val="20"/>
          <w:color w:val="auto"/>
        </w:rPr>
      </w:pPr>
      <w:r>
        <w:rPr>
          <w:rFonts w:ascii="Arial" w:cs="Arial" w:eastAsia="Arial" w:hAnsi="Arial"/>
          <w:sz w:val="18"/>
          <w:szCs w:val="18"/>
          <w:i w:val="1"/>
          <w:iCs w:val="1"/>
          <w:color w:val="auto"/>
        </w:rPr>
        <w:t>We refer you to our 2022 Annual Report for additional information regarding our financial information discussed below. When we refer to “the Committee” in this “Executive Compensation” section, we are referring to the Compensation Committee.</w:t>
      </w:r>
    </w:p>
    <w:p>
      <w:pPr>
        <w:spacing w:after="0" w:line="160"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auto"/>
        </w:rPr>
        <w:t>Executive Summary</w:t>
      </w:r>
    </w:p>
    <w:p>
      <w:pPr>
        <w:spacing w:after="0" w:line="148"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Committee uses our executive compensation programs to motivate and retain our executive talent and align their interests with shareholders. As described below, we outperformed our 2022 Annual Incentive Plan metrics and goals and 2020-2022 PSU performance metric. As a result, our 2022 Annual Incentive Plan paid out at 140% of target and our 2020-2022 PSUs paid out at the maximum level of 200%.</w:t>
      </w:r>
    </w:p>
    <w:p>
      <w:pPr>
        <w:spacing w:after="0" w:line="31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Company Performance</w:t>
      </w:r>
    </w:p>
    <w:p>
      <w:pPr>
        <w:spacing w:after="0" w:line="139" w:lineRule="exact"/>
        <w:rPr>
          <w:sz w:val="20"/>
          <w:szCs w:val="20"/>
          <w:color w:val="auto"/>
        </w:rPr>
      </w:pPr>
    </w:p>
    <w:p>
      <w:pPr>
        <w:jc w:val="both"/>
        <w:ind w:left="10"/>
        <w:spacing w:after="0"/>
        <w:rPr>
          <w:sz w:val="20"/>
          <w:szCs w:val="20"/>
          <w:color w:val="auto"/>
        </w:rPr>
      </w:pPr>
      <w:r>
        <w:rPr>
          <w:rFonts w:ascii="Arial" w:cs="Arial" w:eastAsia="Arial" w:hAnsi="Arial"/>
          <w:sz w:val="18"/>
          <w:szCs w:val="18"/>
          <w:color w:val="auto"/>
        </w:rPr>
        <w:t>We saw strong demand for vehicle rentals for full year 2022, and our revenues increased totaling approximately $12.0 billion, a 29% increase compared to 2021, despite the impact of the Omicron variant of COVID-19 in late 2021 and early 2022 and the uncertainty it caused. For 2022, net income was approximately $ 2.8 billion and Adjusted EBITDA (as defined below) was approximately $4.1 billion, which was the highest annual Adjusted EBITDA in our Company’s history. In 2022, we also returned capital to our shareholders through the repurchase of $3.3 billion of our Common Stock, resulting in the repurchase of 16.7 million shares. Our closing stock price on December 31, 2022 of $163.93 reflected a reduction compared to our closing stock price on December 31, 2021; however, our three-year cumulative total shareholder return was 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186055</wp:posOffset>
            </wp:positionV>
            <wp:extent cx="5109210" cy="2057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0921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
        <w:spacing w:after="0"/>
        <w:rPr>
          <w:sz w:val="20"/>
          <w:szCs w:val="20"/>
          <w:color w:val="auto"/>
        </w:rPr>
      </w:pPr>
      <w:r>
        <w:rPr>
          <w:rFonts w:ascii="Arial" w:cs="Arial" w:eastAsia="Arial" w:hAnsi="Arial"/>
          <w:sz w:val="18"/>
          <w:szCs w:val="18"/>
          <w:color w:val="auto"/>
        </w:rPr>
        <w:t> </w:t>
      </w:r>
    </w:p>
    <w:p>
      <w:pPr>
        <w:spacing w:after="0" w:line="35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Strategy</w:t>
      </w:r>
    </w:p>
    <w:p>
      <w:pPr>
        <w:spacing w:after="0" w:line="139"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For 2023, we expect our strategy to continue to primarily focus on costs and customer experience to further strengthen our company, enable resilience and deliver stakeholder value. To execute our strategy, we expect to leverage marketing and technology, increase the electric vehicles in our fleet, and invest in related infrastructure.</w:t>
      </w:r>
    </w:p>
    <w:p>
      <w:pPr>
        <w:spacing w:after="0" w:line="31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Compensation Practices</w:t>
      </w:r>
    </w:p>
    <w:p>
      <w:pPr>
        <w:spacing w:after="0" w:line="166" w:lineRule="exact"/>
        <w:rPr>
          <w:sz w:val="20"/>
          <w:szCs w:val="20"/>
          <w:color w:val="auto"/>
        </w:rPr>
      </w:pPr>
    </w:p>
    <w:p>
      <w:pPr>
        <w:ind w:left="10"/>
        <w:spacing w:after="0"/>
        <w:rPr>
          <w:sz w:val="20"/>
          <w:szCs w:val="20"/>
          <w:color w:val="auto"/>
        </w:rPr>
      </w:pPr>
      <w:r>
        <w:rPr>
          <w:rFonts w:ascii="Arial" w:cs="Arial" w:eastAsia="Arial" w:hAnsi="Arial"/>
          <w:sz w:val="18"/>
          <w:szCs w:val="18"/>
          <w:color w:val="auto"/>
        </w:rPr>
        <w:t>We believe that our compensation programs reflect sound practices, such as:</w:t>
      </w:r>
    </w:p>
    <w:p>
      <w:pPr>
        <w:spacing w:after="0" w:line="90" w:lineRule="exact"/>
        <w:rPr>
          <w:sz w:val="20"/>
          <w:szCs w:val="20"/>
          <w:color w:val="auto"/>
        </w:rPr>
      </w:pPr>
    </w:p>
    <w:p>
      <w:pPr>
        <w:ind w:left="350" w:hanging="350"/>
        <w:spacing w:after="0"/>
        <w:tabs>
          <w:tab w:leader="none" w:pos="3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stock ownership guidelines with significant share ownership requirements;</w:t>
      </w:r>
    </w:p>
    <w:p>
      <w:pPr>
        <w:spacing w:after="0" w:line="76" w:lineRule="exact"/>
        <w:rPr>
          <w:rFonts w:ascii="Arial" w:cs="Arial" w:eastAsia="Arial" w:hAnsi="Arial"/>
          <w:sz w:val="18"/>
          <w:szCs w:val="18"/>
          <w:color w:val="auto"/>
        </w:rPr>
      </w:pPr>
    </w:p>
    <w:p>
      <w:pPr>
        <w:ind w:left="350" w:hanging="350"/>
        <w:spacing w:after="0"/>
        <w:tabs>
          <w:tab w:leader="none" w:pos="3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executive compensation recoupment (or “clawback”) policy;</w:t>
      </w:r>
    </w:p>
    <w:p>
      <w:pPr>
        <w:spacing w:after="0" w:line="90" w:lineRule="exact"/>
        <w:rPr>
          <w:rFonts w:ascii="Arial" w:cs="Arial" w:eastAsia="Arial" w:hAnsi="Arial"/>
          <w:sz w:val="18"/>
          <w:szCs w:val="18"/>
          <w:color w:val="auto"/>
        </w:rPr>
      </w:pPr>
    </w:p>
    <w:p>
      <w:pPr>
        <w:ind w:left="350" w:hanging="350"/>
        <w:spacing w:after="0"/>
        <w:tabs>
          <w:tab w:leader="none" w:pos="3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policy prohibiting executives from entering into speculative (or hedging) transactions in our securities;</w:t>
      </w:r>
    </w:p>
    <w:p>
      <w:pPr>
        <w:spacing w:after="0" w:line="90" w:lineRule="exact"/>
        <w:rPr>
          <w:rFonts w:ascii="Arial" w:cs="Arial" w:eastAsia="Arial" w:hAnsi="Arial"/>
          <w:sz w:val="18"/>
          <w:szCs w:val="18"/>
          <w:color w:val="auto"/>
        </w:rPr>
      </w:pPr>
    </w:p>
    <w:p>
      <w:pPr>
        <w:ind w:left="350" w:hanging="350"/>
        <w:spacing w:after="0"/>
        <w:tabs>
          <w:tab w:leader="none" w:pos="3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excise tax gross-up or single-trigger change-in-control provisions; and</w:t>
      </w:r>
    </w:p>
    <w:p>
      <w:pPr>
        <w:spacing w:after="0" w:line="32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26" w:name="page27"/>
    <w:bookmarkEnd w:id="26"/>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40" w:right="620" w:hanging="350"/>
        <w:spacing w:after="0" w:line="271"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tax gross-ups on executive perquisites except for relocation and expatriate benefits per the Company’s standard practices.</w:t>
      </w:r>
    </w:p>
    <w:p>
      <w:pPr>
        <w:spacing w:after="0" w:line="311"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2022 Compensation for our Named Executive Officers</w:t>
      </w:r>
    </w:p>
    <w:p>
      <w:pPr>
        <w:spacing w:after="0" w:line="126" w:lineRule="exact"/>
        <w:rPr>
          <w:sz w:val="20"/>
          <w:szCs w:val="20"/>
          <w:color w:val="auto"/>
        </w:rPr>
      </w:pPr>
    </w:p>
    <w:p>
      <w:pPr>
        <w:jc w:val="both"/>
        <w:ind w:left="600" w:right="600"/>
        <w:spacing w:after="0" w:line="244" w:lineRule="auto"/>
        <w:rPr>
          <w:sz w:val="20"/>
          <w:szCs w:val="20"/>
          <w:color w:val="auto"/>
        </w:rPr>
      </w:pPr>
      <w:r>
        <w:rPr>
          <w:rFonts w:ascii="Arial" w:cs="Arial" w:eastAsia="Arial" w:hAnsi="Arial"/>
          <w:sz w:val="18"/>
          <w:szCs w:val="18"/>
          <w:color w:val="auto"/>
        </w:rPr>
        <w:t>Compensation paid to our named executive officers (“NEOs”) for 2022 increased compared to 2021, primarily driven by base salary increases and increases in the grant date value of long-term incentives. The increases were approved by the Committee based on a market review that indicated that while compensation was generally at median levels, three-year cumulative total shareholder return was well above median, as well as the Company’s robust financial performance during both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184150</wp:posOffset>
            </wp:positionV>
            <wp:extent cx="4671695" cy="2631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7169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  </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2022 compensation highlights are set forth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0" w:type="dxa"/>
            <w:vAlign w:val="bottom"/>
          </w:tcPr>
          <w:p>
            <w:pPr>
              <w:spacing w:after="0"/>
              <w:rPr>
                <w:sz w:val="21"/>
                <w:szCs w:val="21"/>
                <w:color w:val="auto"/>
              </w:rPr>
            </w:pPr>
          </w:p>
        </w:tc>
        <w:tc>
          <w:tcPr>
            <w:tcW w:w="250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p>
        </w:tc>
        <w:tc>
          <w:tcPr>
            <w:tcW w:w="300" w:type="dxa"/>
            <w:vAlign w:val="bottom"/>
            <w:tcBorders>
              <w:top w:val="single" w:sz="8" w:color="auto"/>
            </w:tcBorders>
            <w:shd w:val="clear" w:color="auto" w:fill="CCCCCC"/>
          </w:tcPr>
          <w:p>
            <w:pPr>
              <w:ind w:left="160"/>
              <w:spacing w:after="0"/>
              <w:rPr>
                <w:sz w:val="20"/>
                <w:szCs w:val="20"/>
                <w:color w:val="auto"/>
              </w:rPr>
            </w:pPr>
            <w:r>
              <w:rPr>
                <w:rFonts w:ascii="Arial" w:cs="Arial" w:eastAsia="Arial" w:hAnsi="Arial"/>
                <w:sz w:val="12"/>
                <w:szCs w:val="12"/>
                <w:color w:val="auto"/>
                <w:w w:val="73"/>
              </w:rPr>
              <w:t>• </w:t>
            </w:r>
          </w:p>
        </w:tc>
        <w:tc>
          <w:tcPr>
            <w:tcW w:w="704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Increases to base salaries were approved based on the Company’s performance in</w:t>
            </w:r>
          </w:p>
        </w:tc>
        <w:tc>
          <w:tcPr>
            <w:tcW w:w="60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2500" w:type="dxa"/>
            <w:vAlign w:val="bottom"/>
            <w:shd w:val="clear" w:color="auto" w:fill="CCCCCC"/>
          </w:tcPr>
          <w:p>
            <w:pPr>
              <w:spacing w:after="0"/>
              <w:rPr>
                <w:sz w:val="20"/>
                <w:szCs w:val="20"/>
                <w:color w:val="auto"/>
              </w:rPr>
            </w:pPr>
          </w:p>
        </w:tc>
        <w:tc>
          <w:tcPr>
            <w:tcW w:w="300" w:type="dxa"/>
            <w:vAlign w:val="bottom"/>
            <w:shd w:val="clear" w:color="auto" w:fill="CCCCCC"/>
          </w:tcPr>
          <w:p>
            <w:pPr>
              <w:spacing w:after="0"/>
              <w:rPr>
                <w:sz w:val="20"/>
                <w:szCs w:val="20"/>
                <w:color w:val="auto"/>
              </w:rPr>
            </w:pPr>
          </w:p>
        </w:tc>
        <w:tc>
          <w:tcPr>
            <w:tcW w:w="7040" w:type="dxa"/>
            <w:vAlign w:val="bottom"/>
            <w:shd w:val="clear" w:color="auto" w:fill="CCCCCC"/>
          </w:tcPr>
          <w:p>
            <w:pPr>
              <w:ind w:left="120"/>
              <w:spacing w:after="0"/>
              <w:rPr>
                <w:sz w:val="20"/>
                <w:szCs w:val="20"/>
                <w:color w:val="auto"/>
              </w:rPr>
            </w:pPr>
            <w:r>
              <w:rPr>
                <w:rFonts w:ascii="Arial" w:cs="Arial" w:eastAsia="Arial" w:hAnsi="Arial"/>
                <w:sz w:val="18"/>
                <w:szCs w:val="18"/>
                <w:color w:val="auto"/>
              </w:rPr>
              <w:t>2021 and based on a market review.</w:t>
            </w:r>
          </w:p>
        </w:tc>
        <w:tc>
          <w:tcPr>
            <w:tcW w:w="600" w:type="dxa"/>
            <w:vAlign w:val="bottom"/>
          </w:tcPr>
          <w:p>
            <w:pPr>
              <w:spacing w:after="0"/>
              <w:rPr>
                <w:sz w:val="20"/>
                <w:szCs w:val="20"/>
                <w:color w:val="auto"/>
              </w:rPr>
            </w:pPr>
          </w:p>
        </w:tc>
      </w:tr>
      <w:tr>
        <w:trPr>
          <w:trHeight w:val="366"/>
        </w:trPr>
        <w:tc>
          <w:tcPr>
            <w:tcW w:w="580" w:type="dxa"/>
            <w:vAlign w:val="bottom"/>
          </w:tcPr>
          <w:p>
            <w:pPr>
              <w:spacing w:after="0"/>
              <w:rPr>
                <w:sz w:val="24"/>
                <w:szCs w:val="24"/>
                <w:color w:val="auto"/>
              </w:rPr>
            </w:pPr>
          </w:p>
        </w:tc>
        <w:tc>
          <w:tcPr>
            <w:tcW w:w="2500" w:type="dxa"/>
            <w:vAlign w:val="bottom"/>
            <w:tcBorders>
              <w:bottom w:val="single" w:sz="8" w:color="CCCCCC"/>
            </w:tcBorders>
            <w:shd w:val="clear" w:color="auto" w:fill="CCCCCC"/>
          </w:tcPr>
          <w:p>
            <w:pPr>
              <w:spacing w:after="0"/>
              <w:rPr>
                <w:sz w:val="24"/>
                <w:szCs w:val="24"/>
                <w:color w:val="auto"/>
              </w:rPr>
            </w:pPr>
          </w:p>
        </w:tc>
        <w:tc>
          <w:tcPr>
            <w:tcW w:w="30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2"/>
                <w:szCs w:val="12"/>
                <w:color w:val="auto"/>
                <w:w w:val="73"/>
              </w:rPr>
              <w:t>• </w:t>
            </w:r>
          </w:p>
        </w:tc>
        <w:tc>
          <w:tcPr>
            <w:tcW w:w="704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No discretionary adjustments were made to any incentive program for any reason.</w:t>
            </w:r>
          </w:p>
        </w:tc>
        <w:tc>
          <w:tcPr>
            <w:tcW w:w="6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25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nnual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rogram</w:t>
            </w:r>
          </w:p>
        </w:tc>
        <w:tc>
          <w:tcPr>
            <w:tcW w:w="300" w:type="dxa"/>
            <w:vAlign w:val="bottom"/>
            <w:tcBorders>
              <w:top w:val="single" w:sz="8" w:color="auto"/>
            </w:tcBorders>
          </w:tcPr>
          <w:p>
            <w:pPr>
              <w:ind w:left="160"/>
              <w:spacing w:after="0"/>
              <w:rPr>
                <w:sz w:val="20"/>
                <w:szCs w:val="20"/>
                <w:color w:val="auto"/>
              </w:rPr>
            </w:pPr>
            <w:r>
              <w:rPr>
                <w:rFonts w:ascii="Arial" w:cs="Arial" w:eastAsia="Arial" w:hAnsi="Arial"/>
                <w:sz w:val="12"/>
                <w:szCs w:val="12"/>
                <w:color w:val="auto"/>
                <w:w w:val="73"/>
              </w:rPr>
              <w:t>• </w:t>
            </w:r>
          </w:p>
        </w:tc>
        <w:tc>
          <w:tcPr>
            <w:tcW w:w="70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As a result of Company financial and individual performance, actual payouts for 2022</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performance, as a percentage of target payout opportunity, were approximately 140%</w:t>
            </w:r>
          </w:p>
        </w:tc>
      </w:tr>
      <w:tr>
        <w:trPr>
          <w:trHeight w:val="203"/>
        </w:trPr>
        <w:tc>
          <w:tcPr>
            <w:tcW w:w="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for all NEOs, other than our Executive Chairman whose payout was capped at 100%</w:t>
            </w:r>
          </w:p>
        </w:tc>
      </w:tr>
      <w:tr>
        <w:trPr>
          <w:trHeight w:val="239"/>
        </w:trPr>
        <w:tc>
          <w:tcPr>
            <w:tcW w:w="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40" w:type="dxa"/>
            <w:vAlign w:val="bottom"/>
            <w:gridSpan w:val="2"/>
          </w:tcPr>
          <w:p>
            <w:pPr>
              <w:ind w:left="120"/>
              <w:spacing w:after="0"/>
              <w:rPr>
                <w:sz w:val="20"/>
                <w:szCs w:val="20"/>
                <w:color w:val="auto"/>
              </w:rPr>
            </w:pPr>
            <w:r>
              <w:rPr>
                <w:rFonts w:ascii="Arial" w:cs="Arial" w:eastAsia="Arial" w:hAnsi="Arial"/>
                <w:sz w:val="18"/>
                <w:szCs w:val="18"/>
                <w:color w:val="auto"/>
              </w:rPr>
              <w:t>of target.</w:t>
            </w:r>
          </w:p>
        </w:tc>
      </w:tr>
      <w:tr>
        <w:trPr>
          <w:trHeight w:val="274"/>
        </w:trPr>
        <w:tc>
          <w:tcPr>
            <w:tcW w:w="5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•   The 2022 program design was generally consistent with the 2021 design, and</w:t>
            </w:r>
          </w:p>
        </w:tc>
      </w:tr>
      <w:tr>
        <w:trPr>
          <w:trHeight w:val="203"/>
        </w:trPr>
        <w:tc>
          <w:tcPr>
            <w:tcW w:w="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included both Adjusted EBITDA goals, and an individual component comprised</w:t>
            </w:r>
          </w:p>
        </w:tc>
      </w:tr>
      <w:tr>
        <w:trPr>
          <w:trHeight w:val="203"/>
        </w:trPr>
        <w:tc>
          <w:tcPr>
            <w:tcW w:w="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primarily of quantitative financial and operational metrics with measurable targets</w:t>
            </w:r>
          </w:p>
        </w:tc>
      </w:tr>
      <w:tr>
        <w:trPr>
          <w:trHeight w:val="203"/>
        </w:trPr>
        <w:tc>
          <w:tcPr>
            <w:tcW w:w="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utilizing a “scorecard” approach. No payouts would be made under the individual</w:t>
            </w:r>
          </w:p>
        </w:tc>
      </w:tr>
      <w:tr>
        <w:trPr>
          <w:trHeight w:val="203"/>
        </w:trPr>
        <w:tc>
          <w:tcPr>
            <w:tcW w:w="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component unless threshold Adjusted EBITDA goals and fixed cost goals were</w:t>
            </w:r>
          </w:p>
        </w:tc>
      </w:tr>
      <w:tr>
        <w:trPr>
          <w:trHeight w:val="239"/>
        </w:trPr>
        <w:tc>
          <w:tcPr>
            <w:tcW w:w="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40" w:type="dxa"/>
            <w:vAlign w:val="bottom"/>
            <w:gridSpan w:val="2"/>
          </w:tcPr>
          <w:p>
            <w:pPr>
              <w:ind w:left="120"/>
              <w:spacing w:after="0"/>
              <w:rPr>
                <w:sz w:val="20"/>
                <w:szCs w:val="20"/>
                <w:color w:val="auto"/>
              </w:rPr>
            </w:pPr>
            <w:r>
              <w:rPr>
                <w:rFonts w:ascii="Arial" w:cs="Arial" w:eastAsia="Arial" w:hAnsi="Arial"/>
                <w:sz w:val="18"/>
                <w:szCs w:val="18"/>
                <w:color w:val="auto"/>
              </w:rPr>
              <w:t>attained.</w:t>
            </w:r>
          </w:p>
        </w:tc>
      </w:tr>
      <w:tr>
        <w:trPr>
          <w:trHeight w:val="50"/>
        </w:trPr>
        <w:tc>
          <w:tcPr>
            <w:tcW w:w="5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40" w:type="dxa"/>
            <w:vAlign w:val="bottom"/>
            <w:gridSpan w:val="2"/>
          </w:tcPr>
          <w:p>
            <w:pPr>
              <w:spacing w:after="0"/>
              <w:rPr>
                <w:sz w:val="4"/>
                <w:szCs w:val="4"/>
                <w:color w:val="auto"/>
              </w:rPr>
            </w:pPr>
          </w:p>
        </w:tc>
      </w:tr>
      <w:tr>
        <w:trPr>
          <w:trHeight w:val="245"/>
        </w:trPr>
        <w:tc>
          <w:tcPr>
            <w:tcW w:w="580" w:type="dxa"/>
            <w:vAlign w:val="bottom"/>
          </w:tcPr>
          <w:p>
            <w:pPr>
              <w:spacing w:after="0"/>
              <w:rPr>
                <w:sz w:val="21"/>
                <w:szCs w:val="21"/>
                <w:color w:val="auto"/>
              </w:rPr>
            </w:pPr>
          </w:p>
        </w:tc>
        <w:tc>
          <w:tcPr>
            <w:tcW w:w="250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ong</w:t>
            </w: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rogram</w:t>
            </w:r>
          </w:p>
        </w:tc>
        <w:tc>
          <w:tcPr>
            <w:tcW w:w="300" w:type="dxa"/>
            <w:vAlign w:val="bottom"/>
            <w:tcBorders>
              <w:top w:val="single" w:sz="8" w:color="auto"/>
            </w:tcBorders>
            <w:shd w:val="clear" w:color="auto" w:fill="CCCCCC"/>
          </w:tcPr>
          <w:p>
            <w:pPr>
              <w:ind w:left="160"/>
              <w:spacing w:after="0"/>
              <w:rPr>
                <w:sz w:val="20"/>
                <w:szCs w:val="20"/>
                <w:color w:val="auto"/>
              </w:rPr>
            </w:pPr>
            <w:r>
              <w:rPr>
                <w:rFonts w:ascii="Arial" w:cs="Arial" w:eastAsia="Arial" w:hAnsi="Arial"/>
                <w:sz w:val="12"/>
                <w:szCs w:val="12"/>
                <w:color w:val="auto"/>
                <w:w w:val="73"/>
              </w:rPr>
              <w:t>• </w:t>
            </w:r>
          </w:p>
        </w:tc>
        <w:tc>
          <w:tcPr>
            <w:tcW w:w="704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Due to our strong financial results in 2021 and 2022, Performance-Based Stock Units</w:t>
            </w:r>
          </w:p>
        </w:tc>
        <w:tc>
          <w:tcPr>
            <w:tcW w:w="600" w:type="dxa"/>
            <w:vAlign w:val="bottom"/>
          </w:tcPr>
          <w:p>
            <w:pPr>
              <w:spacing w:after="0"/>
              <w:rPr>
                <w:sz w:val="21"/>
                <w:szCs w:val="21"/>
                <w:color w:val="auto"/>
              </w:rPr>
            </w:pPr>
          </w:p>
        </w:tc>
      </w:tr>
      <w:tr>
        <w:trPr>
          <w:trHeight w:val="202"/>
        </w:trPr>
        <w:tc>
          <w:tcPr>
            <w:tcW w:w="580" w:type="dxa"/>
            <w:vAlign w:val="bottom"/>
          </w:tcPr>
          <w:p>
            <w:pPr>
              <w:spacing w:after="0"/>
              <w:rPr>
                <w:sz w:val="17"/>
                <w:szCs w:val="17"/>
                <w:color w:val="auto"/>
              </w:rPr>
            </w:pPr>
          </w:p>
        </w:tc>
        <w:tc>
          <w:tcPr>
            <w:tcW w:w="250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b w:val="1"/>
                <w:bCs w:val="1"/>
                <w:color w:val="auto"/>
              </w:rPr>
              <w:t>(“LTIP”)</w:t>
            </w:r>
          </w:p>
        </w:tc>
        <w:tc>
          <w:tcPr>
            <w:tcW w:w="300" w:type="dxa"/>
            <w:vAlign w:val="bottom"/>
            <w:shd w:val="clear" w:color="auto" w:fill="CCCCCC"/>
          </w:tcPr>
          <w:p>
            <w:pPr>
              <w:spacing w:after="0"/>
              <w:rPr>
                <w:sz w:val="17"/>
                <w:szCs w:val="17"/>
                <w:color w:val="auto"/>
              </w:rPr>
            </w:pPr>
          </w:p>
        </w:tc>
        <w:tc>
          <w:tcPr>
            <w:tcW w:w="704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(“PSUs”)  granted  in  2019  and  2020,  subject  to  three-year  Adjusted  EBITDA</w:t>
            </w:r>
          </w:p>
        </w:tc>
        <w:tc>
          <w:tcPr>
            <w:tcW w:w="600" w:type="dxa"/>
            <w:vAlign w:val="bottom"/>
          </w:tcPr>
          <w:p>
            <w:pPr>
              <w:spacing w:after="0"/>
              <w:rPr>
                <w:sz w:val="17"/>
                <w:szCs w:val="17"/>
                <w:color w:val="auto"/>
              </w:rPr>
            </w:pPr>
          </w:p>
        </w:tc>
      </w:tr>
      <w:tr>
        <w:trPr>
          <w:trHeight w:val="239"/>
        </w:trPr>
        <w:tc>
          <w:tcPr>
            <w:tcW w:w="580" w:type="dxa"/>
            <w:vAlign w:val="bottom"/>
          </w:tcPr>
          <w:p>
            <w:pPr>
              <w:spacing w:after="0"/>
              <w:rPr>
                <w:sz w:val="20"/>
                <w:szCs w:val="20"/>
                <w:color w:val="auto"/>
              </w:rPr>
            </w:pPr>
          </w:p>
        </w:tc>
        <w:tc>
          <w:tcPr>
            <w:tcW w:w="2500" w:type="dxa"/>
            <w:vAlign w:val="bottom"/>
            <w:shd w:val="clear" w:color="auto" w:fill="CCCCCC"/>
          </w:tcPr>
          <w:p>
            <w:pPr>
              <w:spacing w:after="0"/>
              <w:rPr>
                <w:sz w:val="20"/>
                <w:szCs w:val="20"/>
                <w:color w:val="auto"/>
              </w:rPr>
            </w:pPr>
          </w:p>
        </w:tc>
        <w:tc>
          <w:tcPr>
            <w:tcW w:w="300" w:type="dxa"/>
            <w:vAlign w:val="bottom"/>
            <w:shd w:val="clear" w:color="auto" w:fill="CCCCCC"/>
          </w:tcPr>
          <w:p>
            <w:pPr>
              <w:spacing w:after="0"/>
              <w:rPr>
                <w:sz w:val="20"/>
                <w:szCs w:val="20"/>
                <w:color w:val="auto"/>
              </w:rPr>
            </w:pPr>
          </w:p>
        </w:tc>
        <w:tc>
          <w:tcPr>
            <w:tcW w:w="7040" w:type="dxa"/>
            <w:vAlign w:val="bottom"/>
            <w:shd w:val="clear" w:color="auto" w:fill="CCCCCC"/>
          </w:tcPr>
          <w:p>
            <w:pPr>
              <w:ind w:left="120"/>
              <w:spacing w:after="0"/>
              <w:rPr>
                <w:sz w:val="20"/>
                <w:szCs w:val="20"/>
                <w:color w:val="auto"/>
              </w:rPr>
            </w:pPr>
            <w:r>
              <w:rPr>
                <w:rFonts w:ascii="Arial" w:cs="Arial" w:eastAsia="Arial" w:hAnsi="Arial"/>
                <w:sz w:val="18"/>
                <w:szCs w:val="18"/>
                <w:color w:val="auto"/>
              </w:rPr>
              <w:t>performance goals, vested at the maximum level in 2022 and 2023, respectively.</w:t>
            </w:r>
          </w:p>
        </w:tc>
        <w:tc>
          <w:tcPr>
            <w:tcW w:w="600" w:type="dxa"/>
            <w:vAlign w:val="bottom"/>
          </w:tcPr>
          <w:p>
            <w:pPr>
              <w:spacing w:after="0"/>
              <w:rPr>
                <w:sz w:val="20"/>
                <w:szCs w:val="20"/>
                <w:color w:val="auto"/>
              </w:rPr>
            </w:pPr>
          </w:p>
        </w:tc>
      </w:tr>
      <w:tr>
        <w:trPr>
          <w:trHeight w:val="274"/>
        </w:trPr>
        <w:tc>
          <w:tcPr>
            <w:tcW w:w="580" w:type="dxa"/>
            <w:vAlign w:val="bottom"/>
          </w:tcPr>
          <w:p>
            <w:pPr>
              <w:spacing w:after="0"/>
              <w:rPr>
                <w:sz w:val="23"/>
                <w:szCs w:val="23"/>
                <w:color w:val="auto"/>
              </w:rPr>
            </w:pPr>
          </w:p>
        </w:tc>
        <w:tc>
          <w:tcPr>
            <w:tcW w:w="2500" w:type="dxa"/>
            <w:vAlign w:val="bottom"/>
            <w:shd w:val="clear" w:color="auto" w:fill="CCCCCC"/>
          </w:tcPr>
          <w:p>
            <w:pPr>
              <w:spacing w:after="0"/>
              <w:rPr>
                <w:sz w:val="23"/>
                <w:szCs w:val="23"/>
                <w:color w:val="auto"/>
              </w:rPr>
            </w:pPr>
          </w:p>
        </w:tc>
        <w:tc>
          <w:tcPr>
            <w:tcW w:w="300" w:type="dxa"/>
            <w:vAlign w:val="bottom"/>
            <w:shd w:val="clear" w:color="auto" w:fill="CCCCCC"/>
          </w:tcPr>
          <w:p>
            <w:pPr>
              <w:ind w:left="160"/>
              <w:spacing w:after="0"/>
              <w:rPr>
                <w:sz w:val="20"/>
                <w:szCs w:val="20"/>
                <w:color w:val="auto"/>
              </w:rPr>
            </w:pPr>
            <w:r>
              <w:rPr>
                <w:rFonts w:ascii="Arial" w:cs="Arial" w:eastAsia="Arial" w:hAnsi="Arial"/>
                <w:sz w:val="12"/>
                <w:szCs w:val="12"/>
                <w:color w:val="auto"/>
                <w:w w:val="73"/>
              </w:rPr>
              <w:t>• </w:t>
            </w:r>
          </w:p>
        </w:tc>
        <w:tc>
          <w:tcPr>
            <w:tcW w:w="7040" w:type="dxa"/>
            <w:vAlign w:val="bottom"/>
            <w:shd w:val="clear" w:color="auto" w:fill="CCCCCC"/>
          </w:tcPr>
          <w:p>
            <w:pPr>
              <w:ind w:left="100"/>
              <w:spacing w:after="0"/>
              <w:rPr>
                <w:sz w:val="20"/>
                <w:szCs w:val="20"/>
                <w:color w:val="auto"/>
              </w:rPr>
            </w:pPr>
            <w:r>
              <w:rPr>
                <w:rFonts w:ascii="Arial" w:cs="Arial" w:eastAsia="Arial" w:hAnsi="Arial"/>
                <w:sz w:val="18"/>
                <w:szCs w:val="18"/>
                <w:color w:val="auto"/>
              </w:rPr>
              <w:t>The 2022 LTIP included three-year cumulative Adjusted EBITDA goals, with a 75%</w:t>
            </w:r>
          </w:p>
        </w:tc>
        <w:tc>
          <w:tcPr>
            <w:tcW w:w="600" w:type="dxa"/>
            <w:vAlign w:val="bottom"/>
          </w:tcPr>
          <w:p>
            <w:pPr>
              <w:spacing w:after="0"/>
              <w:rPr>
                <w:sz w:val="23"/>
                <w:szCs w:val="23"/>
                <w:color w:val="auto"/>
              </w:rPr>
            </w:pPr>
          </w:p>
        </w:tc>
      </w:tr>
      <w:tr>
        <w:trPr>
          <w:trHeight w:val="203"/>
        </w:trPr>
        <w:tc>
          <w:tcPr>
            <w:tcW w:w="580" w:type="dxa"/>
            <w:vAlign w:val="bottom"/>
          </w:tcPr>
          <w:p>
            <w:pPr>
              <w:spacing w:after="0"/>
              <w:rPr>
                <w:sz w:val="17"/>
                <w:szCs w:val="17"/>
                <w:color w:val="auto"/>
              </w:rPr>
            </w:pPr>
          </w:p>
        </w:tc>
        <w:tc>
          <w:tcPr>
            <w:tcW w:w="2500" w:type="dxa"/>
            <w:vAlign w:val="bottom"/>
            <w:shd w:val="clear" w:color="auto" w:fill="CCCCCC"/>
          </w:tcPr>
          <w:p>
            <w:pPr>
              <w:spacing w:after="0"/>
              <w:rPr>
                <w:sz w:val="17"/>
                <w:szCs w:val="17"/>
                <w:color w:val="auto"/>
              </w:rPr>
            </w:pPr>
          </w:p>
        </w:tc>
        <w:tc>
          <w:tcPr>
            <w:tcW w:w="300" w:type="dxa"/>
            <w:vAlign w:val="bottom"/>
            <w:shd w:val="clear" w:color="auto" w:fill="CCCCCC"/>
          </w:tcPr>
          <w:p>
            <w:pPr>
              <w:spacing w:after="0"/>
              <w:rPr>
                <w:sz w:val="17"/>
                <w:szCs w:val="17"/>
                <w:color w:val="auto"/>
              </w:rPr>
            </w:pPr>
          </w:p>
        </w:tc>
        <w:tc>
          <w:tcPr>
            <w:tcW w:w="704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weighting. A new cost reduction goal was introduced, with a 25% weighting, to focus</w:t>
            </w:r>
          </w:p>
        </w:tc>
        <w:tc>
          <w:tcPr>
            <w:tcW w:w="600" w:type="dxa"/>
            <w:vAlign w:val="bottom"/>
          </w:tcPr>
          <w:p>
            <w:pPr>
              <w:spacing w:after="0"/>
              <w:rPr>
                <w:sz w:val="17"/>
                <w:szCs w:val="17"/>
                <w:color w:val="auto"/>
              </w:rPr>
            </w:pPr>
          </w:p>
        </w:tc>
      </w:tr>
      <w:tr>
        <w:trPr>
          <w:trHeight w:val="294"/>
        </w:trPr>
        <w:tc>
          <w:tcPr>
            <w:tcW w:w="580" w:type="dxa"/>
            <w:vAlign w:val="bottom"/>
          </w:tcPr>
          <w:p>
            <w:pPr>
              <w:spacing w:after="0"/>
              <w:rPr>
                <w:sz w:val="24"/>
                <w:szCs w:val="24"/>
                <w:color w:val="auto"/>
              </w:rPr>
            </w:pPr>
          </w:p>
        </w:tc>
        <w:tc>
          <w:tcPr>
            <w:tcW w:w="2500" w:type="dxa"/>
            <w:vAlign w:val="bottom"/>
            <w:tcBorders>
              <w:bottom w:val="single" w:sz="8" w:color="CCCCCC"/>
            </w:tcBorders>
            <w:shd w:val="clear" w:color="auto" w:fill="CCCCCC"/>
          </w:tcPr>
          <w:p>
            <w:pPr>
              <w:spacing w:after="0"/>
              <w:rPr>
                <w:sz w:val="24"/>
                <w:szCs w:val="24"/>
                <w:color w:val="auto"/>
              </w:rPr>
            </w:pPr>
          </w:p>
        </w:tc>
        <w:tc>
          <w:tcPr>
            <w:tcW w:w="300" w:type="dxa"/>
            <w:vAlign w:val="bottom"/>
            <w:tcBorders>
              <w:bottom w:val="single" w:sz="8" w:color="CCCCCC"/>
            </w:tcBorders>
            <w:shd w:val="clear" w:color="auto" w:fill="CCCCCC"/>
          </w:tcPr>
          <w:p>
            <w:pPr>
              <w:spacing w:after="0"/>
              <w:rPr>
                <w:sz w:val="24"/>
                <w:szCs w:val="24"/>
                <w:color w:val="auto"/>
              </w:rPr>
            </w:pPr>
          </w:p>
        </w:tc>
        <w:tc>
          <w:tcPr>
            <w:tcW w:w="7040" w:type="dxa"/>
            <w:vAlign w:val="bottom"/>
            <w:tcBorders>
              <w:bottom w:val="single" w:sz="8" w:color="CCCCCC"/>
            </w:tcBorders>
            <w:shd w:val="clear" w:color="auto" w:fill="CCCCCC"/>
          </w:tcPr>
          <w:p>
            <w:pPr>
              <w:ind w:left="120"/>
              <w:spacing w:after="0"/>
              <w:rPr>
                <w:sz w:val="20"/>
                <w:szCs w:val="20"/>
                <w:color w:val="auto"/>
              </w:rPr>
            </w:pPr>
            <w:r>
              <w:rPr>
                <w:rFonts w:ascii="Arial" w:cs="Arial" w:eastAsia="Arial" w:hAnsi="Arial"/>
                <w:sz w:val="18"/>
                <w:szCs w:val="18"/>
                <w:color w:val="auto"/>
              </w:rPr>
              <w:t>attention on the importance of operational excellence to our long-term strategy.</w:t>
            </w:r>
          </w:p>
        </w:tc>
        <w:tc>
          <w:tcPr>
            <w:tcW w:w="6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25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ncremental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wards</w:t>
            </w:r>
          </w:p>
        </w:tc>
        <w:tc>
          <w:tcPr>
            <w:tcW w:w="300" w:type="dxa"/>
            <w:vAlign w:val="bottom"/>
            <w:tcBorders>
              <w:top w:val="single" w:sz="8" w:color="auto"/>
            </w:tcBorders>
          </w:tcPr>
          <w:p>
            <w:pPr>
              <w:ind w:left="160"/>
              <w:spacing w:after="0"/>
              <w:rPr>
                <w:sz w:val="20"/>
                <w:szCs w:val="20"/>
                <w:color w:val="auto"/>
              </w:rPr>
            </w:pPr>
            <w:r>
              <w:rPr>
                <w:rFonts w:ascii="Arial" w:cs="Arial" w:eastAsia="Arial" w:hAnsi="Arial"/>
                <w:sz w:val="17"/>
                <w:szCs w:val="17"/>
                <w:color w:val="auto"/>
                <w:w w:val="70"/>
              </w:rPr>
              <w:t> </w:t>
            </w:r>
          </w:p>
        </w:tc>
        <w:tc>
          <w:tcPr>
            <w:tcW w:w="7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 further described below, in light of the Company’s robust performance for 2022 and</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 review of market practice, the Committee awarded our CEO, CFO and EVP,</w:t>
            </w:r>
          </w:p>
        </w:tc>
      </w:tr>
      <w:tr>
        <w:trPr>
          <w:trHeight w:val="203"/>
        </w:trPr>
        <w:tc>
          <w:tcPr>
            <w:tcW w:w="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Americas incremental time-based restricted stock unit (“RSU”) awards in December</w:t>
            </w:r>
          </w:p>
        </w:tc>
      </w:tr>
      <w:tr>
        <w:trPr>
          <w:trHeight w:val="244"/>
        </w:trPr>
        <w:tc>
          <w:tcPr>
            <w:tcW w:w="5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40" w:type="dxa"/>
            <w:vAlign w:val="bottom"/>
            <w:gridSpan w:val="2"/>
          </w:tcPr>
          <w:p>
            <w:pPr>
              <w:ind w:left="40"/>
              <w:spacing w:after="0"/>
              <w:rPr>
                <w:sz w:val="20"/>
                <w:szCs w:val="20"/>
                <w:color w:val="auto"/>
              </w:rPr>
            </w:pPr>
            <w:r>
              <w:rPr>
                <w:rFonts w:ascii="Arial" w:cs="Arial" w:eastAsia="Arial" w:hAnsi="Arial"/>
                <w:sz w:val="18"/>
                <w:szCs w:val="18"/>
                <w:color w:val="auto"/>
              </w:rPr>
              <w:t>2022, which cliff vest on the third anniversary of the date of grant.</w:t>
            </w:r>
          </w:p>
        </w:tc>
      </w:tr>
      <w:tr>
        <w:trPr>
          <w:trHeight w:val="542"/>
        </w:trPr>
        <w:tc>
          <w:tcPr>
            <w:tcW w:w="580" w:type="dxa"/>
            <w:vAlign w:val="bottom"/>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40" w:type="dxa"/>
            <w:vAlign w:val="bottom"/>
            <w:tcBorders>
              <w:top w:val="single" w:sz="8" w:color="auto"/>
            </w:tcBorders>
          </w:tcPr>
          <w:p>
            <w:pPr>
              <w:ind w:left="2020"/>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4"/>
                <w:szCs w:val="24"/>
                <w:color w:val="auto"/>
              </w:rPr>
            </w:pPr>
          </w:p>
        </w:tc>
      </w:tr>
      <w:tr>
        <w:trPr>
          <w:trHeight w:val="219"/>
        </w:trPr>
        <w:tc>
          <w:tcPr>
            <w:tcW w:w="5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Our Named Executive Officers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discussion addresses executive compensation in 2022 for our NEOs, who are:</w:t>
      </w:r>
    </w:p>
    <w:p>
      <w:pPr>
        <w:spacing w:after="0" w:line="104" w:lineRule="exact"/>
        <w:rPr>
          <w:sz w:val="20"/>
          <w:szCs w:val="20"/>
          <w:color w:val="auto"/>
        </w:rPr>
      </w:pPr>
    </w:p>
    <w:p>
      <w:pPr>
        <w:ind w:left="360" w:hanging="350"/>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Bernardo Hees – </w:t>
      </w:r>
      <w:r>
        <w:rPr>
          <w:rFonts w:ascii="Arial" w:cs="Arial" w:eastAsia="Arial" w:hAnsi="Arial"/>
          <w:sz w:val="18"/>
          <w:szCs w:val="18"/>
          <w:color w:val="auto"/>
        </w:rPr>
        <w:t>our Executive Chairman of the Board (our “Executive Chairman”).</w:t>
      </w:r>
    </w:p>
    <w:p>
      <w:pPr>
        <w:spacing w:after="0" w:line="103" w:lineRule="exact"/>
        <w:rPr>
          <w:rFonts w:ascii="Arial" w:cs="Arial" w:eastAsia="Arial" w:hAnsi="Arial"/>
          <w:sz w:val="18"/>
          <w:szCs w:val="18"/>
          <w:color w:val="auto"/>
        </w:rPr>
      </w:pPr>
    </w:p>
    <w:p>
      <w:pPr>
        <w:ind w:left="360" w:hanging="350"/>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Joseph A. Ferraro – </w:t>
      </w:r>
      <w:r>
        <w:rPr>
          <w:rFonts w:ascii="Arial" w:cs="Arial" w:eastAsia="Arial" w:hAnsi="Arial"/>
          <w:sz w:val="18"/>
          <w:szCs w:val="18"/>
          <w:color w:val="auto"/>
        </w:rPr>
        <w:t>our President and Chief Executive Officer (our “CEO”).</w:t>
      </w:r>
    </w:p>
    <w:p>
      <w:pPr>
        <w:spacing w:after="0" w:line="103" w:lineRule="exact"/>
        <w:rPr>
          <w:rFonts w:ascii="Arial" w:cs="Arial" w:eastAsia="Arial" w:hAnsi="Arial"/>
          <w:sz w:val="18"/>
          <w:szCs w:val="18"/>
          <w:color w:val="auto"/>
        </w:rPr>
      </w:pPr>
    </w:p>
    <w:p>
      <w:pPr>
        <w:ind w:left="360" w:hanging="350"/>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Brian J. Choi – </w:t>
      </w:r>
      <w:r>
        <w:rPr>
          <w:rFonts w:ascii="Arial" w:cs="Arial" w:eastAsia="Arial" w:hAnsi="Arial"/>
          <w:sz w:val="18"/>
          <w:szCs w:val="18"/>
          <w:color w:val="auto"/>
        </w:rPr>
        <w:t>our Executive Vice President and Chief Financial Officer (our “CFO”).</w:t>
      </w:r>
    </w:p>
    <w:p>
      <w:pPr>
        <w:spacing w:after="0" w:line="103" w:lineRule="exact"/>
        <w:rPr>
          <w:rFonts w:ascii="Arial" w:cs="Arial" w:eastAsia="Arial" w:hAnsi="Arial"/>
          <w:sz w:val="18"/>
          <w:szCs w:val="18"/>
          <w:color w:val="auto"/>
        </w:rPr>
      </w:pPr>
    </w:p>
    <w:p>
      <w:pPr>
        <w:ind w:left="360" w:hanging="350"/>
        <w:spacing w:after="0" w:line="271"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Ravi Simhambhatla </w:t>
      </w:r>
      <w:r>
        <w:rPr>
          <w:rFonts w:ascii="Arial" w:cs="Arial" w:eastAsia="Arial" w:hAnsi="Arial"/>
          <w:sz w:val="18"/>
          <w:szCs w:val="18"/>
          <w:color w:val="auto"/>
        </w:rPr>
        <w:t>– our Executive Vice President and Chief Digital and Innovation Officer (our “Chief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hired in July 2022.</w:t>
      </w:r>
    </w:p>
    <w:p>
      <w:pPr>
        <w:spacing w:after="0" w:line="45" w:lineRule="exact"/>
        <w:rPr>
          <w:rFonts w:ascii="Arial" w:cs="Arial" w:eastAsia="Arial" w:hAnsi="Arial"/>
          <w:sz w:val="18"/>
          <w:szCs w:val="18"/>
          <w:color w:val="auto"/>
        </w:rPr>
      </w:pPr>
    </w:p>
    <w:p>
      <w:pPr>
        <w:ind w:left="360" w:hanging="350"/>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Izilda “Izzy” P. Martins – </w:t>
      </w:r>
      <w:r>
        <w:rPr>
          <w:rFonts w:ascii="Arial" w:cs="Arial" w:eastAsia="Arial" w:hAnsi="Arial"/>
          <w:sz w:val="18"/>
          <w:szCs w:val="18"/>
          <w:color w:val="auto"/>
        </w:rPr>
        <w:t>our Executive Vice President, Americas (our “EVP, Americas”).</w:t>
      </w:r>
    </w:p>
    <w:p>
      <w:pPr>
        <w:spacing w:after="0" w:line="144"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Compensation for our NEOs is typically comprised of the following components, each of which is designed to provide competitive compensation to attract and retain a highly qualified executive team:</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Pr>
          <w:p>
            <w:pPr>
              <w:ind w:left="100"/>
              <w:spacing w:after="0"/>
              <w:rPr>
                <w:sz w:val="20"/>
                <w:szCs w:val="20"/>
                <w:color w:val="auto"/>
              </w:rPr>
            </w:pPr>
            <w:r>
              <w:rPr>
                <w:rFonts w:ascii="Arial" w:cs="Arial" w:eastAsia="Arial" w:hAnsi="Arial"/>
                <w:sz w:val="14"/>
                <w:szCs w:val="14"/>
                <w:b w:val="1"/>
                <w:bCs w:val="1"/>
                <w:color w:val="auto"/>
              </w:rPr>
              <w:t>Component</w:t>
            </w:r>
          </w:p>
        </w:tc>
        <w:tc>
          <w:tcPr>
            <w:tcW w:w="7320" w:type="dxa"/>
            <w:vAlign w:val="bottom"/>
          </w:tcPr>
          <w:p>
            <w:pPr>
              <w:ind w:left="140"/>
              <w:spacing w:after="0"/>
              <w:rPr>
                <w:sz w:val="20"/>
                <w:szCs w:val="20"/>
                <w:color w:val="auto"/>
              </w:rPr>
            </w:pPr>
            <w:r>
              <w:rPr>
                <w:rFonts w:ascii="Arial" w:cs="Arial" w:eastAsia="Arial" w:hAnsi="Arial"/>
                <w:sz w:val="14"/>
                <w:szCs w:val="14"/>
                <w:b w:val="1"/>
                <w:bCs w:val="1"/>
                <w:color w:val="auto"/>
              </w:rPr>
              <w:t>Function and Objective</w:t>
            </w:r>
          </w:p>
        </w:tc>
      </w:tr>
      <w:tr>
        <w:trPr>
          <w:trHeight w:val="43"/>
        </w:trPr>
        <w:tc>
          <w:tcPr>
            <w:tcW w:w="2520" w:type="dxa"/>
            <w:vAlign w:val="bottom"/>
            <w:tcBorders>
              <w:bottom w:val="single" w:sz="8" w:color="auto"/>
            </w:tcBorders>
          </w:tcPr>
          <w:p>
            <w:pPr>
              <w:spacing w:after="0"/>
              <w:rPr>
                <w:sz w:val="3"/>
                <w:szCs w:val="3"/>
                <w:color w:val="auto"/>
              </w:rPr>
            </w:pPr>
          </w:p>
        </w:tc>
        <w:tc>
          <w:tcPr>
            <w:tcW w:w="7320" w:type="dxa"/>
            <w:vAlign w:val="bottom"/>
            <w:tcBorders>
              <w:bottom w:val="single" w:sz="8" w:color="auto"/>
            </w:tcBorders>
          </w:tcPr>
          <w:p>
            <w:pPr>
              <w:spacing w:after="0"/>
              <w:rPr>
                <w:sz w:val="3"/>
                <w:szCs w:val="3"/>
                <w:color w:val="auto"/>
              </w:rPr>
            </w:pPr>
          </w:p>
        </w:tc>
      </w:tr>
      <w:tr>
        <w:trPr>
          <w:trHeight w:val="245"/>
        </w:trPr>
        <w:tc>
          <w:tcPr>
            <w:tcW w:w="2520" w:type="dxa"/>
            <w:vAlign w:val="bottom"/>
            <w:shd w:val="clear" w:color="auto" w:fill="CCCCCC"/>
          </w:tcPr>
          <w:p>
            <w:pPr>
              <w:ind w:left="100"/>
              <w:spacing w:after="0"/>
              <w:rPr>
                <w:sz w:val="20"/>
                <w:szCs w:val="20"/>
                <w:color w:val="auto"/>
              </w:rPr>
            </w:pPr>
            <w:r>
              <w:rPr>
                <w:rFonts w:ascii="Arial" w:cs="Arial" w:eastAsia="Arial" w:hAnsi="Arial"/>
                <w:sz w:val="18"/>
                <w:szCs w:val="18"/>
                <w:i w:val="1"/>
                <w:iCs w:val="1"/>
                <w:color w:val="auto"/>
              </w:rPr>
              <w:t>Base Salary</w:t>
            </w:r>
          </w:p>
        </w:tc>
        <w:tc>
          <w:tcPr>
            <w:tcW w:w="7320" w:type="dxa"/>
            <w:vAlign w:val="bottom"/>
            <w:shd w:val="clear" w:color="auto" w:fill="CCCCCC"/>
          </w:tcPr>
          <w:p>
            <w:pPr>
              <w:ind w:left="140"/>
              <w:spacing w:after="0"/>
              <w:rPr>
                <w:sz w:val="20"/>
                <w:szCs w:val="20"/>
                <w:color w:val="auto"/>
              </w:rPr>
            </w:pPr>
            <w:r>
              <w:rPr>
                <w:rFonts w:ascii="Arial" w:cs="Arial" w:eastAsia="Arial" w:hAnsi="Arial"/>
                <w:sz w:val="18"/>
                <w:szCs w:val="18"/>
                <w:color w:val="auto"/>
              </w:rPr>
              <w:t>Paid in cash, provides a fixed form of annual compensation for the performance of</w:t>
            </w:r>
          </w:p>
        </w:tc>
      </w:tr>
      <w:tr>
        <w:trPr>
          <w:trHeight w:val="294"/>
        </w:trPr>
        <w:tc>
          <w:tcPr>
            <w:tcW w:w="2520" w:type="dxa"/>
            <w:vAlign w:val="bottom"/>
            <w:tcBorders>
              <w:bottom w:val="single" w:sz="8" w:color="CCCCCC"/>
            </w:tcBorders>
            <w:shd w:val="clear" w:color="auto" w:fill="CCCCCC"/>
          </w:tcPr>
          <w:p>
            <w:pPr>
              <w:spacing w:after="0"/>
              <w:rPr>
                <w:sz w:val="24"/>
                <w:szCs w:val="24"/>
                <w:color w:val="auto"/>
              </w:rPr>
            </w:pPr>
          </w:p>
        </w:tc>
        <w:tc>
          <w:tcPr>
            <w:tcW w:w="7320" w:type="dxa"/>
            <w:vAlign w:val="bottom"/>
            <w:tcBorders>
              <w:bottom w:val="single" w:sz="8" w:color="CCCCCC"/>
            </w:tcBorders>
            <w:shd w:val="clear" w:color="auto" w:fill="CCCCCC"/>
          </w:tcPr>
          <w:p>
            <w:pPr>
              <w:ind w:left="140"/>
              <w:spacing w:after="0"/>
              <w:rPr>
                <w:sz w:val="20"/>
                <w:szCs w:val="20"/>
                <w:color w:val="auto"/>
              </w:rPr>
            </w:pPr>
            <w:r>
              <w:rPr>
                <w:rFonts w:ascii="Arial" w:cs="Arial" w:eastAsia="Arial" w:hAnsi="Arial"/>
                <w:sz w:val="18"/>
                <w:szCs w:val="18"/>
                <w:color w:val="auto"/>
              </w:rPr>
              <w:t>primary responsibilities consistent with each executive’s experience and role.</w:t>
            </w:r>
          </w:p>
        </w:tc>
      </w:tr>
      <w:tr>
        <w:trPr>
          <w:trHeight w:val="245"/>
        </w:trPr>
        <w:tc>
          <w:tcPr>
            <w:tcW w:w="2520" w:type="dxa"/>
            <w:vAlign w:val="bottom"/>
            <w:tcBorders>
              <w:top w:val="single" w:sz="8" w:color="auto"/>
            </w:tcBorders>
          </w:tcPr>
          <w:p>
            <w:pPr>
              <w:ind w:left="100"/>
              <w:spacing w:after="0"/>
              <w:rPr>
                <w:sz w:val="20"/>
                <w:szCs w:val="20"/>
                <w:color w:val="auto"/>
              </w:rPr>
            </w:pPr>
            <w:r>
              <w:rPr>
                <w:rFonts w:ascii="Arial" w:cs="Arial" w:eastAsia="Arial" w:hAnsi="Arial"/>
                <w:sz w:val="18"/>
                <w:szCs w:val="18"/>
                <w:i w:val="1"/>
                <w:iCs w:val="1"/>
                <w:color w:val="auto"/>
              </w:rPr>
              <w:t>Annual Incentive Awards</w:t>
            </w:r>
          </w:p>
        </w:tc>
        <w:tc>
          <w:tcPr>
            <w:tcW w:w="73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Comprised  of  annual  cash  incentive  opportunities  that  are  performance-based,</w:t>
            </w:r>
          </w:p>
        </w:tc>
      </w:tr>
      <w:tr>
        <w:trPr>
          <w:trHeight w:val="203"/>
        </w:trPr>
        <w:tc>
          <w:tcPr>
            <w:tcW w:w="2520" w:type="dxa"/>
            <w:vAlign w:val="bottom"/>
          </w:tcPr>
          <w:p>
            <w:pPr>
              <w:spacing w:after="0"/>
              <w:rPr>
                <w:sz w:val="17"/>
                <w:szCs w:val="17"/>
                <w:color w:val="auto"/>
              </w:rPr>
            </w:pPr>
          </w:p>
        </w:tc>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compensate executives subject to achieving specific annual financial goals and individual</w:t>
            </w:r>
          </w:p>
        </w:tc>
      </w:tr>
      <w:tr>
        <w:trPr>
          <w:trHeight w:val="203"/>
        </w:trPr>
        <w:tc>
          <w:tcPr>
            <w:tcW w:w="2520" w:type="dxa"/>
            <w:vAlign w:val="bottom"/>
          </w:tcPr>
          <w:p>
            <w:pPr>
              <w:spacing w:after="0"/>
              <w:rPr>
                <w:sz w:val="17"/>
                <w:szCs w:val="17"/>
                <w:color w:val="auto"/>
              </w:rPr>
            </w:pPr>
          </w:p>
        </w:tc>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goals, which are based primarily on quantitative financial and operational metrics with</w:t>
            </w:r>
          </w:p>
        </w:tc>
      </w:tr>
      <w:tr>
        <w:trPr>
          <w:trHeight w:val="239"/>
        </w:trPr>
        <w:tc>
          <w:tcPr>
            <w:tcW w:w="2520" w:type="dxa"/>
            <w:vAlign w:val="bottom"/>
          </w:tcPr>
          <w:p>
            <w:pPr>
              <w:spacing w:after="0"/>
              <w:rPr>
                <w:sz w:val="20"/>
                <w:szCs w:val="20"/>
                <w:color w:val="auto"/>
              </w:rPr>
            </w:pPr>
          </w:p>
        </w:tc>
        <w:tc>
          <w:tcPr>
            <w:tcW w:w="7320" w:type="dxa"/>
            <w:vAlign w:val="bottom"/>
          </w:tcPr>
          <w:p>
            <w:pPr>
              <w:ind w:left="140"/>
              <w:spacing w:after="0"/>
              <w:rPr>
                <w:sz w:val="20"/>
                <w:szCs w:val="20"/>
                <w:color w:val="auto"/>
              </w:rPr>
            </w:pPr>
            <w:r>
              <w:rPr>
                <w:rFonts w:ascii="Arial" w:cs="Arial" w:eastAsia="Arial" w:hAnsi="Arial"/>
                <w:sz w:val="18"/>
                <w:szCs w:val="18"/>
                <w:color w:val="auto"/>
              </w:rPr>
              <w:t>measurable targets utilizing a “scorecard” approach.</w:t>
            </w:r>
          </w:p>
        </w:tc>
      </w:tr>
      <w:tr>
        <w:trPr>
          <w:trHeight w:val="50"/>
        </w:trPr>
        <w:tc>
          <w:tcPr>
            <w:tcW w:w="2520" w:type="dxa"/>
            <w:vAlign w:val="bottom"/>
            <w:tcBorders>
              <w:bottom w:val="single" w:sz="8" w:color="auto"/>
            </w:tcBorders>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r>
      <w:tr>
        <w:trPr>
          <w:trHeight w:val="245"/>
        </w:trPr>
        <w:tc>
          <w:tcPr>
            <w:tcW w:w="2520" w:type="dxa"/>
            <w:vAlign w:val="bottom"/>
            <w:shd w:val="clear" w:color="auto" w:fill="CCCCCC"/>
          </w:tcPr>
          <w:p>
            <w:pPr>
              <w:ind w:left="100"/>
              <w:spacing w:after="0"/>
              <w:rPr>
                <w:sz w:val="20"/>
                <w:szCs w:val="20"/>
                <w:color w:val="auto"/>
              </w:rPr>
            </w:pPr>
            <w:r>
              <w:rPr>
                <w:rFonts w:ascii="Arial" w:cs="Arial" w:eastAsia="Arial" w:hAnsi="Arial"/>
                <w:sz w:val="18"/>
                <w:szCs w:val="18"/>
                <w:i w:val="1"/>
                <w:iCs w:val="1"/>
                <w:color w:val="auto"/>
              </w:rPr>
              <w:t>Long-Term Incentive Awards</w:t>
            </w:r>
          </w:p>
        </w:tc>
        <w:tc>
          <w:tcPr>
            <w:tcW w:w="7320" w:type="dxa"/>
            <w:vAlign w:val="bottom"/>
            <w:shd w:val="clear" w:color="auto" w:fill="CCCCCC"/>
          </w:tcPr>
          <w:p>
            <w:pPr>
              <w:ind w:left="140"/>
              <w:spacing w:after="0"/>
              <w:rPr>
                <w:sz w:val="20"/>
                <w:szCs w:val="20"/>
                <w:color w:val="auto"/>
              </w:rPr>
            </w:pPr>
            <w:r>
              <w:rPr>
                <w:rFonts w:ascii="Arial" w:cs="Arial" w:eastAsia="Arial" w:hAnsi="Arial"/>
                <w:sz w:val="18"/>
                <w:szCs w:val="18"/>
                <w:color w:val="auto"/>
              </w:rPr>
              <w:t>Designed to align a significant component of executive compensation with shareholder</w:t>
            </w:r>
          </w:p>
        </w:tc>
      </w:tr>
      <w:tr>
        <w:trPr>
          <w:trHeight w:val="203"/>
        </w:trPr>
        <w:tc>
          <w:tcPr>
            <w:tcW w:w="2520" w:type="dxa"/>
            <w:vAlign w:val="bottom"/>
            <w:shd w:val="clear" w:color="auto" w:fill="CCCCCC"/>
          </w:tcPr>
          <w:p>
            <w:pPr>
              <w:spacing w:after="0"/>
              <w:rPr>
                <w:sz w:val="17"/>
                <w:szCs w:val="17"/>
                <w:color w:val="auto"/>
              </w:rPr>
            </w:pPr>
          </w:p>
        </w:tc>
        <w:tc>
          <w:tcPr>
            <w:tcW w:w="7320" w:type="dxa"/>
            <w:vAlign w:val="bottom"/>
            <w:shd w:val="clear" w:color="auto" w:fill="CCCCCC"/>
          </w:tcPr>
          <w:p>
            <w:pPr>
              <w:ind w:left="140"/>
              <w:spacing w:after="0" w:line="202" w:lineRule="exact"/>
              <w:rPr>
                <w:sz w:val="20"/>
                <w:szCs w:val="20"/>
                <w:color w:val="auto"/>
              </w:rPr>
            </w:pPr>
            <w:r>
              <w:rPr>
                <w:rFonts w:ascii="Arial" w:cs="Arial" w:eastAsia="Arial" w:hAnsi="Arial"/>
                <w:sz w:val="18"/>
                <w:szCs w:val="18"/>
                <w:color w:val="auto"/>
              </w:rPr>
              <w:t>interests, provide an incentive for executives to stay with the Company and achieve</w:t>
            </w:r>
          </w:p>
        </w:tc>
      </w:tr>
      <w:tr>
        <w:trPr>
          <w:trHeight w:val="203"/>
        </w:trPr>
        <w:tc>
          <w:tcPr>
            <w:tcW w:w="2520" w:type="dxa"/>
            <w:vAlign w:val="bottom"/>
            <w:shd w:val="clear" w:color="auto" w:fill="CCCCCC"/>
          </w:tcPr>
          <w:p>
            <w:pPr>
              <w:spacing w:after="0"/>
              <w:rPr>
                <w:sz w:val="17"/>
                <w:szCs w:val="17"/>
                <w:color w:val="auto"/>
              </w:rPr>
            </w:pPr>
          </w:p>
        </w:tc>
        <w:tc>
          <w:tcPr>
            <w:tcW w:w="7320" w:type="dxa"/>
            <w:vAlign w:val="bottom"/>
            <w:shd w:val="clear" w:color="auto" w:fill="CCCCCC"/>
          </w:tcPr>
          <w:p>
            <w:pPr>
              <w:ind w:left="140"/>
              <w:spacing w:after="0" w:line="202" w:lineRule="exact"/>
              <w:rPr>
                <w:sz w:val="20"/>
                <w:szCs w:val="20"/>
                <w:color w:val="auto"/>
              </w:rPr>
            </w:pPr>
            <w:r>
              <w:rPr>
                <w:rFonts w:ascii="Arial" w:cs="Arial" w:eastAsia="Arial" w:hAnsi="Arial"/>
                <w:sz w:val="18"/>
                <w:szCs w:val="18"/>
                <w:color w:val="auto"/>
              </w:rPr>
              <w:t>appropriately challenging long-range performance goals, and allow executives to share in</w:t>
            </w:r>
          </w:p>
        </w:tc>
      </w:tr>
      <w:tr>
        <w:trPr>
          <w:trHeight w:val="294"/>
        </w:trPr>
        <w:tc>
          <w:tcPr>
            <w:tcW w:w="2520" w:type="dxa"/>
            <w:vAlign w:val="bottom"/>
            <w:tcBorders>
              <w:bottom w:val="single" w:sz="8" w:color="CCCCCC"/>
            </w:tcBorders>
            <w:shd w:val="clear" w:color="auto" w:fill="CCCCCC"/>
          </w:tcPr>
          <w:p>
            <w:pPr>
              <w:spacing w:after="0"/>
              <w:rPr>
                <w:sz w:val="24"/>
                <w:szCs w:val="24"/>
                <w:color w:val="auto"/>
              </w:rPr>
            </w:pPr>
          </w:p>
        </w:tc>
        <w:tc>
          <w:tcPr>
            <w:tcW w:w="7320" w:type="dxa"/>
            <w:vAlign w:val="bottom"/>
            <w:tcBorders>
              <w:bottom w:val="single" w:sz="8" w:color="CCCCCC"/>
            </w:tcBorders>
            <w:shd w:val="clear" w:color="auto" w:fill="CCCCCC"/>
          </w:tcPr>
          <w:p>
            <w:pPr>
              <w:ind w:left="140"/>
              <w:spacing w:after="0"/>
              <w:rPr>
                <w:sz w:val="20"/>
                <w:szCs w:val="20"/>
                <w:color w:val="auto"/>
              </w:rPr>
            </w:pPr>
            <w:r>
              <w:rPr>
                <w:rFonts w:ascii="Arial" w:cs="Arial" w:eastAsia="Arial" w:hAnsi="Arial"/>
                <w:sz w:val="18"/>
                <w:szCs w:val="18"/>
                <w:color w:val="auto"/>
              </w:rPr>
              <w:t>the value created for the Company’s shareholders.</w:t>
            </w:r>
          </w:p>
        </w:tc>
      </w:tr>
      <w:tr>
        <w:trPr>
          <w:trHeight w:val="245"/>
        </w:trPr>
        <w:tc>
          <w:tcPr>
            <w:tcW w:w="2520" w:type="dxa"/>
            <w:vAlign w:val="bottom"/>
            <w:tcBorders>
              <w:top w:val="single" w:sz="8" w:color="auto"/>
            </w:tcBorders>
          </w:tcPr>
          <w:p>
            <w:pPr>
              <w:ind w:left="100"/>
              <w:spacing w:after="0"/>
              <w:rPr>
                <w:sz w:val="20"/>
                <w:szCs w:val="20"/>
                <w:color w:val="auto"/>
              </w:rPr>
            </w:pPr>
            <w:r>
              <w:rPr>
                <w:rFonts w:ascii="Arial" w:cs="Arial" w:eastAsia="Arial" w:hAnsi="Arial"/>
                <w:sz w:val="18"/>
                <w:szCs w:val="18"/>
                <w:i w:val="1"/>
                <w:iCs w:val="1"/>
                <w:color w:val="auto"/>
              </w:rPr>
              <w:t>Other Compensation</w:t>
            </w:r>
          </w:p>
        </w:tc>
        <w:tc>
          <w:tcPr>
            <w:tcW w:w="73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We provide certain health, life insurance, disability and retirement benefits as part of our</w:t>
            </w:r>
          </w:p>
        </w:tc>
      </w:tr>
      <w:tr>
        <w:trPr>
          <w:trHeight w:val="203"/>
        </w:trPr>
        <w:tc>
          <w:tcPr>
            <w:tcW w:w="2520" w:type="dxa"/>
            <w:vAlign w:val="bottom"/>
          </w:tcPr>
          <w:p>
            <w:pPr>
              <w:spacing w:after="0"/>
              <w:rPr>
                <w:sz w:val="17"/>
                <w:szCs w:val="17"/>
                <w:color w:val="auto"/>
              </w:rPr>
            </w:pPr>
          </w:p>
        </w:tc>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broad-based employee benefits program. Retirement benefits for our NEOs (other than</w:t>
            </w:r>
          </w:p>
        </w:tc>
      </w:tr>
      <w:tr>
        <w:trPr>
          <w:trHeight w:val="203"/>
        </w:trPr>
        <w:tc>
          <w:tcPr>
            <w:tcW w:w="2520" w:type="dxa"/>
            <w:vAlign w:val="bottom"/>
          </w:tcPr>
          <w:p>
            <w:pPr>
              <w:spacing w:after="0"/>
              <w:rPr>
                <w:sz w:val="17"/>
                <w:szCs w:val="17"/>
                <w:color w:val="auto"/>
              </w:rPr>
            </w:pPr>
          </w:p>
        </w:tc>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our CEO) are limited to (i) deferrals under the executive deferred compensation plan,</w:t>
            </w:r>
          </w:p>
        </w:tc>
      </w:tr>
      <w:tr>
        <w:trPr>
          <w:trHeight w:val="203"/>
        </w:trPr>
        <w:tc>
          <w:tcPr>
            <w:tcW w:w="2520" w:type="dxa"/>
            <w:vAlign w:val="bottom"/>
          </w:tcPr>
          <w:p>
            <w:pPr>
              <w:spacing w:after="0"/>
              <w:rPr>
                <w:sz w:val="17"/>
                <w:szCs w:val="17"/>
                <w:color w:val="auto"/>
              </w:rPr>
            </w:pPr>
          </w:p>
        </w:tc>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which the Company matches up to a maximum of 6% of base salary and annual</w:t>
            </w:r>
          </w:p>
        </w:tc>
      </w:tr>
      <w:tr>
        <w:trPr>
          <w:trHeight w:val="202"/>
        </w:trPr>
        <w:tc>
          <w:tcPr>
            <w:tcW w:w="2520" w:type="dxa"/>
            <w:vAlign w:val="bottom"/>
          </w:tcPr>
          <w:p>
            <w:pPr>
              <w:spacing w:after="0"/>
              <w:rPr>
                <w:sz w:val="17"/>
                <w:szCs w:val="17"/>
                <w:color w:val="auto"/>
              </w:rPr>
            </w:pPr>
          </w:p>
        </w:tc>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incentive, and/or (ii) participation in our 401(k) plan.</w:t>
            </w:r>
          </w:p>
        </w:tc>
      </w:tr>
      <w:tr>
        <w:trPr>
          <w:trHeight w:val="203"/>
        </w:trPr>
        <w:tc>
          <w:tcPr>
            <w:tcW w:w="2520" w:type="dxa"/>
            <w:vAlign w:val="bottom"/>
          </w:tcPr>
          <w:p>
            <w:pPr>
              <w:spacing w:after="0"/>
              <w:rPr>
                <w:sz w:val="17"/>
                <w:szCs w:val="17"/>
                <w:color w:val="auto"/>
              </w:rPr>
            </w:pPr>
          </w:p>
        </w:tc>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 </w:t>
            </w:r>
          </w:p>
        </w:tc>
      </w:tr>
      <w:tr>
        <w:trPr>
          <w:trHeight w:val="203"/>
        </w:trPr>
        <w:tc>
          <w:tcPr>
            <w:tcW w:w="2520" w:type="dxa"/>
            <w:vAlign w:val="bottom"/>
          </w:tcPr>
          <w:p>
            <w:pPr>
              <w:spacing w:after="0"/>
              <w:rPr>
                <w:sz w:val="17"/>
                <w:szCs w:val="17"/>
                <w:color w:val="auto"/>
              </w:rPr>
            </w:pPr>
          </w:p>
        </w:tc>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Other executive benefits and perquisites for NEOs include auto use and financial</w:t>
            </w:r>
          </w:p>
        </w:tc>
      </w:tr>
      <w:tr>
        <w:trPr>
          <w:trHeight w:val="203"/>
        </w:trPr>
        <w:tc>
          <w:tcPr>
            <w:tcW w:w="2520" w:type="dxa"/>
            <w:vAlign w:val="bottom"/>
          </w:tcPr>
          <w:p>
            <w:pPr>
              <w:spacing w:after="0"/>
              <w:rPr>
                <w:sz w:val="17"/>
                <w:szCs w:val="17"/>
                <w:color w:val="auto"/>
              </w:rPr>
            </w:pPr>
          </w:p>
        </w:tc>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planning services. However, auto use and financial planning services are not provided to</w:t>
            </w:r>
          </w:p>
        </w:tc>
      </w:tr>
      <w:tr>
        <w:trPr>
          <w:trHeight w:val="203"/>
        </w:trPr>
        <w:tc>
          <w:tcPr>
            <w:tcW w:w="2520" w:type="dxa"/>
            <w:vAlign w:val="bottom"/>
          </w:tcPr>
          <w:p>
            <w:pPr>
              <w:spacing w:after="0"/>
              <w:rPr>
                <w:sz w:val="17"/>
                <w:szCs w:val="17"/>
                <w:color w:val="auto"/>
              </w:rPr>
            </w:pPr>
          </w:p>
        </w:tc>
        <w:tc>
          <w:tcPr>
            <w:tcW w:w="7320" w:type="dxa"/>
            <w:vAlign w:val="bottom"/>
          </w:tcPr>
          <w:p>
            <w:pPr>
              <w:ind w:left="140"/>
              <w:spacing w:after="0" w:line="202" w:lineRule="exact"/>
              <w:rPr>
                <w:sz w:val="20"/>
                <w:szCs w:val="20"/>
                <w:color w:val="auto"/>
              </w:rPr>
            </w:pPr>
            <w:r>
              <w:rPr>
                <w:rFonts w:ascii="Arial" w:cs="Arial" w:eastAsia="Arial" w:hAnsi="Arial"/>
                <w:sz w:val="18"/>
                <w:szCs w:val="18"/>
                <w:color w:val="auto"/>
              </w:rPr>
              <w:t>executives who joined the Company after December 31, 2021. Our CEO is also provided</w:t>
            </w:r>
          </w:p>
        </w:tc>
      </w:tr>
      <w:tr>
        <w:trPr>
          <w:trHeight w:val="244"/>
        </w:trPr>
        <w:tc>
          <w:tcPr>
            <w:tcW w:w="2520" w:type="dxa"/>
            <w:vAlign w:val="bottom"/>
            <w:tcBorders>
              <w:bottom w:val="single" w:sz="8" w:color="auto"/>
            </w:tcBorders>
          </w:tcPr>
          <w:p>
            <w:pPr>
              <w:spacing w:after="0"/>
              <w:rPr>
                <w:sz w:val="21"/>
                <w:szCs w:val="21"/>
                <w:color w:val="auto"/>
              </w:rPr>
            </w:pPr>
          </w:p>
        </w:tc>
        <w:tc>
          <w:tcPr>
            <w:tcW w:w="7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with agreed-upon limited personal use of Company-leased aircraft services.</w:t>
            </w:r>
          </w:p>
        </w:tc>
      </w:tr>
    </w:tbl>
    <w:p>
      <w:pPr>
        <w:spacing w:after="0" w:line="31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Analysis of 2022 Pay Decisions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Compensation Philosophy</w:t>
      </w:r>
    </w:p>
    <w:p>
      <w:pPr>
        <w:spacing w:after="0" w:line="139"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In 2022, “pay-for-performance” continued to be a fundamental tenet of our compensation philosophy, which includes rewarding attainment of appropriately challenging financial and individual performance goals and aligning our executives’ objectives with our shareholders’ interests, while ensuring that the Company’s executive compensation programs are designed to attract and retain a high-caliber leadership team.</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Base Salaries for our Named Executive Officers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Salaries for NEOs are typically approved early in each year based on factors such as:</w:t>
      </w:r>
    </w:p>
    <w:p>
      <w:pPr>
        <w:spacing w:after="0" w:line="131" w:lineRule="exact"/>
        <w:rPr>
          <w:sz w:val="20"/>
          <w:szCs w:val="20"/>
          <w:color w:val="auto"/>
        </w:rPr>
      </w:pPr>
    </w:p>
    <w:p>
      <w:pPr>
        <w:ind w:left="360" w:right="20" w:hanging="350"/>
        <w:spacing w:after="0" w:line="271"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reasonable comparability with the Peer Group and Survey Data (as described under “Consideration of Peer Groups and Survey Data”);</w:t>
      </w:r>
    </w:p>
    <w:p>
      <w:pPr>
        <w:spacing w:after="0" w:line="86" w:lineRule="exact"/>
        <w:rPr>
          <w:rFonts w:ascii="Arial" w:cs="Arial" w:eastAsia="Arial" w:hAnsi="Arial"/>
          <w:sz w:val="18"/>
          <w:szCs w:val="18"/>
          <w:color w:val="auto"/>
        </w:rPr>
      </w:pPr>
    </w:p>
    <w:p>
      <w:pPr>
        <w:ind w:left="360" w:hanging="350"/>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individual and Company performance; and</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NEO’s responsibilities, capabilities and skills, leadership and drive to add value.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For 2022, in light of the Company’s record financial performance in 2021 and following a market review that indicated that base salaries were below market median, the Committee approved base salary increases of approximately 20% for each of our CEO, CFO and EVP, Americas. The Committee also took into consideration that no base salary increases had been approved for 2021 as a result of the impact of the COVID-19 pandemic on the Company’s financial performance for 2020. For our Chief Digital Officer, in connection with his appointment in 2022, the Committee approved a base salary consistent with the Company’s past practice for this role, and, for our Executive Chairman, base salary was unchanged from 2021 to 2022.</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Annual Incentive Awards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2022 AIP</w:t>
      </w:r>
    </w:p>
    <w:p>
      <w:pPr>
        <w:spacing w:after="0" w:line="142"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For 2022, the Committee approved an annual incentive program (the “2022 AIP”) in which all of our NEOs participated other than our Executive Chairman. The program design was generally consistent with the 2021 program design. Target payout opportunity as a percentage of base salary was 200% for our CEO, 125% for our CFO and EVP, Americas, and 120% for our Chief Digital Officer, subject to a maximum payout opportunity of 150% of target.</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2022 AIP Performance Metrics and Goals – Adjusted EBITDA Component</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Consistent with prior years, the 2022 AIP included 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as a performance metric with a weighting of 50%:</w:t>
      </w:r>
    </w:p>
    <w:p>
      <w:pPr>
        <w:spacing w:after="0" w:line="68" w:lineRule="exact"/>
        <w:rPr>
          <w:sz w:val="20"/>
          <w:szCs w:val="20"/>
          <w:color w:val="auto"/>
        </w:rPr>
      </w:pPr>
    </w:p>
    <w:p>
      <w:pPr>
        <w:ind w:left="360" w:hanging="350"/>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recognition of its wide acceptance and understanding as a metric within the Company;</w:t>
      </w:r>
    </w:p>
    <w:p>
      <w:pPr>
        <w:spacing w:after="0" w:line="116" w:lineRule="exact"/>
        <w:rPr>
          <w:rFonts w:ascii="Arial" w:cs="Arial" w:eastAsia="Arial" w:hAnsi="Arial"/>
          <w:sz w:val="18"/>
          <w:szCs w:val="18"/>
          <w:color w:val="auto"/>
        </w:rPr>
      </w:pPr>
    </w:p>
    <w:p>
      <w:pPr>
        <w:ind w:left="360" w:right="20" w:hanging="350"/>
        <w:spacing w:after="0" w:line="271"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because Adjusted EBITDA is a key measure of operational and financial performance, driven by our annual business plan; and</w:t>
      </w:r>
    </w:p>
    <w:p>
      <w:pPr>
        <w:spacing w:after="0" w:line="86" w:lineRule="exact"/>
        <w:rPr>
          <w:rFonts w:ascii="Arial" w:cs="Arial" w:eastAsia="Arial" w:hAnsi="Arial"/>
          <w:sz w:val="18"/>
          <w:szCs w:val="18"/>
          <w:color w:val="auto"/>
        </w:rPr>
      </w:pPr>
    </w:p>
    <w:p>
      <w:pPr>
        <w:ind w:left="360" w:hanging="350"/>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given the fact that Adjusted EBITDA has been strongly correlated to the Company’s long-term stock price performance.</w:t>
      </w:r>
    </w:p>
    <w:p>
      <w:pPr>
        <w:spacing w:after="0" w:line="144"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Adjusted EBITDA goals included in the 2022 AIP (the “AIP Adjusted EBITDA Goals”) as shown below were set based on the Company’s 2022 business plan approved by the Board at the end of 2021 (the “Business Plan”). At the time the Business Plan was approved, the Company’s outlook was difficult to predict given the state of pandemic, including the emergence of the Omicron variant in November 2021. As a result, at target, the global Adjusted EBITDA goal of $1.65 billion represented a decrease compared to 2021 results, but also represented a significant increase over pre-pandemic Adjusted EBITDA, which for 2019 was $788 million. At the threshold achievement level, the global Adjusted EBITDA goal was more than Adjusted EBITDA results for any year prior to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20" w:type="dxa"/>
            <w:vAlign w:val="bottom"/>
          </w:tcPr>
          <w:p>
            <w:pPr>
              <w:spacing w:after="0"/>
              <w:rPr>
                <w:sz w:val="16"/>
                <w:szCs w:val="16"/>
                <w:color w:val="auto"/>
              </w:rPr>
            </w:pPr>
          </w:p>
        </w:tc>
        <w:tc>
          <w:tcPr>
            <w:tcW w:w="2960" w:type="dxa"/>
            <w:vAlign w:val="bottom"/>
            <w:vMerge w:val="restart"/>
          </w:tcPr>
          <w:p>
            <w:pPr>
              <w:jc w:val="center"/>
              <w:ind w:left="199"/>
              <w:spacing w:after="0"/>
              <w:rPr>
                <w:sz w:val="20"/>
                <w:szCs w:val="20"/>
                <w:color w:val="auto"/>
              </w:rPr>
            </w:pPr>
            <w:r>
              <w:rPr>
                <w:rFonts w:ascii="Arial" w:cs="Arial" w:eastAsia="Arial" w:hAnsi="Arial"/>
                <w:sz w:val="16"/>
                <w:szCs w:val="16"/>
                <w:b w:val="1"/>
                <w:bCs w:val="1"/>
                <w:color w:val="auto"/>
              </w:rPr>
              <w:t>Opportunity</w:t>
            </w:r>
          </w:p>
        </w:tc>
        <w:tc>
          <w:tcPr>
            <w:tcW w:w="1520" w:type="dxa"/>
            <w:vAlign w:val="bottom"/>
          </w:tcPr>
          <w:p>
            <w:pPr>
              <w:spacing w:after="0"/>
              <w:rPr>
                <w:sz w:val="16"/>
                <w:szCs w:val="16"/>
                <w:color w:val="auto"/>
              </w:rPr>
            </w:pPr>
          </w:p>
        </w:tc>
        <w:tc>
          <w:tcPr>
            <w:tcW w:w="2640" w:type="dxa"/>
            <w:vAlign w:val="bottom"/>
          </w:tcPr>
          <w:p>
            <w:pPr>
              <w:jc w:val="center"/>
              <w:ind w:right="699"/>
              <w:spacing w:after="0"/>
              <w:rPr>
                <w:sz w:val="20"/>
                <w:szCs w:val="20"/>
                <w:color w:val="auto"/>
              </w:rPr>
            </w:pPr>
            <w:r>
              <w:rPr>
                <w:rFonts w:ascii="Arial" w:cs="Arial" w:eastAsia="Arial" w:hAnsi="Arial"/>
                <w:sz w:val="16"/>
                <w:szCs w:val="16"/>
                <w:b w:val="1"/>
                <w:bCs w:val="1"/>
                <w:color w:val="auto"/>
              </w:rPr>
              <w:t>Adjusted EBITDA Goals</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2640" w:type="dxa"/>
            <w:vAlign w:val="bottom"/>
          </w:tcPr>
          <w:p>
            <w:pPr>
              <w:jc w:val="center"/>
              <w:ind w:right="699"/>
              <w:spacing w:after="0" w:line="163" w:lineRule="exact"/>
              <w:rPr>
                <w:sz w:val="20"/>
                <w:szCs w:val="20"/>
                <w:color w:val="auto"/>
              </w:rPr>
            </w:pPr>
            <w:r>
              <w:rPr>
                <w:rFonts w:ascii="Arial" w:cs="Arial" w:eastAsia="Arial" w:hAnsi="Arial"/>
                <w:sz w:val="16"/>
                <w:szCs w:val="16"/>
                <w:b w:val="1"/>
                <w:bCs w:val="1"/>
                <w:color w:val="auto"/>
              </w:rPr>
              <w:t>(Dollars in millions)</w:t>
            </w: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2960" w:type="dxa"/>
            <w:vAlign w:val="bottom"/>
            <w:vMerge w:val="restart"/>
          </w:tcPr>
          <w:p>
            <w:pPr>
              <w:jc w:val="center"/>
              <w:ind w:left="239"/>
              <w:spacing w:after="0" w:line="175" w:lineRule="exact"/>
              <w:rPr>
                <w:sz w:val="20"/>
                <w:szCs w:val="20"/>
                <w:color w:val="auto"/>
              </w:rPr>
            </w:pPr>
            <w:r>
              <w:rPr>
                <w:rFonts w:ascii="Arial" w:cs="Arial" w:eastAsia="Arial" w:hAnsi="Arial"/>
                <w:sz w:val="16"/>
                <w:szCs w:val="16"/>
                <w:b w:val="1"/>
                <w:bCs w:val="1"/>
                <w:color w:val="auto"/>
              </w:rPr>
              <w:t>(% of</w:t>
            </w:r>
          </w:p>
        </w:tc>
        <w:tc>
          <w:tcPr>
            <w:tcW w:w="152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296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720" w:type="dxa"/>
            <w:vAlign w:val="bottom"/>
          </w:tcPr>
          <w:p>
            <w:pPr>
              <w:ind w:left="100"/>
              <w:spacing w:after="0"/>
              <w:rPr>
                <w:sz w:val="20"/>
                <w:szCs w:val="20"/>
                <w:color w:val="auto"/>
              </w:rPr>
            </w:pPr>
            <w:r>
              <w:rPr>
                <w:rFonts w:ascii="Arial" w:cs="Arial" w:eastAsia="Arial" w:hAnsi="Arial"/>
                <w:sz w:val="16"/>
                <w:szCs w:val="16"/>
                <w:b w:val="1"/>
                <w:bCs w:val="1"/>
                <w:color w:val="auto"/>
              </w:rPr>
              <w:t>Achievement Level</w:t>
            </w:r>
          </w:p>
        </w:tc>
        <w:tc>
          <w:tcPr>
            <w:tcW w:w="2960" w:type="dxa"/>
            <w:vAlign w:val="bottom"/>
          </w:tcPr>
          <w:p>
            <w:pPr>
              <w:jc w:val="center"/>
              <w:ind w:left="239"/>
              <w:spacing w:after="0"/>
              <w:rPr>
                <w:sz w:val="20"/>
                <w:szCs w:val="20"/>
                <w:color w:val="auto"/>
              </w:rPr>
            </w:pPr>
            <w:r>
              <w:rPr>
                <w:rFonts w:ascii="Arial" w:cs="Arial" w:eastAsia="Arial" w:hAnsi="Arial"/>
                <w:sz w:val="16"/>
                <w:szCs w:val="16"/>
                <w:b w:val="1"/>
                <w:bCs w:val="1"/>
                <w:color w:val="auto"/>
                <w:w w:val="99"/>
              </w:rPr>
              <w:t>Target)*</w:t>
            </w:r>
          </w:p>
        </w:tc>
        <w:tc>
          <w:tcPr>
            <w:tcW w:w="1520" w:type="dxa"/>
            <w:vAlign w:val="bottom"/>
          </w:tcPr>
          <w:p>
            <w:pPr>
              <w:jc w:val="center"/>
              <w:ind w:left="799"/>
              <w:spacing w:after="0"/>
              <w:rPr>
                <w:sz w:val="20"/>
                <w:szCs w:val="20"/>
                <w:color w:val="auto"/>
              </w:rPr>
            </w:pPr>
            <w:r>
              <w:rPr>
                <w:rFonts w:ascii="Arial" w:cs="Arial" w:eastAsia="Arial" w:hAnsi="Arial"/>
                <w:sz w:val="16"/>
                <w:szCs w:val="16"/>
                <w:b w:val="1"/>
                <w:bCs w:val="1"/>
                <w:color w:val="auto"/>
              </w:rPr>
              <w:t>Global**</w:t>
            </w:r>
          </w:p>
        </w:tc>
        <w:tc>
          <w:tcPr>
            <w:tcW w:w="2640" w:type="dxa"/>
            <w:vAlign w:val="bottom"/>
          </w:tcPr>
          <w:p>
            <w:pPr>
              <w:jc w:val="center"/>
              <w:ind w:left="1539"/>
              <w:spacing w:after="0"/>
              <w:rPr>
                <w:sz w:val="20"/>
                <w:szCs w:val="20"/>
                <w:color w:val="auto"/>
              </w:rPr>
            </w:pPr>
            <w:r>
              <w:rPr>
                <w:rFonts w:ascii="Arial" w:cs="Arial" w:eastAsia="Arial" w:hAnsi="Arial"/>
                <w:sz w:val="16"/>
                <w:szCs w:val="16"/>
                <w:b w:val="1"/>
                <w:bCs w:val="1"/>
                <w:color w:val="auto"/>
              </w:rPr>
              <w:t>Americas</w:t>
            </w:r>
          </w:p>
        </w:tc>
        <w:tc>
          <w:tcPr>
            <w:tcW w:w="0" w:type="dxa"/>
            <w:vAlign w:val="bottom"/>
          </w:tcPr>
          <w:p>
            <w:pPr>
              <w:spacing w:after="0"/>
              <w:rPr>
                <w:sz w:val="1"/>
                <w:szCs w:val="1"/>
                <w:color w:val="auto"/>
              </w:rPr>
            </w:pPr>
          </w:p>
        </w:tc>
      </w:tr>
      <w:tr>
        <w:trPr>
          <w:trHeight w:val="48"/>
        </w:trPr>
        <w:tc>
          <w:tcPr>
            <w:tcW w:w="272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72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6"/>
                <w:szCs w:val="16"/>
                <w:color w:val="auto"/>
              </w:rPr>
              <w:t>Maximum</w:t>
            </w:r>
          </w:p>
        </w:tc>
        <w:tc>
          <w:tcPr>
            <w:tcW w:w="2960" w:type="dxa"/>
            <w:vAlign w:val="bottom"/>
            <w:tcBorders>
              <w:bottom w:val="single" w:sz="8" w:color="CCCCCC"/>
            </w:tcBorders>
            <w:shd w:val="clear" w:color="auto" w:fill="CCCCCC"/>
          </w:tcPr>
          <w:p>
            <w:pPr>
              <w:jc w:val="right"/>
              <w:ind w:right="959"/>
              <w:spacing w:after="0"/>
              <w:rPr>
                <w:sz w:val="20"/>
                <w:szCs w:val="20"/>
                <w:color w:val="auto"/>
              </w:rPr>
            </w:pPr>
            <w:r>
              <w:rPr>
                <w:rFonts w:ascii="Arial" w:cs="Arial" w:eastAsia="Arial" w:hAnsi="Arial"/>
                <w:sz w:val="16"/>
                <w:szCs w:val="16"/>
                <w:color w:val="auto"/>
              </w:rPr>
              <w:t>150%</w:t>
            </w:r>
          </w:p>
        </w:tc>
        <w:tc>
          <w:tcPr>
            <w:tcW w:w="1520" w:type="dxa"/>
            <w:vAlign w:val="bottom"/>
            <w:tcBorders>
              <w:bottom w:val="single" w:sz="8" w:color="CCCCCC"/>
            </w:tcBorders>
            <w:shd w:val="clear" w:color="auto" w:fill="CCCCCC"/>
          </w:tcPr>
          <w:p>
            <w:pPr>
              <w:jc w:val="center"/>
              <w:ind w:left="799"/>
              <w:spacing w:after="0"/>
              <w:rPr>
                <w:sz w:val="20"/>
                <w:szCs w:val="20"/>
                <w:color w:val="auto"/>
              </w:rPr>
            </w:pPr>
            <w:r>
              <w:rPr>
                <w:rFonts w:ascii="Arial" w:cs="Arial" w:eastAsia="Arial" w:hAnsi="Arial"/>
                <w:sz w:val="16"/>
                <w:szCs w:val="16"/>
                <w:color w:val="auto"/>
                <w:w w:val="98"/>
              </w:rPr>
              <w:t>$2,150</w:t>
            </w:r>
          </w:p>
        </w:tc>
        <w:tc>
          <w:tcPr>
            <w:tcW w:w="2640" w:type="dxa"/>
            <w:vAlign w:val="bottom"/>
            <w:tcBorders>
              <w:bottom w:val="single" w:sz="8" w:color="CCCCCC"/>
            </w:tcBorders>
            <w:shd w:val="clear" w:color="auto" w:fill="CCCCCC"/>
          </w:tcPr>
          <w:p>
            <w:pPr>
              <w:jc w:val="center"/>
              <w:ind w:left="1539"/>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262"/>
        </w:trPr>
        <w:tc>
          <w:tcPr>
            <w:tcW w:w="27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Target</w:t>
            </w:r>
          </w:p>
        </w:tc>
        <w:tc>
          <w:tcPr>
            <w:tcW w:w="296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color w:val="auto"/>
              </w:rPr>
              <w:t>100%</w:t>
            </w:r>
          </w:p>
        </w:tc>
        <w:tc>
          <w:tcPr>
            <w:tcW w:w="1520" w:type="dxa"/>
            <w:vAlign w:val="bottom"/>
            <w:tcBorders>
              <w:top w:val="single" w:sz="8" w:color="auto"/>
            </w:tcBorders>
          </w:tcPr>
          <w:p>
            <w:pPr>
              <w:jc w:val="center"/>
              <w:ind w:left="799"/>
              <w:spacing w:after="0"/>
              <w:rPr>
                <w:sz w:val="20"/>
                <w:szCs w:val="20"/>
                <w:color w:val="auto"/>
              </w:rPr>
            </w:pPr>
            <w:r>
              <w:rPr>
                <w:rFonts w:ascii="Arial" w:cs="Arial" w:eastAsia="Arial" w:hAnsi="Arial"/>
                <w:sz w:val="16"/>
                <w:szCs w:val="16"/>
                <w:color w:val="auto"/>
                <w:w w:val="98"/>
              </w:rPr>
              <w:t>$1,650</w:t>
            </w:r>
          </w:p>
        </w:tc>
        <w:tc>
          <w:tcPr>
            <w:tcW w:w="2640" w:type="dxa"/>
            <w:vAlign w:val="bottom"/>
            <w:tcBorders>
              <w:top w:val="single" w:sz="8" w:color="auto"/>
            </w:tcBorders>
          </w:tcPr>
          <w:p>
            <w:pPr>
              <w:jc w:val="center"/>
              <w:ind w:left="1539"/>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56"/>
        </w:trPr>
        <w:tc>
          <w:tcPr>
            <w:tcW w:w="272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7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auto"/>
              </w:rPr>
              <w:t>Threshold</w:t>
            </w:r>
          </w:p>
        </w:tc>
        <w:tc>
          <w:tcPr>
            <w:tcW w:w="2960" w:type="dxa"/>
            <w:vAlign w:val="bottom"/>
            <w:tcBorders>
              <w:bottom w:val="single" w:sz="8" w:color="auto"/>
            </w:tcBorders>
            <w:shd w:val="clear" w:color="auto" w:fill="CCCCCC"/>
          </w:tcPr>
          <w:p>
            <w:pPr>
              <w:jc w:val="right"/>
              <w:ind w:right="959"/>
              <w:spacing w:after="0"/>
              <w:rPr>
                <w:sz w:val="20"/>
                <w:szCs w:val="20"/>
                <w:color w:val="auto"/>
              </w:rPr>
            </w:pPr>
            <w:r>
              <w:rPr>
                <w:rFonts w:ascii="Arial" w:cs="Arial" w:eastAsia="Arial" w:hAnsi="Arial"/>
                <w:sz w:val="16"/>
                <w:szCs w:val="16"/>
                <w:color w:val="auto"/>
              </w:rPr>
              <w:t>50%</w:t>
            </w:r>
          </w:p>
        </w:tc>
        <w:tc>
          <w:tcPr>
            <w:tcW w:w="1520" w:type="dxa"/>
            <w:vAlign w:val="bottom"/>
            <w:tcBorders>
              <w:bottom w:val="single" w:sz="8" w:color="auto"/>
            </w:tcBorders>
            <w:shd w:val="clear" w:color="auto" w:fill="CCCCCC"/>
          </w:tcPr>
          <w:p>
            <w:pPr>
              <w:jc w:val="center"/>
              <w:ind w:left="799"/>
              <w:spacing w:after="0"/>
              <w:rPr>
                <w:sz w:val="20"/>
                <w:szCs w:val="20"/>
                <w:color w:val="auto"/>
              </w:rPr>
            </w:pPr>
            <w:r>
              <w:rPr>
                <w:rFonts w:ascii="Arial" w:cs="Arial" w:eastAsia="Arial" w:hAnsi="Arial"/>
                <w:sz w:val="16"/>
                <w:szCs w:val="16"/>
                <w:color w:val="auto"/>
                <w:w w:val="98"/>
              </w:rPr>
              <w:t>$1,150</w:t>
            </w:r>
          </w:p>
        </w:tc>
        <w:tc>
          <w:tcPr>
            <w:tcW w:w="2640" w:type="dxa"/>
            <w:vAlign w:val="bottom"/>
            <w:tcBorders>
              <w:bottom w:val="single" w:sz="8" w:color="auto"/>
            </w:tcBorders>
            <w:shd w:val="clear" w:color="auto" w:fill="CCCCCC"/>
          </w:tcPr>
          <w:p>
            <w:pPr>
              <w:jc w:val="center"/>
              <w:ind w:left="1539"/>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 w:right="3340" w:hanging="10"/>
        <w:spacing w:after="0" w:line="305" w:lineRule="auto"/>
        <w:tabs>
          <w:tab w:leader="none" w:pos="371" w:val="left"/>
        </w:tabs>
        <w:numPr>
          <w:ilvl w:val="0"/>
          <w:numId w:val="29"/>
        </w:numPr>
        <w:rPr>
          <w:rFonts w:ascii="Arial" w:cs="Arial" w:eastAsia="Arial" w:hAnsi="Arial"/>
          <w:sz w:val="14"/>
          <w:szCs w:val="14"/>
          <w:color w:val="auto"/>
        </w:rPr>
      </w:pPr>
      <w:r>
        <w:rPr>
          <w:rFonts w:ascii="Arial" w:cs="Arial" w:eastAsia="Arial" w:hAnsi="Arial"/>
          <w:sz w:val="14"/>
          <w:szCs w:val="14"/>
          <w:color w:val="auto"/>
        </w:rPr>
        <w:t>Straight-line interpolation used to determine achievement between specified achievement levels. ** Includes unallocated corporate expenses.</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2022 AIP Performance Metrics and Goals – Individual Scorecard Component</w:t>
      </w:r>
    </w:p>
    <w:p>
      <w:pPr>
        <w:spacing w:after="0" w:line="142"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Consistent with 2021, to enhance the pay-for-performance nature of the 2022 AIP, an individual performance component, with a 50% weighting, was included to incorporate a broad set of goals which the Committee believed were important to our overall success and to each individual executive officer’s contributions to our business. The component is comprised of primarily quantitative financial and operational metrics, with measurable targets based on attainment of specific Business Plan goals and measured utilizing a “scorecard” approach. The achievement level of the individual scorecard goals is capped at 100% of target payout and subject to achievement of fixed cost goals set forth in the Business Plan. Scorecard achievement is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822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93" w:lineRule="exact"/>
        <w:rPr>
          <w:sz w:val="20"/>
          <w:szCs w:val="20"/>
          <w:color w:val="auto"/>
        </w:rPr>
      </w:pPr>
    </w:p>
    <w:p>
      <w:pPr>
        <w:jc w:val="both"/>
        <w:ind w:left="180" w:hanging="170"/>
        <w:spacing w:after="0" w:line="224" w:lineRule="auto"/>
        <w:tabs>
          <w:tab w:leader="none" w:pos="180" w:val="left"/>
        </w:tabs>
        <w:numPr>
          <w:ilvl w:val="0"/>
          <w:numId w:val="30"/>
        </w:numPr>
        <w:rPr>
          <w:rFonts w:ascii="Arial" w:cs="Arial" w:eastAsia="Arial" w:hAnsi="Arial"/>
          <w:sz w:val="22"/>
          <w:szCs w:val="22"/>
          <w:color w:val="auto"/>
          <w:vertAlign w:val="superscript"/>
        </w:rPr>
      </w:pPr>
      <w:r>
        <w:rPr>
          <w:rFonts w:ascii="Arial" w:cs="Arial" w:eastAsia="Arial" w:hAnsi="Arial"/>
          <w:sz w:val="14"/>
          <w:szCs w:val="14"/>
          <w:color w:val="auto"/>
        </w:rPr>
        <w:t>We define Adjusted EBITDA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fees, COVID-19 charges, net, other (income) expense, net and income taxes. This non-GAAP measure is a performance metric in our incentive programs.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multiplied by 0% to 150% based on achievement of AIP Adjusted EBITDA Goals (from Below-Threshold to Maximum) to further align individual performance with overall company performance. Accordingly, in order for an NEO to be eligible for any payout under this component Threshold AIP Adjusted EBITDA Goals must be met.</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Assuming attainment of fixed cost goals set forth in the Business Plan, the formula for determining the payout under the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Individual Scorecard Component is:</w:t>
      </w:r>
    </w:p>
    <w:p>
      <w:pPr>
        <w:sectPr>
          <w:pgSz w:w="11900" w:h="16838" w:orient="portrait"/>
          <w:cols w:equalWidth="0" w:num="1">
            <w:col w:w="9840"/>
          </w:cols>
          <w:pgMar w:left="1020" w:top="263" w:right="1039" w:bottom="1440" w:gutter="0" w:footer="0" w:header="0"/>
        </w:sectPr>
      </w:pPr>
    </w:p>
    <w:p>
      <w:pPr>
        <w:spacing w:after="0" w:line="2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i w:val="1"/>
          <w:iCs w:val="1"/>
          <w:color w:val="auto"/>
        </w:rPr>
        <w:t>Individual Scorecard Achievement (0% - 100%)</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i w:val="1"/>
          <w:iCs w:val="1"/>
          <w:color w:val="auto"/>
        </w:rPr>
        <w:t>X</w:t>
        <w:tab/>
        <w:t>Achievement of AIP Adjusted EBITDA Goals</w:t>
      </w:r>
    </w:p>
    <w:p>
      <w:pPr>
        <w:ind w:left="120"/>
        <w:spacing w:after="0"/>
        <w:tabs>
          <w:tab w:leader="none" w:pos="2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8"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(0% - 150%)</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416" w:lineRule="exact"/>
        <w:rPr>
          <w:sz w:val="20"/>
          <w:szCs w:val="20"/>
          <w:color w:val="auto"/>
        </w:rPr>
      </w:pPr>
    </w:p>
    <w:p>
      <w:pPr>
        <w:sectPr>
          <w:pgSz w:w="11900" w:h="16838" w:orient="portrait"/>
          <w:cols w:equalWidth="0" w:num="5">
            <w:col w:w="1180" w:space="300"/>
            <w:col w:w="2720" w:space="260"/>
            <w:col w:w="120" w:space="100"/>
            <w:col w:w="3920" w:space="20"/>
            <w:col w:w="1220"/>
          </w:cols>
          <w:pgMar w:left="1020" w:top="263" w:right="1039" w:bottom="1440" w:gutter="0" w:footer="0" w:header="0"/>
          <w:type w:val="continuous"/>
        </w:sectPr>
      </w:pPr>
    </w:p>
    <w:p>
      <w:pPr>
        <w:jc w:val="both"/>
        <w:ind w:left="20"/>
        <w:spacing w:after="0" w:line="253" w:lineRule="auto"/>
        <w:rPr>
          <w:sz w:val="20"/>
          <w:szCs w:val="20"/>
          <w:color w:val="auto"/>
        </w:rPr>
      </w:pPr>
      <w:r>
        <w:rPr>
          <w:rFonts w:ascii="Arial" w:cs="Arial" w:eastAsia="Arial" w:hAnsi="Arial"/>
          <w:sz w:val="18"/>
          <w:szCs w:val="18"/>
          <w:color w:val="auto"/>
        </w:rPr>
        <w:t>For example, if an NEO had achieved a score of 100% of target on his or her individual scorecard but Adjusted EBITDA was below the threshold achievement level (e.g., $1.0 billion), then the NEO would not have received any payout under the 2022 AIP, including under the individual scorecard component.</w:t>
      </w:r>
    </w:p>
    <w:p>
      <w:pPr>
        <w:spacing w:after="0" w:line="101"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Committee established individual performance metrics and goals for each NEO’s scorecard based on key objectives in support of the Business Plan and the Company’s overall strategy. Individual performance metrics for our CEO included, among others, revenue and improved customer satisfaction, with 100% being quantitative. The substantial majority of scorecard metrics and goals for our NEOs were quantitative with a limited percentage being qualitative but still based on achievement of specific objectives.</w:t>
      </w:r>
    </w:p>
    <w:p>
      <w:pPr>
        <w:spacing w:after="0" w:line="149"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Set forth below is an illustrative example of a scorecard; however it does not represent the actual scorecard of any of our NEOs.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Illustrative Scorecard Example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880" w:type="dxa"/>
            <w:vAlign w:val="bottom"/>
            <w:tcBorders>
              <w:top w:val="single" w:sz="8" w:color="auto"/>
              <w:bottom w:val="single" w:sz="8" w:color="CCCCCC"/>
              <w:right w:val="single" w:sz="8" w:color="auto"/>
            </w:tcBorders>
            <w:shd w:val="clear" w:color="auto" w:fill="CCCCCC"/>
          </w:tcPr>
          <w:p>
            <w:pPr>
              <w:ind w:left="100"/>
              <w:spacing w:after="0"/>
              <w:rPr>
                <w:sz w:val="20"/>
                <w:szCs w:val="20"/>
                <w:color w:val="auto"/>
              </w:rPr>
            </w:pPr>
            <w:r>
              <w:rPr>
                <w:rFonts w:ascii="Arial" w:cs="Arial" w:eastAsia="Arial" w:hAnsi="Arial"/>
                <w:sz w:val="14"/>
                <w:szCs w:val="14"/>
                <w:b w:val="1"/>
                <w:bCs w:val="1"/>
                <w:color w:val="auto"/>
              </w:rPr>
              <w:t>Weight</w:t>
            </w:r>
          </w:p>
        </w:tc>
        <w:tc>
          <w:tcPr>
            <w:tcW w:w="1840" w:type="dxa"/>
            <w:vAlign w:val="bottom"/>
            <w:tcBorders>
              <w:top w:val="single" w:sz="8" w:color="auto"/>
              <w:bottom w:val="single" w:sz="8" w:color="CCCCCC"/>
              <w:right w:val="single" w:sz="8" w:color="auto"/>
            </w:tcBorders>
            <w:shd w:val="clear" w:color="auto" w:fill="CCCCCC"/>
          </w:tcPr>
          <w:p>
            <w:pPr>
              <w:ind w:left="700"/>
              <w:spacing w:after="0"/>
              <w:rPr>
                <w:sz w:val="20"/>
                <w:szCs w:val="20"/>
                <w:color w:val="auto"/>
              </w:rPr>
            </w:pPr>
            <w:r>
              <w:rPr>
                <w:rFonts w:ascii="Arial" w:cs="Arial" w:eastAsia="Arial" w:hAnsi="Arial"/>
                <w:sz w:val="14"/>
                <w:szCs w:val="14"/>
                <w:b w:val="1"/>
                <w:bCs w:val="1"/>
                <w:color w:val="auto"/>
              </w:rPr>
              <w:t>Metric</w:t>
            </w:r>
          </w:p>
        </w:tc>
        <w:tc>
          <w:tcPr>
            <w:tcW w:w="2280" w:type="dxa"/>
            <w:vAlign w:val="bottom"/>
            <w:tcBorders>
              <w:top w:val="single" w:sz="8" w:color="auto"/>
              <w:bottom w:val="single" w:sz="8" w:color="CCCCCC"/>
              <w:right w:val="single" w:sz="8" w:color="auto"/>
            </w:tcBorders>
            <w:shd w:val="clear" w:color="auto" w:fill="CCCCCC"/>
          </w:tcPr>
          <w:p>
            <w:pPr>
              <w:ind w:left="200"/>
              <w:spacing w:after="0"/>
              <w:rPr>
                <w:sz w:val="20"/>
                <w:szCs w:val="20"/>
                <w:color w:val="auto"/>
              </w:rPr>
            </w:pPr>
            <w:r>
              <w:rPr>
                <w:rFonts w:ascii="Arial" w:cs="Arial" w:eastAsia="Arial" w:hAnsi="Arial"/>
                <w:sz w:val="14"/>
                <w:szCs w:val="14"/>
                <w:b w:val="1"/>
                <w:bCs w:val="1"/>
                <w:color w:val="auto"/>
              </w:rPr>
              <w:t>Key Performance Indicator</w:t>
            </w:r>
          </w:p>
        </w:tc>
        <w:tc>
          <w:tcPr>
            <w:tcW w:w="3360" w:type="dxa"/>
            <w:vAlign w:val="bottom"/>
            <w:tcBorders>
              <w:top w:val="single" w:sz="8" w:color="auto"/>
              <w:bottom w:val="single" w:sz="8" w:color="CCCCCC"/>
              <w:right w:val="single" w:sz="8" w:color="auto"/>
            </w:tcBorders>
            <w:shd w:val="clear" w:color="auto" w:fill="CCCCCC"/>
          </w:tcPr>
          <w:p>
            <w:pPr>
              <w:ind w:left="1500"/>
              <w:spacing w:after="0"/>
              <w:rPr>
                <w:sz w:val="20"/>
                <w:szCs w:val="20"/>
                <w:color w:val="auto"/>
              </w:rPr>
            </w:pPr>
            <w:r>
              <w:rPr>
                <w:rFonts w:ascii="Arial" w:cs="Arial" w:eastAsia="Arial" w:hAnsi="Arial"/>
                <w:sz w:val="14"/>
                <w:szCs w:val="14"/>
                <w:b w:val="1"/>
                <w:bCs w:val="1"/>
                <w:color w:val="auto"/>
              </w:rPr>
              <w:t>Goal</w:t>
            </w:r>
          </w:p>
        </w:tc>
        <w:tc>
          <w:tcPr>
            <w:tcW w:w="1480" w:type="dxa"/>
            <w:vAlign w:val="bottom"/>
            <w:tcBorders>
              <w:top w:val="single" w:sz="8" w:color="auto"/>
              <w:bottom w:val="single" w:sz="8" w:color="CCCCCC"/>
            </w:tcBorders>
            <w:shd w:val="clear" w:color="auto" w:fill="CCCCCC"/>
          </w:tcPr>
          <w:p>
            <w:pPr>
              <w:ind w:left="200"/>
              <w:spacing w:after="0"/>
              <w:rPr>
                <w:sz w:val="20"/>
                <w:szCs w:val="20"/>
                <w:color w:val="auto"/>
              </w:rPr>
            </w:pPr>
            <w:r>
              <w:rPr>
                <w:rFonts w:ascii="Arial" w:cs="Arial" w:eastAsia="Arial" w:hAnsi="Arial"/>
                <w:sz w:val="14"/>
                <w:szCs w:val="14"/>
                <w:b w:val="1"/>
                <w:bCs w:val="1"/>
                <w:color w:val="auto"/>
              </w:rPr>
              <w:t>Type of Measure</w:t>
            </w:r>
          </w:p>
        </w:tc>
      </w:tr>
      <w:tr>
        <w:trPr>
          <w:trHeight w:val="336"/>
        </w:trPr>
        <w:tc>
          <w:tcPr>
            <w:tcW w:w="8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~90%</w:t>
            </w:r>
          </w:p>
        </w:tc>
        <w:tc>
          <w:tcPr>
            <w:tcW w:w="1840" w:type="dxa"/>
            <w:vAlign w:val="bottom"/>
            <w:tcBorders>
              <w:top w:val="single" w:sz="8" w:color="auto"/>
              <w:bottom w:val="single" w:sz="8" w:color="F2F2F2"/>
              <w:right w:val="single" w:sz="8" w:color="auto"/>
            </w:tcBorders>
            <w:shd w:val="clear" w:color="auto" w:fill="F2F2F2"/>
          </w:tcPr>
          <w:p>
            <w:pPr>
              <w:ind w:left="80"/>
              <w:spacing w:after="0"/>
              <w:rPr>
                <w:sz w:val="20"/>
                <w:szCs w:val="20"/>
                <w:color w:val="auto"/>
              </w:rPr>
            </w:pPr>
            <w:r>
              <w:rPr>
                <w:rFonts w:ascii="Arial" w:cs="Arial" w:eastAsia="Arial" w:hAnsi="Arial"/>
                <w:sz w:val="18"/>
                <w:szCs w:val="18"/>
                <w:color w:val="auto"/>
              </w:rPr>
              <w:t>Revenue Growth</w:t>
            </w:r>
          </w:p>
        </w:tc>
        <w:tc>
          <w:tcPr>
            <w:tcW w:w="2280" w:type="dxa"/>
            <w:vAlign w:val="bottom"/>
            <w:tcBorders>
              <w:top w:val="single" w:sz="8" w:color="auto"/>
              <w:bottom w:val="single" w:sz="8" w:color="F2F2F2"/>
              <w:right w:val="single" w:sz="8" w:color="auto"/>
            </w:tcBorders>
            <w:shd w:val="clear" w:color="auto" w:fill="F2F2F2"/>
          </w:tcPr>
          <w:p>
            <w:pPr>
              <w:ind w:left="100"/>
              <w:spacing w:after="0"/>
              <w:rPr>
                <w:sz w:val="20"/>
                <w:szCs w:val="20"/>
                <w:color w:val="auto"/>
              </w:rPr>
            </w:pPr>
            <w:r>
              <w:rPr>
                <w:rFonts w:ascii="Arial" w:cs="Arial" w:eastAsia="Arial" w:hAnsi="Arial"/>
                <w:sz w:val="18"/>
                <w:szCs w:val="18"/>
                <w:color w:val="auto"/>
              </w:rPr>
              <w:t>Total Revenue</w:t>
            </w:r>
          </w:p>
        </w:tc>
        <w:tc>
          <w:tcPr>
            <w:tcW w:w="33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Based on Business Plan</w:t>
            </w:r>
          </w:p>
        </w:tc>
        <w:tc>
          <w:tcPr>
            <w:tcW w:w="1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Quantitative</w:t>
            </w:r>
          </w:p>
        </w:tc>
      </w:tr>
      <w:tr>
        <w:trPr>
          <w:trHeight w:val="281"/>
        </w:trPr>
        <w:tc>
          <w:tcPr>
            <w:tcW w:w="880" w:type="dxa"/>
            <w:vAlign w:val="bottom"/>
            <w:tcBorders>
              <w:right w:val="single" w:sz="8" w:color="auto"/>
            </w:tcBorders>
          </w:tcPr>
          <w:p>
            <w:pPr>
              <w:spacing w:after="0"/>
              <w:rPr>
                <w:sz w:val="24"/>
                <w:szCs w:val="24"/>
                <w:color w:val="auto"/>
              </w:rPr>
            </w:pPr>
          </w:p>
        </w:tc>
        <w:tc>
          <w:tcPr>
            <w:tcW w:w="1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Cost Control</w:t>
            </w:r>
          </w:p>
        </w:tc>
        <w:tc>
          <w:tcPr>
            <w:tcW w:w="22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Variable Costs</w:t>
            </w:r>
          </w:p>
        </w:tc>
        <w:tc>
          <w:tcPr>
            <w:tcW w:w="3360" w:type="dxa"/>
            <w:vAlign w:val="bottom"/>
            <w:tcBorders>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r>
      <w:tr>
        <w:trPr>
          <w:trHeight w:val="50"/>
        </w:trPr>
        <w:tc>
          <w:tcPr>
            <w:tcW w:w="880" w:type="dxa"/>
            <w:vAlign w:val="bottom"/>
            <w:tcBorders>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3360" w:type="dxa"/>
            <w:vAlign w:val="bottom"/>
            <w:tcBorders>
              <w:right w:val="single" w:sz="8" w:color="auto"/>
            </w:tcBorders>
          </w:tcPr>
          <w:p>
            <w:pPr>
              <w:spacing w:after="0"/>
              <w:rPr>
                <w:sz w:val="4"/>
                <w:szCs w:val="4"/>
                <w:color w:val="auto"/>
              </w:rPr>
            </w:pPr>
          </w:p>
        </w:tc>
        <w:tc>
          <w:tcPr>
            <w:tcW w:w="1480" w:type="dxa"/>
            <w:vAlign w:val="bottom"/>
          </w:tcPr>
          <w:p>
            <w:pPr>
              <w:spacing w:after="0"/>
              <w:rPr>
                <w:sz w:val="4"/>
                <w:szCs w:val="4"/>
                <w:color w:val="auto"/>
              </w:rPr>
            </w:pPr>
          </w:p>
        </w:tc>
      </w:tr>
      <w:tr>
        <w:trPr>
          <w:trHeight w:val="331"/>
        </w:trPr>
        <w:tc>
          <w:tcPr>
            <w:tcW w:w="880" w:type="dxa"/>
            <w:vAlign w:val="bottom"/>
            <w:tcBorders>
              <w:right w:val="single" w:sz="8" w:color="auto"/>
            </w:tcBorders>
          </w:tcPr>
          <w:p>
            <w:pPr>
              <w:spacing w:after="0"/>
              <w:rPr>
                <w:sz w:val="24"/>
                <w:szCs w:val="24"/>
                <w:color w:val="auto"/>
              </w:rPr>
            </w:pPr>
          </w:p>
        </w:tc>
        <w:tc>
          <w:tcPr>
            <w:tcW w:w="1840" w:type="dxa"/>
            <w:vAlign w:val="bottom"/>
            <w:tcBorders>
              <w:bottom w:val="single" w:sz="8" w:color="F2F2F2"/>
              <w:right w:val="single" w:sz="8" w:color="auto"/>
            </w:tcBorders>
            <w:shd w:val="clear" w:color="auto" w:fill="F2F2F2"/>
          </w:tcPr>
          <w:p>
            <w:pPr>
              <w:ind w:left="80"/>
              <w:spacing w:after="0"/>
              <w:rPr>
                <w:sz w:val="20"/>
                <w:szCs w:val="20"/>
                <w:color w:val="auto"/>
              </w:rPr>
            </w:pPr>
            <w:r>
              <w:rPr>
                <w:rFonts w:ascii="Arial" w:cs="Arial" w:eastAsia="Arial" w:hAnsi="Arial"/>
                <w:sz w:val="18"/>
                <w:szCs w:val="18"/>
                <w:color w:val="auto"/>
              </w:rPr>
              <w:t>Customer Service</w:t>
            </w:r>
          </w:p>
        </w:tc>
        <w:tc>
          <w:tcPr>
            <w:tcW w:w="2280" w:type="dxa"/>
            <w:vAlign w:val="bottom"/>
            <w:tcBorders>
              <w:bottom w:val="single" w:sz="8" w:color="F2F2F2"/>
              <w:right w:val="single" w:sz="8" w:color="auto"/>
            </w:tcBorders>
            <w:shd w:val="clear" w:color="auto" w:fill="F2F2F2"/>
          </w:tcPr>
          <w:p>
            <w:pPr>
              <w:ind w:left="100"/>
              <w:spacing w:after="0"/>
              <w:rPr>
                <w:sz w:val="20"/>
                <w:szCs w:val="20"/>
                <w:color w:val="auto"/>
              </w:rPr>
            </w:pPr>
            <w:r>
              <w:rPr>
                <w:rFonts w:ascii="Arial" w:cs="Arial" w:eastAsia="Arial" w:hAnsi="Arial"/>
                <w:sz w:val="18"/>
                <w:szCs w:val="18"/>
                <w:color w:val="auto"/>
              </w:rPr>
              <w:t>Net Promoter Score</w:t>
            </w:r>
          </w:p>
        </w:tc>
        <w:tc>
          <w:tcPr>
            <w:tcW w:w="3360" w:type="dxa"/>
            <w:vAlign w:val="bottom"/>
            <w:tcBorders>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r>
      <w:tr>
        <w:trPr>
          <w:trHeight w:val="281"/>
        </w:trPr>
        <w:tc>
          <w:tcPr>
            <w:tcW w:w="8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1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Other</w:t>
            </w:r>
          </w:p>
        </w:tc>
        <w:tc>
          <w:tcPr>
            <w:tcW w:w="22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Varies</w:t>
            </w:r>
          </w:p>
        </w:tc>
        <w:tc>
          <w:tcPr>
            <w:tcW w:w="33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Varies (i.e., completion, roll-out, etc.)</w:t>
            </w:r>
          </w:p>
        </w:tc>
        <w:tc>
          <w:tcPr>
            <w:tcW w:w="1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Qualitative</w:t>
            </w:r>
          </w:p>
        </w:tc>
      </w:tr>
      <w:tr>
        <w:trPr>
          <w:trHeight w:val="50"/>
        </w:trPr>
        <w:tc>
          <w:tcPr>
            <w:tcW w:w="88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6240780" cy="668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40780" cy="668655"/>
                    </a:xfrm>
                    <a:prstGeom prst="rect">
                      <a:avLst/>
                    </a:prstGeom>
                    <a:noFill/>
                  </pic:spPr>
                </pic:pic>
              </a:graphicData>
            </a:graphic>
          </wp:anchor>
        </w:drawing>
      </w:r>
    </w:p>
    <w:p>
      <w:pPr>
        <w:spacing w:after="0" w:line="29" w:lineRule="exact"/>
        <w:rPr>
          <w:sz w:val="20"/>
          <w:szCs w:val="20"/>
          <w:color w:val="auto"/>
        </w:rPr>
      </w:pPr>
    </w:p>
    <w:p>
      <w:pPr>
        <w:ind w:left="720" w:right="820" w:hanging="262"/>
        <w:spacing w:after="0" w:line="271" w:lineRule="auto"/>
        <w:rPr>
          <w:sz w:val="20"/>
          <w:szCs w:val="20"/>
          <w:color w:val="auto"/>
        </w:rPr>
      </w:pPr>
      <w:r>
        <w:rPr>
          <w:rFonts w:ascii="Arial" w:cs="Arial" w:eastAsia="Arial" w:hAnsi="Arial"/>
          <w:sz w:val="18"/>
          <w:szCs w:val="18"/>
          <w:color w:val="auto"/>
        </w:rPr>
        <w:t>•  Payout is subject to (1) adherence to fixed cost goals set forth in the Business Plan and (2) attainment of Threshold AIP Adjusted EBITDA Goals</w:t>
      </w:r>
    </w:p>
    <w:p>
      <w:pPr>
        <w:spacing w:after="0" w:line="73" w:lineRule="exact"/>
        <w:rPr>
          <w:sz w:val="20"/>
          <w:szCs w:val="20"/>
          <w:color w:val="auto"/>
        </w:rPr>
      </w:pPr>
    </w:p>
    <w:p>
      <w:pPr>
        <w:ind w:left="720" w:right="80" w:hanging="262"/>
        <w:spacing w:after="0" w:line="271" w:lineRule="auto"/>
        <w:rPr>
          <w:sz w:val="20"/>
          <w:szCs w:val="20"/>
          <w:color w:val="auto"/>
        </w:rPr>
      </w:pPr>
      <w:r>
        <w:rPr>
          <w:rFonts w:ascii="Arial" w:cs="Arial" w:eastAsia="Arial" w:hAnsi="Arial"/>
          <w:sz w:val="18"/>
          <w:szCs w:val="18"/>
          <w:color w:val="auto"/>
        </w:rPr>
        <w:t>•  Achievement of total scorecard goals is capped at 100% of target, with the result multiplied by 0%-150% based on attainment of AIP Adjusted EBITDA Goals (from Below-Threshold to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62407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2022 AIP Results and Payouts</w:t>
      </w:r>
    </w:p>
    <w:p>
      <w:pPr>
        <w:spacing w:after="0" w:line="129"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Payouts under the Adjusted EBITDA component of the 2022 AIP were 150% of target, reflecting the Company’s attainment of total Adjusted EBITDA of $4.1 billion, including Adjusted EBITDA of $3.7 billion for the Americas segment, which exceeded the Maximum AIP Adjusted EBITDA Goals. Payouts under the Individual Component were based on scorecard results multiplied by attainment of the applicable AIP Adjusted EBITDA Goals and reflected that each NEO adhered to fixed cost goals. For example, for the CEO, the Individual Component of the scorecard was determined based on a quantitative assessment of the scorecard factors, including robust revenue growth, cost control and improved net promoter scores, for a score of 86 out of 100 points. Accordingly, actual payouts under the 2022 AIP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2"/>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w w:val="97"/>
              </w:rPr>
              <w:t>EBITDA</w:t>
            </w:r>
            <w:r>
              <w:rPr>
                <w:rFonts w:ascii="Arial" w:cs="Arial" w:eastAsia="Arial" w:hAnsi="Arial"/>
                <w:sz w:val="22"/>
                <w:szCs w:val="22"/>
                <w:b w:val="1"/>
                <w:bCs w:val="1"/>
                <w:color w:val="auto"/>
                <w:w w:val="97"/>
                <w:vertAlign w:val="superscript"/>
              </w:rPr>
              <w:t>(1)</w:t>
            </w:r>
          </w:p>
        </w:tc>
        <w:tc>
          <w:tcPr>
            <w:tcW w:w="8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2"/>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Component</w:t>
            </w:r>
          </w:p>
        </w:tc>
        <w:tc>
          <w:tcPr>
            <w:tcW w:w="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1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Base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Target (%</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Payout %</w:t>
            </w:r>
          </w:p>
        </w:tc>
        <w:tc>
          <w:tcPr>
            <w:tcW w:w="8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Individual Scorecard</w:t>
            </w:r>
          </w:p>
        </w:tc>
        <w:tc>
          <w:tcPr>
            <w:tcW w:w="8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1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of Base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(50%</w:t>
            </w:r>
          </w:p>
        </w:tc>
        <w:tc>
          <w:tcPr>
            <w:tcW w:w="8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Component</w:t>
            </w:r>
          </w:p>
        </w:tc>
        <w:tc>
          <w:tcPr>
            <w:tcW w:w="84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Payout</w:t>
            </w: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rPr>
              <w:t>Payout</w:t>
            </w:r>
          </w:p>
        </w:tc>
      </w:tr>
      <w:tr>
        <w:trPr>
          <w:trHeight w:val="196"/>
        </w:trPr>
        <w:tc>
          <w:tcPr>
            <w:tcW w:w="1200" w:type="dxa"/>
            <w:vAlign w:val="bottom"/>
          </w:tcPr>
          <w:p>
            <w:pPr>
              <w:ind w:left="80"/>
              <w:spacing w:after="0"/>
              <w:rPr>
                <w:sz w:val="20"/>
                <w:szCs w:val="20"/>
                <w:color w:val="auto"/>
              </w:rPr>
            </w:pPr>
            <w:r>
              <w:rPr>
                <w:rFonts w:ascii="Arial" w:cs="Arial" w:eastAsia="Arial" w:hAnsi="Arial"/>
                <w:sz w:val="14"/>
                <w:szCs w:val="14"/>
                <w:b w:val="1"/>
                <w:bCs w:val="1"/>
                <w:color w:val="auto"/>
              </w:rPr>
              <w:t>NEO</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Weight)</w:t>
            </w:r>
          </w:p>
        </w:tc>
        <w:tc>
          <w:tcPr>
            <w:tcW w:w="800" w:type="dxa"/>
            <w:vAlign w:val="bottom"/>
          </w:tcPr>
          <w:p>
            <w:pPr>
              <w:spacing w:after="0"/>
              <w:rPr>
                <w:sz w:val="17"/>
                <w:szCs w:val="17"/>
                <w:color w:val="auto"/>
              </w:rPr>
            </w:pPr>
          </w:p>
        </w:tc>
        <w:tc>
          <w:tcPr>
            <w:tcW w:w="1700" w:type="dxa"/>
            <w:vAlign w:val="bottom"/>
          </w:tcPr>
          <w:p>
            <w:pPr>
              <w:jc w:val="center"/>
              <w:ind w:left="48"/>
              <w:spacing w:after="0"/>
              <w:rPr>
                <w:sz w:val="20"/>
                <w:szCs w:val="20"/>
                <w:color w:val="auto"/>
              </w:rPr>
            </w:pPr>
            <w:r>
              <w:rPr>
                <w:rFonts w:ascii="Arial" w:cs="Arial" w:eastAsia="Arial" w:hAnsi="Arial"/>
                <w:sz w:val="14"/>
                <w:szCs w:val="14"/>
                <w:b w:val="1"/>
                <w:bCs w:val="1"/>
                <w:color w:val="auto"/>
              </w:rPr>
              <w:t>(50% Weight)</w:t>
            </w:r>
          </w:p>
        </w:tc>
        <w:tc>
          <w:tcPr>
            <w:tcW w:w="840" w:type="dxa"/>
            <w:vAlign w:val="bottom"/>
          </w:tcPr>
          <w:p>
            <w:pPr>
              <w:spacing w:after="0"/>
              <w:rPr>
                <w:sz w:val="17"/>
                <w:szCs w:val="17"/>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w:t>
            </w:r>
          </w:p>
        </w:tc>
      </w:tr>
      <w:tr>
        <w:trPr>
          <w:trHeight w:val="42"/>
        </w:trPr>
        <w:tc>
          <w:tcPr>
            <w:tcW w:w="1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4"/>
        </w:trPr>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00" w:type="dxa"/>
            <w:vAlign w:val="bottom"/>
          </w:tcPr>
          <w:p>
            <w:pPr>
              <w:jc w:val="right"/>
              <w:ind w:right="528"/>
              <w:spacing w:after="0"/>
              <w:rPr>
                <w:sz w:val="20"/>
                <w:szCs w:val="20"/>
                <w:color w:val="auto"/>
              </w:rPr>
            </w:pPr>
            <w:r>
              <w:rPr>
                <w:rFonts w:ascii="Arial" w:cs="Arial" w:eastAsia="Arial" w:hAnsi="Arial"/>
                <w:sz w:val="14"/>
                <w:szCs w:val="14"/>
                <w:b w:val="1"/>
                <w:bCs w:val="1"/>
                <w:color w:val="auto"/>
              </w:rPr>
              <w:t>Adjusted</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2"/>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Arial" w:cs="Arial" w:eastAsia="Arial" w:hAnsi="Arial"/>
                <w:sz w:val="14"/>
                <w:szCs w:val="14"/>
                <w:b w:val="1"/>
                <w:bCs w:val="1"/>
                <w:color w:val="auto"/>
              </w:rPr>
              <w:t>EBITDA</w:t>
            </w: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Payout</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jc w:val="center"/>
              <w:ind w:left="8"/>
              <w:spacing w:after="0"/>
              <w:rPr>
                <w:sz w:val="20"/>
                <w:szCs w:val="20"/>
                <w:color w:val="auto"/>
              </w:rPr>
            </w:pPr>
            <w:r>
              <w:rPr>
                <w:rFonts w:ascii="Arial" w:cs="Arial" w:eastAsia="Arial" w:hAnsi="Arial"/>
                <w:sz w:val="14"/>
                <w:szCs w:val="14"/>
                <w:b w:val="1"/>
                <w:bCs w:val="1"/>
                <w:color w:val="auto"/>
              </w:rPr>
              <w:t>Score</w:t>
            </w:r>
          </w:p>
        </w:tc>
        <w:tc>
          <w:tcPr>
            <w:tcW w:w="1700" w:type="dxa"/>
            <w:vAlign w:val="bottom"/>
          </w:tcPr>
          <w:p>
            <w:pPr>
              <w:jc w:val="right"/>
              <w:ind w:right="428"/>
              <w:spacing w:after="0"/>
              <w:rPr>
                <w:sz w:val="20"/>
                <w:szCs w:val="20"/>
                <w:color w:val="auto"/>
              </w:rPr>
            </w:pPr>
            <w:r>
              <w:rPr>
                <w:rFonts w:ascii="Arial" w:cs="Arial" w:eastAsia="Arial" w:hAnsi="Arial"/>
                <w:sz w:val="14"/>
                <w:szCs w:val="14"/>
                <w:b w:val="1"/>
                <w:bCs w:val="1"/>
                <w:color w:val="auto"/>
              </w:rPr>
              <w:t>Multiplier %</w:t>
            </w:r>
          </w:p>
        </w:tc>
        <w:tc>
          <w:tcPr>
            <w:tcW w:w="84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3"/>
        </w:trPr>
        <w:tc>
          <w:tcPr>
            <w:tcW w:w="1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95"/>
        </w:trPr>
        <w:tc>
          <w:tcPr>
            <w:tcW w:w="1200" w:type="dxa"/>
            <w:vAlign w:val="bottom"/>
            <w:tcBorders>
              <w:bottom w:val="single" w:sz="8" w:color="CCCCCC"/>
            </w:tcBorders>
            <w:shd w:val="clear" w:color="auto" w:fill="CCCCCC"/>
          </w:tcPr>
          <w:p>
            <w:pPr>
              <w:jc w:val="center"/>
              <w:ind w:right="68"/>
              <w:spacing w:after="0"/>
              <w:rPr>
                <w:sz w:val="20"/>
                <w:szCs w:val="20"/>
                <w:color w:val="auto"/>
              </w:rPr>
            </w:pPr>
            <w:r>
              <w:rPr>
                <w:rFonts w:ascii="Arial" w:cs="Arial" w:eastAsia="Arial" w:hAnsi="Arial"/>
                <w:sz w:val="14"/>
                <w:szCs w:val="14"/>
                <w:color w:val="auto"/>
                <w:w w:val="98"/>
              </w:rPr>
              <w:t>CEO</w:t>
            </w:r>
          </w:p>
        </w:tc>
        <w:tc>
          <w:tcPr>
            <w:tcW w:w="1080" w:type="dxa"/>
            <w:vAlign w:val="bottom"/>
            <w:tcBorders>
              <w:bottom w:val="single" w:sz="8" w:color="CCCCCC"/>
            </w:tcBorders>
            <w:shd w:val="clear" w:color="auto" w:fill="CCCCCC"/>
          </w:tcPr>
          <w:p>
            <w:pPr>
              <w:jc w:val="right"/>
              <w:ind w:right="148"/>
              <w:spacing w:after="0"/>
              <w:rPr>
                <w:sz w:val="20"/>
                <w:szCs w:val="20"/>
                <w:color w:val="auto"/>
              </w:rPr>
            </w:pPr>
            <w:r>
              <w:rPr>
                <w:rFonts w:ascii="Arial" w:cs="Arial" w:eastAsia="Arial" w:hAnsi="Arial"/>
                <w:sz w:val="14"/>
                <w:szCs w:val="14"/>
                <w:color w:val="auto"/>
              </w:rPr>
              <w:t>1,200,000</w:t>
            </w:r>
          </w:p>
        </w:tc>
        <w:tc>
          <w:tcPr>
            <w:tcW w:w="1100" w:type="dxa"/>
            <w:vAlign w:val="bottom"/>
            <w:tcBorders>
              <w:bottom w:val="single" w:sz="8" w:color="CCCCCC"/>
            </w:tcBorders>
            <w:shd w:val="clear" w:color="auto" w:fill="CCCCCC"/>
          </w:tcPr>
          <w:p>
            <w:pPr>
              <w:jc w:val="right"/>
              <w:ind w:right="228"/>
              <w:spacing w:after="0"/>
              <w:rPr>
                <w:sz w:val="20"/>
                <w:szCs w:val="20"/>
                <w:color w:val="auto"/>
              </w:rPr>
            </w:pPr>
            <w:r>
              <w:rPr>
                <w:rFonts w:ascii="Arial" w:cs="Arial" w:eastAsia="Arial" w:hAnsi="Arial"/>
                <w:sz w:val="14"/>
                <w:szCs w:val="14"/>
                <w:color w:val="auto"/>
              </w:rPr>
              <w:t>200%</w:t>
            </w:r>
          </w:p>
        </w:tc>
        <w:tc>
          <w:tcPr>
            <w:tcW w:w="1280" w:type="dxa"/>
            <w:vAlign w:val="bottom"/>
            <w:tcBorders>
              <w:bottom w:val="single" w:sz="8" w:color="CCCCCC"/>
            </w:tcBorders>
            <w:shd w:val="clear" w:color="auto" w:fill="CCCCCC"/>
          </w:tcPr>
          <w:p>
            <w:pPr>
              <w:jc w:val="right"/>
              <w:ind w:right="288"/>
              <w:spacing w:after="0"/>
              <w:rPr>
                <w:sz w:val="20"/>
                <w:szCs w:val="20"/>
                <w:color w:val="auto"/>
              </w:rPr>
            </w:pPr>
            <w:r>
              <w:rPr>
                <w:rFonts w:ascii="Arial" w:cs="Arial" w:eastAsia="Arial" w:hAnsi="Arial"/>
                <w:sz w:val="14"/>
                <w:szCs w:val="14"/>
                <w:color w:val="auto"/>
              </w:rPr>
              <w:t>150%</w:t>
            </w:r>
          </w:p>
        </w:tc>
        <w:tc>
          <w:tcPr>
            <w:tcW w:w="800" w:type="dxa"/>
            <w:vAlign w:val="bottom"/>
            <w:tcBorders>
              <w:bottom w:val="single" w:sz="8" w:color="CCCCCC"/>
            </w:tcBorders>
            <w:shd w:val="clear" w:color="auto" w:fill="CCCCCC"/>
          </w:tcPr>
          <w:p>
            <w:pPr>
              <w:jc w:val="center"/>
              <w:ind w:left="8"/>
              <w:spacing w:after="0"/>
              <w:rPr>
                <w:sz w:val="20"/>
                <w:szCs w:val="20"/>
                <w:color w:val="auto"/>
              </w:rPr>
            </w:pPr>
            <w:r>
              <w:rPr>
                <w:rFonts w:ascii="Arial" w:cs="Arial" w:eastAsia="Arial" w:hAnsi="Arial"/>
                <w:sz w:val="14"/>
                <w:szCs w:val="14"/>
                <w:color w:val="auto"/>
              </w:rPr>
              <w:t>86</w:t>
            </w:r>
          </w:p>
        </w:tc>
        <w:tc>
          <w:tcPr>
            <w:tcW w:w="1700" w:type="dxa"/>
            <w:vAlign w:val="bottom"/>
            <w:tcBorders>
              <w:bottom w:val="single" w:sz="8" w:color="CCCCCC"/>
            </w:tcBorders>
            <w:shd w:val="clear" w:color="auto" w:fill="CCCCCC"/>
          </w:tcPr>
          <w:p>
            <w:pPr>
              <w:jc w:val="right"/>
              <w:ind w:right="588"/>
              <w:spacing w:after="0"/>
              <w:rPr>
                <w:sz w:val="20"/>
                <w:szCs w:val="20"/>
                <w:color w:val="auto"/>
              </w:rPr>
            </w:pPr>
            <w:r>
              <w:rPr>
                <w:rFonts w:ascii="Arial" w:cs="Arial" w:eastAsia="Arial" w:hAnsi="Arial"/>
                <w:sz w:val="14"/>
                <w:szCs w:val="14"/>
                <w:color w:val="auto"/>
              </w:rPr>
              <w:t>150%</w:t>
            </w:r>
          </w:p>
        </w:tc>
        <w:tc>
          <w:tcPr>
            <w:tcW w:w="840" w:type="dxa"/>
            <w:vAlign w:val="bottom"/>
            <w:tcBorders>
              <w:bottom w:val="single" w:sz="8" w:color="CCCCCC"/>
            </w:tcBorders>
            <w:shd w:val="clear" w:color="auto" w:fill="CCCCCC"/>
          </w:tcPr>
          <w:p>
            <w:pPr>
              <w:jc w:val="right"/>
              <w:ind w:right="168"/>
              <w:spacing w:after="0"/>
              <w:rPr>
                <w:sz w:val="20"/>
                <w:szCs w:val="20"/>
                <w:color w:val="auto"/>
              </w:rPr>
            </w:pPr>
            <w:r>
              <w:rPr>
                <w:rFonts w:ascii="Arial" w:cs="Arial" w:eastAsia="Arial" w:hAnsi="Arial"/>
                <w:sz w:val="14"/>
                <w:szCs w:val="14"/>
                <w:color w:val="auto"/>
              </w:rPr>
              <w:t>129%</w:t>
            </w:r>
          </w:p>
        </w:tc>
        <w:tc>
          <w:tcPr>
            <w:tcW w:w="92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140%</w:t>
            </w:r>
          </w:p>
        </w:tc>
        <w:tc>
          <w:tcPr>
            <w:tcW w:w="920" w:type="dxa"/>
            <w:vAlign w:val="bottom"/>
            <w:tcBorders>
              <w:bottom w:val="single" w:sz="8" w:color="CCCCCC"/>
            </w:tcBorders>
            <w:shd w:val="clear" w:color="auto" w:fill="CCCCCC"/>
          </w:tcPr>
          <w:p>
            <w:pPr>
              <w:jc w:val="center"/>
              <w:ind w:left="88"/>
              <w:spacing w:after="0"/>
              <w:rPr>
                <w:sz w:val="20"/>
                <w:szCs w:val="20"/>
                <w:color w:val="auto"/>
              </w:rPr>
            </w:pPr>
            <w:r>
              <w:rPr>
                <w:rFonts w:ascii="Arial" w:cs="Arial" w:eastAsia="Arial" w:hAnsi="Arial"/>
                <w:sz w:val="14"/>
                <w:szCs w:val="14"/>
                <w:color w:val="auto"/>
              </w:rPr>
              <w:t>3,348,000</w:t>
            </w:r>
          </w:p>
        </w:tc>
      </w:tr>
      <w:tr>
        <w:trPr>
          <w:trHeight w:val="242"/>
        </w:trPr>
        <w:tc>
          <w:tcPr>
            <w:tcW w:w="1200" w:type="dxa"/>
            <w:vAlign w:val="bottom"/>
            <w:tcBorders>
              <w:top w:val="single" w:sz="8" w:color="auto"/>
            </w:tcBorders>
          </w:tcPr>
          <w:p>
            <w:pPr>
              <w:jc w:val="center"/>
              <w:ind w:right="68"/>
              <w:spacing w:after="0"/>
              <w:rPr>
                <w:sz w:val="20"/>
                <w:szCs w:val="20"/>
                <w:color w:val="auto"/>
              </w:rPr>
            </w:pPr>
            <w:r>
              <w:rPr>
                <w:rFonts w:ascii="Arial" w:cs="Arial" w:eastAsia="Arial" w:hAnsi="Arial"/>
                <w:sz w:val="14"/>
                <w:szCs w:val="14"/>
                <w:color w:val="auto"/>
              </w:rPr>
              <w:t>CFO</w:t>
            </w:r>
          </w:p>
        </w:tc>
        <w:tc>
          <w:tcPr>
            <w:tcW w:w="108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600,000</w:t>
            </w:r>
          </w:p>
        </w:tc>
        <w:tc>
          <w:tcPr>
            <w:tcW w:w="11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125%</w:t>
            </w: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150%</w:t>
            </w:r>
          </w:p>
        </w:tc>
        <w:tc>
          <w:tcPr>
            <w:tcW w:w="80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color w:val="auto"/>
              </w:rPr>
              <w:t>88</w:t>
            </w:r>
          </w:p>
        </w:tc>
        <w:tc>
          <w:tcPr>
            <w:tcW w:w="170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rPr>
              <w:t>150%</w:t>
            </w:r>
          </w:p>
        </w:tc>
        <w:tc>
          <w:tcPr>
            <w:tcW w:w="8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132%</w:t>
            </w: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141%</w:t>
            </w:r>
          </w:p>
        </w:tc>
        <w:tc>
          <w:tcPr>
            <w:tcW w:w="920" w:type="dxa"/>
            <w:vAlign w:val="bottom"/>
            <w:tcBorders>
              <w:top w:val="single" w:sz="8" w:color="auto"/>
            </w:tcBorders>
          </w:tcPr>
          <w:p>
            <w:pPr>
              <w:jc w:val="center"/>
              <w:ind w:left="88"/>
              <w:spacing w:after="0"/>
              <w:rPr>
                <w:sz w:val="20"/>
                <w:szCs w:val="20"/>
                <w:color w:val="auto"/>
              </w:rPr>
            </w:pPr>
            <w:r>
              <w:rPr>
                <w:rFonts w:ascii="Arial" w:cs="Arial" w:eastAsia="Arial" w:hAnsi="Arial"/>
                <w:sz w:val="14"/>
                <w:szCs w:val="14"/>
                <w:color w:val="auto"/>
              </w:rPr>
              <w:t>1,057,500</w:t>
            </w:r>
          </w:p>
        </w:tc>
      </w:tr>
      <w:tr>
        <w:trPr>
          <w:trHeight w:val="49"/>
        </w:trPr>
        <w:tc>
          <w:tcPr>
            <w:tcW w:w="1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1"/>
        </w:trPr>
        <w:tc>
          <w:tcPr>
            <w:tcW w:w="1200" w:type="dxa"/>
            <w:vAlign w:val="bottom"/>
            <w:shd w:val="clear" w:color="auto" w:fill="CCCCCC"/>
          </w:tcPr>
          <w:p>
            <w:pPr>
              <w:jc w:val="center"/>
              <w:ind w:right="108"/>
              <w:spacing w:after="0"/>
              <w:rPr>
                <w:sz w:val="20"/>
                <w:szCs w:val="20"/>
                <w:color w:val="auto"/>
              </w:rPr>
            </w:pPr>
            <w:r>
              <w:rPr>
                <w:rFonts w:ascii="Arial" w:cs="Arial" w:eastAsia="Arial" w:hAnsi="Arial"/>
                <w:sz w:val="14"/>
                <w:szCs w:val="14"/>
                <w:color w:val="auto"/>
              </w:rPr>
              <w:t>Chief Digital</w:t>
            </w:r>
          </w:p>
        </w:tc>
        <w:tc>
          <w:tcPr>
            <w:tcW w:w="108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252,055</w:t>
            </w:r>
          </w:p>
        </w:tc>
        <w:tc>
          <w:tcPr>
            <w:tcW w:w="110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120%</w:t>
            </w:r>
          </w:p>
        </w:tc>
        <w:tc>
          <w:tcPr>
            <w:tcW w:w="1280" w:type="dxa"/>
            <w:vAlign w:val="bottom"/>
            <w:shd w:val="clear" w:color="auto" w:fill="CCCCCC"/>
          </w:tcPr>
          <w:p>
            <w:pPr>
              <w:jc w:val="right"/>
              <w:ind w:right="288"/>
              <w:spacing w:after="0"/>
              <w:rPr>
                <w:sz w:val="20"/>
                <w:szCs w:val="20"/>
                <w:color w:val="auto"/>
              </w:rPr>
            </w:pPr>
            <w:r>
              <w:rPr>
                <w:rFonts w:ascii="Arial" w:cs="Arial" w:eastAsia="Arial" w:hAnsi="Arial"/>
                <w:sz w:val="14"/>
                <w:szCs w:val="14"/>
                <w:color w:val="auto"/>
              </w:rPr>
              <w:t>150%</w:t>
            </w:r>
          </w:p>
        </w:tc>
        <w:tc>
          <w:tcPr>
            <w:tcW w:w="800" w:type="dxa"/>
            <w:vAlign w:val="bottom"/>
            <w:shd w:val="clear" w:color="auto" w:fill="CCCCCC"/>
          </w:tcPr>
          <w:p>
            <w:pPr>
              <w:jc w:val="center"/>
              <w:ind w:left="8"/>
              <w:spacing w:after="0"/>
              <w:rPr>
                <w:sz w:val="20"/>
                <w:szCs w:val="20"/>
                <w:color w:val="auto"/>
              </w:rPr>
            </w:pPr>
            <w:r>
              <w:rPr>
                <w:rFonts w:ascii="Arial" w:cs="Arial" w:eastAsia="Arial" w:hAnsi="Arial"/>
                <w:sz w:val="14"/>
                <w:szCs w:val="14"/>
                <w:color w:val="auto"/>
              </w:rPr>
              <w:t>86</w:t>
            </w:r>
          </w:p>
        </w:tc>
        <w:tc>
          <w:tcPr>
            <w:tcW w:w="1700" w:type="dxa"/>
            <w:vAlign w:val="bottom"/>
            <w:shd w:val="clear" w:color="auto" w:fill="CCCCCC"/>
          </w:tcPr>
          <w:p>
            <w:pPr>
              <w:jc w:val="right"/>
              <w:ind w:right="588"/>
              <w:spacing w:after="0"/>
              <w:rPr>
                <w:sz w:val="20"/>
                <w:szCs w:val="20"/>
                <w:color w:val="auto"/>
              </w:rPr>
            </w:pPr>
            <w:r>
              <w:rPr>
                <w:rFonts w:ascii="Arial" w:cs="Arial" w:eastAsia="Arial" w:hAnsi="Arial"/>
                <w:sz w:val="14"/>
                <w:szCs w:val="14"/>
                <w:color w:val="auto"/>
              </w:rPr>
              <w:t>150%</w:t>
            </w:r>
          </w:p>
        </w:tc>
        <w:tc>
          <w:tcPr>
            <w:tcW w:w="84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129%</w:t>
            </w:r>
          </w:p>
        </w:tc>
        <w:tc>
          <w:tcPr>
            <w:tcW w:w="92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140%</w:t>
            </w:r>
          </w:p>
        </w:tc>
        <w:tc>
          <w:tcPr>
            <w:tcW w:w="92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421,940</w:t>
            </w:r>
          </w:p>
        </w:tc>
      </w:tr>
      <w:tr>
        <w:trPr>
          <w:trHeight w:val="269"/>
        </w:trPr>
        <w:tc>
          <w:tcPr>
            <w:tcW w:w="1200" w:type="dxa"/>
            <w:vAlign w:val="bottom"/>
            <w:tcBorders>
              <w:bottom w:val="single" w:sz="8" w:color="auto"/>
            </w:tcBorders>
            <w:shd w:val="clear" w:color="auto" w:fill="CCCCCC"/>
          </w:tcPr>
          <w:p>
            <w:pPr>
              <w:jc w:val="center"/>
              <w:ind w:right="68"/>
              <w:spacing w:after="0"/>
              <w:rPr>
                <w:sz w:val="20"/>
                <w:szCs w:val="20"/>
                <w:color w:val="auto"/>
              </w:rPr>
            </w:pPr>
            <w:r>
              <w:rPr>
                <w:rFonts w:ascii="Arial" w:cs="Arial" w:eastAsia="Arial" w:hAnsi="Arial"/>
                <w:sz w:val="14"/>
                <w:szCs w:val="14"/>
                <w:color w:val="auto"/>
                <w:w w:val="96"/>
              </w:rPr>
              <w:t>Officer</w:t>
            </w:r>
            <w:r>
              <w:rPr>
                <w:rFonts w:ascii="Arial" w:cs="Arial" w:eastAsia="Arial" w:hAnsi="Arial"/>
                <w:sz w:val="23"/>
                <w:szCs w:val="23"/>
                <w:color w:val="auto"/>
                <w:w w:val="96"/>
                <w:vertAlign w:val="superscript"/>
              </w:rPr>
              <w:t>(2)</w:t>
            </w:r>
          </w:p>
        </w:tc>
        <w:tc>
          <w:tcPr>
            <w:tcW w:w="1080" w:type="dxa"/>
            <w:vAlign w:val="bottom"/>
            <w:tcBorders>
              <w:bottom w:val="single" w:sz="8" w:color="auto"/>
            </w:tcBorders>
            <w:shd w:val="clear" w:color="auto" w:fill="CCCCCC"/>
          </w:tcPr>
          <w:p>
            <w:pPr>
              <w:spacing w:after="0"/>
              <w:rPr>
                <w:sz w:val="23"/>
                <w:szCs w:val="23"/>
                <w:color w:val="auto"/>
              </w:rPr>
            </w:pPr>
          </w:p>
        </w:tc>
        <w:tc>
          <w:tcPr>
            <w:tcW w:w="1100" w:type="dxa"/>
            <w:vAlign w:val="bottom"/>
            <w:tcBorders>
              <w:bottom w:val="single" w:sz="8" w:color="auto"/>
            </w:tcBorders>
            <w:shd w:val="clear" w:color="auto" w:fill="CCCCCC"/>
          </w:tcPr>
          <w:p>
            <w:pPr>
              <w:spacing w:after="0"/>
              <w:rPr>
                <w:sz w:val="23"/>
                <w:szCs w:val="23"/>
                <w:color w:val="auto"/>
              </w:rPr>
            </w:pPr>
          </w:p>
        </w:tc>
        <w:tc>
          <w:tcPr>
            <w:tcW w:w="1280" w:type="dxa"/>
            <w:vAlign w:val="bottom"/>
            <w:tcBorders>
              <w:bottom w:val="single" w:sz="8" w:color="auto"/>
            </w:tcBorders>
            <w:shd w:val="clear" w:color="auto" w:fill="CCCCCC"/>
          </w:tcPr>
          <w:p>
            <w:pPr>
              <w:spacing w:after="0"/>
              <w:rPr>
                <w:sz w:val="23"/>
                <w:szCs w:val="23"/>
                <w:color w:val="auto"/>
              </w:rPr>
            </w:pPr>
          </w:p>
        </w:tc>
        <w:tc>
          <w:tcPr>
            <w:tcW w:w="800" w:type="dxa"/>
            <w:vAlign w:val="bottom"/>
            <w:tcBorders>
              <w:bottom w:val="single" w:sz="8" w:color="auto"/>
            </w:tcBorders>
            <w:shd w:val="clear" w:color="auto" w:fill="CCCCCC"/>
          </w:tcPr>
          <w:p>
            <w:pPr>
              <w:spacing w:after="0"/>
              <w:rPr>
                <w:sz w:val="23"/>
                <w:szCs w:val="23"/>
                <w:color w:val="auto"/>
              </w:rPr>
            </w:pPr>
          </w:p>
        </w:tc>
        <w:tc>
          <w:tcPr>
            <w:tcW w:w="1700" w:type="dxa"/>
            <w:vAlign w:val="bottom"/>
            <w:tcBorders>
              <w:bottom w:val="single" w:sz="8" w:color="auto"/>
            </w:tcBorders>
            <w:shd w:val="clear" w:color="auto" w:fill="CCCCCC"/>
          </w:tcPr>
          <w:p>
            <w:pPr>
              <w:spacing w:after="0"/>
              <w:rPr>
                <w:sz w:val="23"/>
                <w:szCs w:val="23"/>
                <w:color w:val="auto"/>
              </w:rPr>
            </w:pPr>
          </w:p>
        </w:tc>
        <w:tc>
          <w:tcPr>
            <w:tcW w:w="840" w:type="dxa"/>
            <w:vAlign w:val="bottom"/>
            <w:tcBorders>
              <w:bottom w:val="single" w:sz="8" w:color="auto"/>
            </w:tcBorders>
            <w:shd w:val="clear" w:color="auto" w:fill="CCCCCC"/>
          </w:tcPr>
          <w:p>
            <w:pPr>
              <w:spacing w:after="0"/>
              <w:rPr>
                <w:sz w:val="23"/>
                <w:szCs w:val="23"/>
                <w:color w:val="auto"/>
              </w:rPr>
            </w:pPr>
          </w:p>
        </w:tc>
        <w:tc>
          <w:tcPr>
            <w:tcW w:w="920" w:type="dxa"/>
            <w:vAlign w:val="bottom"/>
            <w:tcBorders>
              <w:bottom w:val="single" w:sz="8" w:color="auto"/>
            </w:tcBorders>
            <w:shd w:val="clear" w:color="auto" w:fill="CCCCCC"/>
          </w:tcPr>
          <w:p>
            <w:pPr>
              <w:spacing w:after="0"/>
              <w:rPr>
                <w:sz w:val="23"/>
                <w:szCs w:val="23"/>
                <w:color w:val="auto"/>
              </w:rPr>
            </w:pPr>
          </w:p>
        </w:tc>
        <w:tc>
          <w:tcPr>
            <w:tcW w:w="920" w:type="dxa"/>
            <w:vAlign w:val="bottom"/>
            <w:tcBorders>
              <w:bottom w:val="single" w:sz="8" w:color="auto"/>
            </w:tcBorders>
            <w:shd w:val="clear" w:color="auto" w:fill="CCCCCC"/>
          </w:tcPr>
          <w:p>
            <w:pPr>
              <w:spacing w:after="0"/>
              <w:rPr>
                <w:sz w:val="23"/>
                <w:szCs w:val="23"/>
                <w:color w:val="auto"/>
              </w:rPr>
            </w:pPr>
          </w:p>
        </w:tc>
      </w:tr>
      <w:tr>
        <w:trPr>
          <w:trHeight w:val="246"/>
        </w:trPr>
        <w:tc>
          <w:tcPr>
            <w:tcW w:w="12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9"/>
              </w:rPr>
              <w:t>EVP, Americas</w:t>
            </w: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600,000</w:t>
            </w: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125%</w:t>
            </w:r>
          </w:p>
        </w:tc>
        <w:tc>
          <w:tcPr>
            <w:tcW w:w="12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150%</w:t>
            </w:r>
          </w:p>
        </w:tc>
        <w:tc>
          <w:tcPr>
            <w:tcW w:w="8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87</w:t>
            </w:r>
          </w:p>
        </w:tc>
        <w:tc>
          <w:tcPr>
            <w:tcW w:w="17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150%</w:t>
            </w: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131%</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140%</w:t>
            </w:r>
          </w:p>
        </w:tc>
        <w:tc>
          <w:tcPr>
            <w:tcW w:w="9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1,051,875</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1"/>
          <w:szCs w:val="11"/>
          <w:color w:val="auto"/>
        </w:rPr>
        <w:t>(1)</w:t>
      </w:r>
    </w:p>
    <w:p>
      <w:pPr>
        <w:ind w:left="360"/>
        <w:spacing w:after="0" w:line="182" w:lineRule="auto"/>
        <w:rPr>
          <w:sz w:val="20"/>
          <w:szCs w:val="20"/>
          <w:color w:val="auto"/>
        </w:rPr>
      </w:pPr>
      <w:r>
        <w:rPr>
          <w:rFonts w:ascii="Arial" w:cs="Arial" w:eastAsia="Arial" w:hAnsi="Arial"/>
          <w:sz w:val="13"/>
          <w:szCs w:val="13"/>
          <w:color w:val="auto"/>
        </w:rPr>
        <w:t>Based on Global Adjusted EBITDA achievement for our CEO, CFO and Chief Digital Officer, and Americas Adjusted EBITDA for our EVP, Americas.</w:t>
      </w:r>
    </w:p>
    <w:p>
      <w:pPr>
        <w:ind w:left="360" w:hanging="350"/>
        <w:spacing w:after="0" w:line="226" w:lineRule="auto"/>
        <w:tabs>
          <w:tab w:leader="none" w:pos="36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For Mr. Simhambhatla, 2022 salary is prorated to reflect that his employment with the Company began in July 2022.</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type w:val="continuous"/>
        </w:sectPr>
      </w:pPr>
    </w:p>
    <w:bookmarkStart w:id="30" w:name="page31"/>
    <w:bookmarkEnd w:id="3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A reconciliation of our reported global net income to our reported global Adjusted EBITDA is set forth below (dollars are in millions):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6820" w:type="dxa"/>
            <w:vAlign w:val="bottom"/>
            <w:tcBorders>
              <w:top w:val="single" w:sz="8" w:color="auto"/>
              <w:bottom w:val="single" w:sz="8" w:color="CCCCCC"/>
            </w:tcBorders>
            <w:gridSpan w:val="2"/>
            <w:shd w:val="clear" w:color="auto" w:fill="CCCCCC"/>
          </w:tcPr>
          <w:p>
            <w:pPr>
              <w:ind w:left="100"/>
              <w:spacing w:after="0"/>
              <w:rPr>
                <w:sz w:val="20"/>
                <w:szCs w:val="20"/>
                <w:color w:val="auto"/>
              </w:rPr>
            </w:pPr>
            <w:r>
              <w:rPr>
                <w:rFonts w:ascii="Arial" w:cs="Arial" w:eastAsia="Arial" w:hAnsi="Arial"/>
                <w:sz w:val="14"/>
                <w:szCs w:val="14"/>
                <w:color w:val="auto"/>
              </w:rPr>
              <w:t>Net Income</w:t>
            </w:r>
          </w:p>
        </w:tc>
        <w:tc>
          <w:tcPr>
            <w:tcW w:w="302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$2,756</w:t>
            </w:r>
          </w:p>
        </w:tc>
      </w:tr>
      <w:tr>
        <w:trPr>
          <w:trHeight w:val="242"/>
        </w:trPr>
        <w:tc>
          <w:tcPr>
            <w:tcW w:w="68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Provision for income taxes</w:t>
            </w: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880</w:t>
            </w:r>
          </w:p>
        </w:tc>
      </w:tr>
      <w:tr>
        <w:trPr>
          <w:trHeight w:val="49"/>
        </w:trPr>
        <w:tc>
          <w:tcPr>
            <w:tcW w:w="50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95"/>
        </w:trPr>
        <w:tc>
          <w:tcPr>
            <w:tcW w:w="6820" w:type="dxa"/>
            <w:vAlign w:val="bottom"/>
            <w:tcBorders>
              <w:bottom w:val="single" w:sz="8" w:color="CCCCCC"/>
            </w:tcBorders>
            <w:gridSpan w:val="2"/>
            <w:shd w:val="clear" w:color="auto" w:fill="CCCCCC"/>
          </w:tcPr>
          <w:p>
            <w:pPr>
              <w:ind w:left="100"/>
              <w:spacing w:after="0"/>
              <w:rPr>
                <w:sz w:val="20"/>
                <w:szCs w:val="20"/>
                <w:color w:val="auto"/>
              </w:rPr>
            </w:pPr>
            <w:r>
              <w:rPr>
                <w:rFonts w:ascii="Arial" w:cs="Arial" w:eastAsia="Arial" w:hAnsi="Arial"/>
                <w:sz w:val="14"/>
                <w:szCs w:val="14"/>
                <w:color w:val="auto"/>
              </w:rPr>
              <w:t>Income before income taxes</w:t>
            </w:r>
          </w:p>
        </w:tc>
        <w:tc>
          <w:tcPr>
            <w:tcW w:w="30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3,636</w:t>
            </w:r>
          </w:p>
        </w:tc>
      </w:tr>
      <w:tr>
        <w:trPr>
          <w:trHeight w:val="242"/>
        </w:trPr>
        <w:tc>
          <w:tcPr>
            <w:tcW w:w="68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Add:  Non-vehicle related depreciation and amortization</w:t>
            </w: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w:t>
            </w:r>
          </w:p>
        </w:tc>
      </w:tr>
      <w:tr>
        <w:trPr>
          <w:trHeight w:val="49"/>
        </w:trPr>
        <w:tc>
          <w:tcPr>
            <w:tcW w:w="500" w:type="dxa"/>
            <w:vAlign w:val="bottom"/>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95"/>
        </w:trPr>
        <w:tc>
          <w:tcPr>
            <w:tcW w:w="500" w:type="dxa"/>
            <w:vAlign w:val="bottom"/>
          </w:tcPr>
          <w:p>
            <w:pPr>
              <w:spacing w:after="0"/>
              <w:rPr>
                <w:sz w:val="24"/>
                <w:szCs w:val="24"/>
                <w:color w:val="auto"/>
              </w:rPr>
            </w:pPr>
          </w:p>
        </w:tc>
        <w:tc>
          <w:tcPr>
            <w:tcW w:w="63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Interest expense related to corporate debt, net:</w:t>
            </w:r>
          </w:p>
        </w:tc>
        <w:tc>
          <w:tcPr>
            <w:tcW w:w="3020" w:type="dxa"/>
            <w:vAlign w:val="bottom"/>
            <w:tcBorders>
              <w:bottom w:val="single" w:sz="8" w:color="CCCCCC"/>
            </w:tcBorders>
            <w:shd w:val="clear" w:color="auto" w:fill="CCCCCC"/>
          </w:tcPr>
          <w:p>
            <w:pPr>
              <w:spacing w:after="0"/>
              <w:rPr>
                <w:sz w:val="24"/>
                <w:szCs w:val="24"/>
                <w:color w:val="auto"/>
              </w:rPr>
            </w:pPr>
          </w:p>
        </w:tc>
      </w:tr>
      <w:tr>
        <w:trPr>
          <w:trHeight w:val="242"/>
        </w:trPr>
        <w:tc>
          <w:tcPr>
            <w:tcW w:w="500" w:type="dxa"/>
            <w:vAlign w:val="bottom"/>
          </w:tcPr>
          <w:p>
            <w:pPr>
              <w:spacing w:after="0"/>
              <w:rPr>
                <w:sz w:val="21"/>
                <w:szCs w:val="21"/>
                <w:color w:val="auto"/>
              </w:rPr>
            </w:pPr>
          </w:p>
        </w:tc>
        <w:tc>
          <w:tcPr>
            <w:tcW w:w="6320" w:type="dxa"/>
            <w:vAlign w:val="bottom"/>
            <w:tcBorders>
              <w:top w:val="single" w:sz="8" w:color="auto"/>
            </w:tcBorders>
          </w:tcPr>
          <w:p>
            <w:pPr>
              <w:ind w:left="240"/>
              <w:spacing w:after="0"/>
              <w:rPr>
                <w:sz w:val="20"/>
                <w:szCs w:val="20"/>
                <w:color w:val="auto"/>
              </w:rPr>
            </w:pPr>
            <w:r>
              <w:rPr>
                <w:rFonts w:ascii="Arial" w:cs="Arial" w:eastAsia="Arial" w:hAnsi="Arial"/>
                <w:sz w:val="14"/>
                <w:szCs w:val="14"/>
                <w:color w:val="auto"/>
              </w:rPr>
              <w:t>Interest expense</w:t>
            </w: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250</w:t>
            </w:r>
          </w:p>
        </w:tc>
      </w:tr>
      <w:tr>
        <w:trPr>
          <w:trHeight w:val="49"/>
        </w:trPr>
        <w:tc>
          <w:tcPr>
            <w:tcW w:w="500" w:type="dxa"/>
            <w:vAlign w:val="bottom"/>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95"/>
        </w:trPr>
        <w:tc>
          <w:tcPr>
            <w:tcW w:w="500" w:type="dxa"/>
            <w:vAlign w:val="bottom"/>
          </w:tcPr>
          <w:p>
            <w:pPr>
              <w:spacing w:after="0"/>
              <w:rPr>
                <w:sz w:val="24"/>
                <w:szCs w:val="24"/>
                <w:color w:val="auto"/>
              </w:rPr>
            </w:pPr>
          </w:p>
        </w:tc>
        <w:tc>
          <w:tcPr>
            <w:tcW w:w="6320" w:type="dxa"/>
            <w:vAlign w:val="bottom"/>
            <w:tcBorders>
              <w:bottom w:val="single" w:sz="8" w:color="CCCCCC"/>
            </w:tcBorders>
            <w:shd w:val="clear" w:color="auto" w:fill="CCCCCC"/>
          </w:tcPr>
          <w:p>
            <w:pPr>
              <w:ind w:left="240"/>
              <w:spacing w:after="0"/>
              <w:rPr>
                <w:sz w:val="20"/>
                <w:szCs w:val="20"/>
                <w:color w:val="auto"/>
              </w:rPr>
            </w:pPr>
            <w:r>
              <w:rPr>
                <w:rFonts w:ascii="Arial" w:cs="Arial" w:eastAsia="Arial" w:hAnsi="Arial"/>
                <w:sz w:val="14"/>
                <w:szCs w:val="14"/>
                <w:color w:val="auto"/>
              </w:rPr>
              <w:t>Early extinguishment of debt</w:t>
            </w:r>
          </w:p>
        </w:tc>
        <w:tc>
          <w:tcPr>
            <w:tcW w:w="30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r>
      <w:tr>
        <w:trPr>
          <w:trHeight w:val="242"/>
        </w:trPr>
        <w:tc>
          <w:tcPr>
            <w:tcW w:w="500" w:type="dxa"/>
            <w:vAlign w:val="bottom"/>
          </w:tcPr>
          <w:p>
            <w:pPr>
              <w:spacing w:after="0"/>
              <w:rPr>
                <w:sz w:val="21"/>
                <w:szCs w:val="21"/>
                <w:color w:val="auto"/>
              </w:rPr>
            </w:pPr>
          </w:p>
        </w:tc>
        <w:tc>
          <w:tcPr>
            <w:tcW w:w="63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Restructuring and other related charges</w:t>
            </w: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48"/>
        </w:trPr>
        <w:tc>
          <w:tcPr>
            <w:tcW w:w="500" w:type="dxa"/>
            <w:vAlign w:val="bottom"/>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96"/>
        </w:trPr>
        <w:tc>
          <w:tcPr>
            <w:tcW w:w="500" w:type="dxa"/>
            <w:vAlign w:val="bottom"/>
          </w:tcPr>
          <w:p>
            <w:pPr>
              <w:spacing w:after="0"/>
              <w:rPr>
                <w:sz w:val="24"/>
                <w:szCs w:val="24"/>
                <w:color w:val="auto"/>
              </w:rPr>
            </w:pPr>
          </w:p>
        </w:tc>
        <w:tc>
          <w:tcPr>
            <w:tcW w:w="63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Transaction-related costs, net</w:t>
            </w:r>
          </w:p>
        </w:tc>
        <w:tc>
          <w:tcPr>
            <w:tcW w:w="30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8</w:t>
            </w:r>
          </w:p>
        </w:tc>
      </w:tr>
      <w:tr>
        <w:trPr>
          <w:trHeight w:val="242"/>
        </w:trPr>
        <w:tc>
          <w:tcPr>
            <w:tcW w:w="500" w:type="dxa"/>
            <w:vAlign w:val="bottom"/>
          </w:tcPr>
          <w:p>
            <w:pPr>
              <w:spacing w:after="0"/>
              <w:rPr>
                <w:sz w:val="21"/>
                <w:szCs w:val="21"/>
                <w:color w:val="auto"/>
              </w:rPr>
            </w:pPr>
          </w:p>
        </w:tc>
        <w:tc>
          <w:tcPr>
            <w:tcW w:w="63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Unprecedented personal-injury and other legal matters, net</w:t>
            </w: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48"/>
        </w:trPr>
        <w:tc>
          <w:tcPr>
            <w:tcW w:w="500" w:type="dxa"/>
            <w:vAlign w:val="bottom"/>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96"/>
        </w:trPr>
        <w:tc>
          <w:tcPr>
            <w:tcW w:w="500" w:type="dxa"/>
            <w:vAlign w:val="bottom"/>
          </w:tcPr>
          <w:p>
            <w:pPr>
              <w:spacing w:after="0"/>
              <w:rPr>
                <w:sz w:val="24"/>
                <w:szCs w:val="24"/>
                <w:color w:val="auto"/>
              </w:rPr>
            </w:pPr>
          </w:p>
        </w:tc>
        <w:tc>
          <w:tcPr>
            <w:tcW w:w="63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COVID-19 charges, net</w:t>
            </w:r>
          </w:p>
        </w:tc>
        <w:tc>
          <w:tcPr>
            <w:tcW w:w="30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(9)</w:t>
            </w:r>
          </w:p>
        </w:tc>
      </w:tr>
      <w:tr>
        <w:trPr>
          <w:trHeight w:val="242"/>
        </w:trPr>
        <w:tc>
          <w:tcPr>
            <w:tcW w:w="500" w:type="dxa"/>
            <w:vAlign w:val="bottom"/>
          </w:tcPr>
          <w:p>
            <w:pPr>
              <w:spacing w:after="0"/>
              <w:rPr>
                <w:sz w:val="21"/>
                <w:szCs w:val="21"/>
                <w:color w:val="auto"/>
              </w:rPr>
            </w:pPr>
          </w:p>
        </w:tc>
        <w:tc>
          <w:tcPr>
            <w:tcW w:w="63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Other (income) expense, net</w:t>
            </w: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48"/>
        </w:trPr>
        <w:tc>
          <w:tcPr>
            <w:tcW w:w="6820" w:type="dxa"/>
            <w:vAlign w:val="bottom"/>
            <w:tcBorders>
              <w:bottom w:val="single" w:sz="8" w:color="auto"/>
            </w:tcBorders>
            <w:gridSpan w:val="2"/>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46"/>
        </w:trPr>
        <w:tc>
          <w:tcPr>
            <w:tcW w:w="6820" w:type="dxa"/>
            <w:vAlign w:val="bottom"/>
            <w:tcBorders>
              <w:bottom w:val="single" w:sz="8" w:color="auto"/>
            </w:tcBorders>
            <w:gridSpan w:val="2"/>
            <w:shd w:val="clear" w:color="auto" w:fill="CCCCCC"/>
          </w:tcPr>
          <w:p>
            <w:pPr>
              <w:ind w:left="100"/>
              <w:spacing w:after="0"/>
              <w:rPr>
                <w:sz w:val="20"/>
                <w:szCs w:val="20"/>
                <w:color w:val="auto"/>
              </w:rPr>
            </w:pPr>
            <w:r>
              <w:rPr>
                <w:rFonts w:ascii="Arial" w:cs="Arial" w:eastAsia="Arial" w:hAnsi="Arial"/>
                <w:sz w:val="14"/>
                <w:szCs w:val="14"/>
                <w:color w:val="auto"/>
              </w:rPr>
              <w:t>Adjusted EBITDA</w:t>
            </w:r>
          </w:p>
        </w:tc>
        <w:tc>
          <w:tcPr>
            <w:tcW w:w="30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$4,133</w:t>
            </w:r>
          </w:p>
        </w:tc>
      </w:tr>
    </w:tbl>
    <w:p>
      <w:pPr>
        <w:spacing w:after="0" w:line="197"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 titled measures used by other companies.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Executive Chairman Incentive Award</w:t>
      </w:r>
    </w:p>
    <w:p>
      <w:pPr>
        <w:spacing w:after="0" w:line="142"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For our Executive Chairman, who did not participate in the 2022 AIP, the Committee approved an annual incentive award with Adjusted EBITDA as the sole metric, with goals at threshold and target consistent with the 2022 AIP. Target payout opportunity as a percentage of base salary was 100% and total payout opportunity ranged from 50% to 100% of target. The actual payout for this award was 100% based on Adjusted EBITDA results described above.</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Long-Term Incentive Awards</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2022 LTIP</w:t>
      </w:r>
    </w:p>
    <w:p>
      <w:pPr>
        <w:spacing w:after="0" w:line="142"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For 2022, the Committee approved a long-term incentive program (the “2022 LTIP”) in which all NEOs participated. Grant date values for 2022 LTIP awards were determined in light of the Company’s record financial performance for 2021 and following a market review of the Peer Group, and in certain cases, Survey Data (as defined under “Consideration of Peer Groups and Survey Data”), as well as individual performance for 2021.</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2022 LTIP — Type of Award</w:t>
      </w:r>
    </w:p>
    <w:p>
      <w:pPr>
        <w:spacing w:after="0" w:line="142"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Committee reviewed the following factors to determine the appropriate type of equity to be granted: perceived value to award recipients to effect retention and incentive goals, peer practices, the degree of alignment with shareholder interests and our pay-for-performance philosophy, potential dilution and projected expense balanced with the value delivered to award recipients. Based on an analysis of these factors, the Committee determined that a mix of 50% PSUs and 50% RSUs would:</w:t>
      </w:r>
    </w:p>
    <w:p>
      <w:pPr>
        <w:spacing w:after="0" w:line="95" w:lineRule="exact"/>
        <w:rPr>
          <w:sz w:val="20"/>
          <w:szCs w:val="20"/>
          <w:color w:val="auto"/>
        </w:rPr>
      </w:pPr>
    </w:p>
    <w:p>
      <w:pPr>
        <w:ind w:left="360" w:hanging="350"/>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align incentives with shareholders’ focus on profitability and financial performance;</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 the relevant decision-making impact of the individual and the impact of those decisions on the Company; and</w:t>
      </w:r>
    </w:p>
    <w:p>
      <w:pPr>
        <w:spacing w:after="0" w:line="144" w:lineRule="exact"/>
        <w:rPr>
          <w:rFonts w:ascii="Arial" w:cs="Arial" w:eastAsia="Arial" w:hAnsi="Arial"/>
          <w:sz w:val="18"/>
          <w:szCs w:val="18"/>
          <w:color w:val="auto"/>
        </w:rPr>
      </w:pPr>
    </w:p>
    <w:p>
      <w:pPr>
        <w:ind w:left="360" w:hanging="350"/>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incentivize retention of key employees over the long term.</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31" w:name="page32"/>
    <w:bookmarkEnd w:id="31"/>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10" w:right="4660"/>
        <w:spacing w:after="0" w:line="421" w:lineRule="auto"/>
        <w:rPr>
          <w:sz w:val="20"/>
          <w:szCs w:val="20"/>
          <w:color w:val="auto"/>
        </w:rPr>
      </w:pPr>
      <w:r>
        <w:rPr>
          <w:rFonts w:ascii="Arial" w:cs="Arial" w:eastAsia="Arial" w:hAnsi="Arial"/>
          <w:sz w:val="18"/>
          <w:szCs w:val="18"/>
          <w:i w:val="1"/>
          <w:iCs w:val="1"/>
          <w:color w:val="auto"/>
        </w:rPr>
        <w:t xml:space="preserve">2022 LTIP — Vesting Terms and Performance Metrics and Goals </w:t>
      </w:r>
      <w:r>
        <w:rPr>
          <w:rFonts w:ascii="Arial" w:cs="Arial" w:eastAsia="Arial" w:hAnsi="Arial"/>
          <w:sz w:val="18"/>
          <w:szCs w:val="18"/>
          <w:color w:val="auto"/>
        </w:rPr>
        <w:t>Under the 2022 LTIP:</w:t>
      </w:r>
    </w:p>
    <w:p>
      <w:pPr>
        <w:spacing w:after="0" w:line="1" w:lineRule="exact"/>
        <w:rPr>
          <w:sz w:val="20"/>
          <w:szCs w:val="20"/>
          <w:color w:val="auto"/>
        </w:rPr>
      </w:pPr>
    </w:p>
    <w:p>
      <w:pPr>
        <w:ind w:left="350" w:hanging="350"/>
        <w:spacing w:after="0" w:line="271" w:lineRule="auto"/>
        <w:tabs>
          <w:tab w:leader="none" w:pos="3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RSUs are scheduled to vest, subject to continued employment, on the first three anniversaries of the date of grant, except that our Executive Chairman’s RSUs vest in June 2023;</w:t>
      </w:r>
    </w:p>
    <w:p>
      <w:pPr>
        <w:spacing w:after="0" w:line="72" w:lineRule="exact"/>
        <w:rPr>
          <w:rFonts w:ascii="Arial" w:cs="Arial" w:eastAsia="Arial" w:hAnsi="Arial"/>
          <w:sz w:val="18"/>
          <w:szCs w:val="18"/>
          <w:color w:val="auto"/>
        </w:rPr>
      </w:pPr>
    </w:p>
    <w:p>
      <w:pPr>
        <w:ind w:left="350" w:right="20" w:hanging="350"/>
        <w:spacing w:after="0" w:line="271" w:lineRule="auto"/>
        <w:tabs>
          <w:tab w:leader="none" w:pos="3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PSUs are scheduled to vest on the three-year anniversary of the date of grant, subject to satisfaction of performance goals and continued employment;</w:t>
      </w:r>
    </w:p>
    <w:p>
      <w:pPr>
        <w:spacing w:after="0" w:line="86"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Three-year cumulative Adjusted EBITDA was selected as a performance metric with a 75% weight for the PSUs based on several factors, including the following:</w:t>
      </w:r>
    </w:p>
    <w:p>
      <w:pPr>
        <w:spacing w:after="0" w:line="45" w:lineRule="exact"/>
        <w:rPr>
          <w:rFonts w:ascii="Arial" w:cs="Arial" w:eastAsia="Arial" w:hAnsi="Arial"/>
          <w:sz w:val="18"/>
          <w:szCs w:val="18"/>
          <w:color w:val="auto"/>
        </w:rPr>
      </w:pPr>
    </w:p>
    <w:p>
      <w:pPr>
        <w:ind w:left="710" w:right="20" w:hanging="350"/>
        <w:spacing w:after="0" w:line="230" w:lineRule="auto"/>
        <w:tabs>
          <w:tab w:leader="none" w:pos="710" w:val="left"/>
        </w:tabs>
        <w:numPr>
          <w:ilvl w:val="1"/>
          <w:numId w:val="33"/>
        </w:numPr>
        <w:rPr>
          <w:rFonts w:ascii="Arial" w:cs="Arial" w:eastAsia="Arial" w:hAnsi="Arial"/>
          <w:sz w:val="22"/>
          <w:szCs w:val="22"/>
          <w:color w:val="auto"/>
          <w:vertAlign w:val="superscript"/>
        </w:rPr>
      </w:pPr>
      <w:r>
        <w:rPr>
          <w:rFonts w:ascii="Arial" w:cs="Arial" w:eastAsia="Arial" w:hAnsi="Arial"/>
          <w:sz w:val="18"/>
          <w:szCs w:val="18"/>
          <w:color w:val="auto"/>
        </w:rPr>
        <w:t>the Company’s Adjusted EBITDA has been strongly correlated to the Company’s long-term stock price performance; and</w:t>
      </w:r>
    </w:p>
    <w:p>
      <w:pPr>
        <w:spacing w:after="0" w:line="72" w:lineRule="exact"/>
        <w:rPr>
          <w:rFonts w:ascii="Arial" w:cs="Arial" w:eastAsia="Arial" w:hAnsi="Arial"/>
          <w:sz w:val="22"/>
          <w:szCs w:val="22"/>
          <w:color w:val="auto"/>
          <w:vertAlign w:val="superscript"/>
        </w:rPr>
      </w:pPr>
    </w:p>
    <w:p>
      <w:pPr>
        <w:ind w:left="710" w:hanging="350"/>
        <w:spacing w:after="0" w:line="230" w:lineRule="auto"/>
        <w:tabs>
          <w:tab w:leader="none" w:pos="710" w:val="left"/>
        </w:tabs>
        <w:numPr>
          <w:ilvl w:val="1"/>
          <w:numId w:val="33"/>
        </w:numPr>
        <w:rPr>
          <w:rFonts w:ascii="Arial" w:cs="Arial" w:eastAsia="Arial" w:hAnsi="Arial"/>
          <w:sz w:val="22"/>
          <w:szCs w:val="22"/>
          <w:color w:val="auto"/>
          <w:vertAlign w:val="superscript"/>
        </w:rPr>
      </w:pPr>
      <w:r>
        <w:rPr>
          <w:rFonts w:ascii="Arial" w:cs="Arial" w:eastAsia="Arial" w:hAnsi="Arial"/>
          <w:sz w:val="18"/>
          <w:szCs w:val="18"/>
          <w:color w:val="auto"/>
        </w:rPr>
        <w:t>Adjusted EBITDA is a key measure of operational and financial performance driven by the Company’s strategy and widely understood within the Company and by the Company’s shareholders; and</w:t>
      </w:r>
    </w:p>
    <w:p>
      <w:pPr>
        <w:spacing w:after="0" w:line="112" w:lineRule="exact"/>
        <w:rPr>
          <w:rFonts w:ascii="Arial" w:cs="Arial" w:eastAsia="Arial" w:hAnsi="Arial"/>
          <w:sz w:val="22"/>
          <w:szCs w:val="22"/>
          <w:color w:val="auto"/>
          <w:vertAlign w:val="superscript"/>
        </w:rPr>
      </w:pPr>
    </w:p>
    <w:p>
      <w:pPr>
        <w:ind w:left="350" w:right="20" w:hanging="350"/>
        <w:spacing w:after="0" w:line="271" w:lineRule="auto"/>
        <w:tabs>
          <w:tab w:leader="none" w:pos="3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drive operational excellence and resilience over the long-term consistent with the Company’s strategy, a new variable cost performance metric was added for the PSUs with a 25% weighting.</w:t>
      </w:r>
    </w:p>
    <w:p>
      <w:pPr>
        <w:spacing w:after="0" w:line="73" w:lineRule="exact"/>
        <w:rPr>
          <w:sz w:val="20"/>
          <w:szCs w:val="20"/>
          <w:color w:val="auto"/>
        </w:rPr>
      </w:pPr>
    </w:p>
    <w:p>
      <w:pPr>
        <w:jc w:val="both"/>
        <w:ind w:left="10" w:right="20"/>
        <w:spacing w:after="0" w:line="253" w:lineRule="auto"/>
        <w:rPr>
          <w:sz w:val="20"/>
          <w:szCs w:val="20"/>
          <w:color w:val="auto"/>
        </w:rPr>
      </w:pPr>
      <w:r>
        <w:rPr>
          <w:rFonts w:ascii="Arial" w:cs="Arial" w:eastAsia="Arial" w:hAnsi="Arial"/>
          <w:sz w:val="18"/>
          <w:szCs w:val="18"/>
          <w:color w:val="auto"/>
        </w:rPr>
        <w:t>The three-year cumulative Adjusted EBITDA goals are set forth below. The target goal represents attainment of three-year Adjusted EBITDA during the performance period which, at the time of approval, would have been the highest ever Adjusted EBITDA achievement for the Company for a three-year period by nearly $2 billion.</w:t>
      </w:r>
    </w:p>
    <w:p>
      <w:pPr>
        <w:spacing w:after="0" w:line="165" w:lineRule="exact"/>
        <w:rPr>
          <w:sz w:val="20"/>
          <w:szCs w:val="20"/>
          <w:color w:val="auto"/>
        </w:rPr>
      </w:pPr>
    </w:p>
    <w:tbl>
      <w:tblPr>
        <w:tblLayout w:type="fixed"/>
        <w:tblInd w:w="145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860" w:type="dxa"/>
            <w:vAlign w:val="bottom"/>
          </w:tcPr>
          <w:p>
            <w:pPr>
              <w:jc w:val="right"/>
              <w:ind w:right="537"/>
              <w:spacing w:after="0"/>
              <w:rPr>
                <w:sz w:val="20"/>
                <w:szCs w:val="20"/>
                <w:color w:val="auto"/>
              </w:rPr>
            </w:pPr>
            <w:r>
              <w:rPr>
                <w:rFonts w:ascii="Arial" w:cs="Arial" w:eastAsia="Arial" w:hAnsi="Arial"/>
                <w:sz w:val="14"/>
                <w:szCs w:val="14"/>
                <w:b w:val="1"/>
                <w:bCs w:val="1"/>
                <w:color w:val="auto"/>
              </w:rPr>
              <w:t>Payout Opportunity*</w:t>
            </w:r>
          </w:p>
        </w:tc>
        <w:tc>
          <w:tcPr>
            <w:tcW w:w="2180" w:type="dxa"/>
            <w:vAlign w:val="bottom"/>
          </w:tcPr>
          <w:p>
            <w:pPr>
              <w:jc w:val="center"/>
              <w:ind w:right="117"/>
              <w:spacing w:after="0"/>
              <w:rPr>
                <w:sz w:val="20"/>
                <w:szCs w:val="20"/>
                <w:color w:val="auto"/>
              </w:rPr>
            </w:pPr>
            <w:r>
              <w:rPr>
                <w:rFonts w:ascii="Arial" w:cs="Arial" w:eastAsia="Arial" w:hAnsi="Arial"/>
                <w:sz w:val="14"/>
                <w:szCs w:val="14"/>
                <w:b w:val="1"/>
                <w:bCs w:val="1"/>
                <w:color w:val="auto"/>
              </w:rPr>
              <w:t>Adjusted EBITDA Goal</w:t>
            </w:r>
          </w:p>
        </w:tc>
      </w:tr>
      <w:tr>
        <w:trPr>
          <w:trHeight w:val="196"/>
        </w:trPr>
        <w:tc>
          <w:tcPr>
            <w:tcW w:w="1880" w:type="dxa"/>
            <w:vAlign w:val="bottom"/>
          </w:tcPr>
          <w:p>
            <w:pPr>
              <w:ind w:left="80"/>
              <w:spacing w:after="0"/>
              <w:rPr>
                <w:sz w:val="20"/>
                <w:szCs w:val="20"/>
                <w:color w:val="auto"/>
              </w:rPr>
            </w:pPr>
            <w:r>
              <w:rPr>
                <w:rFonts w:ascii="Arial" w:cs="Arial" w:eastAsia="Arial" w:hAnsi="Arial"/>
                <w:sz w:val="14"/>
                <w:szCs w:val="14"/>
                <w:b w:val="1"/>
                <w:bCs w:val="1"/>
                <w:color w:val="auto"/>
              </w:rPr>
              <w:t>Achievement Level</w:t>
            </w:r>
          </w:p>
        </w:tc>
        <w:tc>
          <w:tcPr>
            <w:tcW w:w="2860" w:type="dxa"/>
            <w:vAlign w:val="bottom"/>
          </w:tcPr>
          <w:p>
            <w:pPr>
              <w:jc w:val="right"/>
              <w:ind w:right="117"/>
              <w:spacing w:after="0"/>
              <w:rPr>
                <w:sz w:val="20"/>
                <w:szCs w:val="20"/>
                <w:color w:val="auto"/>
              </w:rPr>
            </w:pPr>
            <w:r>
              <w:rPr>
                <w:rFonts w:ascii="Arial" w:cs="Arial" w:eastAsia="Arial" w:hAnsi="Arial"/>
                <w:sz w:val="14"/>
                <w:szCs w:val="14"/>
                <w:b w:val="1"/>
                <w:bCs w:val="1"/>
                <w:color w:val="auto"/>
              </w:rPr>
              <w:t>(as a % of target units awarded)</w:t>
            </w:r>
          </w:p>
        </w:tc>
        <w:tc>
          <w:tcPr>
            <w:tcW w:w="2180" w:type="dxa"/>
            <w:vAlign w:val="bottom"/>
          </w:tcPr>
          <w:p>
            <w:pPr>
              <w:jc w:val="center"/>
              <w:ind w:right="77"/>
              <w:spacing w:after="0"/>
              <w:rPr>
                <w:sz w:val="20"/>
                <w:szCs w:val="20"/>
                <w:color w:val="auto"/>
              </w:rPr>
            </w:pPr>
            <w:r>
              <w:rPr>
                <w:rFonts w:ascii="Arial" w:cs="Arial" w:eastAsia="Arial" w:hAnsi="Arial"/>
                <w:sz w:val="14"/>
                <w:szCs w:val="14"/>
                <w:b w:val="1"/>
                <w:bCs w:val="1"/>
                <w:color w:val="auto"/>
              </w:rPr>
              <w:t>(in billions)</w:t>
            </w:r>
          </w:p>
        </w:tc>
      </w:tr>
      <w:tr>
        <w:trPr>
          <w:trHeight w:val="43"/>
        </w:trPr>
        <w:tc>
          <w:tcPr>
            <w:tcW w:w="188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336"/>
        </w:trPr>
        <w:tc>
          <w:tcPr>
            <w:tcW w:w="1880" w:type="dxa"/>
            <w:vAlign w:val="bottom"/>
            <w:tcBorders>
              <w:bottom w:val="single" w:sz="8" w:color="CCCCCC"/>
            </w:tcBorders>
            <w:shd w:val="clear" w:color="auto" w:fill="CCCCCC"/>
          </w:tcPr>
          <w:p>
            <w:pPr>
              <w:ind w:left="80"/>
              <w:spacing w:after="0"/>
              <w:rPr>
                <w:sz w:val="20"/>
                <w:szCs w:val="20"/>
                <w:color w:val="auto"/>
              </w:rPr>
            </w:pPr>
            <w:r>
              <w:rPr>
                <w:rFonts w:ascii="Arial" w:cs="Arial" w:eastAsia="Arial" w:hAnsi="Arial"/>
                <w:sz w:val="18"/>
                <w:szCs w:val="18"/>
                <w:color w:val="auto"/>
              </w:rPr>
              <w:t>Maximum</w:t>
            </w:r>
          </w:p>
        </w:tc>
        <w:tc>
          <w:tcPr>
            <w:tcW w:w="2860" w:type="dxa"/>
            <w:vAlign w:val="bottom"/>
            <w:tcBorders>
              <w:bottom w:val="single" w:sz="8" w:color="CCCCCC"/>
            </w:tcBorders>
            <w:shd w:val="clear" w:color="auto" w:fill="CCCCCC"/>
          </w:tcPr>
          <w:p>
            <w:pPr>
              <w:jc w:val="right"/>
              <w:ind w:right="897"/>
              <w:spacing w:after="0"/>
              <w:rPr>
                <w:sz w:val="20"/>
                <w:szCs w:val="20"/>
                <w:color w:val="auto"/>
              </w:rPr>
            </w:pPr>
            <w:r>
              <w:rPr>
                <w:rFonts w:ascii="Arial" w:cs="Arial" w:eastAsia="Arial" w:hAnsi="Arial"/>
                <w:sz w:val="18"/>
                <w:szCs w:val="18"/>
                <w:color w:val="auto"/>
              </w:rPr>
              <w:t>150%</w:t>
            </w:r>
          </w:p>
        </w:tc>
        <w:tc>
          <w:tcPr>
            <w:tcW w:w="2180" w:type="dxa"/>
            <w:vAlign w:val="bottom"/>
            <w:tcBorders>
              <w:bottom w:val="single" w:sz="8" w:color="CCCCCC"/>
            </w:tcBorders>
            <w:shd w:val="clear" w:color="auto" w:fill="CCCCCC"/>
          </w:tcPr>
          <w:p>
            <w:pPr>
              <w:jc w:val="center"/>
              <w:ind w:right="97"/>
              <w:spacing w:after="0"/>
              <w:rPr>
                <w:sz w:val="20"/>
                <w:szCs w:val="20"/>
                <w:color w:val="auto"/>
              </w:rPr>
            </w:pPr>
            <w:r>
              <w:rPr>
                <w:rFonts w:ascii="Arial" w:cs="Arial" w:eastAsia="Arial" w:hAnsi="Arial"/>
                <w:sz w:val="18"/>
                <w:szCs w:val="18"/>
                <w:color w:val="auto"/>
              </w:rPr>
              <w:t>$6.0</w:t>
            </w:r>
          </w:p>
        </w:tc>
      </w:tr>
      <w:tr>
        <w:trPr>
          <w:trHeight w:val="281"/>
        </w:trPr>
        <w:tc>
          <w:tcPr>
            <w:tcW w:w="18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Target</w:t>
            </w:r>
          </w:p>
        </w:tc>
        <w:tc>
          <w:tcPr>
            <w:tcW w:w="2860" w:type="dxa"/>
            <w:vAlign w:val="bottom"/>
            <w:tcBorders>
              <w:top w:val="single" w:sz="8" w:color="auto"/>
            </w:tcBorders>
          </w:tcPr>
          <w:p>
            <w:pPr>
              <w:jc w:val="right"/>
              <w:ind w:right="897"/>
              <w:spacing w:after="0"/>
              <w:rPr>
                <w:sz w:val="20"/>
                <w:szCs w:val="20"/>
                <w:color w:val="auto"/>
              </w:rPr>
            </w:pPr>
            <w:r>
              <w:rPr>
                <w:rFonts w:ascii="Arial" w:cs="Arial" w:eastAsia="Arial" w:hAnsi="Arial"/>
                <w:sz w:val="18"/>
                <w:szCs w:val="18"/>
                <w:color w:val="auto"/>
              </w:rPr>
              <w:t>100%</w:t>
            </w:r>
          </w:p>
        </w:tc>
        <w:tc>
          <w:tcPr>
            <w:tcW w:w="2180" w:type="dxa"/>
            <w:vAlign w:val="bottom"/>
            <w:tcBorders>
              <w:top w:val="single" w:sz="8" w:color="auto"/>
            </w:tcBorders>
          </w:tcPr>
          <w:p>
            <w:pPr>
              <w:jc w:val="center"/>
              <w:ind w:right="97"/>
              <w:spacing w:after="0"/>
              <w:rPr>
                <w:sz w:val="20"/>
                <w:szCs w:val="20"/>
                <w:color w:val="auto"/>
              </w:rPr>
            </w:pPr>
            <w:r>
              <w:rPr>
                <w:rFonts w:ascii="Arial" w:cs="Arial" w:eastAsia="Arial" w:hAnsi="Arial"/>
                <w:sz w:val="18"/>
                <w:szCs w:val="18"/>
                <w:color w:val="auto"/>
              </w:rPr>
              <w:t>$5.0</w:t>
            </w:r>
          </w:p>
        </w:tc>
      </w:tr>
      <w:tr>
        <w:trPr>
          <w:trHeight w:val="50"/>
        </w:trPr>
        <w:tc>
          <w:tcPr>
            <w:tcW w:w="188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86"/>
        </w:trPr>
        <w:tc>
          <w:tcPr>
            <w:tcW w:w="1880" w:type="dxa"/>
            <w:vAlign w:val="bottom"/>
            <w:tcBorders>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Threshold</w:t>
            </w:r>
          </w:p>
        </w:tc>
        <w:tc>
          <w:tcPr>
            <w:tcW w:w="2860" w:type="dxa"/>
            <w:vAlign w:val="bottom"/>
            <w:tcBorders>
              <w:bottom w:val="single" w:sz="8" w:color="auto"/>
            </w:tcBorders>
            <w:shd w:val="clear" w:color="auto" w:fill="CCCCCC"/>
          </w:tcPr>
          <w:p>
            <w:pPr>
              <w:jc w:val="right"/>
              <w:ind w:right="917"/>
              <w:spacing w:after="0"/>
              <w:rPr>
                <w:sz w:val="20"/>
                <w:szCs w:val="20"/>
                <w:color w:val="auto"/>
              </w:rPr>
            </w:pPr>
            <w:r>
              <w:rPr>
                <w:rFonts w:ascii="Arial" w:cs="Arial" w:eastAsia="Arial" w:hAnsi="Arial"/>
                <w:sz w:val="18"/>
                <w:szCs w:val="18"/>
                <w:color w:val="auto"/>
              </w:rPr>
              <w:t>​ 50%</w:t>
            </w:r>
          </w:p>
        </w:tc>
        <w:tc>
          <w:tcPr>
            <w:tcW w:w="2180" w:type="dxa"/>
            <w:vAlign w:val="bottom"/>
            <w:tcBorders>
              <w:bottom w:val="single" w:sz="8" w:color="auto"/>
            </w:tcBorders>
            <w:shd w:val="clear" w:color="auto" w:fill="CCCCCC"/>
          </w:tcPr>
          <w:p>
            <w:pPr>
              <w:jc w:val="center"/>
              <w:ind w:right="97"/>
              <w:spacing w:after="0"/>
              <w:rPr>
                <w:sz w:val="20"/>
                <w:szCs w:val="20"/>
                <w:color w:val="auto"/>
              </w:rPr>
            </w:pPr>
            <w:r>
              <w:rPr>
                <w:rFonts w:ascii="Arial" w:cs="Arial" w:eastAsia="Arial" w:hAnsi="Arial"/>
                <w:sz w:val="18"/>
                <w:szCs w:val="18"/>
                <w:color w:val="auto"/>
              </w:rPr>
              <w:t>$4.0</w:t>
            </w:r>
          </w:p>
        </w:tc>
      </w:tr>
    </w:tbl>
    <w:p>
      <w:pPr>
        <w:spacing w:after="0" w:line="153" w:lineRule="exact"/>
        <w:rPr>
          <w:sz w:val="20"/>
          <w:szCs w:val="20"/>
          <w:color w:val="auto"/>
        </w:rPr>
      </w:pPr>
    </w:p>
    <w:p>
      <w:pPr>
        <w:ind w:left="1790" w:hanging="350"/>
        <w:spacing w:after="0"/>
        <w:tabs>
          <w:tab w:leader="none" w:pos="179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Straight-line interpolation is generally used to determine achievement between specified achievement levels.</w:t>
      </w:r>
    </w:p>
    <w:p>
      <w:pPr>
        <w:spacing w:after="0" w:line="358"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Other 2022 Long-Term Incentive Awards</w:t>
      </w:r>
    </w:p>
    <w:p>
      <w:pPr>
        <w:spacing w:after="0" w:line="129" w:lineRule="exact"/>
        <w:rPr>
          <w:sz w:val="20"/>
          <w:szCs w:val="20"/>
          <w:color w:val="auto"/>
        </w:rPr>
      </w:pPr>
    </w:p>
    <w:p>
      <w:pPr>
        <w:jc w:val="both"/>
        <w:ind w:left="10"/>
        <w:spacing w:after="0" w:line="253" w:lineRule="auto"/>
        <w:rPr>
          <w:sz w:val="20"/>
          <w:szCs w:val="20"/>
          <w:color w:val="auto"/>
        </w:rPr>
      </w:pPr>
      <w:r>
        <w:rPr>
          <w:rFonts w:ascii="Arial" w:cs="Arial" w:eastAsia="Arial" w:hAnsi="Arial"/>
          <w:sz w:val="17"/>
          <w:szCs w:val="17"/>
          <w:i w:val="1"/>
          <w:iCs w:val="1"/>
          <w:color w:val="auto"/>
        </w:rPr>
        <w:t>New Hire Grant</w:t>
      </w:r>
      <w:r>
        <w:rPr>
          <w:rFonts w:ascii="Arial" w:cs="Arial" w:eastAsia="Arial" w:hAnsi="Arial"/>
          <w:sz w:val="17"/>
          <w:szCs w:val="17"/>
          <w:color w:val="auto"/>
        </w:rPr>
        <w:t>. In addition to the 2022 LTIP, our Chief Digital Officer received a new hire award, the substantial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designed to replace forfeited compensation opportunities from the executive’s prior employment. The Committee granted him an RSU award with a grant date value of $5 million, vesting 50% on the second anniversary of the grant date and 50% on the fourth anniversary of the grant date. In determining this vesting schedule, the Committee considered the importance of requiring four years of employment for the executive to receive the full benefit from this award given the special nature of the award, and that any unvested portion would be forfeited in the event of a voluntary separation from service. This award was also granted to incentivize our Chief Digital Officer to join our Company. In approving the award, the Committee recognized the importance of attracting top-level executive talent for this role, which is important to the execution of our long-term strategy and considered other factors, such as the executive’s extensive background and experience, and expected responsibilities. This role is key to the customer experience pillar of our strategy, which seeks to streamline reservation, modernize pick-up and exit, digitize the on-rent experience, and provide seamless returns.</w:t>
      </w:r>
    </w:p>
    <w:p>
      <w:pPr>
        <w:spacing w:after="0" w:line="109" w:lineRule="exact"/>
        <w:rPr>
          <w:sz w:val="20"/>
          <w:szCs w:val="20"/>
          <w:color w:val="auto"/>
        </w:rPr>
      </w:pPr>
    </w:p>
    <w:p>
      <w:pPr>
        <w:jc w:val="both"/>
        <w:ind w:left="10"/>
        <w:spacing w:after="0" w:line="238" w:lineRule="auto"/>
        <w:rPr>
          <w:sz w:val="20"/>
          <w:szCs w:val="20"/>
          <w:color w:val="auto"/>
        </w:rPr>
      </w:pPr>
      <w:r>
        <w:rPr>
          <w:rFonts w:ascii="Arial" w:cs="Arial" w:eastAsia="Arial" w:hAnsi="Arial"/>
          <w:sz w:val="18"/>
          <w:szCs w:val="18"/>
          <w:i w:val="1"/>
          <w:iCs w:val="1"/>
          <w:color w:val="auto"/>
        </w:rPr>
        <w:t>Incremental Equity Awards</w:t>
      </w:r>
      <w:r>
        <w:rPr>
          <w:rFonts w:ascii="Arial" w:cs="Arial" w:eastAsia="Arial" w:hAnsi="Arial"/>
          <w:sz w:val="18"/>
          <w:szCs w:val="18"/>
          <w:color w:val="auto"/>
        </w:rPr>
        <w:t>. In December 2022, the Committee reviewed executive compensation for our CEO, CFO and</w:t>
      </w:r>
      <w:r>
        <w:rPr>
          <w:rFonts w:ascii="Arial" w:cs="Arial" w:eastAsia="Arial" w:hAnsi="Arial"/>
          <w:sz w:val="18"/>
          <w:szCs w:val="18"/>
          <w:i w:val="1"/>
          <w:iCs w:val="1"/>
          <w:color w:val="auto"/>
        </w:rPr>
        <w:t xml:space="preserve"> </w:t>
      </w:r>
      <w:r>
        <w:rPr>
          <w:rFonts w:ascii="Arial" w:cs="Arial" w:eastAsia="Arial" w:hAnsi="Arial"/>
          <w:sz w:val="18"/>
          <w:szCs w:val="18"/>
          <w:color w:val="auto"/>
        </w:rPr>
        <w:t>EVP, Americas for 2022 in light of the very strong, record financial performance of the Company during the year following the significant impacts of the COVID-19 pandemic on the Company and the hospitality and travel industries. In conducting such review, the Committee considered that compensation for these executives has been in the median range of the Company’s Peer Group over the past three years while the Company’s three-year cumulative total shareholder return was well above median. Following this review, the Committee granted these officers incremental RSU awards with grant date values of $3.0 million, $1.5 million and $1.5 million, respectively, cliff vesting on the third anniversary of the date of grant, subject to continued employment. The Committee chose to grant these awards effective at year-end because the awards were designed to reward record financial performance of the Company, and to reinforce that they were one-time incremental awards outside of the annual LTIP program. In determining to cliff vest the awards after three years of continued employment, the Committee considered the importance of requiring three full years of employment for the executives to receive benefit from these awards given the special nature of the awards, and that the awards would be forfeited in the event of a voluntary separation from</w:t>
      </w:r>
    </w:p>
    <w:p>
      <w:pPr>
        <w:spacing w:after="0" w:line="28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service. The Committee also considered that the vesting term would provide incentives for these officers to continue to deliver strong performance over a longer term, which would be reflected in our long-term stock price performance in recognition of the fact that our 2022 stock price had decreased, while we saw record financial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Setting CEO and Other NEO Compensation</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Board has assigned to the Committee the responsibility to approve compensation for all NEOs, including our CEO. The roles and duties of participants in the decision-making process for our executive program are summarized below.</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Independent Compensation Consultant</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Consistent with its charter, the Committee continued its engagement of Pay Governance LLC, a compensation consulting firm, to work with the Committee and the Company as an adviser on executive compensation matters in 2022. The compensation consultant reports to, and is directed by, the Committee, which has the authority to retain or terminate compensation advisers. In early 2022, the Committee reviewed information regarding the independence and potential conflicts of interest of Pay Governance, taking into account, among other things, the factors set forth in the Nasdaq listing standards. Based on this review, the Committee concluded that the engagement of Pay Governance did not raise any conflict of interest. Outside of services provided for the Committee, the compensation consultant did not provide additional services to the Company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case of NEOs other than the CEO and the Executive Chairman, our Human Resources staff develops recommendations as to the level of compensation for each pay component generally based on position scope (defined as the executive’s relative responsibilities compared to others within the Company and the individual’s potential impact on Company operations), and the individual’s experience level and performance in addition to the factors discussed under “Analysis of 2022 Pay Decisions” above. Annual and long-term incentive plan designs are recommended by our Human Resources staff based on the Company’s business plan and goals, with input from the CFO and his staff. Recommendations related to the elements of pay generally reflect a review of practices of our Peer Group and Survey Data (as defined below), and are typically designed to take into consideration past practice and our strategy to tie a greater portion of total target compensation to variable versus fixed compensation.</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Each recommendation is then discussed with our CEO, Executive Chairman and Committee Chairman for feedback. Final recommendations are ultimately submitted to the Committee for consideration. The Committee is advised by the compensation consultant with respect to these recommendations and has the ultimate right and authority to revise and/or approve recommendations of management.</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Compensation for our CEO and our Executive Chairman is determined by the Committee, working directly with the compensation consultant. The Committee determines each component of compensation for these executives, taking into consideration performance as well as market and Peer Group data and other factors such as level of experience and responsibilities, leadership, skill, contributions to the Company and the size and complexity of the Company’s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approving annual and long-term incentive awards for our NEOs, the Committee assesses the risks associated with the adoption of these awards, including the performance measures and goals for the awards, and has concluded that the Company’s incentive awards would not be likely to encourage excessive risk-taking. Management also annually reviews the Company’s compensation policies and practices for employees generally with the Committee and the Company’s compensation consultant to determine whether these programs create incentives that might motivate inappropriate or excessive risk-taking. For additional information, please see “Functions and Meetings of the Board of Directors - Risk Management and Risk Assessment.”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33" w:name="page34"/>
    <w:bookmarkEnd w:id="33"/>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Consideration of Peer Groups and Survey Data</w:t>
      </w:r>
    </w:p>
    <w:p>
      <w:pPr>
        <w:spacing w:after="0" w:line="144" w:lineRule="exact"/>
        <w:rPr>
          <w:sz w:val="20"/>
          <w:szCs w:val="20"/>
          <w:color w:val="auto"/>
        </w:rPr>
      </w:pPr>
    </w:p>
    <w:p>
      <w:pPr>
        <w:jc w:val="both"/>
        <w:ind w:left="10" w:right="20"/>
        <w:spacing w:after="0" w:line="253" w:lineRule="auto"/>
        <w:rPr>
          <w:sz w:val="20"/>
          <w:szCs w:val="20"/>
          <w:color w:val="auto"/>
        </w:rPr>
      </w:pPr>
      <w:r>
        <w:rPr>
          <w:rFonts w:ascii="Arial" w:cs="Arial" w:eastAsia="Arial" w:hAnsi="Arial"/>
          <w:sz w:val="18"/>
          <w:szCs w:val="18"/>
          <w:color w:val="auto"/>
        </w:rPr>
        <w:t>The Committee developed the Company’s peer group set forth below for 2022 pay decisions (the “Peer Group”), taking into consideration that very few direct industry competitors exist, the Company’s business model, the relevant labor market for talent and other factors, including but not limited to the following:</w:t>
      </w:r>
    </w:p>
    <w:p>
      <w:pPr>
        <w:spacing w:after="0" w:line="101" w:lineRule="exact"/>
        <w:rPr>
          <w:sz w:val="20"/>
          <w:szCs w:val="20"/>
          <w:color w:val="auto"/>
        </w:rPr>
      </w:pPr>
    </w:p>
    <w:p>
      <w:pPr>
        <w:ind w:left="350" w:hanging="350"/>
        <w:spacing w:after="0" w:line="271" w:lineRule="auto"/>
        <w:tabs>
          <w:tab w:leader="none" w:pos="3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industry for peer group companies, which the Committee believes should operate within hotel/resort, travel, trucking automotive retail and rental retail industries; and</w:t>
      </w:r>
    </w:p>
    <w:p>
      <w:pPr>
        <w:spacing w:after="0" w:line="72" w:lineRule="exact"/>
        <w:rPr>
          <w:rFonts w:ascii="Arial" w:cs="Arial" w:eastAsia="Arial" w:hAnsi="Arial"/>
          <w:sz w:val="18"/>
          <w:szCs w:val="18"/>
          <w:color w:val="auto"/>
        </w:rPr>
      </w:pPr>
    </w:p>
    <w:p>
      <w:pPr>
        <w:ind w:left="350" w:hanging="350"/>
        <w:spacing w:after="0"/>
        <w:tabs>
          <w:tab w:leader="none" w:pos="3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capitalization and revenue for peer group companies, with primary emphasis on market capitalization.</w:t>
      </w:r>
    </w:p>
    <w:p>
      <w:pPr>
        <w:spacing w:after="0" w:line="378"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PEER GROUP</w:t>
      </w:r>
    </w:p>
    <w:p>
      <w:pPr>
        <w:sectPr>
          <w:pgSz w:w="11900" w:h="16838" w:orient="portrait"/>
          <w:cols w:equalWidth="0" w:num="1">
            <w:col w:w="9830"/>
          </w:cols>
          <w:pgMar w:left="1030" w:top="263" w:right="1039" w:bottom="1440" w:gutter="0" w:footer="0" w:header="0"/>
        </w:sectPr>
      </w:pPr>
    </w:p>
    <w:p>
      <w:pPr>
        <w:spacing w:after="0" w:line="176" w:lineRule="exact"/>
        <w:rPr>
          <w:sz w:val="20"/>
          <w:szCs w:val="20"/>
          <w:color w:val="auto"/>
        </w:rPr>
      </w:pPr>
    </w:p>
    <w:p>
      <w:pPr>
        <w:ind w:left="450"/>
        <w:spacing w:after="0"/>
        <w:rPr>
          <w:sz w:val="20"/>
          <w:szCs w:val="20"/>
          <w:color w:val="auto"/>
        </w:rPr>
      </w:pPr>
      <w:r>
        <w:rPr>
          <w:rFonts w:ascii="Arial" w:cs="Arial" w:eastAsia="Arial" w:hAnsi="Arial"/>
          <w:sz w:val="17"/>
          <w:szCs w:val="17"/>
          <w:color w:val="auto"/>
        </w:rPr>
        <w:t>Alaska Air Group, Inc.</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J.B. Hunt Transportation Services, Inc.</w:t>
      </w:r>
    </w:p>
    <w:p>
      <w:pPr>
        <w:spacing w:after="0" w:line="115" w:lineRule="exact"/>
        <w:rPr>
          <w:sz w:val="20"/>
          <w:szCs w:val="20"/>
          <w:color w:val="auto"/>
        </w:rPr>
      </w:pPr>
    </w:p>
    <w:p>
      <w:pPr>
        <w:sectPr>
          <w:pgSz w:w="11900" w:h="16838" w:orient="portrait"/>
          <w:cols w:equalWidth="0" w:num="2">
            <w:col w:w="4430" w:space="720"/>
            <w:col w:w="4680"/>
          </w:cols>
          <w:pgMar w:left="1030" w:top="263" w:right="1039" w:bottom="1440" w:gutter="0" w:footer="0" w:header="0"/>
          <w:type w:val="continuous"/>
        </w:sectPr>
      </w:pPr>
    </w:p>
    <w:p>
      <w:pPr>
        <w:ind w:left="450"/>
        <w:spacing w:after="0"/>
        <w:rPr>
          <w:sz w:val="20"/>
          <w:szCs w:val="20"/>
          <w:color w:val="auto"/>
        </w:rPr>
      </w:pPr>
      <w:r>
        <w:rPr>
          <w:rFonts w:ascii="Arial" w:cs="Arial" w:eastAsia="Arial" w:hAnsi="Arial"/>
          <w:sz w:val="17"/>
          <w:szCs w:val="17"/>
          <w:color w:val="auto"/>
        </w:rPr>
        <w:t>American Airlines Group Inc.</w:t>
      </w:r>
    </w:p>
    <w:p>
      <w:pPr>
        <w:spacing w:after="0" w:line="20" w:lineRule="exact"/>
        <w:rPr>
          <w:sz w:val="20"/>
          <w:szCs w:val="20"/>
          <w:color w:val="auto"/>
        </w:rPr>
      </w:pPr>
      <w:r>
        <w:rPr>
          <w:sz w:val="20"/>
          <w:szCs w:val="20"/>
          <w:color w:val="auto"/>
        </w:rPr>
        <w:br w:type="column"/>
      </w:r>
    </w:p>
    <w:p>
      <w:pPr>
        <w:jc w:val="center"/>
        <w:ind w:right="2420"/>
        <w:spacing w:after="0"/>
        <w:rPr>
          <w:sz w:val="20"/>
          <w:szCs w:val="20"/>
          <w:color w:val="auto"/>
        </w:rPr>
      </w:pPr>
      <w:r>
        <w:rPr>
          <w:rFonts w:ascii="Arial" w:cs="Arial" w:eastAsia="Arial" w:hAnsi="Arial"/>
          <w:sz w:val="17"/>
          <w:szCs w:val="17"/>
          <w:color w:val="auto"/>
        </w:rPr>
        <w:t>JetBlue Airways Corporation</w:t>
      </w:r>
    </w:p>
    <w:p>
      <w:pPr>
        <w:spacing w:after="0" w:line="115" w:lineRule="exact"/>
        <w:rPr>
          <w:sz w:val="20"/>
          <w:szCs w:val="20"/>
          <w:color w:val="auto"/>
        </w:rPr>
      </w:pPr>
    </w:p>
    <w:p>
      <w:pPr>
        <w:sectPr>
          <w:pgSz w:w="11900" w:h="16838" w:orient="portrait"/>
          <w:cols w:equalWidth="0" w:num="2">
            <w:col w:w="4430" w:space="720"/>
            <w:col w:w="4680"/>
          </w:cols>
          <w:pgMar w:left="1030" w:top="263" w:right="1039" w:bottom="1440" w:gutter="0" w:footer="0" w:header="0"/>
          <w:type w:val="continuous"/>
        </w:sectPr>
      </w:pPr>
    </w:p>
    <w:p>
      <w:pPr>
        <w:ind w:left="450"/>
        <w:spacing w:after="0"/>
        <w:rPr>
          <w:sz w:val="20"/>
          <w:szCs w:val="20"/>
          <w:color w:val="auto"/>
        </w:rPr>
      </w:pPr>
      <w:r>
        <w:rPr>
          <w:rFonts w:ascii="Arial" w:cs="Arial" w:eastAsia="Arial" w:hAnsi="Arial"/>
          <w:sz w:val="17"/>
          <w:szCs w:val="17"/>
          <w:color w:val="auto"/>
        </w:rPr>
        <w:t>Asbury Automotive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KAR Auction Services, Inc.</w:t>
      </w:r>
    </w:p>
    <w:p>
      <w:pPr>
        <w:spacing w:after="0" w:line="115" w:lineRule="exact"/>
        <w:rPr>
          <w:sz w:val="20"/>
          <w:szCs w:val="20"/>
          <w:color w:val="auto"/>
        </w:rPr>
      </w:pPr>
    </w:p>
    <w:p>
      <w:pPr>
        <w:sectPr>
          <w:pgSz w:w="11900" w:h="16838" w:orient="portrait"/>
          <w:cols w:equalWidth="0" w:num="2">
            <w:col w:w="4430" w:space="720"/>
            <w:col w:w="4680"/>
          </w:cols>
          <w:pgMar w:left="1030" w:top="263" w:right="1039" w:bottom="1440" w:gutter="0" w:footer="0" w:header="0"/>
          <w:type w:val="continuous"/>
        </w:sectPr>
      </w:pPr>
    </w:p>
    <w:p>
      <w:pPr>
        <w:ind w:left="450"/>
        <w:spacing w:after="0"/>
        <w:rPr>
          <w:sz w:val="20"/>
          <w:szCs w:val="20"/>
          <w:color w:val="auto"/>
        </w:rPr>
      </w:pPr>
      <w:r>
        <w:rPr>
          <w:rFonts w:ascii="Arial" w:cs="Arial" w:eastAsia="Arial" w:hAnsi="Arial"/>
          <w:sz w:val="17"/>
          <w:szCs w:val="17"/>
          <w:color w:val="auto"/>
        </w:rPr>
        <w:t>AutoNation,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Norwegian Cruise Line Holdings Ltd.</w:t>
      </w:r>
    </w:p>
    <w:p>
      <w:pPr>
        <w:spacing w:after="0" w:line="115" w:lineRule="exact"/>
        <w:rPr>
          <w:sz w:val="20"/>
          <w:szCs w:val="20"/>
          <w:color w:val="auto"/>
        </w:rPr>
      </w:pPr>
    </w:p>
    <w:p>
      <w:pPr>
        <w:sectPr>
          <w:pgSz w:w="11900" w:h="16838" w:orient="portrait"/>
          <w:cols w:equalWidth="0" w:num="2">
            <w:col w:w="4430" w:space="720"/>
            <w:col w:w="4680"/>
          </w:cols>
          <w:pgMar w:left="1030" w:top="263" w:right="1039" w:bottom="1440" w:gutter="0" w:footer="0" w:header="0"/>
          <w:type w:val="continuous"/>
        </w:sectPr>
      </w:pPr>
    </w:p>
    <w:p>
      <w:pPr>
        <w:ind w:left="450"/>
        <w:spacing w:after="0"/>
        <w:rPr>
          <w:sz w:val="20"/>
          <w:szCs w:val="20"/>
          <w:color w:val="auto"/>
        </w:rPr>
      </w:pPr>
      <w:r>
        <w:rPr>
          <w:rFonts w:ascii="Arial" w:cs="Arial" w:eastAsia="Arial" w:hAnsi="Arial"/>
          <w:sz w:val="17"/>
          <w:szCs w:val="17"/>
          <w:color w:val="auto"/>
        </w:rPr>
        <w:t>Choice Hotels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Rent A Center, Inc.</w:t>
      </w:r>
    </w:p>
    <w:p>
      <w:pPr>
        <w:spacing w:after="0" w:line="115" w:lineRule="exact"/>
        <w:rPr>
          <w:sz w:val="20"/>
          <w:szCs w:val="20"/>
          <w:color w:val="auto"/>
        </w:rPr>
      </w:pPr>
    </w:p>
    <w:p>
      <w:pPr>
        <w:sectPr>
          <w:pgSz w:w="11900" w:h="16838" w:orient="portrait"/>
          <w:cols w:equalWidth="0" w:num="2">
            <w:col w:w="4430" w:space="720"/>
            <w:col w:w="4680"/>
          </w:cols>
          <w:pgMar w:left="1030" w:top="263" w:right="1039" w:bottom="1440" w:gutter="0" w:footer="0" w:header="0"/>
          <w:type w:val="continuous"/>
        </w:sectPr>
      </w:pPr>
    </w:p>
    <w:p>
      <w:pPr>
        <w:ind w:left="450"/>
        <w:spacing w:after="0"/>
        <w:rPr>
          <w:sz w:val="20"/>
          <w:szCs w:val="20"/>
          <w:color w:val="auto"/>
        </w:rPr>
      </w:pPr>
      <w:r>
        <w:rPr>
          <w:rFonts w:ascii="Arial" w:cs="Arial" w:eastAsia="Arial" w:hAnsi="Arial"/>
          <w:sz w:val="17"/>
          <w:szCs w:val="17"/>
          <w:color w:val="auto"/>
        </w:rPr>
        <w:t>Group 1 Automotive,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Ryder System, Inc.</w:t>
      </w:r>
    </w:p>
    <w:p>
      <w:pPr>
        <w:spacing w:after="0" w:line="115" w:lineRule="exact"/>
        <w:rPr>
          <w:sz w:val="20"/>
          <w:szCs w:val="20"/>
          <w:color w:val="auto"/>
        </w:rPr>
      </w:pPr>
    </w:p>
    <w:p>
      <w:pPr>
        <w:sectPr>
          <w:pgSz w:w="11900" w:h="16838" w:orient="portrait"/>
          <w:cols w:equalWidth="0" w:num="2">
            <w:col w:w="4430" w:space="720"/>
            <w:col w:w="4680"/>
          </w:cols>
          <w:pgMar w:left="1030" w:top="263" w:right="1039" w:bottom="1440" w:gutter="0" w:footer="0" w:header="0"/>
          <w:type w:val="continuous"/>
        </w:sectPr>
      </w:pPr>
    </w:p>
    <w:p>
      <w:pPr>
        <w:ind w:left="450"/>
        <w:spacing w:after="0"/>
        <w:rPr>
          <w:sz w:val="20"/>
          <w:szCs w:val="20"/>
          <w:color w:val="auto"/>
        </w:rPr>
      </w:pPr>
      <w:r>
        <w:rPr>
          <w:rFonts w:ascii="Arial" w:cs="Arial" w:eastAsia="Arial" w:hAnsi="Arial"/>
          <w:sz w:val="17"/>
          <w:szCs w:val="17"/>
          <w:color w:val="auto"/>
        </w:rPr>
        <w:t>Hertz Global Holdings, Inc.</w:t>
      </w:r>
    </w:p>
    <w:p>
      <w:pPr>
        <w:spacing w:after="0" w:line="20" w:lineRule="exact"/>
        <w:rPr>
          <w:sz w:val="20"/>
          <w:szCs w:val="20"/>
          <w:color w:val="auto"/>
        </w:rPr>
      </w:pPr>
      <w:r>
        <w:rPr>
          <w:sz w:val="20"/>
          <w:szCs w:val="20"/>
          <w:color w:val="auto"/>
        </w:rPr>
        <w:br w:type="column"/>
      </w:r>
    </w:p>
    <w:p>
      <w:pPr>
        <w:jc w:val="center"/>
        <w:ind w:right="2780"/>
        <w:spacing w:after="0"/>
        <w:rPr>
          <w:sz w:val="20"/>
          <w:szCs w:val="20"/>
          <w:color w:val="auto"/>
        </w:rPr>
      </w:pPr>
      <w:r>
        <w:rPr>
          <w:rFonts w:ascii="Arial" w:cs="Arial" w:eastAsia="Arial" w:hAnsi="Arial"/>
          <w:sz w:val="17"/>
          <w:szCs w:val="17"/>
          <w:color w:val="auto"/>
        </w:rPr>
        <w:t>Schneider National, Inc.</w:t>
      </w:r>
    </w:p>
    <w:p>
      <w:pPr>
        <w:spacing w:after="0" w:line="115" w:lineRule="exact"/>
        <w:rPr>
          <w:sz w:val="20"/>
          <w:szCs w:val="20"/>
          <w:color w:val="auto"/>
        </w:rPr>
      </w:pPr>
    </w:p>
    <w:p>
      <w:pPr>
        <w:sectPr>
          <w:pgSz w:w="11900" w:h="16838" w:orient="portrait"/>
          <w:cols w:equalWidth="0" w:num="2">
            <w:col w:w="4430" w:space="720"/>
            <w:col w:w="4680"/>
          </w:cols>
          <w:pgMar w:left="1030" w:top="263" w:right="1039" w:bottom="1440" w:gutter="0" w:footer="0" w:header="0"/>
          <w:type w:val="continuous"/>
        </w:sectPr>
      </w:pPr>
    </w:p>
    <w:p>
      <w:pPr>
        <w:ind w:left="450"/>
        <w:spacing w:after="0"/>
        <w:rPr>
          <w:sz w:val="20"/>
          <w:szCs w:val="20"/>
          <w:color w:val="auto"/>
        </w:rPr>
      </w:pPr>
      <w:r>
        <w:rPr>
          <w:rFonts w:ascii="Arial" w:cs="Arial" w:eastAsia="Arial" w:hAnsi="Arial"/>
          <w:sz w:val="17"/>
          <w:szCs w:val="17"/>
          <w:color w:val="auto"/>
        </w:rPr>
        <w:t>Hyatt Hotels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Travel + Leisure Co.</w:t>
      </w:r>
    </w:p>
    <w:p>
      <w:pPr>
        <w:spacing w:after="0" w:line="115" w:lineRule="exact"/>
        <w:rPr>
          <w:sz w:val="20"/>
          <w:szCs w:val="20"/>
          <w:color w:val="auto"/>
        </w:rPr>
      </w:pPr>
    </w:p>
    <w:p>
      <w:pPr>
        <w:sectPr>
          <w:pgSz w:w="11900" w:h="16838" w:orient="portrait"/>
          <w:cols w:equalWidth="0" w:num="2">
            <w:col w:w="4430" w:space="720"/>
            <w:col w:w="4680"/>
          </w:cols>
          <w:pgMar w:left="1030" w:top="263" w:right="1039" w:bottom="1440" w:gutter="0" w:footer="0" w:header="0"/>
          <w:type w:val="continuous"/>
        </w:sectPr>
      </w:pPr>
    </w:p>
    <w:p>
      <w:pPr>
        <w:ind w:left="450"/>
        <w:spacing w:after="0"/>
        <w:rPr>
          <w:sz w:val="20"/>
          <w:szCs w:val="20"/>
          <w:color w:val="auto"/>
        </w:rPr>
      </w:pPr>
      <w:r>
        <w:rPr>
          <w:rFonts w:ascii="Arial" w:cs="Arial" w:eastAsia="Arial" w:hAnsi="Arial"/>
          <w:sz w:val="17"/>
          <w:szCs w:val="17"/>
          <w:color w:val="auto"/>
        </w:rPr>
        <w:t>InterContinental Hotels Group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Airlines Holdings, Inc.</w:t>
      </w:r>
    </w:p>
    <w:p>
      <w:pPr>
        <w:spacing w:after="0" w:line="200" w:lineRule="exact"/>
        <w:rPr>
          <w:sz w:val="20"/>
          <w:szCs w:val="20"/>
          <w:color w:val="auto"/>
        </w:rPr>
      </w:pPr>
    </w:p>
    <w:p>
      <w:pPr>
        <w:sectPr>
          <w:pgSz w:w="11900" w:h="16838" w:orient="portrait"/>
          <w:cols w:equalWidth="0" w:num="2">
            <w:col w:w="4430" w:space="720"/>
            <w:col w:w="4680"/>
          </w:cols>
          <w:pgMar w:left="1030" w:top="263" w:right="1039" w:bottom="1440" w:gutter="0" w:footer="0" w:header="0"/>
          <w:type w:val="continuous"/>
        </w:sectPr>
      </w:pPr>
    </w:p>
    <w:p>
      <w:pPr>
        <w:spacing w:after="0" w:line="50"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The Committee reviewed pay data of the Peer Group for 2022 pay decisions to ensure reasonable comparability of the compensation of our NEOs. The Committee does not specifically target any percentile within the Peer Group when setting overall compensation, any individual element of compensation or the relative pay mix among different elements of compensation. The Committee reviews the Peer Group periodically to ensure that the component companies continue to meet the criteria for which they were selected, as well as to identify other companies that may become appropriate for inclusion.</w:t>
      </w:r>
    </w:p>
    <w:p>
      <w:pPr>
        <w:spacing w:after="0" w:line="111" w:lineRule="exact"/>
        <w:rPr>
          <w:sz w:val="20"/>
          <w:szCs w:val="20"/>
          <w:color w:val="auto"/>
        </w:rPr>
      </w:pPr>
    </w:p>
    <w:p>
      <w:pPr>
        <w:jc w:val="both"/>
        <w:ind w:left="10"/>
        <w:spacing w:after="0"/>
        <w:rPr>
          <w:sz w:val="20"/>
          <w:szCs w:val="20"/>
          <w:color w:val="auto"/>
        </w:rPr>
      </w:pPr>
      <w:r>
        <w:rPr>
          <w:rFonts w:ascii="Arial" w:cs="Arial" w:eastAsia="Arial" w:hAnsi="Arial"/>
          <w:sz w:val="18"/>
          <w:szCs w:val="18"/>
          <w:color w:val="auto"/>
        </w:rPr>
        <w:t>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 consulting firms such as Aon Hewitt and Willis Towers Watson for</w:t>
      </w:r>
    </w:p>
    <w:p>
      <w:pPr>
        <w:jc w:val="both"/>
        <w:ind w:left="10"/>
        <w:spacing w:after="0" w:line="205" w:lineRule="auto"/>
        <w:rPr>
          <w:sz w:val="20"/>
          <w:szCs w:val="20"/>
          <w:color w:val="auto"/>
        </w:rPr>
      </w:pPr>
      <w:r>
        <w:rPr>
          <w:rFonts w:ascii="Arial" w:cs="Arial" w:eastAsia="Arial" w:hAnsi="Arial"/>
          <w:sz w:val="18"/>
          <w:szCs w:val="18"/>
          <w:color w:val="auto"/>
        </w:rPr>
        <w:t>companies that have revenue comparable to ours (the “Survey Data”) as another data point. The Survey Data</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represents data from over 1,000 companies sized according to revenue, assets and number of employees.</w:t>
      </w:r>
    </w:p>
    <w:p>
      <w:pPr>
        <w:spacing w:after="0" w:line="101"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In 2022, the Committee considered the Survey Data for each element of the 2022 compensation and benefits package as a general check and to ensure reasonable comparability. Consideration of the Peer Group and the Survey Data represented just two factors considered in setting executive compensation for 2022. Please refer to “Analysis of 2022 Pay Decisions” for the other factors considered in setting executive compensation for 2022.</w:t>
      </w:r>
    </w:p>
    <w:p>
      <w:pPr>
        <w:spacing w:after="0" w:line="32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Committee Consideration of the Company’s 2022 Shareholder Vote on Executive Compensation</w:t>
      </w:r>
    </w:p>
    <w:p>
      <w:pPr>
        <w:spacing w:after="0" w:line="144"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The Committee reviewed the results of the Company’s Say on Pay vote in 2022. At the 2022 Annual Meeting of Shareholders, 98.4% of the votes cast were in support of the Company’s Say on Pay proposal. Based on the 2022 Say on Pay results and feedback from shareholders, the Committee concluded that the Company’s overall compensation program as it relates to its NEOs enjoys the support of the Company’s shareholders and does not require revision to address any broad shareholder concern.</w:t>
      </w:r>
    </w:p>
    <w:p>
      <w:pPr>
        <w:spacing w:after="0" w:line="31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Policy Related to Equity Awards</w:t>
      </w:r>
    </w:p>
    <w:p>
      <w:pPr>
        <w:spacing w:after="0" w:line="144"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Our practice has been to grant regular long-term incentive awards at pre-established meetings of the Committee. Annual long-term incentive awards, which typically include awards granted to all of the NEOs, are usually approved in the first quarter. However, the Committee retains the ability to determine, and has in the past determined, to make grants at other times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8229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96" w:lineRule="exact"/>
        <w:rPr>
          <w:sz w:val="20"/>
          <w:szCs w:val="20"/>
          <w:color w:val="auto"/>
        </w:rPr>
      </w:pPr>
    </w:p>
    <w:p>
      <w:pPr>
        <w:jc w:val="both"/>
        <w:ind w:left="170" w:right="20" w:hanging="170"/>
        <w:spacing w:after="0" w:line="214" w:lineRule="auto"/>
        <w:tabs>
          <w:tab w:leader="none" w:pos="17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 utilized.</w:t>
      </w:r>
    </w:p>
    <w:p>
      <w:pPr>
        <w:spacing w:after="0" w:line="28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type w:val="continuous"/>
        </w:sectPr>
      </w:pPr>
    </w:p>
    <w:bookmarkStart w:id="34" w:name="page35"/>
    <w:bookmarkEnd w:id="34"/>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the year, including but not limited to approvals for executives hired or promoted during the year. In connection with valuing the grants of stock-based awards, it is our policy generally to use, as the grant or strike price for any stock-based compensation vehicle, the closing price of our Common Stock on the grant date, which is often the date the Committee approves the award but may be a future specified date. The Committee typically approves a dollar amount for each RSU award, which is then divided by the closing price of our Common Stock on the date of grant to arrive at the number of RSUs to be granted.</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Stock Ownership and Retention Guidelines</w:t>
      </w:r>
    </w:p>
    <w:p>
      <w:pPr>
        <w:spacing w:after="0" w:line="131"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Our executive stock ownership guidelines require NEOs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(if applicable), until reaching the following specified ownership thresholds: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000" w:type="dxa"/>
            <w:vAlign w:val="bottom"/>
          </w:tcPr>
          <w:p>
            <w:pPr>
              <w:ind w:left="100"/>
              <w:spacing w:after="0"/>
              <w:rPr>
                <w:sz w:val="20"/>
                <w:szCs w:val="20"/>
                <w:color w:val="auto"/>
              </w:rPr>
            </w:pPr>
            <w:r>
              <w:rPr>
                <w:rFonts w:ascii="Arial" w:cs="Arial" w:eastAsia="Arial" w:hAnsi="Arial"/>
                <w:sz w:val="18"/>
                <w:szCs w:val="18"/>
                <w:b w:val="1"/>
                <w:bCs w:val="1"/>
                <w:color w:val="auto"/>
              </w:rPr>
              <w:t>Officer Role(s)</w:t>
            </w:r>
          </w:p>
        </w:tc>
        <w:tc>
          <w:tcPr>
            <w:tcW w:w="5840" w:type="dxa"/>
            <w:vAlign w:val="bottom"/>
          </w:tcPr>
          <w:p>
            <w:pPr>
              <w:ind w:left="1040"/>
              <w:spacing w:after="0"/>
              <w:rPr>
                <w:sz w:val="20"/>
                <w:szCs w:val="20"/>
                <w:color w:val="auto"/>
              </w:rPr>
            </w:pPr>
            <w:r>
              <w:rPr>
                <w:rFonts w:ascii="Arial" w:cs="Arial" w:eastAsia="Arial" w:hAnsi="Arial"/>
                <w:sz w:val="18"/>
                <w:szCs w:val="18"/>
                <w:b w:val="1"/>
                <w:bCs w:val="1"/>
                <w:color w:val="auto"/>
              </w:rPr>
              <w:t>Threshold</w:t>
            </w:r>
          </w:p>
        </w:tc>
      </w:tr>
      <w:tr>
        <w:trPr>
          <w:trHeight w:val="42"/>
        </w:trPr>
        <w:tc>
          <w:tcPr>
            <w:tcW w:w="4000" w:type="dxa"/>
            <w:vAlign w:val="bottom"/>
            <w:tcBorders>
              <w:bottom w:val="single" w:sz="8" w:color="auto"/>
            </w:tcBorders>
          </w:tcPr>
          <w:p>
            <w:pPr>
              <w:spacing w:after="0"/>
              <w:rPr>
                <w:sz w:val="3"/>
                <w:szCs w:val="3"/>
                <w:color w:val="auto"/>
              </w:rPr>
            </w:pPr>
          </w:p>
        </w:tc>
        <w:tc>
          <w:tcPr>
            <w:tcW w:w="5840" w:type="dxa"/>
            <w:vAlign w:val="bottom"/>
            <w:tcBorders>
              <w:bottom w:val="single" w:sz="8" w:color="auto"/>
            </w:tcBorders>
          </w:tcPr>
          <w:p>
            <w:pPr>
              <w:spacing w:after="0"/>
              <w:rPr>
                <w:sz w:val="3"/>
                <w:szCs w:val="3"/>
                <w:color w:val="auto"/>
              </w:rPr>
            </w:pPr>
          </w:p>
        </w:tc>
      </w:tr>
      <w:tr>
        <w:trPr>
          <w:trHeight w:val="298"/>
        </w:trPr>
        <w:tc>
          <w:tcPr>
            <w:tcW w:w="400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Executive Chairman; CEO</w:t>
            </w:r>
          </w:p>
        </w:tc>
        <w:tc>
          <w:tcPr>
            <w:tcW w:w="5840" w:type="dxa"/>
            <w:vAlign w:val="bottom"/>
            <w:tcBorders>
              <w:bottom w:val="single" w:sz="8" w:color="CCCCCC"/>
            </w:tcBorders>
            <w:shd w:val="clear" w:color="auto" w:fill="CCCCCC"/>
          </w:tcPr>
          <w:p>
            <w:pPr>
              <w:ind w:left="1040"/>
              <w:spacing w:after="0"/>
              <w:rPr>
                <w:sz w:val="20"/>
                <w:szCs w:val="20"/>
                <w:color w:val="auto"/>
              </w:rPr>
            </w:pPr>
            <w:r>
              <w:rPr>
                <w:rFonts w:ascii="Arial" w:cs="Arial" w:eastAsia="Arial" w:hAnsi="Arial"/>
                <w:sz w:val="18"/>
                <w:szCs w:val="18"/>
                <w:color w:val="auto"/>
              </w:rPr>
              <w:t>Five times base salary</w:t>
            </w:r>
          </w:p>
        </w:tc>
      </w:tr>
      <w:tr>
        <w:trPr>
          <w:trHeight w:val="274"/>
        </w:trPr>
        <w:tc>
          <w:tcPr>
            <w:tcW w:w="4000" w:type="dxa"/>
            <w:vAlign w:val="bottom"/>
          </w:tcPr>
          <w:p>
            <w:pPr>
              <w:ind w:left="100"/>
              <w:spacing w:after="0"/>
              <w:rPr>
                <w:sz w:val="20"/>
                <w:szCs w:val="20"/>
                <w:color w:val="auto"/>
              </w:rPr>
            </w:pPr>
            <w:r>
              <w:rPr>
                <w:rFonts w:ascii="Arial" w:cs="Arial" w:eastAsia="Arial" w:hAnsi="Arial"/>
                <w:sz w:val="18"/>
                <w:szCs w:val="18"/>
                <w:color w:val="auto"/>
              </w:rPr>
              <w:t>CFO</w:t>
            </w:r>
          </w:p>
        </w:tc>
        <w:tc>
          <w:tcPr>
            <w:tcW w:w="5840" w:type="dxa"/>
            <w:vAlign w:val="bottom"/>
          </w:tcPr>
          <w:p>
            <w:pPr>
              <w:ind w:left="1040"/>
              <w:spacing w:after="0"/>
              <w:rPr>
                <w:sz w:val="20"/>
                <w:szCs w:val="20"/>
                <w:color w:val="auto"/>
              </w:rPr>
            </w:pPr>
            <w:r>
              <w:rPr>
                <w:rFonts w:ascii="Arial" w:cs="Arial" w:eastAsia="Arial" w:hAnsi="Arial"/>
                <w:sz w:val="18"/>
                <w:szCs w:val="18"/>
                <w:color w:val="auto"/>
              </w:rPr>
              <w:t>Three times base salary</w:t>
            </w:r>
          </w:p>
        </w:tc>
      </w:tr>
      <w:tr>
        <w:trPr>
          <w:trHeight w:val="36"/>
        </w:trPr>
        <w:tc>
          <w:tcPr>
            <w:tcW w:w="4000" w:type="dxa"/>
            <w:vAlign w:val="bottom"/>
          </w:tcPr>
          <w:p>
            <w:pPr>
              <w:spacing w:after="0"/>
              <w:rPr>
                <w:sz w:val="3"/>
                <w:szCs w:val="3"/>
                <w:color w:val="auto"/>
              </w:rPr>
            </w:pPr>
          </w:p>
        </w:tc>
        <w:tc>
          <w:tcPr>
            <w:tcW w:w="5840" w:type="dxa"/>
            <w:vAlign w:val="bottom"/>
          </w:tcPr>
          <w:p>
            <w:pPr>
              <w:spacing w:after="0"/>
              <w:rPr>
                <w:sz w:val="3"/>
                <w:szCs w:val="3"/>
                <w:color w:val="auto"/>
              </w:rPr>
            </w:pPr>
          </w:p>
        </w:tc>
      </w:tr>
      <w:tr>
        <w:trPr>
          <w:trHeight w:val="279"/>
        </w:trPr>
        <w:tc>
          <w:tcPr>
            <w:tcW w:w="400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Chief Digital Officer; EVP, Americas</w:t>
            </w:r>
          </w:p>
        </w:tc>
        <w:tc>
          <w:tcPr>
            <w:tcW w:w="5840" w:type="dxa"/>
            <w:vAlign w:val="bottom"/>
            <w:tcBorders>
              <w:bottom w:val="single" w:sz="8" w:color="auto"/>
            </w:tcBorders>
            <w:shd w:val="clear" w:color="auto" w:fill="CCCCCC"/>
          </w:tcPr>
          <w:p>
            <w:pPr>
              <w:ind w:left="1040"/>
              <w:spacing w:after="0"/>
              <w:rPr>
                <w:sz w:val="20"/>
                <w:szCs w:val="20"/>
                <w:color w:val="auto"/>
              </w:rPr>
            </w:pPr>
            <w:r>
              <w:rPr>
                <w:rFonts w:ascii="Arial" w:cs="Arial" w:eastAsia="Arial" w:hAnsi="Arial"/>
                <w:sz w:val="18"/>
                <w:szCs w:val="18"/>
                <w:color w:val="auto"/>
              </w:rPr>
              <w:t>Two times base salary</w:t>
            </w:r>
          </w:p>
        </w:tc>
      </w:tr>
    </w:tbl>
    <w:p>
      <w:pPr>
        <w:spacing w:after="0" w:line="197"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Given the mandatory hold provision until thresholds are obtained, there is no specified deadline for achieving designated thresholds. For purposes of the executive stock ownership guidelines, stock ownership is defined to include stock owned by the executive directly and stock owned indirectly, including through the Company’s savings plan. As of December 31, 2022, each NEO had met the applicable ownership thresholds, other than our Chief Digital Officer who joined the Company in July 2022.</w:t>
      </w:r>
    </w:p>
    <w:p>
      <w:pPr>
        <w:spacing w:after="0" w:line="95" w:lineRule="exact"/>
        <w:rPr>
          <w:sz w:val="20"/>
          <w:szCs w:val="20"/>
          <w:color w:val="auto"/>
        </w:rPr>
      </w:pPr>
    </w:p>
    <w:p>
      <w:pPr>
        <w:jc w:val="both"/>
        <w:ind w:left="20"/>
        <w:spacing w:after="0" w:line="301" w:lineRule="auto"/>
        <w:rPr>
          <w:sz w:val="20"/>
          <w:szCs w:val="20"/>
          <w:color w:val="auto"/>
        </w:rPr>
      </w:pPr>
      <w:r>
        <w:rPr>
          <w:rFonts w:ascii="Arial" w:cs="Arial" w:eastAsia="Arial" w:hAnsi="Arial"/>
          <w:sz w:val="17"/>
          <w:szCs w:val="17"/>
          <w:color w:val="auto"/>
        </w:rPr>
        <w:t>Following attainment of ownership thresholds, our NEOs are required, for a period of one year, to hold an additional amount equal to 50% of the net shares obtained upon the vesting of any equity award and 50% of all stock options that vest.</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Employment and Change of Control Agreements; Severance Arrangements</w:t>
      </w:r>
    </w:p>
    <w:p>
      <w:pPr>
        <w:spacing w:after="0" w:line="131"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To foster the retention of our key management team and in accordance with past practice, we have an agreement with our CEO under which the Company seeks to provide appropriate protections consistent with prevailing market practices. We also maintain an Executive Severance Plan, in which our other NEOs participate. Since December 31, 2021, there have been no material changes to the agreement with our CEO or the executive severance plan. A more detailed description of the Company’s current agreements and other arrangements with our NEOs is set forth below under the heading “Employment Agreements and Other Arrangements.” The benefits that would be received by our NEOs in the event of termination without cause or a change in control are set forth below under the heading “Termination, Severance and Change of Control Arrangements.”</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Perquisites and Benefits</w:t>
      </w:r>
    </w:p>
    <w:p>
      <w:pPr>
        <w:spacing w:after="0" w:line="131"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We have historically sought to provide perquisites to our executives that are consistent with those provided by the general market and Peer Group companies. Our perquisites currently consist primarily of financial planning services, auto use or allowance, discounted auto insurance, auto leasing through the employee lease program and limited personal use of Company-leased aircraft services. The Company does not provide tax reimbursements or gross-ups on perquisites for any of our NEOs other than relocation and expatriate benefits in accordance with the Company’s standard policies.</w:t>
      </w:r>
    </w:p>
    <w:p>
      <w:pPr>
        <w:spacing w:after="0" w:line="109"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The financial planning and auto use or allowance perquisites referred to above are not expected to and have not been offered to any new executive officer following December 31, 2021.</w:t>
      </w:r>
    </w:p>
    <w:p>
      <w:pPr>
        <w:spacing w:after="0" w:line="8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Employees, including our NEOs, may also receive tickets for professional sporting events, which are part of the Company’s season ticket subscription, and do not result in an associated incremental cost to our Company. Our ticket allocation policy is generally seniority-based, with a valid business purpose superseding any personal use.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35" w:name="page36"/>
    <w:bookmarkEnd w:id="35"/>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Anti-Hedging Policy</w:t>
      </w:r>
    </w:p>
    <w:p>
      <w:pPr>
        <w:spacing w:after="0" w:line="144"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Company’s insider trading policy prohibits directors, executive officers and other employees required to pre-clear trades in Company securities, along with members of their families and others living in their households and investment partnerships and other entities over which they have or share voting or investment control (collectively, the “Covered Persons”) from:</w:t>
      </w:r>
    </w:p>
    <w:p>
      <w:pPr>
        <w:spacing w:after="0" w:line="106" w:lineRule="exact"/>
        <w:rPr>
          <w:sz w:val="20"/>
          <w:szCs w:val="20"/>
          <w:color w:val="auto"/>
        </w:rPr>
      </w:pPr>
    </w:p>
    <w:p>
      <w:pPr>
        <w:jc w:val="both"/>
        <w:ind w:left="350" w:hanging="350"/>
        <w:spacing w:after="0" w:line="253" w:lineRule="auto"/>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engaging in hedging and monetization transactions that permit any Covered Person to continue to own the Company’s equity securities without the full risks and rewards of ownership, including through the use of financial instruments such as prepaid variable forwards, equity swaps, collars and exchange funds;</w:t>
      </w:r>
    </w:p>
    <w:p>
      <w:pPr>
        <w:spacing w:after="0" w:line="87"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holding the Company’s equity securities in a margin account or otherwise pledging the Company’s equity securities as collateral for a loan;</w:t>
      </w:r>
    </w:p>
    <w:p>
      <w:pPr>
        <w:spacing w:after="0" w:line="86" w:lineRule="exact"/>
        <w:rPr>
          <w:rFonts w:ascii="Arial" w:cs="Arial" w:eastAsia="Arial" w:hAnsi="Arial"/>
          <w:sz w:val="18"/>
          <w:szCs w:val="18"/>
          <w:color w:val="auto"/>
        </w:rPr>
      </w:pPr>
    </w:p>
    <w:p>
      <w:pPr>
        <w:ind w:left="350" w:right="20" w:hanging="350"/>
        <w:spacing w:after="0" w:line="271" w:lineRule="auto"/>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participating in transactions involving options in relation to the Company’s securities, such as puts, calls or other derivative securities on an exchange or in any other organized market; and</w:t>
      </w:r>
    </w:p>
    <w:p>
      <w:pPr>
        <w:spacing w:after="0" w:line="86" w:lineRule="exact"/>
        <w:rPr>
          <w:rFonts w:ascii="Arial" w:cs="Arial" w:eastAsia="Arial" w:hAnsi="Arial"/>
          <w:sz w:val="18"/>
          <w:szCs w:val="18"/>
          <w:color w:val="auto"/>
        </w:rPr>
      </w:pPr>
    </w:p>
    <w:p>
      <w:pPr>
        <w:ind w:left="350" w:hanging="350"/>
        <w:spacing w:after="0"/>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engaging in short sales of the Company’s equity securities.</w:t>
      </w:r>
    </w:p>
    <w:p>
      <w:pPr>
        <w:spacing w:after="0" w:line="131"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For purposes of the above, the Company’s equity securities include securities acquired by a Covered Person as part of his or her compensation or otherwise. The Cooperation Agreement exempts Mr. Sarma from this policy. In his capacity as an advisor, director, general partner or manager of SRS or any affiliated fund, Mr. Sarma is not prohibited from pledging or making purchases on margin of, or entering into derivative or hedging arrangements (including options) with respect to, the securities of the Company, which transactions are otherwise in compliance with applicable law and the Cooperation Agreement.</w:t>
      </w:r>
    </w:p>
    <w:p>
      <w:pPr>
        <w:spacing w:after="0" w:line="32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Recoupment (Clawback) Policy</w:t>
      </w:r>
    </w:p>
    <w:p>
      <w:pPr>
        <w:spacing w:after="0" w:line="144"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Our Board of Directors has adopted a policy that provides that if the Board learns of any intentional misconduct by an “executive officer” (as defined under Section 16 of the Exchange Act) that resulted in an increase to incentive income awarded to that officer, the Board will, to the full extent permitted by applicable law, in all appropriate cases, require reimbursement of the increased portion of incentive income awarded to that officer. We intend to amend our clawback policy, if necessary, to comply with any rules adopted by the SEC.</w:t>
      </w:r>
    </w:p>
    <w:p>
      <w:pPr>
        <w:spacing w:after="0" w:line="171"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2407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84"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147" w:lineRule="exact"/>
        <w:rPr>
          <w:sz w:val="20"/>
          <w:szCs w:val="20"/>
          <w:color w:val="auto"/>
        </w:rPr>
      </w:pPr>
    </w:p>
    <w:p>
      <w:pPr>
        <w:ind w:left="3410"/>
        <w:spacing w:after="0"/>
        <w:rPr>
          <w:sz w:val="20"/>
          <w:szCs w:val="20"/>
          <w:color w:val="auto"/>
        </w:rPr>
      </w:pPr>
      <w:r>
        <w:rPr>
          <w:rFonts w:ascii="Arial" w:cs="Arial" w:eastAsia="Arial" w:hAnsi="Arial"/>
          <w:sz w:val="18"/>
          <w:szCs w:val="18"/>
          <w:b w:val="1"/>
          <w:bCs w:val="1"/>
          <w:color w:val="auto"/>
        </w:rPr>
        <w:t>THE COMPENSATION COMMITTEE</w:t>
      </w:r>
    </w:p>
    <w:p>
      <w:pPr>
        <w:spacing w:after="0" w:line="9" w:lineRule="exact"/>
        <w:rPr>
          <w:sz w:val="20"/>
          <w:szCs w:val="20"/>
          <w:color w:val="auto"/>
        </w:rPr>
      </w:pPr>
    </w:p>
    <w:p>
      <w:pPr>
        <w:ind w:left="4830"/>
        <w:spacing w:after="0"/>
        <w:rPr>
          <w:sz w:val="20"/>
          <w:szCs w:val="20"/>
          <w:color w:val="auto"/>
        </w:rPr>
      </w:pPr>
      <w:r>
        <w:rPr>
          <w:rFonts w:ascii="Arial" w:cs="Arial" w:eastAsia="Arial" w:hAnsi="Arial"/>
          <w:sz w:val="18"/>
          <w:szCs w:val="18"/>
          <w:color w:val="auto"/>
        </w:rPr>
        <w:t> </w:t>
      </w:r>
    </w:p>
    <w:p>
      <w:pPr>
        <w:ind w:left="4050"/>
        <w:spacing w:after="0" w:line="234" w:lineRule="auto"/>
        <w:rPr>
          <w:sz w:val="20"/>
          <w:szCs w:val="20"/>
          <w:color w:val="auto"/>
        </w:rPr>
      </w:pPr>
      <w:r>
        <w:rPr>
          <w:rFonts w:ascii="Arial" w:cs="Arial" w:eastAsia="Arial" w:hAnsi="Arial"/>
          <w:sz w:val="18"/>
          <w:szCs w:val="18"/>
          <w:color w:val="auto"/>
        </w:rPr>
        <w:t>Karthik Sarma (Chair)</w:t>
      </w:r>
    </w:p>
    <w:p>
      <w:pPr>
        <w:ind w:left="4310"/>
        <w:spacing w:after="0" w:line="235" w:lineRule="auto"/>
        <w:rPr>
          <w:sz w:val="20"/>
          <w:szCs w:val="20"/>
          <w:color w:val="auto"/>
        </w:rPr>
      </w:pPr>
      <w:r>
        <w:rPr>
          <w:rFonts w:ascii="Arial" w:cs="Arial" w:eastAsia="Arial" w:hAnsi="Arial"/>
          <w:sz w:val="18"/>
          <w:szCs w:val="18"/>
          <w:color w:val="auto"/>
        </w:rPr>
        <w:t>Lynn Krominga</w:t>
      </w:r>
    </w:p>
    <w:p>
      <w:pPr>
        <w:spacing w:after="0" w:line="1" w:lineRule="exact"/>
        <w:rPr>
          <w:sz w:val="20"/>
          <w:szCs w:val="20"/>
          <w:color w:val="auto"/>
        </w:rPr>
      </w:pPr>
    </w:p>
    <w:p>
      <w:pPr>
        <w:ind w:left="4450"/>
        <w:spacing w:after="0"/>
        <w:rPr>
          <w:sz w:val="20"/>
          <w:szCs w:val="20"/>
          <w:color w:val="auto"/>
        </w:rPr>
      </w:pPr>
      <w:r>
        <w:rPr>
          <w:rFonts w:ascii="Arial" w:cs="Arial" w:eastAsia="Arial" w:hAnsi="Arial"/>
          <w:sz w:val="18"/>
          <w:szCs w:val="18"/>
          <w:color w:val="auto"/>
        </w:rPr>
        <w:t>Glenn Lurie</w:t>
      </w:r>
    </w:p>
    <w:p>
      <w:pPr>
        <w:spacing w:after="0" w:line="3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Summary Compensation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Option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Name and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center"/>
              <w:ind w:left="28"/>
              <w:spacing w:after="0"/>
              <w:rPr>
                <w:sz w:val="20"/>
                <w:szCs w:val="20"/>
                <w:color w:val="auto"/>
              </w:rPr>
            </w:pPr>
            <w:r>
              <w:rPr>
                <w:rFonts w:ascii="Arial" w:cs="Arial" w:eastAsia="Arial" w:hAnsi="Arial"/>
                <w:sz w:val="14"/>
                <w:szCs w:val="14"/>
                <w:b w:val="1"/>
                <w:bCs w:val="1"/>
                <w:color w:val="auto"/>
              </w:rPr>
              <w:t>Salary</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Bonus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Awards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Comp</w:t>
            </w: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Principal Position</w:t>
            </w:r>
          </w:p>
        </w:tc>
        <w:tc>
          <w:tcPr>
            <w:tcW w:w="12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8"/>
              </w:rPr>
              <w:t>Year</w:t>
            </w:r>
          </w:p>
        </w:tc>
        <w:tc>
          <w:tcPr>
            <w:tcW w:w="1020" w:type="dxa"/>
            <w:vAlign w:val="bottom"/>
          </w:tcPr>
          <w:p>
            <w:pPr>
              <w:jc w:val="center"/>
              <w:ind w:left="68"/>
              <w:spacing w:after="0"/>
              <w:rPr>
                <w:sz w:val="20"/>
                <w:szCs w:val="20"/>
                <w:color w:val="auto"/>
              </w:rPr>
            </w:pPr>
            <w:r>
              <w:rPr>
                <w:rFonts w:ascii="Arial" w:cs="Arial" w:eastAsia="Arial" w:hAnsi="Arial"/>
                <w:sz w:val="14"/>
                <w:szCs w:val="14"/>
                <w:b w:val="1"/>
                <w:bCs w:val="1"/>
                <w:color w:val="auto"/>
              </w:rPr>
              <w:t>($)(a)</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($)(b)</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($)(c)</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9"/>
        </w:trPr>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9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Ferraro, Joseph A.</w:t>
            </w:r>
          </w:p>
        </w:tc>
        <w:tc>
          <w:tcPr>
            <w:tcW w:w="120" w:type="dxa"/>
            <w:vAlign w:val="bottom"/>
            <w:shd w:val="clear" w:color="auto" w:fill="CCCCCC"/>
          </w:tcPr>
          <w:p>
            <w:pPr>
              <w:spacing w:after="0"/>
              <w:rPr>
                <w:sz w:val="17"/>
                <w:szCs w:val="17"/>
                <w:color w:val="auto"/>
              </w:rPr>
            </w:pPr>
          </w:p>
        </w:tc>
        <w:tc>
          <w:tcPr>
            <w:tcW w:w="340" w:type="dxa"/>
            <w:vAlign w:val="bottom"/>
            <w:shd w:val="clear" w:color="auto" w:fill="CCCCCC"/>
          </w:tcPr>
          <w:p>
            <w:pPr>
              <w:ind w:left="20"/>
              <w:spacing w:after="0"/>
              <w:rPr>
                <w:sz w:val="20"/>
                <w:szCs w:val="20"/>
                <w:color w:val="auto"/>
              </w:rPr>
            </w:pPr>
            <w:r>
              <w:rPr>
                <w:rFonts w:ascii="Arial" w:cs="Arial" w:eastAsia="Arial" w:hAnsi="Arial"/>
                <w:sz w:val="14"/>
                <w:szCs w:val="14"/>
                <w:color w:val="auto"/>
                <w:w w:val="96"/>
              </w:rPr>
              <w:t>2022</w:t>
            </w:r>
          </w:p>
        </w:tc>
        <w:tc>
          <w:tcPr>
            <w:tcW w:w="1020" w:type="dxa"/>
            <w:vAlign w:val="bottom"/>
            <w:shd w:val="clear" w:color="auto" w:fill="CCCCCC"/>
          </w:tcPr>
          <w:p>
            <w:pPr>
              <w:jc w:val="center"/>
              <w:ind w:left="68"/>
              <w:spacing w:after="0"/>
              <w:rPr>
                <w:sz w:val="20"/>
                <w:szCs w:val="20"/>
                <w:color w:val="auto"/>
              </w:rPr>
            </w:pPr>
            <w:r>
              <w:rPr>
                <w:rFonts w:ascii="Arial" w:cs="Arial" w:eastAsia="Arial" w:hAnsi="Arial"/>
                <w:sz w:val="14"/>
                <w:szCs w:val="14"/>
                <w:color w:val="auto"/>
              </w:rPr>
              <w:t>1,200,000</w:t>
            </w:r>
          </w:p>
        </w:tc>
        <w:tc>
          <w:tcPr>
            <w:tcW w:w="7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8,199,867</w:t>
            </w:r>
          </w:p>
        </w:tc>
        <w:tc>
          <w:tcPr>
            <w:tcW w:w="7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3,348,000</w:t>
            </w:r>
          </w:p>
        </w:tc>
        <w:tc>
          <w:tcPr>
            <w:tcW w:w="122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262,876</w:t>
            </w:r>
          </w:p>
        </w:tc>
        <w:tc>
          <w:tcPr>
            <w:tcW w:w="90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13,010,743</w:t>
            </w:r>
          </w:p>
        </w:tc>
        <w:tc>
          <w:tcPr>
            <w:tcW w:w="0" w:type="dxa"/>
            <w:vAlign w:val="bottom"/>
          </w:tcPr>
          <w:p>
            <w:pPr>
              <w:spacing w:after="0"/>
              <w:rPr>
                <w:sz w:val="1"/>
                <w:szCs w:val="1"/>
                <w:color w:val="auto"/>
              </w:rPr>
            </w:pPr>
          </w:p>
        </w:tc>
      </w:tr>
      <w:tr>
        <w:trPr>
          <w:trHeight w:val="190"/>
        </w:trPr>
        <w:tc>
          <w:tcPr>
            <w:tcW w:w="1920" w:type="dxa"/>
            <w:vAlign w:val="bottom"/>
            <w:shd w:val="clear" w:color="auto" w:fill="CCCCCC"/>
          </w:tcPr>
          <w:p>
            <w:pPr>
              <w:ind w:left="200"/>
              <w:spacing w:after="0"/>
              <w:rPr>
                <w:sz w:val="20"/>
                <w:szCs w:val="20"/>
                <w:color w:val="auto"/>
              </w:rPr>
            </w:pPr>
            <w:r>
              <w:rPr>
                <w:rFonts w:ascii="Arial" w:cs="Arial" w:eastAsia="Arial" w:hAnsi="Arial"/>
                <w:sz w:val="14"/>
                <w:szCs w:val="14"/>
                <w:color w:val="auto"/>
              </w:rPr>
              <w:t>President and CEO</w:t>
            </w:r>
          </w:p>
        </w:tc>
        <w:tc>
          <w:tcPr>
            <w:tcW w:w="120" w:type="dxa"/>
            <w:vAlign w:val="bottom"/>
            <w:shd w:val="clear" w:color="auto" w:fill="CCCCCC"/>
          </w:tcPr>
          <w:p>
            <w:pPr>
              <w:spacing w:after="0"/>
              <w:rPr>
                <w:sz w:val="16"/>
                <w:szCs w:val="16"/>
                <w:color w:val="auto"/>
              </w:rPr>
            </w:pPr>
          </w:p>
        </w:tc>
        <w:tc>
          <w:tcPr>
            <w:tcW w:w="3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w w:val="96"/>
              </w:rPr>
              <w:t>2021</w:t>
            </w:r>
          </w:p>
        </w:tc>
        <w:tc>
          <w:tcPr>
            <w:tcW w:w="1020" w:type="dxa"/>
            <w:vAlign w:val="bottom"/>
            <w:vMerge w:val="restart"/>
            <w:shd w:val="clear" w:color="auto" w:fill="CCCCCC"/>
          </w:tcPr>
          <w:p>
            <w:pPr>
              <w:jc w:val="center"/>
              <w:ind w:left="68"/>
              <w:spacing w:after="0"/>
              <w:rPr>
                <w:sz w:val="20"/>
                <w:szCs w:val="20"/>
                <w:color w:val="auto"/>
              </w:rPr>
            </w:pPr>
            <w:r>
              <w:rPr>
                <w:rFonts w:ascii="Arial" w:cs="Arial" w:eastAsia="Arial" w:hAnsi="Arial"/>
                <w:sz w:val="14"/>
                <w:szCs w:val="14"/>
                <w:color w:val="auto"/>
              </w:rPr>
              <w:t>1,000,000</w:t>
            </w:r>
          </w:p>
        </w:tc>
        <w:tc>
          <w:tcPr>
            <w:tcW w:w="7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5,000,032</w:t>
            </w:r>
          </w:p>
        </w:tc>
        <w:tc>
          <w:tcPr>
            <w:tcW w:w="7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2,500,000</w:t>
            </w:r>
          </w:p>
        </w:tc>
        <w:tc>
          <w:tcPr>
            <w:tcW w:w="122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vMerge w:val="restart"/>
            <w:shd w:val="clear" w:color="auto" w:fill="CCCCCC"/>
          </w:tcPr>
          <w:p>
            <w:pPr>
              <w:jc w:val="right"/>
              <w:ind w:right="28"/>
              <w:spacing w:after="0"/>
              <w:rPr>
                <w:sz w:val="20"/>
                <w:szCs w:val="20"/>
                <w:color w:val="auto"/>
              </w:rPr>
            </w:pPr>
            <w:r>
              <w:rPr>
                <w:rFonts w:ascii="Arial" w:cs="Arial" w:eastAsia="Arial" w:hAnsi="Arial"/>
                <w:sz w:val="14"/>
                <w:szCs w:val="14"/>
                <w:color w:val="auto"/>
              </w:rPr>
              <w:t>94,523</w:t>
            </w:r>
          </w:p>
        </w:tc>
        <w:tc>
          <w:tcPr>
            <w:tcW w:w="90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8,594,555</w:t>
            </w:r>
          </w:p>
        </w:tc>
        <w:tc>
          <w:tcPr>
            <w:tcW w:w="0" w:type="dxa"/>
            <w:vAlign w:val="bottom"/>
          </w:tcPr>
          <w:p>
            <w:pPr>
              <w:spacing w:after="0"/>
              <w:rPr>
                <w:sz w:val="1"/>
                <w:szCs w:val="1"/>
                <w:color w:val="auto"/>
              </w:rPr>
            </w:pPr>
          </w:p>
        </w:tc>
      </w:tr>
      <w:tr>
        <w:trPr>
          <w:trHeight w:val="81"/>
        </w:trPr>
        <w:tc>
          <w:tcPr>
            <w:tcW w:w="1920" w:type="dxa"/>
            <w:vAlign w:val="bottom"/>
            <w:shd w:val="clear" w:color="auto" w:fill="CCCCCC"/>
          </w:tcPr>
          <w:p>
            <w:pPr>
              <w:spacing w:after="0"/>
              <w:rPr>
                <w:sz w:val="7"/>
                <w:szCs w:val="7"/>
                <w:color w:val="auto"/>
              </w:rPr>
            </w:pPr>
          </w:p>
        </w:tc>
        <w:tc>
          <w:tcPr>
            <w:tcW w:w="120" w:type="dxa"/>
            <w:vAlign w:val="bottom"/>
            <w:shd w:val="clear" w:color="auto" w:fill="CCCCCC"/>
          </w:tcPr>
          <w:p>
            <w:pPr>
              <w:spacing w:after="0"/>
              <w:rPr>
                <w:sz w:val="7"/>
                <w:szCs w:val="7"/>
                <w:color w:val="auto"/>
              </w:rPr>
            </w:pPr>
          </w:p>
        </w:tc>
        <w:tc>
          <w:tcPr>
            <w:tcW w:w="340" w:type="dxa"/>
            <w:vAlign w:val="bottom"/>
            <w:vMerge w:val="continue"/>
            <w:shd w:val="clear" w:color="auto" w:fill="CCCCCC"/>
          </w:tcPr>
          <w:p>
            <w:pPr>
              <w:spacing w:after="0"/>
              <w:rPr>
                <w:sz w:val="7"/>
                <w:szCs w:val="7"/>
                <w:color w:val="auto"/>
              </w:rPr>
            </w:pPr>
          </w:p>
        </w:tc>
        <w:tc>
          <w:tcPr>
            <w:tcW w:w="1020" w:type="dxa"/>
            <w:vAlign w:val="bottom"/>
            <w:vMerge w:val="continue"/>
            <w:shd w:val="clear" w:color="auto" w:fill="CCCCCC"/>
          </w:tcPr>
          <w:p>
            <w:pPr>
              <w:spacing w:after="0"/>
              <w:rPr>
                <w:sz w:val="7"/>
                <w:szCs w:val="7"/>
                <w:color w:val="auto"/>
              </w:rPr>
            </w:pPr>
          </w:p>
        </w:tc>
        <w:tc>
          <w:tcPr>
            <w:tcW w:w="740" w:type="dxa"/>
            <w:vAlign w:val="bottom"/>
            <w:vMerge w:val="continue"/>
            <w:shd w:val="clear" w:color="auto" w:fill="CCCCCC"/>
          </w:tcPr>
          <w:p>
            <w:pPr>
              <w:spacing w:after="0"/>
              <w:rPr>
                <w:sz w:val="7"/>
                <w:szCs w:val="7"/>
                <w:color w:val="auto"/>
              </w:rPr>
            </w:pPr>
          </w:p>
        </w:tc>
        <w:tc>
          <w:tcPr>
            <w:tcW w:w="860" w:type="dxa"/>
            <w:vAlign w:val="bottom"/>
            <w:vMerge w:val="continue"/>
            <w:shd w:val="clear" w:color="auto" w:fill="CCCCCC"/>
          </w:tcPr>
          <w:p>
            <w:pPr>
              <w:spacing w:after="0"/>
              <w:rPr>
                <w:sz w:val="7"/>
                <w:szCs w:val="7"/>
                <w:color w:val="auto"/>
              </w:rPr>
            </w:pPr>
          </w:p>
        </w:tc>
        <w:tc>
          <w:tcPr>
            <w:tcW w:w="740" w:type="dxa"/>
            <w:vAlign w:val="bottom"/>
            <w:vMerge w:val="continue"/>
            <w:shd w:val="clear" w:color="auto" w:fill="CCCCCC"/>
          </w:tcPr>
          <w:p>
            <w:pPr>
              <w:spacing w:after="0"/>
              <w:rPr>
                <w:sz w:val="7"/>
                <w:szCs w:val="7"/>
                <w:color w:val="auto"/>
              </w:rPr>
            </w:pPr>
          </w:p>
        </w:tc>
        <w:tc>
          <w:tcPr>
            <w:tcW w:w="1240" w:type="dxa"/>
            <w:vAlign w:val="bottom"/>
            <w:vMerge w:val="continue"/>
            <w:shd w:val="clear" w:color="auto" w:fill="CCCCCC"/>
          </w:tcPr>
          <w:p>
            <w:pPr>
              <w:spacing w:after="0"/>
              <w:rPr>
                <w:sz w:val="7"/>
                <w:szCs w:val="7"/>
                <w:color w:val="auto"/>
              </w:rPr>
            </w:pPr>
          </w:p>
        </w:tc>
        <w:tc>
          <w:tcPr>
            <w:tcW w:w="1220" w:type="dxa"/>
            <w:vAlign w:val="bottom"/>
            <w:vMerge w:val="continue"/>
            <w:shd w:val="clear" w:color="auto" w:fill="CCCCCC"/>
          </w:tcPr>
          <w:p>
            <w:pPr>
              <w:spacing w:after="0"/>
              <w:rPr>
                <w:sz w:val="7"/>
                <w:szCs w:val="7"/>
                <w:color w:val="auto"/>
              </w:rPr>
            </w:pPr>
          </w:p>
        </w:tc>
        <w:tc>
          <w:tcPr>
            <w:tcW w:w="740" w:type="dxa"/>
            <w:vAlign w:val="bottom"/>
            <w:vMerge w:val="continue"/>
            <w:shd w:val="clear" w:color="auto" w:fill="CCCCCC"/>
          </w:tcPr>
          <w:p>
            <w:pPr>
              <w:spacing w:after="0"/>
              <w:rPr>
                <w:sz w:val="7"/>
                <w:szCs w:val="7"/>
                <w:color w:val="auto"/>
              </w:rPr>
            </w:pPr>
          </w:p>
        </w:tc>
        <w:tc>
          <w:tcPr>
            <w:tcW w:w="90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20" w:type="dxa"/>
            <w:vAlign w:val="bottom"/>
            <w:tcBorders>
              <w:bottom w:val="single" w:sz="8" w:color="CCCCCC"/>
            </w:tcBorders>
            <w:shd w:val="clear" w:color="auto" w:fill="CCCCCC"/>
          </w:tcPr>
          <w:p>
            <w:pPr>
              <w:spacing w:after="0"/>
              <w:rPr>
                <w:sz w:val="23"/>
                <w:szCs w:val="23"/>
                <w:color w:val="auto"/>
              </w:rPr>
            </w:pPr>
          </w:p>
        </w:tc>
        <w:tc>
          <w:tcPr>
            <w:tcW w:w="120" w:type="dxa"/>
            <w:vAlign w:val="bottom"/>
            <w:tcBorders>
              <w:bottom w:val="single" w:sz="8" w:color="CCCCCC"/>
            </w:tcBorders>
            <w:shd w:val="clear" w:color="auto" w:fill="CCCCCC"/>
          </w:tcPr>
          <w:p>
            <w:pPr>
              <w:spacing w:after="0"/>
              <w:rPr>
                <w:sz w:val="23"/>
                <w:szCs w:val="23"/>
                <w:color w:val="auto"/>
              </w:rPr>
            </w:pPr>
          </w:p>
        </w:tc>
        <w:tc>
          <w:tcPr>
            <w:tcW w:w="3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w w:val="96"/>
              </w:rPr>
              <w:t>2020</w:t>
            </w:r>
          </w:p>
        </w:tc>
        <w:tc>
          <w:tcPr>
            <w:tcW w:w="1020" w:type="dxa"/>
            <w:vAlign w:val="bottom"/>
            <w:tcBorders>
              <w:bottom w:val="single" w:sz="8" w:color="CCCCCC"/>
            </w:tcBorders>
            <w:shd w:val="clear" w:color="auto" w:fill="CCCCCC"/>
          </w:tcPr>
          <w:p>
            <w:pPr>
              <w:jc w:val="center"/>
              <w:ind w:left="68"/>
              <w:spacing w:after="0"/>
              <w:rPr>
                <w:sz w:val="20"/>
                <w:szCs w:val="20"/>
                <w:color w:val="auto"/>
              </w:rPr>
            </w:pPr>
            <w:r>
              <w:rPr>
                <w:rFonts w:ascii="Arial" w:cs="Arial" w:eastAsia="Arial" w:hAnsi="Arial"/>
                <w:sz w:val="14"/>
                <w:szCs w:val="14"/>
                <w:color w:val="auto"/>
              </w:rPr>
              <w:t>842,596</w:t>
            </w:r>
          </w:p>
        </w:tc>
        <w:tc>
          <w:tcPr>
            <w:tcW w:w="7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3,122,680</w:t>
            </w:r>
          </w:p>
        </w:tc>
        <w:tc>
          <w:tcPr>
            <w:tcW w:w="7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81,463</w:t>
            </w:r>
          </w:p>
        </w:tc>
        <w:tc>
          <w:tcPr>
            <w:tcW w:w="74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868,413</w:t>
            </w:r>
          </w:p>
        </w:tc>
        <w:tc>
          <w:tcPr>
            <w:tcW w:w="9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4,915,152</w:t>
            </w:r>
          </w:p>
        </w:tc>
        <w:tc>
          <w:tcPr>
            <w:tcW w:w="0" w:type="dxa"/>
            <w:vAlign w:val="bottom"/>
          </w:tcPr>
          <w:p>
            <w:pPr>
              <w:spacing w:after="0"/>
              <w:rPr>
                <w:sz w:val="1"/>
                <w:szCs w:val="1"/>
                <w:color w:val="auto"/>
              </w:rPr>
            </w:pPr>
          </w:p>
        </w:tc>
      </w:tr>
      <w:tr>
        <w:trPr>
          <w:trHeight w:val="187"/>
        </w:trPr>
        <w:tc>
          <w:tcPr>
            <w:tcW w:w="192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Choi, Brian J.</w:t>
            </w:r>
          </w:p>
        </w:tc>
        <w:tc>
          <w:tcPr>
            <w:tcW w:w="4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color w:val="auto"/>
                <w:w w:val="96"/>
              </w:rPr>
              <w:t>2022</w:t>
            </w:r>
          </w:p>
        </w:tc>
        <w:tc>
          <w:tcPr>
            <w:tcW w:w="1020" w:type="dxa"/>
            <w:vAlign w:val="bottom"/>
            <w:tcBorders>
              <w:top w:val="single" w:sz="8" w:color="auto"/>
            </w:tcBorders>
          </w:tcPr>
          <w:p>
            <w:pPr>
              <w:jc w:val="center"/>
              <w:ind w:left="68"/>
              <w:spacing w:after="0"/>
              <w:rPr>
                <w:sz w:val="20"/>
                <w:szCs w:val="20"/>
                <w:color w:val="auto"/>
              </w:rPr>
            </w:pPr>
            <w:r>
              <w:rPr>
                <w:rFonts w:ascii="Arial" w:cs="Arial" w:eastAsia="Arial" w:hAnsi="Arial"/>
                <w:sz w:val="14"/>
                <w:szCs w:val="14"/>
                <w:color w:val="auto"/>
              </w:rPr>
              <w:t>600,000</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3,300,136</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1,057,500</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30,396</w:t>
            </w: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4,988,032</w:t>
            </w:r>
          </w:p>
        </w:tc>
        <w:tc>
          <w:tcPr>
            <w:tcW w:w="0" w:type="dxa"/>
            <w:vAlign w:val="bottom"/>
          </w:tcPr>
          <w:p>
            <w:pPr>
              <w:spacing w:after="0"/>
              <w:rPr>
                <w:sz w:val="1"/>
                <w:szCs w:val="1"/>
                <w:color w:val="auto"/>
              </w:rPr>
            </w:pPr>
          </w:p>
        </w:tc>
      </w:tr>
      <w:tr>
        <w:trPr>
          <w:trHeight w:val="190"/>
        </w:trPr>
        <w:tc>
          <w:tcPr>
            <w:tcW w:w="1920" w:type="dxa"/>
            <w:vAlign w:val="bottom"/>
          </w:tcPr>
          <w:p>
            <w:pPr>
              <w:ind w:left="200"/>
              <w:spacing w:after="0"/>
              <w:rPr>
                <w:sz w:val="20"/>
                <w:szCs w:val="20"/>
                <w:color w:val="auto"/>
              </w:rPr>
            </w:pPr>
            <w:r>
              <w:rPr>
                <w:rFonts w:ascii="Arial" w:cs="Arial" w:eastAsia="Arial" w:hAnsi="Arial"/>
                <w:sz w:val="14"/>
                <w:szCs w:val="14"/>
                <w:color w:val="auto"/>
              </w:rPr>
              <w:t>EVP and CFO</w:t>
            </w:r>
          </w:p>
        </w:tc>
        <w:tc>
          <w:tcPr>
            <w:tcW w:w="460" w:type="dxa"/>
            <w:vAlign w:val="bottom"/>
            <w:gridSpan w:val="2"/>
            <w:vMerge w:val="restart"/>
          </w:tcPr>
          <w:p>
            <w:pPr>
              <w:ind w:left="140"/>
              <w:spacing w:after="0"/>
              <w:rPr>
                <w:sz w:val="20"/>
                <w:szCs w:val="20"/>
                <w:color w:val="auto"/>
              </w:rPr>
            </w:pPr>
            <w:r>
              <w:rPr>
                <w:rFonts w:ascii="Arial" w:cs="Arial" w:eastAsia="Arial" w:hAnsi="Arial"/>
                <w:sz w:val="14"/>
                <w:szCs w:val="14"/>
                <w:color w:val="auto"/>
                <w:w w:val="96"/>
              </w:rPr>
              <w:t>2021</w:t>
            </w:r>
          </w:p>
        </w:tc>
        <w:tc>
          <w:tcPr>
            <w:tcW w:w="1020" w:type="dxa"/>
            <w:vAlign w:val="bottom"/>
            <w:vMerge w:val="restart"/>
          </w:tcPr>
          <w:p>
            <w:pPr>
              <w:jc w:val="center"/>
              <w:ind w:left="68"/>
              <w:spacing w:after="0"/>
              <w:rPr>
                <w:sz w:val="20"/>
                <w:szCs w:val="20"/>
                <w:color w:val="auto"/>
              </w:rPr>
            </w:pPr>
            <w:r>
              <w:rPr>
                <w:rFonts w:ascii="Arial" w:cs="Arial" w:eastAsia="Arial" w:hAnsi="Arial"/>
                <w:sz w:val="14"/>
                <w:szCs w:val="14"/>
                <w:color w:val="auto"/>
              </w:rPr>
              <w:t>500,000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1,499,960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742,500</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25,113</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2,767,573</w:t>
            </w: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Arial" w:cs="Arial" w:eastAsia="Arial" w:hAnsi="Arial"/>
                <w:sz w:val="14"/>
                <w:szCs w:val="14"/>
                <w:color w:val="auto"/>
                <w:w w:val="96"/>
              </w:rPr>
              <w:t>2020</w:t>
            </w:r>
          </w:p>
        </w:tc>
        <w:tc>
          <w:tcPr>
            <w:tcW w:w="1020" w:type="dxa"/>
            <w:vAlign w:val="bottom"/>
          </w:tcPr>
          <w:p>
            <w:pPr>
              <w:jc w:val="center"/>
              <w:ind w:left="68"/>
              <w:spacing w:after="0"/>
              <w:rPr>
                <w:sz w:val="20"/>
                <w:szCs w:val="20"/>
                <w:color w:val="auto"/>
              </w:rPr>
            </w:pPr>
            <w:r>
              <w:rPr>
                <w:rFonts w:ascii="Arial" w:cs="Arial" w:eastAsia="Arial" w:hAnsi="Arial"/>
                <w:sz w:val="14"/>
                <w:szCs w:val="14"/>
                <w:color w:val="auto"/>
              </w:rPr>
              <w:t>167,308</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3,000,009</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5,400</w:t>
            </w:r>
          </w:p>
        </w:tc>
        <w:tc>
          <w:tcPr>
            <w:tcW w:w="900" w:type="dxa"/>
            <w:vAlign w:val="bottom"/>
          </w:tcPr>
          <w:p>
            <w:pPr>
              <w:jc w:val="center"/>
              <w:spacing w:after="0"/>
              <w:rPr>
                <w:sz w:val="20"/>
                <w:szCs w:val="20"/>
                <w:color w:val="auto"/>
              </w:rPr>
            </w:pPr>
            <w:r>
              <w:rPr>
                <w:rFonts w:ascii="Arial" w:cs="Arial" w:eastAsia="Arial" w:hAnsi="Arial"/>
                <w:sz w:val="14"/>
                <w:szCs w:val="14"/>
                <w:color w:val="auto"/>
              </w:rPr>
              <w:t>3,172,717</w:t>
            </w:r>
          </w:p>
        </w:tc>
        <w:tc>
          <w:tcPr>
            <w:tcW w:w="0" w:type="dxa"/>
            <w:vAlign w:val="bottom"/>
          </w:tcPr>
          <w:p>
            <w:pPr>
              <w:spacing w:after="0"/>
              <w:rPr>
                <w:sz w:val="1"/>
                <w:szCs w:val="1"/>
                <w:color w:val="auto"/>
              </w:rPr>
            </w:pPr>
          </w:p>
        </w:tc>
      </w:tr>
      <w:tr>
        <w:trPr>
          <w:trHeight w:val="22"/>
        </w:trPr>
        <w:tc>
          <w:tcPr>
            <w:tcW w:w="1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9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Hees, Bernardo</w:t>
            </w:r>
          </w:p>
        </w:tc>
        <w:tc>
          <w:tcPr>
            <w:tcW w:w="120" w:type="dxa"/>
            <w:vAlign w:val="bottom"/>
            <w:shd w:val="clear" w:color="auto" w:fill="CCCCCC"/>
          </w:tcPr>
          <w:p>
            <w:pPr>
              <w:spacing w:after="0"/>
              <w:rPr>
                <w:sz w:val="16"/>
                <w:szCs w:val="16"/>
                <w:color w:val="auto"/>
              </w:rPr>
            </w:pPr>
          </w:p>
        </w:tc>
        <w:tc>
          <w:tcPr>
            <w:tcW w:w="340" w:type="dxa"/>
            <w:vAlign w:val="bottom"/>
            <w:shd w:val="clear" w:color="auto" w:fill="CCCCCC"/>
          </w:tcPr>
          <w:p>
            <w:pPr>
              <w:ind w:left="20"/>
              <w:spacing w:after="0"/>
              <w:rPr>
                <w:sz w:val="20"/>
                <w:szCs w:val="20"/>
                <w:color w:val="auto"/>
              </w:rPr>
            </w:pPr>
            <w:r>
              <w:rPr>
                <w:rFonts w:ascii="Arial" w:cs="Arial" w:eastAsia="Arial" w:hAnsi="Arial"/>
                <w:sz w:val="14"/>
                <w:szCs w:val="14"/>
                <w:color w:val="auto"/>
                <w:w w:val="96"/>
              </w:rPr>
              <w:t>2022</w:t>
            </w:r>
          </w:p>
        </w:tc>
        <w:tc>
          <w:tcPr>
            <w:tcW w:w="1020" w:type="dxa"/>
            <w:vAlign w:val="bottom"/>
            <w:shd w:val="clear" w:color="auto" w:fill="CCCCCC"/>
          </w:tcPr>
          <w:p>
            <w:pPr>
              <w:jc w:val="center"/>
              <w:ind w:left="68"/>
              <w:spacing w:after="0"/>
              <w:rPr>
                <w:sz w:val="20"/>
                <w:szCs w:val="20"/>
                <w:color w:val="auto"/>
              </w:rPr>
            </w:pPr>
            <w:r>
              <w:rPr>
                <w:rFonts w:ascii="Arial" w:cs="Arial" w:eastAsia="Arial" w:hAnsi="Arial"/>
                <w:sz w:val="14"/>
                <w:szCs w:val="14"/>
                <w:color w:val="auto"/>
              </w:rPr>
              <w:t>500,000</w:t>
            </w:r>
          </w:p>
        </w:tc>
        <w:tc>
          <w:tcPr>
            <w:tcW w:w="7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3,999,960</w:t>
            </w:r>
          </w:p>
        </w:tc>
        <w:tc>
          <w:tcPr>
            <w:tcW w:w="7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500,000</w:t>
            </w:r>
          </w:p>
        </w:tc>
        <w:tc>
          <w:tcPr>
            <w:tcW w:w="122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16,711</w:t>
            </w:r>
          </w:p>
        </w:tc>
        <w:tc>
          <w:tcPr>
            <w:tcW w:w="90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5,016,671</w:t>
            </w:r>
          </w:p>
        </w:tc>
        <w:tc>
          <w:tcPr>
            <w:tcW w:w="0" w:type="dxa"/>
            <w:vAlign w:val="bottom"/>
          </w:tcPr>
          <w:p>
            <w:pPr>
              <w:spacing w:after="0"/>
              <w:rPr>
                <w:sz w:val="1"/>
                <w:szCs w:val="1"/>
                <w:color w:val="auto"/>
              </w:rPr>
            </w:pPr>
          </w:p>
        </w:tc>
      </w:tr>
      <w:tr>
        <w:trPr>
          <w:trHeight w:val="190"/>
        </w:trPr>
        <w:tc>
          <w:tcPr>
            <w:tcW w:w="1920" w:type="dxa"/>
            <w:vAlign w:val="bottom"/>
            <w:shd w:val="clear" w:color="auto" w:fill="CCCCCC"/>
          </w:tcPr>
          <w:p>
            <w:pPr>
              <w:ind w:left="200"/>
              <w:spacing w:after="0"/>
              <w:rPr>
                <w:sz w:val="20"/>
                <w:szCs w:val="20"/>
                <w:color w:val="auto"/>
              </w:rPr>
            </w:pPr>
            <w:r>
              <w:rPr>
                <w:rFonts w:ascii="Arial" w:cs="Arial" w:eastAsia="Arial" w:hAnsi="Arial"/>
                <w:sz w:val="14"/>
                <w:szCs w:val="14"/>
                <w:color w:val="auto"/>
              </w:rPr>
              <w:t>Executive Chairman</w:t>
            </w:r>
          </w:p>
        </w:tc>
        <w:tc>
          <w:tcPr>
            <w:tcW w:w="120" w:type="dxa"/>
            <w:vAlign w:val="bottom"/>
            <w:shd w:val="clear" w:color="auto" w:fill="CCCCCC"/>
          </w:tcPr>
          <w:p>
            <w:pPr>
              <w:spacing w:after="0"/>
              <w:rPr>
                <w:sz w:val="16"/>
                <w:szCs w:val="16"/>
                <w:color w:val="auto"/>
              </w:rPr>
            </w:pPr>
          </w:p>
        </w:tc>
        <w:tc>
          <w:tcPr>
            <w:tcW w:w="3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w w:val="96"/>
              </w:rPr>
              <w:t>2021</w:t>
            </w:r>
          </w:p>
        </w:tc>
        <w:tc>
          <w:tcPr>
            <w:tcW w:w="1020" w:type="dxa"/>
            <w:vAlign w:val="bottom"/>
            <w:vMerge w:val="restart"/>
            <w:shd w:val="clear" w:color="auto" w:fill="CCCCCC"/>
          </w:tcPr>
          <w:p>
            <w:pPr>
              <w:jc w:val="center"/>
              <w:ind w:left="68"/>
              <w:spacing w:after="0"/>
              <w:rPr>
                <w:sz w:val="20"/>
                <w:szCs w:val="20"/>
                <w:color w:val="auto"/>
              </w:rPr>
            </w:pPr>
            <w:r>
              <w:rPr>
                <w:rFonts w:ascii="Arial" w:cs="Arial" w:eastAsia="Arial" w:hAnsi="Arial"/>
                <w:sz w:val="14"/>
                <w:szCs w:val="14"/>
                <w:color w:val="auto"/>
              </w:rPr>
              <w:t>500,000</w:t>
            </w:r>
          </w:p>
        </w:tc>
        <w:tc>
          <w:tcPr>
            <w:tcW w:w="7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500,000</w:t>
            </w:r>
          </w:p>
        </w:tc>
        <w:tc>
          <w:tcPr>
            <w:tcW w:w="86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3,500,010</w:t>
            </w:r>
          </w:p>
        </w:tc>
        <w:tc>
          <w:tcPr>
            <w:tcW w:w="7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500,000</w:t>
            </w:r>
          </w:p>
        </w:tc>
        <w:tc>
          <w:tcPr>
            <w:tcW w:w="122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vMerge w:val="restart"/>
            <w:shd w:val="clear" w:color="auto" w:fill="CCCCCC"/>
          </w:tcPr>
          <w:p>
            <w:pPr>
              <w:jc w:val="right"/>
              <w:ind w:right="28"/>
              <w:spacing w:after="0"/>
              <w:rPr>
                <w:sz w:val="20"/>
                <w:szCs w:val="20"/>
                <w:color w:val="auto"/>
              </w:rPr>
            </w:pPr>
            <w:r>
              <w:rPr>
                <w:rFonts w:ascii="Arial" w:cs="Arial" w:eastAsia="Arial" w:hAnsi="Arial"/>
                <w:sz w:val="14"/>
                <w:szCs w:val="14"/>
                <w:color w:val="auto"/>
              </w:rPr>
              <w:t>9,026</w:t>
            </w:r>
          </w:p>
        </w:tc>
        <w:tc>
          <w:tcPr>
            <w:tcW w:w="90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5,009,036</w:t>
            </w:r>
          </w:p>
        </w:tc>
        <w:tc>
          <w:tcPr>
            <w:tcW w:w="0" w:type="dxa"/>
            <w:vAlign w:val="bottom"/>
          </w:tcPr>
          <w:p>
            <w:pPr>
              <w:spacing w:after="0"/>
              <w:rPr>
                <w:sz w:val="1"/>
                <w:szCs w:val="1"/>
                <w:color w:val="auto"/>
              </w:rPr>
            </w:pPr>
          </w:p>
        </w:tc>
      </w:tr>
      <w:tr>
        <w:trPr>
          <w:trHeight w:val="81"/>
        </w:trPr>
        <w:tc>
          <w:tcPr>
            <w:tcW w:w="1920" w:type="dxa"/>
            <w:vAlign w:val="bottom"/>
            <w:shd w:val="clear" w:color="auto" w:fill="CCCCCC"/>
          </w:tcPr>
          <w:p>
            <w:pPr>
              <w:spacing w:after="0"/>
              <w:rPr>
                <w:sz w:val="7"/>
                <w:szCs w:val="7"/>
                <w:color w:val="auto"/>
              </w:rPr>
            </w:pPr>
          </w:p>
        </w:tc>
        <w:tc>
          <w:tcPr>
            <w:tcW w:w="120" w:type="dxa"/>
            <w:vAlign w:val="bottom"/>
            <w:shd w:val="clear" w:color="auto" w:fill="CCCCCC"/>
          </w:tcPr>
          <w:p>
            <w:pPr>
              <w:spacing w:after="0"/>
              <w:rPr>
                <w:sz w:val="7"/>
                <w:szCs w:val="7"/>
                <w:color w:val="auto"/>
              </w:rPr>
            </w:pPr>
          </w:p>
        </w:tc>
        <w:tc>
          <w:tcPr>
            <w:tcW w:w="340" w:type="dxa"/>
            <w:vAlign w:val="bottom"/>
            <w:vMerge w:val="continue"/>
            <w:shd w:val="clear" w:color="auto" w:fill="CCCCCC"/>
          </w:tcPr>
          <w:p>
            <w:pPr>
              <w:spacing w:after="0"/>
              <w:rPr>
                <w:sz w:val="7"/>
                <w:szCs w:val="7"/>
                <w:color w:val="auto"/>
              </w:rPr>
            </w:pPr>
          </w:p>
        </w:tc>
        <w:tc>
          <w:tcPr>
            <w:tcW w:w="1020" w:type="dxa"/>
            <w:vAlign w:val="bottom"/>
            <w:vMerge w:val="continue"/>
            <w:shd w:val="clear" w:color="auto" w:fill="CCCCCC"/>
          </w:tcPr>
          <w:p>
            <w:pPr>
              <w:spacing w:after="0"/>
              <w:rPr>
                <w:sz w:val="7"/>
                <w:szCs w:val="7"/>
                <w:color w:val="auto"/>
              </w:rPr>
            </w:pPr>
          </w:p>
        </w:tc>
        <w:tc>
          <w:tcPr>
            <w:tcW w:w="740" w:type="dxa"/>
            <w:vAlign w:val="bottom"/>
            <w:vMerge w:val="continue"/>
            <w:shd w:val="clear" w:color="auto" w:fill="CCCCCC"/>
          </w:tcPr>
          <w:p>
            <w:pPr>
              <w:spacing w:after="0"/>
              <w:rPr>
                <w:sz w:val="7"/>
                <w:szCs w:val="7"/>
                <w:color w:val="auto"/>
              </w:rPr>
            </w:pPr>
          </w:p>
        </w:tc>
        <w:tc>
          <w:tcPr>
            <w:tcW w:w="860" w:type="dxa"/>
            <w:vAlign w:val="bottom"/>
            <w:vMerge w:val="continue"/>
            <w:shd w:val="clear" w:color="auto" w:fill="CCCCCC"/>
          </w:tcPr>
          <w:p>
            <w:pPr>
              <w:spacing w:after="0"/>
              <w:rPr>
                <w:sz w:val="7"/>
                <w:szCs w:val="7"/>
                <w:color w:val="auto"/>
              </w:rPr>
            </w:pPr>
          </w:p>
        </w:tc>
        <w:tc>
          <w:tcPr>
            <w:tcW w:w="740" w:type="dxa"/>
            <w:vAlign w:val="bottom"/>
            <w:vMerge w:val="continue"/>
            <w:shd w:val="clear" w:color="auto" w:fill="CCCCCC"/>
          </w:tcPr>
          <w:p>
            <w:pPr>
              <w:spacing w:after="0"/>
              <w:rPr>
                <w:sz w:val="7"/>
                <w:szCs w:val="7"/>
                <w:color w:val="auto"/>
              </w:rPr>
            </w:pPr>
          </w:p>
        </w:tc>
        <w:tc>
          <w:tcPr>
            <w:tcW w:w="1240" w:type="dxa"/>
            <w:vAlign w:val="bottom"/>
            <w:vMerge w:val="continue"/>
            <w:shd w:val="clear" w:color="auto" w:fill="CCCCCC"/>
          </w:tcPr>
          <w:p>
            <w:pPr>
              <w:spacing w:after="0"/>
              <w:rPr>
                <w:sz w:val="7"/>
                <w:szCs w:val="7"/>
                <w:color w:val="auto"/>
              </w:rPr>
            </w:pPr>
          </w:p>
        </w:tc>
        <w:tc>
          <w:tcPr>
            <w:tcW w:w="1220" w:type="dxa"/>
            <w:vAlign w:val="bottom"/>
            <w:vMerge w:val="continue"/>
            <w:shd w:val="clear" w:color="auto" w:fill="CCCCCC"/>
          </w:tcPr>
          <w:p>
            <w:pPr>
              <w:spacing w:after="0"/>
              <w:rPr>
                <w:sz w:val="7"/>
                <w:szCs w:val="7"/>
                <w:color w:val="auto"/>
              </w:rPr>
            </w:pPr>
          </w:p>
        </w:tc>
        <w:tc>
          <w:tcPr>
            <w:tcW w:w="740" w:type="dxa"/>
            <w:vAlign w:val="bottom"/>
            <w:vMerge w:val="continue"/>
            <w:shd w:val="clear" w:color="auto" w:fill="CCCCCC"/>
          </w:tcPr>
          <w:p>
            <w:pPr>
              <w:spacing w:after="0"/>
              <w:rPr>
                <w:sz w:val="7"/>
                <w:szCs w:val="7"/>
                <w:color w:val="auto"/>
              </w:rPr>
            </w:pPr>
          </w:p>
        </w:tc>
        <w:tc>
          <w:tcPr>
            <w:tcW w:w="90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20" w:type="dxa"/>
            <w:vAlign w:val="bottom"/>
            <w:tcBorders>
              <w:bottom w:val="single" w:sz="8" w:color="CCCCCC"/>
            </w:tcBorders>
            <w:shd w:val="clear" w:color="auto" w:fill="CCCCCC"/>
          </w:tcPr>
          <w:p>
            <w:pPr>
              <w:spacing w:after="0"/>
              <w:rPr>
                <w:sz w:val="23"/>
                <w:szCs w:val="23"/>
                <w:color w:val="auto"/>
              </w:rPr>
            </w:pPr>
          </w:p>
        </w:tc>
        <w:tc>
          <w:tcPr>
            <w:tcW w:w="120" w:type="dxa"/>
            <w:vAlign w:val="bottom"/>
            <w:tcBorders>
              <w:bottom w:val="single" w:sz="8" w:color="CCCCCC"/>
            </w:tcBorders>
            <w:shd w:val="clear" w:color="auto" w:fill="CCCCCC"/>
          </w:tcPr>
          <w:p>
            <w:pPr>
              <w:spacing w:after="0"/>
              <w:rPr>
                <w:sz w:val="23"/>
                <w:szCs w:val="23"/>
                <w:color w:val="auto"/>
              </w:rPr>
            </w:pPr>
          </w:p>
        </w:tc>
        <w:tc>
          <w:tcPr>
            <w:tcW w:w="3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w w:val="96"/>
              </w:rPr>
              <w:t>2020</w:t>
            </w:r>
          </w:p>
        </w:tc>
        <w:tc>
          <w:tcPr>
            <w:tcW w:w="1020" w:type="dxa"/>
            <w:vAlign w:val="bottom"/>
            <w:tcBorders>
              <w:bottom w:val="single" w:sz="8" w:color="CCCCCC"/>
            </w:tcBorders>
            <w:shd w:val="clear" w:color="auto" w:fill="CCCCCC"/>
          </w:tcPr>
          <w:p>
            <w:pPr>
              <w:jc w:val="center"/>
              <w:ind w:left="68"/>
              <w:spacing w:after="0"/>
              <w:rPr>
                <w:sz w:val="20"/>
                <w:szCs w:val="20"/>
                <w:color w:val="auto"/>
              </w:rPr>
            </w:pPr>
            <w:r>
              <w:rPr>
                <w:rFonts w:ascii="Arial" w:cs="Arial" w:eastAsia="Arial" w:hAnsi="Arial"/>
                <w:sz w:val="14"/>
                <w:szCs w:val="14"/>
                <w:color w:val="auto"/>
              </w:rPr>
              <w:t>229,616</w:t>
            </w:r>
          </w:p>
        </w:tc>
        <w:tc>
          <w:tcPr>
            <w:tcW w:w="7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3,519,262</w:t>
            </w:r>
          </w:p>
        </w:tc>
        <w:tc>
          <w:tcPr>
            <w:tcW w:w="7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74,246</w:t>
            </w:r>
          </w:p>
        </w:tc>
        <w:tc>
          <w:tcPr>
            <w:tcW w:w="9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3,823,124</w:t>
            </w:r>
          </w:p>
        </w:tc>
        <w:tc>
          <w:tcPr>
            <w:tcW w:w="0" w:type="dxa"/>
            <w:vAlign w:val="bottom"/>
          </w:tcPr>
          <w:p>
            <w:pPr>
              <w:spacing w:after="0"/>
              <w:rPr>
                <w:sz w:val="1"/>
                <w:szCs w:val="1"/>
                <w:color w:val="auto"/>
              </w:rPr>
            </w:pPr>
          </w:p>
        </w:tc>
      </w:tr>
      <w:tr>
        <w:trPr>
          <w:trHeight w:val="187"/>
        </w:trPr>
        <w:tc>
          <w:tcPr>
            <w:tcW w:w="192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Simhambhatla, Ravi</w:t>
            </w:r>
          </w:p>
        </w:tc>
        <w:tc>
          <w:tcPr>
            <w:tcW w:w="4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color w:val="auto"/>
                <w:w w:val="96"/>
              </w:rPr>
              <w:t>2022</w:t>
            </w:r>
          </w:p>
        </w:tc>
        <w:tc>
          <w:tcPr>
            <w:tcW w:w="1020" w:type="dxa"/>
            <w:vAlign w:val="bottom"/>
            <w:tcBorders>
              <w:top w:val="single" w:sz="8" w:color="auto"/>
            </w:tcBorders>
          </w:tcPr>
          <w:p>
            <w:pPr>
              <w:jc w:val="center"/>
              <w:ind w:left="68"/>
              <w:spacing w:after="0"/>
              <w:rPr>
                <w:sz w:val="20"/>
                <w:szCs w:val="20"/>
                <w:color w:val="auto"/>
              </w:rPr>
            </w:pPr>
            <w:r>
              <w:rPr>
                <w:rFonts w:ascii="Arial" w:cs="Arial" w:eastAsia="Arial" w:hAnsi="Arial"/>
                <w:sz w:val="14"/>
                <w:szCs w:val="14"/>
                <w:color w:val="auto"/>
              </w:rPr>
              <w:t>252,055</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5,449,927</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421,940</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95,642</w:t>
            </w: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6,219,564</w:t>
            </w:r>
          </w:p>
        </w:tc>
        <w:tc>
          <w:tcPr>
            <w:tcW w:w="0" w:type="dxa"/>
            <w:vAlign w:val="bottom"/>
          </w:tcPr>
          <w:p>
            <w:pPr>
              <w:spacing w:after="0"/>
              <w:rPr>
                <w:sz w:val="1"/>
                <w:szCs w:val="1"/>
                <w:color w:val="auto"/>
              </w:rPr>
            </w:pPr>
          </w:p>
        </w:tc>
      </w:tr>
      <w:tr>
        <w:trPr>
          <w:trHeight w:val="162"/>
        </w:trPr>
        <w:tc>
          <w:tcPr>
            <w:tcW w:w="1920" w:type="dxa"/>
            <w:vAlign w:val="bottom"/>
          </w:tcPr>
          <w:p>
            <w:pPr>
              <w:ind w:left="200"/>
              <w:spacing w:after="0"/>
              <w:rPr>
                <w:sz w:val="20"/>
                <w:szCs w:val="20"/>
                <w:color w:val="auto"/>
              </w:rPr>
            </w:pPr>
            <w:r>
              <w:rPr>
                <w:rFonts w:ascii="Arial" w:cs="Arial" w:eastAsia="Arial" w:hAnsi="Arial"/>
                <w:sz w:val="14"/>
                <w:szCs w:val="14"/>
                <w:color w:val="auto"/>
              </w:rPr>
              <w:t>EVP, Chief Digital &amp;</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20" w:type="dxa"/>
            <w:vAlign w:val="bottom"/>
          </w:tcPr>
          <w:p>
            <w:pPr>
              <w:ind w:left="200"/>
              <w:spacing w:after="0"/>
              <w:rPr>
                <w:sz w:val="20"/>
                <w:szCs w:val="20"/>
                <w:color w:val="auto"/>
              </w:rPr>
            </w:pPr>
            <w:r>
              <w:rPr>
                <w:rFonts w:ascii="Arial" w:cs="Arial" w:eastAsia="Arial" w:hAnsi="Arial"/>
                <w:sz w:val="14"/>
                <w:szCs w:val="14"/>
                <w:color w:val="auto"/>
              </w:rPr>
              <w:t>Innovation Officer</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9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Martins, Izilda P. EVP,</w:t>
            </w:r>
          </w:p>
        </w:tc>
        <w:tc>
          <w:tcPr>
            <w:tcW w:w="120" w:type="dxa"/>
            <w:vAlign w:val="bottom"/>
            <w:shd w:val="clear" w:color="auto" w:fill="CCCCCC"/>
          </w:tcPr>
          <w:p>
            <w:pPr>
              <w:spacing w:after="0"/>
              <w:rPr>
                <w:sz w:val="16"/>
                <w:szCs w:val="16"/>
                <w:color w:val="auto"/>
              </w:rPr>
            </w:pPr>
          </w:p>
        </w:tc>
        <w:tc>
          <w:tcPr>
            <w:tcW w:w="340" w:type="dxa"/>
            <w:vAlign w:val="bottom"/>
            <w:shd w:val="clear" w:color="auto" w:fill="CCCCCC"/>
          </w:tcPr>
          <w:p>
            <w:pPr>
              <w:ind w:left="20"/>
              <w:spacing w:after="0"/>
              <w:rPr>
                <w:sz w:val="20"/>
                <w:szCs w:val="20"/>
                <w:color w:val="auto"/>
              </w:rPr>
            </w:pPr>
            <w:r>
              <w:rPr>
                <w:rFonts w:ascii="Arial" w:cs="Arial" w:eastAsia="Arial" w:hAnsi="Arial"/>
                <w:sz w:val="14"/>
                <w:szCs w:val="14"/>
                <w:color w:val="auto"/>
                <w:w w:val="96"/>
              </w:rPr>
              <w:t>2022</w:t>
            </w:r>
          </w:p>
        </w:tc>
        <w:tc>
          <w:tcPr>
            <w:tcW w:w="1020" w:type="dxa"/>
            <w:vAlign w:val="bottom"/>
            <w:shd w:val="clear" w:color="auto" w:fill="CCCCCC"/>
          </w:tcPr>
          <w:p>
            <w:pPr>
              <w:jc w:val="center"/>
              <w:ind w:left="68"/>
              <w:spacing w:after="0"/>
              <w:rPr>
                <w:sz w:val="20"/>
                <w:szCs w:val="20"/>
                <w:color w:val="auto"/>
              </w:rPr>
            </w:pPr>
            <w:r>
              <w:rPr>
                <w:rFonts w:ascii="Arial" w:cs="Arial" w:eastAsia="Arial" w:hAnsi="Arial"/>
                <w:sz w:val="14"/>
                <w:szCs w:val="14"/>
                <w:color w:val="auto"/>
              </w:rPr>
              <w:t>600,000</w:t>
            </w:r>
          </w:p>
        </w:tc>
        <w:tc>
          <w:tcPr>
            <w:tcW w:w="7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2,400,048</w:t>
            </w:r>
          </w:p>
        </w:tc>
        <w:tc>
          <w:tcPr>
            <w:tcW w:w="7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1,051,875</w:t>
            </w:r>
          </w:p>
        </w:tc>
        <w:tc>
          <w:tcPr>
            <w:tcW w:w="122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40,030</w:t>
            </w:r>
          </w:p>
        </w:tc>
        <w:tc>
          <w:tcPr>
            <w:tcW w:w="90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4,091,953</w:t>
            </w:r>
          </w:p>
        </w:tc>
        <w:tc>
          <w:tcPr>
            <w:tcW w:w="0" w:type="dxa"/>
            <w:vAlign w:val="bottom"/>
          </w:tcPr>
          <w:p>
            <w:pPr>
              <w:spacing w:after="0"/>
              <w:rPr>
                <w:sz w:val="1"/>
                <w:szCs w:val="1"/>
                <w:color w:val="auto"/>
              </w:rPr>
            </w:pPr>
          </w:p>
        </w:tc>
      </w:tr>
      <w:tr>
        <w:trPr>
          <w:trHeight w:val="190"/>
        </w:trPr>
        <w:tc>
          <w:tcPr>
            <w:tcW w:w="1920" w:type="dxa"/>
            <w:vAlign w:val="bottom"/>
            <w:shd w:val="clear" w:color="auto" w:fill="CCCCCC"/>
          </w:tcPr>
          <w:p>
            <w:pPr>
              <w:ind w:left="200"/>
              <w:spacing w:after="0"/>
              <w:rPr>
                <w:sz w:val="20"/>
                <w:szCs w:val="20"/>
                <w:color w:val="auto"/>
              </w:rPr>
            </w:pPr>
            <w:r>
              <w:rPr>
                <w:rFonts w:ascii="Arial" w:cs="Arial" w:eastAsia="Arial" w:hAnsi="Arial"/>
                <w:sz w:val="14"/>
                <w:szCs w:val="14"/>
                <w:color w:val="auto"/>
              </w:rPr>
              <w:t>Americas</w:t>
            </w:r>
          </w:p>
        </w:tc>
        <w:tc>
          <w:tcPr>
            <w:tcW w:w="120" w:type="dxa"/>
            <w:vAlign w:val="bottom"/>
            <w:shd w:val="clear" w:color="auto" w:fill="CCCCCC"/>
          </w:tcPr>
          <w:p>
            <w:pPr>
              <w:spacing w:after="0"/>
              <w:rPr>
                <w:sz w:val="16"/>
                <w:szCs w:val="16"/>
                <w:color w:val="auto"/>
              </w:rPr>
            </w:pPr>
          </w:p>
        </w:tc>
        <w:tc>
          <w:tcPr>
            <w:tcW w:w="3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w w:val="96"/>
              </w:rPr>
              <w:t>2021</w:t>
            </w:r>
          </w:p>
        </w:tc>
        <w:tc>
          <w:tcPr>
            <w:tcW w:w="1020" w:type="dxa"/>
            <w:vAlign w:val="bottom"/>
            <w:vMerge w:val="restart"/>
            <w:shd w:val="clear" w:color="auto" w:fill="CCCCCC"/>
          </w:tcPr>
          <w:p>
            <w:pPr>
              <w:jc w:val="center"/>
              <w:ind w:left="68"/>
              <w:spacing w:after="0"/>
              <w:rPr>
                <w:sz w:val="20"/>
                <w:szCs w:val="20"/>
                <w:color w:val="auto"/>
              </w:rPr>
            </w:pPr>
            <w:r>
              <w:rPr>
                <w:rFonts w:ascii="Arial" w:cs="Arial" w:eastAsia="Arial" w:hAnsi="Arial"/>
                <w:sz w:val="14"/>
                <w:szCs w:val="14"/>
                <w:color w:val="auto"/>
              </w:rPr>
              <w:t>500,000</w:t>
            </w:r>
          </w:p>
        </w:tc>
        <w:tc>
          <w:tcPr>
            <w:tcW w:w="7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83,333</w:t>
            </w:r>
          </w:p>
        </w:tc>
        <w:tc>
          <w:tcPr>
            <w:tcW w:w="86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800,045</w:t>
            </w:r>
          </w:p>
        </w:tc>
        <w:tc>
          <w:tcPr>
            <w:tcW w:w="740" w:type="dxa"/>
            <w:vAlign w:val="bottom"/>
            <w:shd w:val="clear" w:color="auto" w:fill="CCCCCC"/>
          </w:tcPr>
          <w:p>
            <w:pPr>
              <w:spacing w:after="0"/>
              <w:rPr>
                <w:sz w:val="16"/>
                <w:szCs w:val="16"/>
                <w:color w:val="auto"/>
              </w:rPr>
            </w:pPr>
          </w:p>
        </w:tc>
        <w:tc>
          <w:tcPr>
            <w:tcW w:w="12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737,500</w:t>
            </w:r>
          </w:p>
        </w:tc>
        <w:tc>
          <w:tcPr>
            <w:tcW w:w="1220" w:type="dxa"/>
            <w:vAlign w:val="bottom"/>
            <w:shd w:val="clear" w:color="auto" w:fill="CCCCCC"/>
          </w:tcPr>
          <w:p>
            <w:pPr>
              <w:spacing w:after="0"/>
              <w:rPr>
                <w:sz w:val="16"/>
                <w:szCs w:val="16"/>
                <w:color w:val="auto"/>
              </w:rPr>
            </w:pPr>
          </w:p>
        </w:tc>
        <w:tc>
          <w:tcPr>
            <w:tcW w:w="740" w:type="dxa"/>
            <w:vAlign w:val="bottom"/>
            <w:vMerge w:val="restart"/>
            <w:shd w:val="clear" w:color="auto" w:fill="CCCCCC"/>
          </w:tcPr>
          <w:p>
            <w:pPr>
              <w:jc w:val="right"/>
              <w:ind w:right="28"/>
              <w:spacing w:after="0"/>
              <w:rPr>
                <w:sz w:val="20"/>
                <w:szCs w:val="20"/>
                <w:color w:val="auto"/>
              </w:rPr>
            </w:pPr>
            <w:r>
              <w:rPr>
                <w:rFonts w:ascii="Arial" w:cs="Arial" w:eastAsia="Arial" w:hAnsi="Arial"/>
                <w:sz w:val="14"/>
                <w:szCs w:val="14"/>
                <w:color w:val="auto"/>
              </w:rPr>
              <w:t>39,470</w:t>
            </w:r>
          </w:p>
        </w:tc>
        <w:tc>
          <w:tcPr>
            <w:tcW w:w="90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2,160,348</w:t>
            </w:r>
          </w:p>
        </w:tc>
        <w:tc>
          <w:tcPr>
            <w:tcW w:w="0" w:type="dxa"/>
            <w:vAlign w:val="bottom"/>
          </w:tcPr>
          <w:p>
            <w:pPr>
              <w:spacing w:after="0"/>
              <w:rPr>
                <w:sz w:val="1"/>
                <w:szCs w:val="1"/>
                <w:color w:val="auto"/>
              </w:rPr>
            </w:pPr>
          </w:p>
        </w:tc>
      </w:tr>
      <w:tr>
        <w:trPr>
          <w:trHeight w:val="81"/>
        </w:trPr>
        <w:tc>
          <w:tcPr>
            <w:tcW w:w="1920" w:type="dxa"/>
            <w:vAlign w:val="bottom"/>
            <w:shd w:val="clear" w:color="auto" w:fill="CCCCCC"/>
          </w:tcPr>
          <w:p>
            <w:pPr>
              <w:spacing w:after="0"/>
              <w:rPr>
                <w:sz w:val="7"/>
                <w:szCs w:val="7"/>
                <w:color w:val="auto"/>
              </w:rPr>
            </w:pPr>
          </w:p>
        </w:tc>
        <w:tc>
          <w:tcPr>
            <w:tcW w:w="120" w:type="dxa"/>
            <w:vAlign w:val="bottom"/>
            <w:shd w:val="clear" w:color="auto" w:fill="CCCCCC"/>
          </w:tcPr>
          <w:p>
            <w:pPr>
              <w:spacing w:after="0"/>
              <w:rPr>
                <w:sz w:val="7"/>
                <w:szCs w:val="7"/>
                <w:color w:val="auto"/>
              </w:rPr>
            </w:pPr>
          </w:p>
        </w:tc>
        <w:tc>
          <w:tcPr>
            <w:tcW w:w="340" w:type="dxa"/>
            <w:vAlign w:val="bottom"/>
            <w:vMerge w:val="continue"/>
            <w:shd w:val="clear" w:color="auto" w:fill="CCCCCC"/>
          </w:tcPr>
          <w:p>
            <w:pPr>
              <w:spacing w:after="0"/>
              <w:rPr>
                <w:sz w:val="7"/>
                <w:szCs w:val="7"/>
                <w:color w:val="auto"/>
              </w:rPr>
            </w:pPr>
          </w:p>
        </w:tc>
        <w:tc>
          <w:tcPr>
            <w:tcW w:w="1020" w:type="dxa"/>
            <w:vAlign w:val="bottom"/>
            <w:vMerge w:val="continue"/>
            <w:shd w:val="clear" w:color="auto" w:fill="CCCCCC"/>
          </w:tcPr>
          <w:p>
            <w:pPr>
              <w:spacing w:after="0"/>
              <w:rPr>
                <w:sz w:val="7"/>
                <w:szCs w:val="7"/>
                <w:color w:val="auto"/>
              </w:rPr>
            </w:pPr>
          </w:p>
        </w:tc>
        <w:tc>
          <w:tcPr>
            <w:tcW w:w="740" w:type="dxa"/>
            <w:vAlign w:val="bottom"/>
            <w:vMerge w:val="continue"/>
            <w:shd w:val="clear" w:color="auto" w:fill="CCCCCC"/>
          </w:tcPr>
          <w:p>
            <w:pPr>
              <w:spacing w:after="0"/>
              <w:rPr>
                <w:sz w:val="7"/>
                <w:szCs w:val="7"/>
                <w:color w:val="auto"/>
              </w:rPr>
            </w:pPr>
          </w:p>
        </w:tc>
        <w:tc>
          <w:tcPr>
            <w:tcW w:w="860" w:type="dxa"/>
            <w:vAlign w:val="bottom"/>
            <w:vMerge w:val="continue"/>
            <w:shd w:val="clear" w:color="auto" w:fill="CCCCCC"/>
          </w:tcPr>
          <w:p>
            <w:pPr>
              <w:spacing w:after="0"/>
              <w:rPr>
                <w:sz w:val="7"/>
                <w:szCs w:val="7"/>
                <w:color w:val="auto"/>
              </w:rPr>
            </w:pPr>
          </w:p>
        </w:tc>
        <w:tc>
          <w:tcPr>
            <w:tcW w:w="740" w:type="dxa"/>
            <w:vAlign w:val="bottom"/>
            <w:shd w:val="clear" w:color="auto" w:fill="CCCCCC"/>
          </w:tcPr>
          <w:p>
            <w:pPr>
              <w:spacing w:after="0"/>
              <w:rPr>
                <w:sz w:val="7"/>
                <w:szCs w:val="7"/>
                <w:color w:val="auto"/>
              </w:rPr>
            </w:pPr>
          </w:p>
        </w:tc>
        <w:tc>
          <w:tcPr>
            <w:tcW w:w="1240" w:type="dxa"/>
            <w:vAlign w:val="bottom"/>
            <w:vMerge w:val="continue"/>
            <w:shd w:val="clear" w:color="auto" w:fill="CCCCCC"/>
          </w:tcPr>
          <w:p>
            <w:pPr>
              <w:spacing w:after="0"/>
              <w:rPr>
                <w:sz w:val="7"/>
                <w:szCs w:val="7"/>
                <w:color w:val="auto"/>
              </w:rPr>
            </w:pPr>
          </w:p>
        </w:tc>
        <w:tc>
          <w:tcPr>
            <w:tcW w:w="1220" w:type="dxa"/>
            <w:vAlign w:val="bottom"/>
            <w:shd w:val="clear" w:color="auto" w:fill="CCCCCC"/>
          </w:tcPr>
          <w:p>
            <w:pPr>
              <w:spacing w:after="0"/>
              <w:rPr>
                <w:sz w:val="7"/>
                <w:szCs w:val="7"/>
                <w:color w:val="auto"/>
              </w:rPr>
            </w:pPr>
          </w:p>
        </w:tc>
        <w:tc>
          <w:tcPr>
            <w:tcW w:w="740" w:type="dxa"/>
            <w:vAlign w:val="bottom"/>
            <w:vMerge w:val="continue"/>
            <w:shd w:val="clear" w:color="auto" w:fill="CCCCCC"/>
          </w:tcPr>
          <w:p>
            <w:pPr>
              <w:spacing w:after="0"/>
              <w:rPr>
                <w:sz w:val="7"/>
                <w:szCs w:val="7"/>
                <w:color w:val="auto"/>
              </w:rPr>
            </w:pPr>
          </w:p>
        </w:tc>
        <w:tc>
          <w:tcPr>
            <w:tcW w:w="90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920" w:type="dxa"/>
            <w:vAlign w:val="bottom"/>
            <w:tcBorders>
              <w:bottom w:val="single" w:sz="8" w:color="auto"/>
            </w:tcBorders>
            <w:shd w:val="clear" w:color="auto" w:fill="CCCCCC"/>
          </w:tcPr>
          <w:p>
            <w:pPr>
              <w:spacing w:after="0"/>
              <w:rPr>
                <w:sz w:val="21"/>
                <w:szCs w:val="21"/>
                <w:color w:val="auto"/>
              </w:rPr>
            </w:pPr>
          </w:p>
        </w:tc>
        <w:tc>
          <w:tcPr>
            <w:tcW w:w="120" w:type="dxa"/>
            <w:vAlign w:val="bottom"/>
            <w:tcBorders>
              <w:bottom w:val="single" w:sz="8" w:color="auto"/>
            </w:tcBorders>
            <w:shd w:val="clear" w:color="auto" w:fill="CCCCCC"/>
          </w:tcPr>
          <w:p>
            <w:pPr>
              <w:spacing w:after="0"/>
              <w:rPr>
                <w:sz w:val="21"/>
                <w:szCs w:val="21"/>
                <w:color w:val="auto"/>
              </w:rPr>
            </w:pPr>
          </w:p>
        </w:tc>
        <w:tc>
          <w:tcPr>
            <w:tcW w:w="340" w:type="dxa"/>
            <w:vAlign w:val="bottom"/>
            <w:tcBorders>
              <w:bottom w:val="single" w:sz="8" w:color="auto"/>
            </w:tcBorders>
            <w:shd w:val="clear" w:color="auto" w:fill="CCCCCC"/>
          </w:tcPr>
          <w:p>
            <w:pPr>
              <w:ind w:left="20"/>
              <w:spacing w:after="0"/>
              <w:rPr>
                <w:sz w:val="20"/>
                <w:szCs w:val="20"/>
                <w:color w:val="auto"/>
              </w:rPr>
            </w:pPr>
            <w:r>
              <w:rPr>
                <w:rFonts w:ascii="Arial" w:cs="Arial" w:eastAsia="Arial" w:hAnsi="Arial"/>
                <w:sz w:val="14"/>
                <w:szCs w:val="14"/>
                <w:color w:val="auto"/>
                <w:w w:val="96"/>
              </w:rPr>
              <w:t>2020</w:t>
            </w:r>
          </w:p>
        </w:tc>
        <w:tc>
          <w:tcPr>
            <w:tcW w:w="1020" w:type="dxa"/>
            <w:vAlign w:val="bottom"/>
            <w:tcBorders>
              <w:bottom w:val="single" w:sz="8" w:color="auto"/>
            </w:tcBorders>
            <w:shd w:val="clear" w:color="auto" w:fill="CCCCCC"/>
          </w:tcPr>
          <w:p>
            <w:pPr>
              <w:jc w:val="center"/>
              <w:ind w:left="68"/>
              <w:spacing w:after="0"/>
              <w:rPr>
                <w:sz w:val="20"/>
                <w:szCs w:val="20"/>
                <w:color w:val="auto"/>
              </w:rPr>
            </w:pPr>
            <w:r>
              <w:rPr>
                <w:rFonts w:ascii="Arial" w:cs="Arial" w:eastAsia="Arial" w:hAnsi="Arial"/>
                <w:sz w:val="14"/>
                <w:szCs w:val="14"/>
                <w:color w:val="auto"/>
              </w:rPr>
              <w:t>425,861</w:t>
            </w:r>
          </w:p>
        </w:tc>
        <w:tc>
          <w:tcPr>
            <w:tcW w:w="7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594,403</w:t>
            </w:r>
          </w:p>
        </w:tc>
        <w:tc>
          <w:tcPr>
            <w:tcW w:w="7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492,527</w:t>
            </w:r>
          </w:p>
        </w:tc>
        <w:tc>
          <w:tcPr>
            <w:tcW w:w="9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1,512,791</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60" w:hanging="350"/>
        <w:spacing w:after="0" w:line="243" w:lineRule="auto"/>
        <w:tabs>
          <w:tab w:leader="none" w:pos="3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Salary includes amounts deferred under the Company’s Deferred Compensation Plan or 401(k) Plan. For Mr. Simhambhatla, 2022 salary is prorated to reflect when his employment with the Company commenced in July 2022.</w:t>
      </w:r>
    </w:p>
    <w:p>
      <w:pPr>
        <w:spacing w:after="0" w:line="34" w:lineRule="exact"/>
        <w:rPr>
          <w:rFonts w:ascii="Arial" w:cs="Arial" w:eastAsia="Arial" w:hAnsi="Arial"/>
          <w:sz w:val="13"/>
          <w:szCs w:val="13"/>
          <w:color w:val="auto"/>
        </w:rPr>
      </w:pPr>
    </w:p>
    <w:p>
      <w:pPr>
        <w:ind w:left="360" w:hanging="350"/>
        <w:spacing w:after="0" w:line="243" w:lineRule="auto"/>
        <w:tabs>
          <w:tab w:leader="none" w:pos="3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For 2021, for Mr. Hees, represents an annual bonus paid in July 2021 based on performance during the initial 12-month period following his start date; for Ms. Martins, represents a long-term cash bonus awarded in 2019 and paid in 2021.</w:t>
      </w:r>
    </w:p>
    <w:p>
      <w:pPr>
        <w:spacing w:after="0" w:line="34" w:lineRule="exact"/>
        <w:rPr>
          <w:rFonts w:ascii="Arial" w:cs="Arial" w:eastAsia="Arial" w:hAnsi="Arial"/>
          <w:sz w:val="13"/>
          <w:szCs w:val="13"/>
          <w:color w:val="auto"/>
        </w:rPr>
      </w:pPr>
    </w:p>
    <w:p>
      <w:pPr>
        <w:jc w:val="both"/>
        <w:ind w:left="360" w:hanging="350"/>
        <w:spacing w:after="0" w:line="226" w:lineRule="auto"/>
        <w:tabs>
          <w:tab w:leader="none" w:pos="3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Represents the aggregate grant date fair value computed in accordance with Financial Accounting Standards Board (“FASB”) Accounting Standards Codification (“ASC”) Topic 718, Compensation—Stock Compensation. Assumptions used in the calculation of the grant date fair value of the 2022 stock awards are included in Note 18 to our audited financial statements for the fiscal year ended December 31, 2022, included in our 2022 Form 10-K. The grant date value of the 2022 stock awards assuming achievement of the highest level of performance conditions are: for Mr. Ferraro, $9,499,756; Mr. Choi, $3,750,180; Mr. Hees, $4,999,950; Mr. Simhambhatla, $5,562,350; and Ms. Martins, $2,624,973. The 2022 stock awards are further discussed in the Compensation Discussion and Analysis (the “CD&amp;A”).</w:t>
      </w:r>
    </w:p>
    <w:p>
      <w:pPr>
        <w:spacing w:after="0" w:line="52" w:lineRule="exact"/>
        <w:rPr>
          <w:rFonts w:ascii="Arial" w:cs="Arial" w:eastAsia="Arial" w:hAnsi="Arial"/>
          <w:sz w:val="13"/>
          <w:szCs w:val="13"/>
          <w:color w:val="auto"/>
        </w:rPr>
      </w:pPr>
    </w:p>
    <w:p>
      <w:pPr>
        <w:ind w:left="360" w:hanging="350"/>
        <w:spacing w:after="0" w:line="243" w:lineRule="auto"/>
        <w:tabs>
          <w:tab w:leader="none" w:pos="3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For 2022, amounts reflected were earned based on the terms of the 2022 AIP as further discussed in the CD&amp;A and include amounts deferred under the Company's Deferred Compensation Plan.</w:t>
      </w:r>
    </w:p>
    <w:p>
      <w:pPr>
        <w:spacing w:after="0" w:line="34" w:lineRule="exact"/>
        <w:rPr>
          <w:rFonts w:ascii="Arial" w:cs="Arial" w:eastAsia="Arial" w:hAnsi="Arial"/>
          <w:sz w:val="13"/>
          <w:szCs w:val="13"/>
          <w:color w:val="auto"/>
        </w:rPr>
      </w:pPr>
    </w:p>
    <w:p>
      <w:pPr>
        <w:jc w:val="both"/>
        <w:ind w:left="360" w:hanging="350"/>
        <w:spacing w:after="0" w:line="233" w:lineRule="auto"/>
        <w:tabs>
          <w:tab w:leader="none" w:pos="3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For 2022, while no value is shown for Mr. Ferraro, his pension value decreased by $114,749, primarily driven by the significant rise in interest rates. Avis froze this qualified defined benefit pension plan to new participation and future benefit accruals as of December 31, 1998. Please see the “Pension Benefits Table” for further information regarding this plan.</w:t>
      </w:r>
    </w:p>
    <w:p>
      <w:pPr>
        <w:spacing w:after="0" w:line="37" w:lineRule="exact"/>
        <w:rPr>
          <w:rFonts w:ascii="Arial" w:cs="Arial" w:eastAsia="Arial" w:hAnsi="Arial"/>
          <w:sz w:val="13"/>
          <w:szCs w:val="13"/>
          <w:color w:val="auto"/>
        </w:rPr>
      </w:pPr>
    </w:p>
    <w:p>
      <w:pPr>
        <w:ind w:left="360" w:hanging="350"/>
        <w:spacing w:after="0"/>
        <w:tabs>
          <w:tab w:leader="none" w:pos="3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All Other Compensation is comprised of the compensation described in the following tables.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All Other Compensation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To Deferred</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260" w:type="dxa"/>
            <w:vAlign w:val="bottom"/>
          </w:tcPr>
          <w:p>
            <w:pPr>
              <w:jc w:val="center"/>
              <w:ind w:left="48"/>
              <w:spacing w:after="0"/>
              <w:rPr>
                <w:sz w:val="20"/>
                <w:szCs w:val="20"/>
                <w:color w:val="auto"/>
              </w:rPr>
            </w:pPr>
            <w:r>
              <w:rPr>
                <w:rFonts w:ascii="Arial" w:cs="Arial" w:eastAsia="Arial" w:hAnsi="Arial"/>
                <w:sz w:val="14"/>
                <w:szCs w:val="14"/>
                <w:b w:val="1"/>
                <w:bCs w:val="1"/>
                <w:color w:val="auto"/>
              </w:rPr>
              <w:t>Total All Other</w:t>
            </w:r>
          </w:p>
        </w:tc>
      </w:tr>
      <w:tr>
        <w:trPr>
          <w:trHeight w:val="162"/>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Plans</w:t>
            </w:r>
          </w:p>
        </w:tc>
        <w:tc>
          <w:tcPr>
            <w:tcW w:w="1160" w:type="dxa"/>
            <w:vAlign w:val="bottom"/>
          </w:tcPr>
          <w:p>
            <w:pPr>
              <w:jc w:val="right"/>
              <w:ind w:right="128"/>
              <w:spacing w:after="0"/>
              <w:rPr>
                <w:sz w:val="20"/>
                <w:szCs w:val="20"/>
                <w:color w:val="auto"/>
              </w:rPr>
            </w:pPr>
            <w:r>
              <w:rPr>
                <w:rFonts w:ascii="Arial" w:cs="Arial" w:eastAsia="Arial" w:hAnsi="Arial"/>
                <w:sz w:val="14"/>
                <w:szCs w:val="14"/>
                <w:b w:val="1"/>
                <w:bCs w:val="1"/>
                <w:color w:val="auto"/>
              </w:rPr>
              <w:t>Perquisites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Amounts</w:t>
            </w:r>
          </w:p>
        </w:tc>
        <w:tc>
          <w:tcPr>
            <w:tcW w:w="1260" w:type="dxa"/>
            <w:vAlign w:val="bottom"/>
          </w:tcPr>
          <w:p>
            <w:pPr>
              <w:jc w:val="center"/>
              <w:ind w:left="68"/>
              <w:spacing w:after="0"/>
              <w:rPr>
                <w:sz w:val="20"/>
                <w:szCs w:val="20"/>
                <w:color w:val="auto"/>
              </w:rPr>
            </w:pPr>
            <w:r>
              <w:rPr>
                <w:rFonts w:ascii="Arial" w:cs="Arial" w:eastAsia="Arial" w:hAnsi="Arial"/>
                <w:sz w:val="14"/>
                <w:szCs w:val="14"/>
                <w:b w:val="1"/>
                <w:bCs w:val="1"/>
                <w:color w:val="auto"/>
              </w:rPr>
              <w:t>Compensation</w:t>
            </w:r>
          </w:p>
        </w:tc>
      </w:tr>
      <w:tr>
        <w:trPr>
          <w:trHeight w:val="196"/>
        </w:trPr>
        <w:tc>
          <w:tcPr>
            <w:tcW w:w="426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rPr>
              <w:t>Year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($)(a)</w:t>
            </w: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($)(b)</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260" w:type="dxa"/>
            <w:vAlign w:val="bottom"/>
          </w:tcPr>
          <w:p>
            <w:pPr>
              <w:jc w:val="center"/>
              <w:ind w:left="48"/>
              <w:spacing w:after="0"/>
              <w:rPr>
                <w:sz w:val="20"/>
                <w:szCs w:val="20"/>
                <w:color w:val="auto"/>
              </w:rPr>
            </w:pPr>
            <w:r>
              <w:rPr>
                <w:rFonts w:ascii="Arial" w:cs="Arial" w:eastAsia="Arial" w:hAnsi="Arial"/>
                <w:sz w:val="14"/>
                <w:szCs w:val="14"/>
                <w:b w:val="1"/>
                <w:bCs w:val="1"/>
                <w:color w:val="auto"/>
              </w:rPr>
              <w:t>($)</w:t>
            </w:r>
          </w:p>
        </w:tc>
      </w:tr>
      <w:tr>
        <w:trPr>
          <w:trHeight w:val="29"/>
        </w:trPr>
        <w:tc>
          <w:tcPr>
            <w:tcW w:w="4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8"/>
        </w:trPr>
        <w:tc>
          <w:tcPr>
            <w:tcW w:w="426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Mr. Ferraro</w:t>
            </w:r>
          </w:p>
        </w:tc>
        <w:tc>
          <w:tcPr>
            <w:tcW w:w="74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2022</w:t>
            </w:r>
          </w:p>
        </w:tc>
        <w:tc>
          <w:tcPr>
            <w:tcW w:w="142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224,308</w:t>
            </w:r>
          </w:p>
        </w:tc>
        <w:tc>
          <w:tcPr>
            <w:tcW w:w="11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37,860</w:t>
            </w:r>
          </w:p>
        </w:tc>
        <w:tc>
          <w:tcPr>
            <w:tcW w:w="10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708</w:t>
            </w:r>
          </w:p>
        </w:tc>
        <w:tc>
          <w:tcPr>
            <w:tcW w:w="12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262,876</w:t>
            </w:r>
          </w:p>
        </w:tc>
      </w:tr>
      <w:tr>
        <w:trPr>
          <w:trHeight w:val="243"/>
        </w:trPr>
        <w:tc>
          <w:tcPr>
            <w:tcW w:w="4260" w:type="dxa"/>
            <w:vAlign w:val="bottom"/>
            <w:shd w:val="clear" w:color="auto" w:fill="CCCCCC"/>
          </w:tcPr>
          <w:p>
            <w:pPr>
              <w:spacing w:after="0"/>
              <w:rPr>
                <w:sz w:val="21"/>
                <w:szCs w:val="21"/>
                <w:color w:val="auto"/>
              </w:rPr>
            </w:pPr>
          </w:p>
        </w:tc>
        <w:tc>
          <w:tcPr>
            <w:tcW w:w="74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2021</w:t>
            </w:r>
          </w:p>
        </w:tc>
        <w:tc>
          <w:tcPr>
            <w:tcW w:w="142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55,385</w:t>
            </w:r>
          </w:p>
        </w:tc>
        <w:tc>
          <w:tcPr>
            <w:tcW w:w="11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38,382</w:t>
            </w:r>
          </w:p>
        </w:tc>
        <w:tc>
          <w:tcPr>
            <w:tcW w:w="10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756</w:t>
            </w:r>
          </w:p>
        </w:tc>
        <w:tc>
          <w:tcPr>
            <w:tcW w:w="12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94,523</w:t>
            </w:r>
          </w:p>
        </w:tc>
      </w:tr>
      <w:tr>
        <w:trPr>
          <w:trHeight w:val="270"/>
        </w:trPr>
        <w:tc>
          <w:tcPr>
            <w:tcW w:w="4260" w:type="dxa"/>
            <w:vAlign w:val="bottom"/>
            <w:tcBorders>
              <w:bottom w:val="single" w:sz="8" w:color="CCCCCC"/>
            </w:tcBorders>
            <w:shd w:val="clear" w:color="auto" w:fill="CCCCCC"/>
          </w:tcPr>
          <w:p>
            <w:pPr>
              <w:spacing w:after="0"/>
              <w:rPr>
                <w:sz w:val="23"/>
                <w:szCs w:val="23"/>
                <w:color w:val="auto"/>
              </w:rPr>
            </w:pPr>
          </w:p>
        </w:tc>
        <w:tc>
          <w:tcPr>
            <w:tcW w:w="740" w:type="dxa"/>
            <w:vAlign w:val="bottom"/>
            <w:tcBorders>
              <w:bottom w:val="single" w:sz="8" w:color="CCCCCC"/>
            </w:tcBorders>
            <w:shd w:val="clear" w:color="auto" w:fill="CCCCCC"/>
          </w:tcPr>
          <w:p>
            <w:pPr>
              <w:ind w:left="220"/>
              <w:spacing w:after="0"/>
              <w:rPr>
                <w:sz w:val="20"/>
                <w:szCs w:val="20"/>
                <w:color w:val="auto"/>
              </w:rPr>
            </w:pPr>
            <w:r>
              <w:rPr>
                <w:rFonts w:ascii="Arial" w:cs="Arial" w:eastAsia="Arial" w:hAnsi="Arial"/>
                <w:sz w:val="14"/>
                <w:szCs w:val="14"/>
                <w:color w:val="auto"/>
              </w:rPr>
              <w:t>2020</w:t>
            </w:r>
          </w:p>
        </w:tc>
        <w:tc>
          <w:tcPr>
            <w:tcW w:w="142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81,931</w:t>
            </w:r>
          </w:p>
        </w:tc>
        <w:tc>
          <w:tcPr>
            <w:tcW w:w="116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35,726</w:t>
            </w:r>
          </w:p>
        </w:tc>
        <w:tc>
          <w:tcPr>
            <w:tcW w:w="1000" w:type="dxa"/>
            <w:vAlign w:val="bottom"/>
            <w:tcBorders>
              <w:bottom w:val="single" w:sz="8" w:color="CCCCCC"/>
            </w:tcBorders>
            <w:shd w:val="clear" w:color="auto" w:fill="CCCCCC"/>
          </w:tcPr>
          <w:p>
            <w:pPr>
              <w:jc w:val="right"/>
              <w:ind w:right="108"/>
              <w:spacing w:after="0"/>
              <w:rPr>
                <w:sz w:val="20"/>
                <w:szCs w:val="20"/>
                <w:color w:val="auto"/>
              </w:rPr>
            </w:pPr>
            <w:r>
              <w:rPr>
                <w:rFonts w:ascii="Arial" w:cs="Arial" w:eastAsia="Arial" w:hAnsi="Arial"/>
                <w:sz w:val="14"/>
                <w:szCs w:val="14"/>
                <w:color w:val="auto"/>
              </w:rPr>
              <w:t>750,756</w:t>
            </w:r>
          </w:p>
        </w:tc>
        <w:tc>
          <w:tcPr>
            <w:tcW w:w="12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868,413</w:t>
            </w:r>
          </w:p>
        </w:tc>
      </w:tr>
      <w:tr>
        <w:trPr>
          <w:trHeight w:val="215"/>
        </w:trPr>
        <w:tc>
          <w:tcPr>
            <w:tcW w:w="42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Mr. Choi</w:t>
            </w:r>
          </w:p>
        </w:tc>
        <w:tc>
          <w:tcPr>
            <w:tcW w:w="74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2022</w:t>
            </w:r>
          </w:p>
        </w:tc>
        <w:tc>
          <w:tcPr>
            <w:tcW w:w="14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3,050</w:t>
            </w:r>
          </w:p>
        </w:tc>
        <w:tc>
          <w:tcPr>
            <w:tcW w:w="11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26,815</w:t>
            </w:r>
          </w:p>
        </w:tc>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531</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30,396</w:t>
            </w:r>
          </w:p>
        </w:tc>
      </w:tr>
      <w:tr>
        <w:trPr>
          <w:trHeight w:val="243"/>
        </w:trPr>
        <w:tc>
          <w:tcPr>
            <w:tcW w:w="4260" w:type="dxa"/>
            <w:vAlign w:val="bottom"/>
          </w:tcPr>
          <w:p>
            <w:pPr>
              <w:spacing w:after="0"/>
              <w:rPr>
                <w:sz w:val="21"/>
                <w:szCs w:val="21"/>
                <w:color w:val="auto"/>
              </w:rPr>
            </w:pPr>
          </w:p>
        </w:tc>
        <w:tc>
          <w:tcPr>
            <w:tcW w:w="740" w:type="dxa"/>
            <w:vAlign w:val="bottom"/>
          </w:tcPr>
          <w:p>
            <w:pPr>
              <w:ind w:left="220"/>
              <w:spacing w:after="0"/>
              <w:rPr>
                <w:sz w:val="20"/>
                <w:szCs w:val="20"/>
                <w:color w:val="auto"/>
              </w:rPr>
            </w:pPr>
            <w:r>
              <w:rPr>
                <w:rFonts w:ascii="Arial" w:cs="Arial" w:eastAsia="Arial" w:hAnsi="Arial"/>
                <w:sz w:val="14"/>
                <w:szCs w:val="14"/>
                <w:color w:val="auto"/>
              </w:rPr>
              <w:t>2021</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2,900</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21,703</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510</w:t>
            </w:r>
          </w:p>
        </w:tc>
        <w:tc>
          <w:tcPr>
            <w:tcW w:w="1260" w:type="dxa"/>
            <w:vAlign w:val="bottom"/>
          </w:tcPr>
          <w:p>
            <w:pPr>
              <w:jc w:val="right"/>
              <w:spacing w:after="0"/>
              <w:rPr>
                <w:sz w:val="20"/>
                <w:szCs w:val="20"/>
                <w:color w:val="auto"/>
              </w:rPr>
            </w:pPr>
            <w:r>
              <w:rPr>
                <w:rFonts w:ascii="Arial" w:cs="Arial" w:eastAsia="Arial" w:hAnsi="Arial"/>
                <w:sz w:val="14"/>
                <w:szCs w:val="14"/>
                <w:color w:val="auto"/>
              </w:rPr>
              <w:t>25,113</w:t>
            </w:r>
          </w:p>
        </w:tc>
      </w:tr>
      <w:tr>
        <w:trPr>
          <w:trHeight w:val="243"/>
        </w:trPr>
        <w:tc>
          <w:tcPr>
            <w:tcW w:w="4260" w:type="dxa"/>
            <w:vAlign w:val="bottom"/>
          </w:tcPr>
          <w:p>
            <w:pPr>
              <w:spacing w:after="0"/>
              <w:rPr>
                <w:sz w:val="21"/>
                <w:szCs w:val="21"/>
                <w:color w:val="auto"/>
              </w:rPr>
            </w:pPr>
          </w:p>
        </w:tc>
        <w:tc>
          <w:tcPr>
            <w:tcW w:w="740" w:type="dxa"/>
            <w:vAlign w:val="bottom"/>
          </w:tcPr>
          <w:p>
            <w:pPr>
              <w:ind w:left="220"/>
              <w:spacing w:after="0"/>
              <w:rPr>
                <w:sz w:val="20"/>
                <w:szCs w:val="20"/>
                <w:color w:val="auto"/>
              </w:rPr>
            </w:pPr>
            <w:r>
              <w:rPr>
                <w:rFonts w:ascii="Arial" w:cs="Arial" w:eastAsia="Arial" w:hAnsi="Arial"/>
                <w:sz w:val="14"/>
                <w:szCs w:val="14"/>
                <w:color w:val="auto"/>
              </w:rPr>
              <w:t>2020</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769</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4,121</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510</w:t>
            </w:r>
          </w:p>
        </w:tc>
        <w:tc>
          <w:tcPr>
            <w:tcW w:w="1260" w:type="dxa"/>
            <w:vAlign w:val="bottom"/>
          </w:tcPr>
          <w:p>
            <w:pPr>
              <w:jc w:val="right"/>
              <w:spacing w:after="0"/>
              <w:rPr>
                <w:sz w:val="20"/>
                <w:szCs w:val="20"/>
                <w:color w:val="auto"/>
              </w:rPr>
            </w:pPr>
            <w:r>
              <w:rPr>
                <w:rFonts w:ascii="Arial" w:cs="Arial" w:eastAsia="Arial" w:hAnsi="Arial"/>
                <w:sz w:val="14"/>
                <w:szCs w:val="14"/>
                <w:color w:val="auto"/>
              </w:rPr>
              <w:t>5,400</w:t>
            </w:r>
          </w:p>
        </w:tc>
      </w:tr>
      <w:tr>
        <w:trPr>
          <w:trHeight w:val="22"/>
        </w:trPr>
        <w:tc>
          <w:tcPr>
            <w:tcW w:w="4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5"/>
        </w:trPr>
        <w:tc>
          <w:tcPr>
            <w:tcW w:w="426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Mr. Hees</w:t>
            </w:r>
          </w:p>
        </w:tc>
        <w:tc>
          <w:tcPr>
            <w:tcW w:w="74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2022</w:t>
            </w:r>
          </w:p>
        </w:tc>
        <w:tc>
          <w:tcPr>
            <w:tcW w:w="142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12,200</w:t>
            </w:r>
          </w:p>
        </w:tc>
        <w:tc>
          <w:tcPr>
            <w:tcW w:w="11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3,980</w:t>
            </w:r>
          </w:p>
        </w:tc>
        <w:tc>
          <w:tcPr>
            <w:tcW w:w="10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531</w:t>
            </w:r>
          </w:p>
        </w:tc>
        <w:tc>
          <w:tcPr>
            <w:tcW w:w="12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16,711</w:t>
            </w:r>
          </w:p>
        </w:tc>
      </w:tr>
      <w:tr>
        <w:trPr>
          <w:trHeight w:val="243"/>
        </w:trPr>
        <w:tc>
          <w:tcPr>
            <w:tcW w:w="4260" w:type="dxa"/>
            <w:vAlign w:val="bottom"/>
            <w:shd w:val="clear" w:color="auto" w:fill="CCCCCC"/>
          </w:tcPr>
          <w:p>
            <w:pPr>
              <w:spacing w:after="0"/>
              <w:rPr>
                <w:sz w:val="21"/>
                <w:szCs w:val="21"/>
                <w:color w:val="auto"/>
              </w:rPr>
            </w:pPr>
          </w:p>
        </w:tc>
        <w:tc>
          <w:tcPr>
            <w:tcW w:w="74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2021</w:t>
            </w:r>
          </w:p>
        </w:tc>
        <w:tc>
          <w:tcPr>
            <w:tcW w:w="142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1,138</w:t>
            </w:r>
          </w:p>
        </w:tc>
        <w:tc>
          <w:tcPr>
            <w:tcW w:w="11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7,378</w:t>
            </w:r>
          </w:p>
        </w:tc>
        <w:tc>
          <w:tcPr>
            <w:tcW w:w="10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510</w:t>
            </w:r>
          </w:p>
        </w:tc>
        <w:tc>
          <w:tcPr>
            <w:tcW w:w="12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9,026</w:t>
            </w:r>
          </w:p>
        </w:tc>
      </w:tr>
      <w:tr>
        <w:trPr>
          <w:trHeight w:val="269"/>
        </w:trPr>
        <w:tc>
          <w:tcPr>
            <w:tcW w:w="4260" w:type="dxa"/>
            <w:vAlign w:val="bottom"/>
            <w:tcBorders>
              <w:bottom w:val="single" w:sz="8" w:color="CCCCCC"/>
            </w:tcBorders>
            <w:shd w:val="clear" w:color="auto" w:fill="CCCCCC"/>
          </w:tcPr>
          <w:p>
            <w:pPr>
              <w:spacing w:after="0"/>
              <w:rPr>
                <w:sz w:val="23"/>
                <w:szCs w:val="23"/>
                <w:color w:val="auto"/>
              </w:rPr>
            </w:pPr>
          </w:p>
        </w:tc>
        <w:tc>
          <w:tcPr>
            <w:tcW w:w="740" w:type="dxa"/>
            <w:vAlign w:val="bottom"/>
            <w:tcBorders>
              <w:bottom w:val="single" w:sz="8" w:color="CCCCCC"/>
            </w:tcBorders>
            <w:shd w:val="clear" w:color="auto" w:fill="CCCCCC"/>
          </w:tcPr>
          <w:p>
            <w:pPr>
              <w:ind w:left="220"/>
              <w:spacing w:after="0"/>
              <w:rPr>
                <w:sz w:val="20"/>
                <w:szCs w:val="20"/>
                <w:color w:val="auto"/>
              </w:rPr>
            </w:pPr>
            <w:r>
              <w:rPr>
                <w:rFonts w:ascii="Arial" w:cs="Arial" w:eastAsia="Arial" w:hAnsi="Arial"/>
                <w:sz w:val="14"/>
                <w:szCs w:val="14"/>
                <w:color w:val="auto"/>
              </w:rPr>
              <w:t>2020</w:t>
            </w:r>
          </w:p>
        </w:tc>
        <w:tc>
          <w:tcPr>
            <w:tcW w:w="142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936</w:t>
            </w:r>
          </w:p>
        </w:tc>
        <w:tc>
          <w:tcPr>
            <w:tcW w:w="1000" w:type="dxa"/>
            <w:vAlign w:val="bottom"/>
            <w:tcBorders>
              <w:bottom w:val="single" w:sz="8" w:color="CCCCCC"/>
            </w:tcBorders>
            <w:shd w:val="clear" w:color="auto" w:fill="CCCCCC"/>
          </w:tcPr>
          <w:p>
            <w:pPr>
              <w:jc w:val="right"/>
              <w:ind w:right="108"/>
              <w:spacing w:after="0"/>
              <w:rPr>
                <w:sz w:val="20"/>
                <w:szCs w:val="20"/>
                <w:color w:val="auto"/>
              </w:rPr>
            </w:pPr>
            <w:r>
              <w:rPr>
                <w:rFonts w:ascii="Arial" w:cs="Arial" w:eastAsia="Arial" w:hAnsi="Arial"/>
                <w:sz w:val="14"/>
                <w:szCs w:val="14"/>
                <w:color w:val="auto"/>
              </w:rPr>
              <w:t>73,310</w:t>
            </w:r>
          </w:p>
        </w:tc>
        <w:tc>
          <w:tcPr>
            <w:tcW w:w="12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74,246</w:t>
            </w:r>
          </w:p>
        </w:tc>
      </w:tr>
      <w:tr>
        <w:trPr>
          <w:trHeight w:val="215"/>
        </w:trPr>
        <w:tc>
          <w:tcPr>
            <w:tcW w:w="42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Mr. Simhambhatla</w:t>
            </w:r>
          </w:p>
        </w:tc>
        <w:tc>
          <w:tcPr>
            <w:tcW w:w="74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2022</w:t>
            </w:r>
          </w:p>
        </w:tc>
        <w:tc>
          <w:tcPr>
            <w:tcW w:w="14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95,642</w:t>
            </w:r>
          </w:p>
        </w:tc>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95,642</w:t>
            </w:r>
          </w:p>
        </w:tc>
      </w:tr>
      <w:tr>
        <w:trPr>
          <w:trHeight w:val="21"/>
        </w:trPr>
        <w:tc>
          <w:tcPr>
            <w:tcW w:w="4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5"/>
        </w:trPr>
        <w:tc>
          <w:tcPr>
            <w:tcW w:w="426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Ms. Martins</w:t>
            </w:r>
          </w:p>
        </w:tc>
        <w:tc>
          <w:tcPr>
            <w:tcW w:w="74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2022</w:t>
            </w:r>
          </w:p>
        </w:tc>
        <w:tc>
          <w:tcPr>
            <w:tcW w:w="142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18,300</w:t>
            </w:r>
          </w:p>
        </w:tc>
        <w:tc>
          <w:tcPr>
            <w:tcW w:w="11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21,199</w:t>
            </w:r>
          </w:p>
        </w:tc>
        <w:tc>
          <w:tcPr>
            <w:tcW w:w="10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531</w:t>
            </w:r>
          </w:p>
        </w:tc>
        <w:tc>
          <w:tcPr>
            <w:tcW w:w="12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40,030</w:t>
            </w:r>
          </w:p>
        </w:tc>
      </w:tr>
      <w:tr>
        <w:trPr>
          <w:trHeight w:val="243"/>
        </w:trPr>
        <w:tc>
          <w:tcPr>
            <w:tcW w:w="4260" w:type="dxa"/>
            <w:vAlign w:val="bottom"/>
            <w:shd w:val="clear" w:color="auto" w:fill="CCCCCC"/>
          </w:tcPr>
          <w:p>
            <w:pPr>
              <w:spacing w:after="0"/>
              <w:rPr>
                <w:sz w:val="21"/>
                <w:szCs w:val="21"/>
                <w:color w:val="auto"/>
              </w:rPr>
            </w:pPr>
          </w:p>
        </w:tc>
        <w:tc>
          <w:tcPr>
            <w:tcW w:w="74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2021</w:t>
            </w:r>
          </w:p>
        </w:tc>
        <w:tc>
          <w:tcPr>
            <w:tcW w:w="142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17,400</w:t>
            </w:r>
          </w:p>
        </w:tc>
        <w:tc>
          <w:tcPr>
            <w:tcW w:w="11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21,560</w:t>
            </w:r>
          </w:p>
        </w:tc>
        <w:tc>
          <w:tcPr>
            <w:tcW w:w="10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510</w:t>
            </w:r>
          </w:p>
        </w:tc>
        <w:tc>
          <w:tcPr>
            <w:tcW w:w="12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39,470</w:t>
            </w:r>
          </w:p>
        </w:tc>
      </w:tr>
      <w:tr>
        <w:trPr>
          <w:trHeight w:val="247"/>
        </w:trPr>
        <w:tc>
          <w:tcPr>
            <w:tcW w:w="4260" w:type="dxa"/>
            <w:vAlign w:val="bottom"/>
            <w:tcBorders>
              <w:bottom w:val="single" w:sz="8" w:color="auto"/>
            </w:tcBorders>
            <w:shd w:val="clear" w:color="auto" w:fill="CCCCCC"/>
          </w:tcPr>
          <w:p>
            <w:pPr>
              <w:spacing w:after="0"/>
              <w:rPr>
                <w:sz w:val="21"/>
                <w:szCs w:val="21"/>
                <w:color w:val="auto"/>
              </w:rPr>
            </w:pPr>
          </w:p>
        </w:tc>
        <w:tc>
          <w:tcPr>
            <w:tcW w:w="740" w:type="dxa"/>
            <w:vAlign w:val="bottom"/>
            <w:tcBorders>
              <w:bottom w:val="single" w:sz="8" w:color="auto"/>
            </w:tcBorders>
            <w:shd w:val="clear" w:color="auto" w:fill="CCCCCC"/>
          </w:tcPr>
          <w:p>
            <w:pPr>
              <w:ind w:left="220"/>
              <w:spacing w:after="0"/>
              <w:rPr>
                <w:sz w:val="20"/>
                <w:szCs w:val="20"/>
                <w:color w:val="auto"/>
              </w:rPr>
            </w:pPr>
            <w:r>
              <w:rPr>
                <w:rFonts w:ascii="Arial" w:cs="Arial" w:eastAsia="Arial" w:hAnsi="Arial"/>
                <w:sz w:val="14"/>
                <w:szCs w:val="14"/>
                <w:color w:val="auto"/>
              </w:rPr>
              <w:t>2020</w:t>
            </w:r>
          </w:p>
        </w:tc>
        <w:tc>
          <w:tcPr>
            <w:tcW w:w="1420" w:type="dxa"/>
            <w:vAlign w:val="bottom"/>
            <w:tcBorders>
              <w:bottom w:val="single" w:sz="8" w:color="auto"/>
            </w:tcBorders>
            <w:shd w:val="clear" w:color="auto" w:fill="CCCCCC"/>
          </w:tcPr>
          <w:p>
            <w:pPr>
              <w:jc w:val="right"/>
              <w:ind w:right="128"/>
              <w:spacing w:after="0"/>
              <w:rPr>
                <w:sz w:val="20"/>
                <w:szCs w:val="20"/>
                <w:color w:val="auto"/>
              </w:rPr>
            </w:pPr>
            <w:r>
              <w:rPr>
                <w:rFonts w:ascii="Arial" w:cs="Arial" w:eastAsia="Arial" w:hAnsi="Arial"/>
                <w:sz w:val="14"/>
                <w:szCs w:val="14"/>
                <w:color w:val="auto"/>
              </w:rPr>
              <w:t>20,839</w:t>
            </w:r>
          </w:p>
        </w:tc>
        <w:tc>
          <w:tcPr>
            <w:tcW w:w="1160" w:type="dxa"/>
            <w:vAlign w:val="bottom"/>
            <w:tcBorders>
              <w:bottom w:val="single" w:sz="8" w:color="auto"/>
            </w:tcBorders>
            <w:shd w:val="clear" w:color="auto" w:fill="CCCCCC"/>
          </w:tcPr>
          <w:p>
            <w:pPr>
              <w:jc w:val="right"/>
              <w:ind w:right="128"/>
              <w:spacing w:after="0"/>
              <w:rPr>
                <w:sz w:val="20"/>
                <w:szCs w:val="20"/>
                <w:color w:val="auto"/>
              </w:rPr>
            </w:pPr>
            <w:r>
              <w:rPr>
                <w:rFonts w:ascii="Arial" w:cs="Arial" w:eastAsia="Arial" w:hAnsi="Arial"/>
                <w:sz w:val="14"/>
                <w:szCs w:val="14"/>
                <w:color w:val="auto"/>
              </w:rPr>
              <w:t>21,260</w:t>
            </w:r>
          </w:p>
        </w:tc>
        <w:tc>
          <w:tcPr>
            <w:tcW w:w="1000" w:type="dxa"/>
            <w:vAlign w:val="bottom"/>
            <w:tcBorders>
              <w:bottom w:val="single" w:sz="8" w:color="auto"/>
            </w:tcBorders>
            <w:shd w:val="clear" w:color="auto" w:fill="CCCCCC"/>
          </w:tcPr>
          <w:p>
            <w:pPr>
              <w:jc w:val="right"/>
              <w:ind w:right="108"/>
              <w:spacing w:after="0"/>
              <w:rPr>
                <w:sz w:val="20"/>
                <w:szCs w:val="20"/>
                <w:color w:val="auto"/>
              </w:rPr>
            </w:pPr>
            <w:r>
              <w:rPr>
                <w:rFonts w:ascii="Arial" w:cs="Arial" w:eastAsia="Arial" w:hAnsi="Arial"/>
                <w:sz w:val="14"/>
                <w:szCs w:val="14"/>
                <w:color w:val="auto"/>
              </w:rPr>
              <w:t>450,428</w:t>
            </w:r>
          </w:p>
        </w:tc>
        <w:tc>
          <w:tcPr>
            <w:tcW w:w="12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492,527</w:t>
            </w:r>
          </w:p>
        </w:tc>
      </w:tr>
    </w:tbl>
    <w:p>
      <w:pPr>
        <w:spacing w:after="0" w:line="144" w:lineRule="exact"/>
        <w:rPr>
          <w:sz w:val="20"/>
          <w:szCs w:val="20"/>
          <w:color w:val="auto"/>
        </w:rPr>
      </w:pPr>
    </w:p>
    <w:p>
      <w:pPr>
        <w:jc w:val="both"/>
        <w:ind w:left="360" w:hanging="350"/>
        <w:spacing w:after="0" w:line="233" w:lineRule="auto"/>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For Messrs. Ferraro, Choi and Hees and Ms. Martins, amounts represent Company matching contributions under the Company’s Executive Deferred Compensation Plan or 401(k) Plan. Under the terms of the Deferred Compensation Plan and 401(k) Plan participants may receive Company matching contributions up to a maximum cap of 6%.</w:t>
      </w:r>
    </w:p>
    <w:p>
      <w:pPr>
        <w:spacing w:after="0" w:line="37" w:lineRule="exact"/>
        <w:rPr>
          <w:rFonts w:ascii="Arial" w:cs="Arial" w:eastAsia="Arial" w:hAnsi="Arial"/>
          <w:sz w:val="13"/>
          <w:szCs w:val="13"/>
          <w:color w:val="auto"/>
        </w:rPr>
      </w:pPr>
    </w:p>
    <w:p>
      <w:pPr>
        <w:ind w:left="360" w:hanging="350"/>
        <w:spacing w:after="0"/>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the perquisites presented in the “Perquisites Table” set forth below.</w:t>
      </w:r>
    </w:p>
    <w:p>
      <w:pPr>
        <w:spacing w:after="0" w:line="66" w:lineRule="exact"/>
        <w:rPr>
          <w:rFonts w:ascii="Arial" w:cs="Arial" w:eastAsia="Arial" w:hAnsi="Arial"/>
          <w:sz w:val="13"/>
          <w:szCs w:val="13"/>
          <w:color w:val="auto"/>
        </w:rPr>
      </w:pPr>
    </w:p>
    <w:p>
      <w:pPr>
        <w:jc w:val="both"/>
        <w:ind w:left="360" w:right="20" w:hanging="350"/>
        <w:spacing w:after="0" w:line="233" w:lineRule="auto"/>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Amounts include the value of insurance premiums paid by the Company for a broad-based life insurance benefit. For Mr. Ferraro and Ms. Martins in 2020, includes cash compensation of $750,000 and $450,000, respectively, per the terms of their interim assignments. For Mr. Hees in 2020, represents the amount received in respect of Board compensation from his appointment to the Board in February through his appointment as Executive Chairman, effective July 1, 2020.</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Perquisites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center"/>
              <w:ind w:left="128"/>
              <w:spacing w:after="0"/>
              <w:rPr>
                <w:sz w:val="20"/>
                <w:szCs w:val="20"/>
                <w:color w:val="auto"/>
              </w:rPr>
            </w:pPr>
            <w:r>
              <w:rPr>
                <w:rFonts w:ascii="Arial" w:cs="Arial" w:eastAsia="Arial" w:hAnsi="Arial"/>
                <w:sz w:val="14"/>
                <w:szCs w:val="14"/>
                <w:b w:val="1"/>
                <w:bCs w:val="1"/>
                <w:color w:val="auto"/>
              </w:rPr>
              <w:t>Personal</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center"/>
              <w:ind w:left="128"/>
              <w:spacing w:after="0"/>
              <w:rPr>
                <w:sz w:val="20"/>
                <w:szCs w:val="20"/>
                <w:color w:val="auto"/>
              </w:rPr>
            </w:pPr>
            <w:r>
              <w:rPr>
                <w:rFonts w:ascii="Arial" w:cs="Arial" w:eastAsia="Arial" w:hAnsi="Arial"/>
                <w:sz w:val="14"/>
                <w:szCs w:val="14"/>
                <w:b w:val="1"/>
                <w:bCs w:val="1"/>
                <w:color w:val="auto"/>
              </w:rPr>
              <w:t>Use of</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center"/>
              <w:ind w:left="188"/>
              <w:spacing w:after="0"/>
              <w:rPr>
                <w:sz w:val="20"/>
                <w:szCs w:val="20"/>
                <w:color w:val="auto"/>
              </w:rPr>
            </w:pPr>
            <w:r>
              <w:rPr>
                <w:rFonts w:ascii="Arial" w:cs="Arial" w:eastAsia="Arial" w:hAnsi="Arial"/>
                <w:sz w:val="14"/>
                <w:szCs w:val="14"/>
                <w:b w:val="1"/>
                <w:bCs w:val="1"/>
                <w:color w:val="auto"/>
              </w:rPr>
              <w:t>Company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center"/>
              <w:ind w:left="88"/>
              <w:spacing w:after="0"/>
              <w:rPr>
                <w:sz w:val="20"/>
                <w:szCs w:val="20"/>
                <w:color w:val="auto"/>
              </w:rPr>
            </w:pPr>
            <w:r>
              <w:rPr>
                <w:rFonts w:ascii="Arial" w:cs="Arial" w:eastAsia="Arial" w:hAnsi="Arial"/>
                <w:sz w:val="14"/>
                <w:szCs w:val="14"/>
                <w:b w:val="1"/>
                <w:bCs w:val="1"/>
                <w:color w:val="auto"/>
              </w:rPr>
              <w:t>Total</w:t>
            </w:r>
          </w:p>
        </w:tc>
      </w:tr>
      <w:tr>
        <w:trPr>
          <w:trHeight w:val="162"/>
        </w:trPr>
        <w:tc>
          <w:tcPr>
            <w:tcW w:w="3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center"/>
              <w:ind w:left="128"/>
              <w:spacing w:after="0"/>
              <w:rPr>
                <w:sz w:val="20"/>
                <w:szCs w:val="20"/>
                <w:color w:val="auto"/>
              </w:rPr>
            </w:pPr>
            <w:r>
              <w:rPr>
                <w:rFonts w:ascii="Arial" w:cs="Arial" w:eastAsia="Arial" w:hAnsi="Arial"/>
                <w:sz w:val="14"/>
                <w:szCs w:val="14"/>
                <w:b w:val="1"/>
                <w:bCs w:val="1"/>
                <w:color w:val="auto"/>
              </w:rPr>
              <w:t>Aircraft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Car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140" w:type="dxa"/>
            <w:vAlign w:val="bottom"/>
          </w:tcPr>
          <w:p>
            <w:pPr>
              <w:jc w:val="center"/>
              <w:ind w:left="88"/>
              <w:spacing w:after="0"/>
              <w:rPr>
                <w:sz w:val="20"/>
                <w:szCs w:val="20"/>
                <w:color w:val="auto"/>
              </w:rPr>
            </w:pPr>
            <w:r>
              <w:rPr>
                <w:rFonts w:ascii="Arial" w:cs="Arial" w:eastAsia="Arial" w:hAnsi="Arial"/>
                <w:sz w:val="14"/>
                <w:szCs w:val="14"/>
                <w:b w:val="1"/>
                <w:bCs w:val="1"/>
                <w:color w:val="auto"/>
              </w:rPr>
              <w:t>Perquisites</w:t>
            </w:r>
          </w:p>
        </w:tc>
      </w:tr>
      <w:tr>
        <w:trPr>
          <w:trHeight w:val="196"/>
        </w:trPr>
        <w:tc>
          <w:tcPr>
            <w:tcW w:w="360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ind w:left="260"/>
              <w:spacing w:after="0"/>
              <w:rPr>
                <w:sz w:val="20"/>
                <w:szCs w:val="20"/>
                <w:color w:val="auto"/>
              </w:rPr>
            </w:pPr>
            <w:r>
              <w:rPr>
                <w:rFonts w:ascii="Arial" w:cs="Arial" w:eastAsia="Arial" w:hAnsi="Arial"/>
                <w:sz w:val="14"/>
                <w:szCs w:val="14"/>
                <w:b w:val="1"/>
                <w:bCs w:val="1"/>
                <w:color w:val="auto"/>
                <w:w w:val="98"/>
              </w:rPr>
              <w:t>Year</w:t>
            </w:r>
          </w:p>
        </w:tc>
        <w:tc>
          <w:tcPr>
            <w:tcW w:w="1440" w:type="dxa"/>
            <w:vAlign w:val="bottom"/>
          </w:tcPr>
          <w:p>
            <w:pPr>
              <w:jc w:val="center"/>
              <w:ind w:left="168"/>
              <w:spacing w:after="0"/>
              <w:rPr>
                <w:sz w:val="20"/>
                <w:szCs w:val="20"/>
                <w:color w:val="auto"/>
              </w:rPr>
            </w:pPr>
            <w:r>
              <w:rPr>
                <w:rFonts w:ascii="Arial" w:cs="Arial" w:eastAsia="Arial" w:hAnsi="Arial"/>
                <w:sz w:val="14"/>
                <w:szCs w:val="14"/>
                <w:b w:val="1"/>
                <w:bCs w:val="1"/>
                <w:color w:val="auto"/>
              </w:rPr>
              <w:t>($)(a)</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140" w:type="dxa"/>
            <w:vAlign w:val="bottom"/>
          </w:tcPr>
          <w:p>
            <w:pPr>
              <w:jc w:val="center"/>
              <w:ind w:left="128"/>
              <w:spacing w:after="0"/>
              <w:rPr>
                <w:sz w:val="20"/>
                <w:szCs w:val="20"/>
                <w:color w:val="auto"/>
              </w:rPr>
            </w:pPr>
            <w:r>
              <w:rPr>
                <w:rFonts w:ascii="Arial" w:cs="Arial" w:eastAsia="Arial" w:hAnsi="Arial"/>
                <w:sz w:val="14"/>
                <w:szCs w:val="14"/>
                <w:b w:val="1"/>
                <w:bCs w:val="1"/>
                <w:color w:val="auto"/>
                <w:w w:val="99"/>
              </w:rPr>
              <w:t>($)(e)</w:t>
            </w:r>
          </w:p>
        </w:tc>
      </w:tr>
      <w:tr>
        <w:trPr>
          <w:trHeight w:val="43"/>
        </w:trPr>
        <w:tc>
          <w:tcPr>
            <w:tcW w:w="36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2"/>
        </w:trPr>
        <w:tc>
          <w:tcPr>
            <w:tcW w:w="36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Mr. Ferraro</w:t>
            </w:r>
          </w:p>
        </w:tc>
        <w:tc>
          <w:tcPr>
            <w:tcW w:w="580" w:type="dxa"/>
            <w:vAlign w:val="bottom"/>
            <w:shd w:val="clear" w:color="auto" w:fill="CCCCCC"/>
          </w:tcPr>
          <w:p>
            <w:pPr>
              <w:ind w:left="260"/>
              <w:spacing w:after="0"/>
              <w:rPr>
                <w:sz w:val="20"/>
                <w:szCs w:val="20"/>
                <w:color w:val="auto"/>
              </w:rPr>
            </w:pPr>
            <w:r>
              <w:rPr>
                <w:rFonts w:ascii="Arial" w:cs="Arial" w:eastAsia="Arial" w:hAnsi="Arial"/>
                <w:sz w:val="14"/>
                <w:szCs w:val="14"/>
                <w:color w:val="auto"/>
                <w:w w:val="96"/>
              </w:rPr>
              <w:t>2022</w:t>
            </w:r>
          </w:p>
        </w:tc>
        <w:tc>
          <w:tcPr>
            <w:tcW w:w="1440" w:type="dxa"/>
            <w:vAlign w:val="bottom"/>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7"/>
              </w:rPr>
              <w:t>11,975</w:t>
            </w:r>
          </w:p>
        </w:tc>
        <w:tc>
          <w:tcPr>
            <w:tcW w:w="9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25,885</w:t>
            </w:r>
          </w:p>
        </w:tc>
        <w:tc>
          <w:tcPr>
            <w:tcW w:w="9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ind w:left="148"/>
              <w:spacing w:after="0"/>
              <w:rPr>
                <w:sz w:val="20"/>
                <w:szCs w:val="20"/>
                <w:color w:val="auto"/>
              </w:rPr>
            </w:pPr>
            <w:r>
              <w:rPr>
                <w:rFonts w:ascii="Arial" w:cs="Arial" w:eastAsia="Arial" w:hAnsi="Arial"/>
                <w:sz w:val="14"/>
                <w:szCs w:val="14"/>
                <w:color w:val="auto"/>
              </w:rPr>
              <w:t>37,860</w:t>
            </w:r>
          </w:p>
        </w:tc>
      </w:tr>
      <w:tr>
        <w:trPr>
          <w:trHeight w:val="297"/>
        </w:trPr>
        <w:tc>
          <w:tcPr>
            <w:tcW w:w="3600" w:type="dxa"/>
            <w:vAlign w:val="bottom"/>
            <w:shd w:val="clear" w:color="auto" w:fill="CCCCCC"/>
          </w:tcPr>
          <w:p>
            <w:pPr>
              <w:spacing w:after="0"/>
              <w:rPr>
                <w:sz w:val="24"/>
                <w:szCs w:val="24"/>
                <w:color w:val="auto"/>
              </w:rPr>
            </w:pPr>
          </w:p>
        </w:tc>
        <w:tc>
          <w:tcPr>
            <w:tcW w:w="580" w:type="dxa"/>
            <w:vAlign w:val="bottom"/>
            <w:shd w:val="clear" w:color="auto" w:fill="CCCCCC"/>
          </w:tcPr>
          <w:p>
            <w:pPr>
              <w:ind w:left="260"/>
              <w:spacing w:after="0"/>
              <w:rPr>
                <w:sz w:val="20"/>
                <w:szCs w:val="20"/>
                <w:color w:val="auto"/>
              </w:rPr>
            </w:pPr>
            <w:r>
              <w:rPr>
                <w:rFonts w:ascii="Arial" w:cs="Arial" w:eastAsia="Arial" w:hAnsi="Arial"/>
                <w:sz w:val="14"/>
                <w:szCs w:val="14"/>
                <w:color w:val="auto"/>
                <w:w w:val="96"/>
              </w:rPr>
              <w:t>2021</w:t>
            </w:r>
          </w:p>
        </w:tc>
        <w:tc>
          <w:tcPr>
            <w:tcW w:w="1440" w:type="dxa"/>
            <w:vAlign w:val="bottom"/>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13,647</w:t>
            </w:r>
          </w:p>
        </w:tc>
        <w:tc>
          <w:tcPr>
            <w:tcW w:w="9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24,735</w:t>
            </w:r>
          </w:p>
        </w:tc>
        <w:tc>
          <w:tcPr>
            <w:tcW w:w="9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ind w:left="148"/>
              <w:spacing w:after="0"/>
              <w:rPr>
                <w:sz w:val="20"/>
                <w:szCs w:val="20"/>
                <w:color w:val="auto"/>
              </w:rPr>
            </w:pPr>
            <w:r>
              <w:rPr>
                <w:rFonts w:ascii="Arial" w:cs="Arial" w:eastAsia="Arial" w:hAnsi="Arial"/>
                <w:sz w:val="14"/>
                <w:szCs w:val="14"/>
                <w:color w:val="auto"/>
              </w:rPr>
              <w:t>38,382</w:t>
            </w:r>
          </w:p>
        </w:tc>
      </w:tr>
      <w:tr>
        <w:trPr>
          <w:trHeight w:val="351"/>
        </w:trPr>
        <w:tc>
          <w:tcPr>
            <w:tcW w:w="3600" w:type="dxa"/>
            <w:vAlign w:val="bottom"/>
            <w:tcBorders>
              <w:bottom w:val="single" w:sz="8" w:color="CCCCCC"/>
            </w:tcBorders>
            <w:shd w:val="clear" w:color="auto" w:fill="CCCCCC"/>
          </w:tcPr>
          <w:p>
            <w:pPr>
              <w:spacing w:after="0"/>
              <w:rPr>
                <w:sz w:val="24"/>
                <w:szCs w:val="24"/>
                <w:color w:val="auto"/>
              </w:rPr>
            </w:pPr>
          </w:p>
        </w:tc>
        <w:tc>
          <w:tcPr>
            <w:tcW w:w="58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4"/>
                <w:szCs w:val="14"/>
                <w:color w:val="auto"/>
                <w:w w:val="96"/>
              </w:rPr>
              <w:t>2020</w:t>
            </w:r>
          </w:p>
        </w:tc>
        <w:tc>
          <w:tcPr>
            <w:tcW w:w="1440" w:type="dxa"/>
            <w:vAlign w:val="bottom"/>
            <w:tcBorders>
              <w:bottom w:val="single" w:sz="8" w:color="CCCCCC"/>
            </w:tcBorders>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13,956</w:t>
            </w:r>
          </w:p>
        </w:tc>
        <w:tc>
          <w:tcPr>
            <w:tcW w:w="9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21,770</w:t>
            </w:r>
          </w:p>
        </w:tc>
        <w:tc>
          <w:tcPr>
            <w:tcW w:w="9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CCCCCC"/>
            </w:tcBorders>
            <w:shd w:val="clear" w:color="auto" w:fill="CCCCCC"/>
          </w:tcPr>
          <w:p>
            <w:pPr>
              <w:jc w:val="center"/>
              <w:ind w:left="148"/>
              <w:spacing w:after="0"/>
              <w:rPr>
                <w:sz w:val="20"/>
                <w:szCs w:val="20"/>
                <w:color w:val="auto"/>
              </w:rPr>
            </w:pPr>
            <w:r>
              <w:rPr>
                <w:rFonts w:ascii="Arial" w:cs="Arial" w:eastAsia="Arial" w:hAnsi="Arial"/>
                <w:sz w:val="14"/>
                <w:szCs w:val="14"/>
                <w:color w:val="auto"/>
              </w:rPr>
              <w:t>35,726</w:t>
            </w:r>
          </w:p>
        </w:tc>
      </w:tr>
      <w:tr>
        <w:trPr>
          <w:trHeight w:val="242"/>
        </w:trPr>
        <w:tc>
          <w:tcPr>
            <w:tcW w:w="360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Mr. Choi</w:t>
            </w:r>
          </w:p>
        </w:tc>
        <w:tc>
          <w:tcPr>
            <w:tcW w:w="58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w w:val="96"/>
              </w:rPr>
              <w:t>2022</w:t>
            </w:r>
          </w:p>
        </w:tc>
        <w:tc>
          <w:tcPr>
            <w:tcW w:w="1440" w:type="dxa"/>
            <w:vAlign w:val="bottom"/>
            <w:tcBorders>
              <w:top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5,050</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17,785</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top w:val="single" w:sz="8" w:color="auto"/>
            </w:tcBorders>
          </w:tcPr>
          <w:p>
            <w:pPr>
              <w:jc w:val="center"/>
              <w:ind w:left="148"/>
              <w:spacing w:after="0"/>
              <w:rPr>
                <w:sz w:val="20"/>
                <w:szCs w:val="20"/>
                <w:color w:val="auto"/>
              </w:rPr>
            </w:pPr>
            <w:r>
              <w:rPr>
                <w:rFonts w:ascii="Arial" w:cs="Arial" w:eastAsia="Arial" w:hAnsi="Arial"/>
                <w:sz w:val="14"/>
                <w:szCs w:val="14"/>
                <w:color w:val="auto"/>
              </w:rPr>
              <w:t>26,815</w:t>
            </w:r>
          </w:p>
        </w:tc>
      </w:tr>
      <w:tr>
        <w:trPr>
          <w:trHeight w:val="297"/>
        </w:trPr>
        <w:tc>
          <w:tcPr>
            <w:tcW w:w="3600" w:type="dxa"/>
            <w:vAlign w:val="bottom"/>
          </w:tcPr>
          <w:p>
            <w:pPr>
              <w:spacing w:after="0"/>
              <w:rPr>
                <w:sz w:val="24"/>
                <w:szCs w:val="24"/>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w w:val="96"/>
              </w:rPr>
              <w:t>2021</w:t>
            </w:r>
          </w:p>
        </w:tc>
        <w:tc>
          <w:tcPr>
            <w:tcW w:w="14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6,103</w:t>
            </w:r>
          </w:p>
        </w:tc>
        <w:tc>
          <w:tcPr>
            <w:tcW w:w="960" w:type="dxa"/>
            <w:vAlign w:val="bottom"/>
          </w:tcPr>
          <w:p>
            <w:pPr>
              <w:jc w:val="center"/>
              <w:spacing w:after="0"/>
              <w:rPr>
                <w:sz w:val="20"/>
                <w:szCs w:val="20"/>
                <w:color w:val="auto"/>
              </w:rPr>
            </w:pPr>
            <w:r>
              <w:rPr>
                <w:rFonts w:ascii="Arial" w:cs="Arial" w:eastAsia="Arial" w:hAnsi="Arial"/>
                <w:sz w:val="14"/>
                <w:szCs w:val="14"/>
                <w:color w:val="auto"/>
              </w:rPr>
              <w:t>11,750</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ind w:left="148"/>
              <w:spacing w:after="0"/>
              <w:rPr>
                <w:sz w:val="20"/>
                <w:szCs w:val="20"/>
                <w:color w:val="auto"/>
              </w:rPr>
            </w:pPr>
            <w:r>
              <w:rPr>
                <w:rFonts w:ascii="Arial" w:cs="Arial" w:eastAsia="Arial" w:hAnsi="Arial"/>
                <w:sz w:val="14"/>
                <w:szCs w:val="14"/>
                <w:color w:val="auto"/>
              </w:rPr>
              <w:t>21,703</w:t>
            </w:r>
          </w:p>
        </w:tc>
      </w:tr>
      <w:tr>
        <w:trPr>
          <w:trHeight w:val="297"/>
        </w:trPr>
        <w:tc>
          <w:tcPr>
            <w:tcW w:w="3600" w:type="dxa"/>
            <w:vAlign w:val="bottom"/>
          </w:tcPr>
          <w:p>
            <w:pPr>
              <w:spacing w:after="0"/>
              <w:rPr>
                <w:sz w:val="24"/>
                <w:szCs w:val="24"/>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w w:val="96"/>
              </w:rPr>
              <w:t>2020</w:t>
            </w:r>
          </w:p>
        </w:tc>
        <w:tc>
          <w:tcPr>
            <w:tcW w:w="14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506</w:t>
            </w:r>
          </w:p>
        </w:tc>
        <w:tc>
          <w:tcPr>
            <w:tcW w:w="960" w:type="dxa"/>
            <w:vAlign w:val="bottom"/>
          </w:tcPr>
          <w:p>
            <w:pPr>
              <w:jc w:val="center"/>
              <w:spacing w:after="0"/>
              <w:rPr>
                <w:sz w:val="20"/>
                <w:szCs w:val="20"/>
                <w:color w:val="auto"/>
              </w:rPr>
            </w:pPr>
            <w:r>
              <w:rPr>
                <w:rFonts w:ascii="Arial" w:cs="Arial" w:eastAsia="Arial" w:hAnsi="Arial"/>
                <w:sz w:val="14"/>
                <w:szCs w:val="14"/>
                <w:color w:val="auto"/>
              </w:rPr>
              <w:t>3,615</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ind w:left="148"/>
              <w:spacing w:after="0"/>
              <w:rPr>
                <w:sz w:val="20"/>
                <w:szCs w:val="20"/>
                <w:color w:val="auto"/>
              </w:rPr>
            </w:pPr>
            <w:r>
              <w:rPr>
                <w:rFonts w:ascii="Arial" w:cs="Arial" w:eastAsia="Arial" w:hAnsi="Arial"/>
                <w:sz w:val="14"/>
                <w:szCs w:val="14"/>
                <w:color w:val="auto"/>
              </w:rPr>
              <w:t>4,121</w:t>
            </w:r>
          </w:p>
        </w:tc>
      </w:tr>
      <w:tr>
        <w:trPr>
          <w:trHeight w:val="49"/>
        </w:trPr>
        <w:tc>
          <w:tcPr>
            <w:tcW w:w="36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2"/>
        </w:trPr>
        <w:tc>
          <w:tcPr>
            <w:tcW w:w="36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Mr. Hees</w:t>
            </w:r>
          </w:p>
        </w:tc>
        <w:tc>
          <w:tcPr>
            <w:tcW w:w="580" w:type="dxa"/>
            <w:vAlign w:val="bottom"/>
            <w:shd w:val="clear" w:color="auto" w:fill="CCCCCC"/>
          </w:tcPr>
          <w:p>
            <w:pPr>
              <w:ind w:left="260"/>
              <w:spacing w:after="0"/>
              <w:rPr>
                <w:sz w:val="20"/>
                <w:szCs w:val="20"/>
                <w:color w:val="auto"/>
              </w:rPr>
            </w:pPr>
            <w:r>
              <w:rPr>
                <w:rFonts w:ascii="Arial" w:cs="Arial" w:eastAsia="Arial" w:hAnsi="Arial"/>
                <w:sz w:val="14"/>
                <w:szCs w:val="14"/>
                <w:color w:val="auto"/>
                <w:w w:val="96"/>
              </w:rPr>
              <w:t>2022</w:t>
            </w:r>
          </w:p>
        </w:tc>
        <w:tc>
          <w:tcPr>
            <w:tcW w:w="1440" w:type="dxa"/>
            <w:vAlign w:val="bottom"/>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ind w:left="148"/>
              <w:spacing w:after="0"/>
              <w:rPr>
                <w:sz w:val="20"/>
                <w:szCs w:val="20"/>
                <w:color w:val="auto"/>
              </w:rPr>
            </w:pPr>
            <w:r>
              <w:rPr>
                <w:rFonts w:ascii="Arial" w:cs="Arial" w:eastAsia="Arial" w:hAnsi="Arial"/>
                <w:sz w:val="14"/>
                <w:szCs w:val="14"/>
                <w:color w:val="auto"/>
              </w:rPr>
              <w:t>3,980</w:t>
            </w:r>
          </w:p>
        </w:tc>
      </w:tr>
      <w:tr>
        <w:trPr>
          <w:trHeight w:val="297"/>
        </w:trPr>
        <w:tc>
          <w:tcPr>
            <w:tcW w:w="3600" w:type="dxa"/>
            <w:vAlign w:val="bottom"/>
            <w:shd w:val="clear" w:color="auto" w:fill="CCCCCC"/>
          </w:tcPr>
          <w:p>
            <w:pPr>
              <w:spacing w:after="0"/>
              <w:rPr>
                <w:sz w:val="24"/>
                <w:szCs w:val="24"/>
                <w:color w:val="auto"/>
              </w:rPr>
            </w:pPr>
          </w:p>
        </w:tc>
        <w:tc>
          <w:tcPr>
            <w:tcW w:w="580" w:type="dxa"/>
            <w:vAlign w:val="bottom"/>
            <w:shd w:val="clear" w:color="auto" w:fill="CCCCCC"/>
          </w:tcPr>
          <w:p>
            <w:pPr>
              <w:ind w:left="260"/>
              <w:spacing w:after="0"/>
              <w:rPr>
                <w:sz w:val="20"/>
                <w:szCs w:val="20"/>
                <w:color w:val="auto"/>
              </w:rPr>
            </w:pPr>
            <w:r>
              <w:rPr>
                <w:rFonts w:ascii="Arial" w:cs="Arial" w:eastAsia="Arial" w:hAnsi="Arial"/>
                <w:sz w:val="14"/>
                <w:szCs w:val="14"/>
                <w:color w:val="auto"/>
                <w:w w:val="96"/>
              </w:rPr>
              <w:t>2021</w:t>
            </w:r>
          </w:p>
        </w:tc>
        <w:tc>
          <w:tcPr>
            <w:tcW w:w="1440" w:type="dxa"/>
            <w:vAlign w:val="bottom"/>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3,398</w:t>
            </w:r>
          </w:p>
        </w:tc>
        <w:tc>
          <w:tcPr>
            <w:tcW w:w="9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ind w:left="148"/>
              <w:spacing w:after="0"/>
              <w:rPr>
                <w:sz w:val="20"/>
                <w:szCs w:val="20"/>
                <w:color w:val="auto"/>
              </w:rPr>
            </w:pPr>
            <w:r>
              <w:rPr>
                <w:rFonts w:ascii="Arial" w:cs="Arial" w:eastAsia="Arial" w:hAnsi="Arial"/>
                <w:sz w:val="14"/>
                <w:szCs w:val="14"/>
                <w:color w:val="auto"/>
              </w:rPr>
              <w:t>7,378</w:t>
            </w:r>
          </w:p>
        </w:tc>
      </w:tr>
      <w:tr>
        <w:trPr>
          <w:trHeight w:val="351"/>
        </w:trPr>
        <w:tc>
          <w:tcPr>
            <w:tcW w:w="3600" w:type="dxa"/>
            <w:vAlign w:val="bottom"/>
            <w:tcBorders>
              <w:bottom w:val="single" w:sz="8" w:color="CCCCCC"/>
            </w:tcBorders>
            <w:shd w:val="clear" w:color="auto" w:fill="CCCCCC"/>
          </w:tcPr>
          <w:p>
            <w:pPr>
              <w:spacing w:after="0"/>
              <w:rPr>
                <w:sz w:val="24"/>
                <w:szCs w:val="24"/>
                <w:color w:val="auto"/>
              </w:rPr>
            </w:pPr>
          </w:p>
        </w:tc>
        <w:tc>
          <w:tcPr>
            <w:tcW w:w="58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4"/>
                <w:szCs w:val="14"/>
                <w:color w:val="auto"/>
                <w:w w:val="96"/>
              </w:rPr>
              <w:t>2020</w:t>
            </w:r>
          </w:p>
        </w:tc>
        <w:tc>
          <w:tcPr>
            <w:tcW w:w="1440" w:type="dxa"/>
            <w:vAlign w:val="bottom"/>
            <w:tcBorders>
              <w:bottom w:val="single" w:sz="8" w:color="CCCCCC"/>
            </w:tcBorders>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936</w:t>
            </w:r>
          </w:p>
        </w:tc>
        <w:tc>
          <w:tcPr>
            <w:tcW w:w="9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CCCCCC"/>
            </w:tcBorders>
            <w:shd w:val="clear" w:color="auto" w:fill="CCCCCC"/>
          </w:tcPr>
          <w:p>
            <w:pPr>
              <w:jc w:val="center"/>
              <w:ind w:left="148"/>
              <w:spacing w:after="0"/>
              <w:rPr>
                <w:sz w:val="20"/>
                <w:szCs w:val="20"/>
                <w:color w:val="auto"/>
              </w:rPr>
            </w:pPr>
            <w:r>
              <w:rPr>
                <w:rFonts w:ascii="Arial" w:cs="Arial" w:eastAsia="Arial" w:hAnsi="Arial"/>
                <w:sz w:val="14"/>
                <w:szCs w:val="14"/>
                <w:color w:val="auto"/>
              </w:rPr>
              <w:t>936</w:t>
            </w:r>
          </w:p>
        </w:tc>
      </w:tr>
      <w:tr>
        <w:trPr>
          <w:trHeight w:val="242"/>
        </w:trPr>
        <w:tc>
          <w:tcPr>
            <w:tcW w:w="360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Mr. Simhambhatla</w:t>
            </w:r>
          </w:p>
        </w:tc>
        <w:tc>
          <w:tcPr>
            <w:tcW w:w="58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w w:val="96"/>
              </w:rPr>
              <w:t>2022</w:t>
            </w:r>
          </w:p>
        </w:tc>
        <w:tc>
          <w:tcPr>
            <w:tcW w:w="1440" w:type="dxa"/>
            <w:vAlign w:val="bottom"/>
            <w:tcBorders>
              <w:top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95,642</w:t>
            </w:r>
          </w:p>
        </w:tc>
        <w:tc>
          <w:tcPr>
            <w:tcW w:w="1140" w:type="dxa"/>
            <w:vAlign w:val="bottom"/>
            <w:tcBorders>
              <w:top w:val="single" w:sz="8" w:color="auto"/>
            </w:tcBorders>
          </w:tcPr>
          <w:p>
            <w:pPr>
              <w:jc w:val="center"/>
              <w:ind w:left="148"/>
              <w:spacing w:after="0"/>
              <w:rPr>
                <w:sz w:val="20"/>
                <w:szCs w:val="20"/>
                <w:color w:val="auto"/>
              </w:rPr>
            </w:pPr>
            <w:r>
              <w:rPr>
                <w:rFonts w:ascii="Arial" w:cs="Arial" w:eastAsia="Arial" w:hAnsi="Arial"/>
                <w:sz w:val="14"/>
                <w:szCs w:val="14"/>
                <w:color w:val="auto"/>
              </w:rPr>
              <w:t>95,642</w:t>
            </w:r>
          </w:p>
        </w:tc>
      </w:tr>
      <w:tr>
        <w:trPr>
          <w:trHeight w:val="48"/>
        </w:trPr>
        <w:tc>
          <w:tcPr>
            <w:tcW w:w="36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2"/>
        </w:trPr>
        <w:tc>
          <w:tcPr>
            <w:tcW w:w="36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Ms. Martins</w:t>
            </w:r>
          </w:p>
        </w:tc>
        <w:tc>
          <w:tcPr>
            <w:tcW w:w="580" w:type="dxa"/>
            <w:vAlign w:val="bottom"/>
            <w:shd w:val="clear" w:color="auto" w:fill="CCCCCC"/>
          </w:tcPr>
          <w:p>
            <w:pPr>
              <w:ind w:left="260"/>
              <w:spacing w:after="0"/>
              <w:rPr>
                <w:sz w:val="20"/>
                <w:szCs w:val="20"/>
                <w:color w:val="auto"/>
              </w:rPr>
            </w:pPr>
            <w:r>
              <w:rPr>
                <w:rFonts w:ascii="Arial" w:cs="Arial" w:eastAsia="Arial" w:hAnsi="Arial"/>
                <w:sz w:val="14"/>
                <w:szCs w:val="14"/>
                <w:color w:val="auto"/>
                <w:w w:val="96"/>
              </w:rPr>
              <w:t>2022</w:t>
            </w:r>
          </w:p>
        </w:tc>
        <w:tc>
          <w:tcPr>
            <w:tcW w:w="1440" w:type="dxa"/>
            <w:vAlign w:val="bottom"/>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21,199</w:t>
            </w:r>
          </w:p>
        </w:tc>
        <w:tc>
          <w:tcPr>
            <w:tcW w:w="9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ind w:left="148"/>
              <w:spacing w:after="0"/>
              <w:rPr>
                <w:sz w:val="20"/>
                <w:szCs w:val="20"/>
                <w:color w:val="auto"/>
              </w:rPr>
            </w:pPr>
            <w:r>
              <w:rPr>
                <w:rFonts w:ascii="Arial" w:cs="Arial" w:eastAsia="Arial" w:hAnsi="Arial"/>
                <w:sz w:val="14"/>
                <w:szCs w:val="14"/>
                <w:color w:val="auto"/>
              </w:rPr>
              <w:t>21,199</w:t>
            </w:r>
          </w:p>
        </w:tc>
      </w:tr>
      <w:tr>
        <w:trPr>
          <w:trHeight w:val="297"/>
        </w:trPr>
        <w:tc>
          <w:tcPr>
            <w:tcW w:w="3600" w:type="dxa"/>
            <w:vAlign w:val="bottom"/>
            <w:shd w:val="clear" w:color="auto" w:fill="CCCCCC"/>
          </w:tcPr>
          <w:p>
            <w:pPr>
              <w:spacing w:after="0"/>
              <w:rPr>
                <w:sz w:val="24"/>
                <w:szCs w:val="24"/>
                <w:color w:val="auto"/>
              </w:rPr>
            </w:pPr>
          </w:p>
        </w:tc>
        <w:tc>
          <w:tcPr>
            <w:tcW w:w="580" w:type="dxa"/>
            <w:vAlign w:val="bottom"/>
            <w:shd w:val="clear" w:color="auto" w:fill="CCCCCC"/>
          </w:tcPr>
          <w:p>
            <w:pPr>
              <w:ind w:left="260"/>
              <w:spacing w:after="0"/>
              <w:rPr>
                <w:sz w:val="20"/>
                <w:szCs w:val="20"/>
                <w:color w:val="auto"/>
              </w:rPr>
            </w:pPr>
            <w:r>
              <w:rPr>
                <w:rFonts w:ascii="Arial" w:cs="Arial" w:eastAsia="Arial" w:hAnsi="Arial"/>
                <w:sz w:val="14"/>
                <w:szCs w:val="14"/>
                <w:color w:val="auto"/>
                <w:w w:val="96"/>
              </w:rPr>
              <w:t>2021</w:t>
            </w:r>
          </w:p>
        </w:tc>
        <w:tc>
          <w:tcPr>
            <w:tcW w:w="1440" w:type="dxa"/>
            <w:vAlign w:val="bottom"/>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1,152</w:t>
            </w:r>
          </w:p>
        </w:tc>
        <w:tc>
          <w:tcPr>
            <w:tcW w:w="9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20,408</w:t>
            </w:r>
          </w:p>
        </w:tc>
        <w:tc>
          <w:tcPr>
            <w:tcW w:w="9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ind w:left="148"/>
              <w:spacing w:after="0"/>
              <w:rPr>
                <w:sz w:val="20"/>
                <w:szCs w:val="20"/>
                <w:color w:val="auto"/>
              </w:rPr>
            </w:pPr>
            <w:r>
              <w:rPr>
                <w:rFonts w:ascii="Arial" w:cs="Arial" w:eastAsia="Arial" w:hAnsi="Arial"/>
                <w:sz w:val="14"/>
                <w:szCs w:val="14"/>
                <w:color w:val="auto"/>
              </w:rPr>
              <w:t>21,560</w:t>
            </w:r>
          </w:p>
        </w:tc>
      </w:tr>
      <w:tr>
        <w:trPr>
          <w:trHeight w:val="301"/>
        </w:trPr>
        <w:tc>
          <w:tcPr>
            <w:tcW w:w="3600" w:type="dxa"/>
            <w:vAlign w:val="bottom"/>
            <w:tcBorders>
              <w:bottom w:val="single" w:sz="8" w:color="auto"/>
            </w:tcBorders>
            <w:shd w:val="clear" w:color="auto" w:fill="CCCCCC"/>
          </w:tcPr>
          <w:p>
            <w:pPr>
              <w:spacing w:after="0"/>
              <w:rPr>
                <w:sz w:val="24"/>
                <w:szCs w:val="24"/>
                <w:color w:val="auto"/>
              </w:rPr>
            </w:pPr>
          </w:p>
        </w:tc>
        <w:tc>
          <w:tcPr>
            <w:tcW w:w="580" w:type="dxa"/>
            <w:vAlign w:val="bottom"/>
            <w:tcBorders>
              <w:bottom w:val="single" w:sz="8" w:color="auto"/>
            </w:tcBorders>
            <w:shd w:val="clear" w:color="auto" w:fill="CCCCCC"/>
          </w:tcPr>
          <w:p>
            <w:pPr>
              <w:ind w:left="260"/>
              <w:spacing w:after="0"/>
              <w:rPr>
                <w:sz w:val="20"/>
                <w:szCs w:val="20"/>
                <w:color w:val="auto"/>
              </w:rPr>
            </w:pPr>
            <w:r>
              <w:rPr>
                <w:rFonts w:ascii="Arial" w:cs="Arial" w:eastAsia="Arial" w:hAnsi="Arial"/>
                <w:sz w:val="14"/>
                <w:szCs w:val="14"/>
                <w:color w:val="auto"/>
                <w:w w:val="96"/>
              </w:rPr>
              <w:t>2020</w:t>
            </w:r>
          </w:p>
        </w:tc>
        <w:tc>
          <w:tcPr>
            <w:tcW w:w="1440" w:type="dxa"/>
            <w:vAlign w:val="bottom"/>
            <w:tcBorders>
              <w:bottom w:val="single" w:sz="8" w:color="auto"/>
            </w:tcBorders>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906</w:t>
            </w:r>
          </w:p>
        </w:tc>
        <w:tc>
          <w:tcPr>
            <w:tcW w:w="9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20,354</w:t>
            </w:r>
          </w:p>
        </w:tc>
        <w:tc>
          <w:tcPr>
            <w:tcW w:w="9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tcBorders>
            <w:shd w:val="clear" w:color="auto" w:fill="CCCCCC"/>
          </w:tcPr>
          <w:p>
            <w:pPr>
              <w:jc w:val="center"/>
              <w:ind w:left="148"/>
              <w:spacing w:after="0"/>
              <w:rPr>
                <w:sz w:val="20"/>
                <w:szCs w:val="20"/>
                <w:color w:val="auto"/>
              </w:rPr>
            </w:pPr>
            <w:r>
              <w:rPr>
                <w:rFonts w:ascii="Arial" w:cs="Arial" w:eastAsia="Arial" w:hAnsi="Arial"/>
                <w:sz w:val="14"/>
                <w:szCs w:val="14"/>
                <w:color w:val="auto"/>
              </w:rPr>
              <w:t>21,260</w:t>
            </w:r>
          </w:p>
        </w:tc>
      </w:tr>
    </w:tbl>
    <w:p>
      <w:pPr>
        <w:spacing w:after="0" w:line="153" w:lineRule="exact"/>
        <w:rPr>
          <w:sz w:val="20"/>
          <w:szCs w:val="20"/>
          <w:color w:val="auto"/>
        </w:rPr>
      </w:pPr>
    </w:p>
    <w:p>
      <w:pPr>
        <w:jc w:val="both"/>
        <w:ind w:left="360" w:hanging="350"/>
        <w:spacing w:after="0" w:line="247" w:lineRule="auto"/>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Under our aircraft policy, our CEO has reasonable non-business access to the Company’s leased jet services, subject to prevailing market practices. For our other NEOs, non-business access is subject to approval by our CEO. The incremental cost of personal use of the leased jet services is calculated based on the contracted per hour cost, which includes flight-specific direct operating costs such as standard fuel, maintenance, repairs, catering and miscellaneous fees such as variable fuel surcharge as applicable, and international fees for travel outside the United States. Since the aircraft is leased primarily for business travel, fixed costs are not included. If there are personal use flights for which an NEO does not personally pay this incremental cost, then the amount paid by the Company is reflected above. For 2022, 2021, and 2020, there was no such incremental cost to the Company related to personal use of the leased jet. Spouses of NEOs are occasionally additional passengers on business flights provided by our leased jet services. In such cases, there is no incremental cost to the Company, and as a result, no amount is reflected in the table.</w:t>
      </w:r>
    </w:p>
    <w:p>
      <w:pPr>
        <w:spacing w:after="0" w:line="37" w:lineRule="exact"/>
        <w:rPr>
          <w:rFonts w:ascii="Arial" w:cs="Arial" w:eastAsia="Arial" w:hAnsi="Arial"/>
          <w:sz w:val="14"/>
          <w:szCs w:val="14"/>
          <w:color w:val="auto"/>
        </w:rPr>
      </w:pPr>
    </w:p>
    <w:p>
      <w:pPr>
        <w:jc w:val="both"/>
        <w:ind w:left="360" w:hanging="350"/>
        <w:spacing w:after="0" w:line="252" w:lineRule="auto"/>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 Mr. Ferraro, includes actual costs the Company incurred for financial services provided by Ayco, including tax return preparation, financial planning and estate planning. For Mr. Choi, includes amount paid directly by the Executive for financial services with a third-party provider, with qualified amount reimbursed by the Company. Amounts in 2021 and 2020 also include Company-paid premiums in connection with a group excess liability umbrella insurance policy, which for 2021 did not exceed $3,398 for any NEO. In October 2021, the group excess liability umbrella insurance perquisite was eliminated.</w:t>
      </w:r>
    </w:p>
    <w:p>
      <w:pPr>
        <w:spacing w:after="0" w:line="32" w:lineRule="exact"/>
        <w:rPr>
          <w:rFonts w:ascii="Arial" w:cs="Arial" w:eastAsia="Arial" w:hAnsi="Arial"/>
          <w:sz w:val="14"/>
          <w:szCs w:val="14"/>
          <w:color w:val="auto"/>
        </w:rPr>
      </w:pPr>
    </w:p>
    <w:p>
      <w:pPr>
        <w:jc w:val="both"/>
        <w:ind w:left="360" w:hanging="350"/>
        <w:spacing w:after="0" w:line="271" w:lineRule="auto"/>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annual lease value of a Company-provided car. NEOs are eligible to participate in the Company’s employee auto insurance program and employee car lease program; however, no amounts are included for these programs as the Company does not incur any associated incremental cost.</w:t>
      </w:r>
    </w:p>
    <w:p>
      <w:pPr>
        <w:spacing w:after="0" w:line="203" w:lineRule="exact"/>
        <w:rPr>
          <w:rFonts w:ascii="Arial" w:cs="Arial" w:eastAsia="Arial" w:hAnsi="Arial"/>
          <w:sz w:val="14"/>
          <w:szCs w:val="14"/>
          <w:color w:val="auto"/>
        </w:rPr>
      </w:pPr>
    </w:p>
    <w:p>
      <w:pPr>
        <w:jc w:val="both"/>
        <w:ind w:left="360" w:hanging="350"/>
        <w:spacing w:after="0" w:line="263" w:lineRule="auto"/>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Simhambhatla was eligible for relocation benefits under the Company’s standard policies for executives, consisting of temporary housing ($29,924) and related tax reimbursement ($15,278). In addition, he received commuting expenses (including air and ground travel) paid or reimbursed by the Company in the amount of $50,440.</w:t>
      </w:r>
    </w:p>
    <w:p>
      <w:pPr>
        <w:spacing w:after="0" w:line="24" w:lineRule="exact"/>
        <w:rPr>
          <w:rFonts w:ascii="Arial" w:cs="Arial" w:eastAsia="Arial" w:hAnsi="Arial"/>
          <w:sz w:val="14"/>
          <w:szCs w:val="14"/>
          <w:color w:val="auto"/>
        </w:rPr>
      </w:pPr>
    </w:p>
    <w:p>
      <w:pPr>
        <w:ind w:left="360" w:hanging="350"/>
        <w:spacing w:after="0"/>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 Messrs. Choi and Hees, amount includes payments for annual physical examination (annual costs did not exceed $3,980).</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2022 Grants of Plan-Based Awards Table</w:t>
      </w:r>
    </w:p>
    <w:p>
      <w:pPr>
        <w:spacing w:after="0" w:line="164"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The following table reflects information regarding our annual cash incentive plan and grants of stock awards (RSUs and PSUs) during 2022. We did not grant any stock options during 2022.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w:t>
            </w:r>
          </w:p>
        </w:tc>
        <w:tc>
          <w:tcPr>
            <w:tcW w:w="7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Other</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b w:val="1"/>
                <w:bCs w:val="1"/>
                <w:color w:val="auto"/>
              </w:rPr>
              <w:t> </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4"/>
                <w:szCs w:val="14"/>
                <w:b w:val="1"/>
                <w:bCs w:val="1"/>
                <w:color w:val="auto"/>
              </w:rPr>
              <w:t> </w:t>
            </w:r>
          </w:p>
        </w:tc>
        <w:tc>
          <w:tcPr>
            <w:tcW w:w="7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b w:val="1"/>
                <w:bCs w:val="1"/>
                <w:color w:val="auto"/>
              </w:rPr>
              <w:t> </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4"/>
                <w:szCs w:val="14"/>
                <w:b w:val="1"/>
                <w:bCs w:val="1"/>
                <w:color w:val="auto"/>
              </w:rPr>
              <w:t> </w:t>
            </w:r>
          </w:p>
        </w:tc>
        <w:tc>
          <w:tcPr>
            <w:tcW w:w="7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Estimated Possible Payouts</w:t>
            </w: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Under Non-Equity Incentive</w:t>
            </w: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Under Equity Incentive</w:t>
            </w:r>
          </w:p>
        </w:tc>
        <w:tc>
          <w:tcPr>
            <w:tcW w:w="780" w:type="dxa"/>
            <w:vAlign w:val="bottom"/>
          </w:tcPr>
          <w:p>
            <w:pPr>
              <w:jc w:val="center"/>
              <w:ind w:left="10"/>
              <w:spacing w:after="0"/>
              <w:rPr>
                <w:sz w:val="20"/>
                <w:szCs w:val="20"/>
                <w:color w:val="auto"/>
              </w:rPr>
            </w:pPr>
            <w:r>
              <w:rPr>
                <w:rFonts w:ascii="Arial" w:cs="Arial" w:eastAsia="Arial" w:hAnsi="Arial"/>
                <w:sz w:val="14"/>
                <w:szCs w:val="14"/>
                <w:b w:val="1"/>
                <w:bCs w:val="1"/>
                <w:color w:val="auto"/>
              </w:rPr>
              <w:t>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Plan Awards (a)</w:t>
            </w: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Plan Awards (b)</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36"/>
        </w:trPr>
        <w:tc>
          <w:tcPr>
            <w:tcW w:w="1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8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Stock</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06"/>
        </w:trPr>
        <w:tc>
          <w:tcPr>
            <w:tcW w:w="1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color w:val="auto"/>
              </w:rPr>
              <w:t>Approval</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Threshold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Maximum</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Threshold</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Maximum</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or Units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96"/>
        </w:trPr>
        <w:tc>
          <w:tcPr>
            <w:tcW w:w="1240" w:type="dxa"/>
            <w:vAlign w:val="bottom"/>
          </w:tcPr>
          <w:p>
            <w:pPr>
              <w:ind w:left="420"/>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Award Type</w:t>
            </w:r>
          </w:p>
        </w:tc>
        <w:tc>
          <w:tcPr>
            <w:tcW w:w="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Date</w:t>
            </w:r>
          </w:p>
        </w:tc>
        <w:tc>
          <w:tcPr>
            <w:tcW w:w="760" w:type="dxa"/>
            <w:vAlign w:val="bottom"/>
          </w:tcPr>
          <w:p>
            <w:pPr>
              <w:jc w:val="right"/>
              <w:ind w:right="25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60" w:type="dxa"/>
            <w:vAlign w:val="bottom"/>
          </w:tcPr>
          <w:p>
            <w:pPr>
              <w:jc w:val="right"/>
              <w:ind w:right="25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29"/>
        </w:trPr>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240" w:type="dxa"/>
            <w:vAlign w:val="bottom"/>
            <w:shd w:val="clear" w:color="auto" w:fill="CCCCCC"/>
          </w:tcPr>
          <w:p>
            <w:pPr>
              <w:ind w:left="100"/>
              <w:spacing w:after="0"/>
              <w:rPr>
                <w:sz w:val="20"/>
                <w:szCs w:val="20"/>
                <w:color w:val="auto"/>
              </w:rPr>
            </w:pPr>
            <w:r>
              <w:rPr>
                <w:rFonts w:ascii="Arial" w:cs="Arial" w:eastAsia="Arial" w:hAnsi="Arial"/>
                <w:sz w:val="13"/>
                <w:szCs w:val="13"/>
                <w:color w:val="auto"/>
              </w:rPr>
              <w:t>Mr. Ferraro</w:t>
            </w:r>
          </w:p>
        </w:tc>
        <w:tc>
          <w:tcPr>
            <w:tcW w:w="1060" w:type="dxa"/>
            <w:vAlign w:val="bottom"/>
            <w:shd w:val="clear" w:color="auto" w:fill="CCCCCC"/>
          </w:tcPr>
          <w:p>
            <w:pPr>
              <w:ind w:left="60"/>
              <w:spacing w:after="0"/>
              <w:rPr>
                <w:sz w:val="20"/>
                <w:szCs w:val="20"/>
                <w:color w:val="auto"/>
              </w:rPr>
            </w:pPr>
            <w:r>
              <w:rPr>
                <w:rFonts w:ascii="Arial" w:cs="Arial" w:eastAsia="Arial" w:hAnsi="Arial"/>
                <w:sz w:val="13"/>
                <w:szCs w:val="13"/>
                <w:color w:val="auto"/>
              </w:rPr>
              <w:t>Annual Incentive</w:t>
            </w:r>
          </w:p>
        </w:tc>
        <w:tc>
          <w:tcPr>
            <w:tcW w:w="40" w:type="dxa"/>
            <w:vAlign w:val="bottom"/>
            <w:shd w:val="clear" w:color="auto" w:fill="CCCCCC"/>
          </w:tcPr>
          <w:p>
            <w:pPr>
              <w:spacing w:after="0"/>
              <w:rPr>
                <w:sz w:val="18"/>
                <w:szCs w:val="18"/>
                <w:color w:val="auto"/>
              </w:rPr>
            </w:pPr>
          </w:p>
        </w:tc>
        <w:tc>
          <w:tcPr>
            <w:tcW w:w="840" w:type="dxa"/>
            <w:vAlign w:val="bottom"/>
            <w:shd w:val="clear" w:color="auto" w:fill="CCCCCC"/>
          </w:tcPr>
          <w:p>
            <w:pPr>
              <w:jc w:val="right"/>
              <w:ind w:right="11"/>
              <w:spacing w:after="0"/>
              <w:rPr>
                <w:sz w:val="20"/>
                <w:szCs w:val="20"/>
                <w:color w:val="auto"/>
              </w:rPr>
            </w:pPr>
            <w:r>
              <w:rPr>
                <w:rFonts w:ascii="Arial" w:cs="Arial" w:eastAsia="Arial" w:hAnsi="Arial"/>
                <w:sz w:val="13"/>
                <w:szCs w:val="13"/>
                <w:color w:val="auto"/>
              </w:rPr>
              <w:t>—</w:t>
            </w:r>
          </w:p>
        </w:tc>
        <w:tc>
          <w:tcPr>
            <w:tcW w:w="800" w:type="dxa"/>
            <w:vAlign w:val="bottom"/>
            <w:shd w:val="clear" w:color="auto" w:fill="CCCCCC"/>
          </w:tcPr>
          <w:p>
            <w:pPr>
              <w:jc w:val="right"/>
              <w:ind w:right="72"/>
              <w:spacing w:after="0"/>
              <w:rPr>
                <w:sz w:val="20"/>
                <w:szCs w:val="20"/>
                <w:color w:val="auto"/>
              </w:rPr>
            </w:pPr>
            <w:r>
              <w:rPr>
                <w:rFonts w:ascii="Arial" w:cs="Arial" w:eastAsia="Arial" w:hAnsi="Arial"/>
                <w:sz w:val="13"/>
                <w:szCs w:val="13"/>
                <w:color w:val="auto"/>
              </w:rPr>
              <w:t>—</w:t>
            </w:r>
          </w:p>
        </w:tc>
        <w:tc>
          <w:tcPr>
            <w:tcW w:w="760" w:type="dxa"/>
            <w:vAlign w:val="bottom"/>
            <w:shd w:val="clear" w:color="auto" w:fill="CCCCCC"/>
          </w:tcPr>
          <w:p>
            <w:pPr>
              <w:jc w:val="right"/>
              <w:ind w:right="50"/>
              <w:spacing w:after="0"/>
              <w:rPr>
                <w:sz w:val="20"/>
                <w:szCs w:val="20"/>
                <w:color w:val="auto"/>
              </w:rPr>
            </w:pPr>
            <w:r>
              <w:rPr>
                <w:rFonts w:ascii="Arial" w:cs="Arial" w:eastAsia="Arial" w:hAnsi="Arial"/>
                <w:sz w:val="13"/>
                <w:szCs w:val="13"/>
                <w:color w:val="auto"/>
              </w:rPr>
              <w:t>1,200,000</w:t>
            </w:r>
          </w:p>
        </w:tc>
        <w:tc>
          <w:tcPr>
            <w:tcW w:w="7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2,400,000</w:t>
            </w:r>
          </w:p>
        </w:tc>
        <w:tc>
          <w:tcPr>
            <w:tcW w:w="7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3,600,000</w:t>
            </w:r>
          </w:p>
        </w:tc>
        <w:tc>
          <w:tcPr>
            <w:tcW w:w="100" w:type="dxa"/>
            <w:vAlign w:val="bottom"/>
            <w:shd w:val="clear" w:color="auto" w:fill="CCCCCC"/>
          </w:tcPr>
          <w:p>
            <w:pPr>
              <w:spacing w:after="0"/>
              <w:rPr>
                <w:sz w:val="18"/>
                <w:szCs w:val="18"/>
                <w:color w:val="auto"/>
              </w:rPr>
            </w:pPr>
          </w:p>
        </w:tc>
        <w:tc>
          <w:tcPr>
            <w:tcW w:w="76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40" w:type="dxa"/>
            <w:vAlign w:val="bottom"/>
            <w:shd w:val="clear" w:color="auto" w:fill="CCCCCC"/>
          </w:tcPr>
          <w:p>
            <w:pPr>
              <w:spacing w:after="0"/>
              <w:rPr>
                <w:sz w:val="22"/>
                <w:szCs w:val="22"/>
                <w:color w:val="auto"/>
              </w:rPr>
            </w:pPr>
          </w:p>
        </w:tc>
        <w:tc>
          <w:tcPr>
            <w:tcW w:w="1060" w:type="dxa"/>
            <w:vAlign w:val="bottom"/>
            <w:shd w:val="clear" w:color="auto" w:fill="CCCCCC"/>
          </w:tcPr>
          <w:p>
            <w:pPr>
              <w:ind w:left="60"/>
              <w:spacing w:after="0"/>
              <w:rPr>
                <w:sz w:val="20"/>
                <w:szCs w:val="20"/>
                <w:color w:val="auto"/>
              </w:rPr>
            </w:pPr>
            <w:r>
              <w:rPr>
                <w:rFonts w:ascii="Arial" w:cs="Arial" w:eastAsia="Arial" w:hAnsi="Arial"/>
                <w:sz w:val="13"/>
                <w:szCs w:val="13"/>
                <w:color w:val="auto"/>
              </w:rPr>
              <w:t>RSU</w:t>
            </w:r>
          </w:p>
        </w:tc>
        <w:tc>
          <w:tcPr>
            <w:tcW w:w="880" w:type="dxa"/>
            <w:vAlign w:val="bottom"/>
            <w:gridSpan w:val="2"/>
            <w:shd w:val="clear" w:color="auto" w:fill="CCCCCC"/>
          </w:tcPr>
          <w:p>
            <w:pPr>
              <w:jc w:val="right"/>
              <w:ind w:right="11"/>
              <w:spacing w:after="0"/>
              <w:rPr>
                <w:sz w:val="20"/>
                <w:szCs w:val="20"/>
                <w:color w:val="auto"/>
              </w:rPr>
            </w:pPr>
            <w:r>
              <w:rPr>
                <w:rFonts w:ascii="Arial" w:cs="Arial" w:eastAsia="Arial" w:hAnsi="Arial"/>
                <w:sz w:val="13"/>
                <w:szCs w:val="13"/>
                <w:color w:val="auto"/>
              </w:rPr>
              <w:t>12/30/2022</w:t>
            </w:r>
          </w:p>
        </w:tc>
        <w:tc>
          <w:tcPr>
            <w:tcW w:w="800" w:type="dxa"/>
            <w:vAlign w:val="bottom"/>
            <w:shd w:val="clear" w:color="auto" w:fill="CCCCCC"/>
          </w:tcPr>
          <w:p>
            <w:pPr>
              <w:jc w:val="right"/>
              <w:ind w:right="72"/>
              <w:spacing w:after="0"/>
              <w:rPr>
                <w:sz w:val="20"/>
                <w:szCs w:val="20"/>
                <w:color w:val="auto"/>
              </w:rPr>
            </w:pPr>
            <w:r>
              <w:rPr>
                <w:rFonts w:ascii="Arial" w:cs="Arial" w:eastAsia="Arial" w:hAnsi="Arial"/>
                <w:sz w:val="13"/>
                <w:szCs w:val="13"/>
                <w:color w:val="auto"/>
              </w:rPr>
              <w:t>12/8/2022</w:t>
            </w:r>
          </w:p>
        </w:tc>
        <w:tc>
          <w:tcPr>
            <w:tcW w:w="760" w:type="dxa"/>
            <w:vAlign w:val="bottom"/>
            <w:shd w:val="clear" w:color="auto" w:fill="CCCCCC"/>
          </w:tcPr>
          <w:p>
            <w:pPr>
              <w:spacing w:after="0"/>
              <w:rPr>
                <w:sz w:val="22"/>
                <w:szCs w:val="22"/>
                <w:color w:val="auto"/>
              </w:rPr>
            </w:pPr>
          </w:p>
        </w:tc>
        <w:tc>
          <w:tcPr>
            <w:tcW w:w="70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100" w:type="dxa"/>
            <w:vAlign w:val="bottom"/>
            <w:shd w:val="clear" w:color="auto" w:fill="CCCCCC"/>
          </w:tcPr>
          <w:p>
            <w:pPr>
              <w:spacing w:after="0"/>
              <w:rPr>
                <w:sz w:val="22"/>
                <w:szCs w:val="22"/>
                <w:color w:val="auto"/>
              </w:rPr>
            </w:pPr>
          </w:p>
        </w:tc>
        <w:tc>
          <w:tcPr>
            <w:tcW w:w="760" w:type="dxa"/>
            <w:vAlign w:val="bottom"/>
            <w:shd w:val="clear" w:color="auto" w:fill="CCCCCC"/>
          </w:tcPr>
          <w:p>
            <w:pPr>
              <w:spacing w:after="0"/>
              <w:rPr>
                <w:sz w:val="22"/>
                <w:szCs w:val="22"/>
                <w:color w:val="auto"/>
              </w:rPr>
            </w:pPr>
          </w:p>
        </w:tc>
        <w:tc>
          <w:tcPr>
            <w:tcW w:w="54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780" w:type="dxa"/>
            <w:vAlign w:val="bottom"/>
            <w:shd w:val="clear" w:color="auto" w:fill="CCCCCC"/>
          </w:tcPr>
          <w:p>
            <w:pPr>
              <w:jc w:val="right"/>
              <w:ind w:right="70"/>
              <w:spacing w:after="0"/>
              <w:rPr>
                <w:sz w:val="20"/>
                <w:szCs w:val="20"/>
                <w:color w:val="auto"/>
              </w:rPr>
            </w:pPr>
            <w:r>
              <w:rPr>
                <w:rFonts w:ascii="Arial" w:cs="Arial" w:eastAsia="Arial" w:hAnsi="Arial"/>
                <w:sz w:val="13"/>
                <w:szCs w:val="13"/>
                <w:color w:val="auto"/>
              </w:rPr>
              <w:t>18,300</w:t>
            </w:r>
          </w:p>
        </w:tc>
        <w:tc>
          <w:tcPr>
            <w:tcW w:w="7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2,999,919</w:t>
            </w:r>
          </w:p>
        </w:tc>
        <w:tc>
          <w:tcPr>
            <w:tcW w:w="0" w:type="dxa"/>
            <w:vAlign w:val="bottom"/>
          </w:tcPr>
          <w:p>
            <w:pPr>
              <w:spacing w:after="0"/>
              <w:rPr>
                <w:sz w:val="1"/>
                <w:szCs w:val="1"/>
                <w:color w:val="auto"/>
              </w:rPr>
            </w:pPr>
          </w:p>
        </w:tc>
      </w:tr>
      <w:tr>
        <w:trPr>
          <w:trHeight w:val="257"/>
        </w:trPr>
        <w:tc>
          <w:tcPr>
            <w:tcW w:w="1240" w:type="dxa"/>
            <w:vAlign w:val="bottom"/>
            <w:shd w:val="clear" w:color="auto" w:fill="CCCCCC"/>
          </w:tcPr>
          <w:p>
            <w:pPr>
              <w:spacing w:after="0"/>
              <w:rPr>
                <w:sz w:val="22"/>
                <w:szCs w:val="22"/>
                <w:color w:val="auto"/>
              </w:rPr>
            </w:pPr>
          </w:p>
        </w:tc>
        <w:tc>
          <w:tcPr>
            <w:tcW w:w="1060" w:type="dxa"/>
            <w:vAlign w:val="bottom"/>
            <w:shd w:val="clear" w:color="auto" w:fill="CCCCCC"/>
          </w:tcPr>
          <w:p>
            <w:pPr>
              <w:ind w:left="60"/>
              <w:spacing w:after="0"/>
              <w:rPr>
                <w:sz w:val="20"/>
                <w:szCs w:val="20"/>
                <w:color w:val="auto"/>
              </w:rPr>
            </w:pPr>
            <w:r>
              <w:rPr>
                <w:rFonts w:ascii="Arial" w:cs="Arial" w:eastAsia="Arial" w:hAnsi="Arial"/>
                <w:sz w:val="13"/>
                <w:szCs w:val="13"/>
                <w:color w:val="auto"/>
              </w:rPr>
              <w:t>RSU</w:t>
            </w:r>
          </w:p>
        </w:tc>
        <w:tc>
          <w:tcPr>
            <w:tcW w:w="40" w:type="dxa"/>
            <w:vAlign w:val="bottom"/>
            <w:shd w:val="clear" w:color="auto" w:fill="CCCCCC"/>
          </w:tcPr>
          <w:p>
            <w:pPr>
              <w:spacing w:after="0"/>
              <w:rPr>
                <w:sz w:val="22"/>
                <w:szCs w:val="22"/>
                <w:color w:val="auto"/>
              </w:rPr>
            </w:pPr>
          </w:p>
        </w:tc>
        <w:tc>
          <w:tcPr>
            <w:tcW w:w="840" w:type="dxa"/>
            <w:vAlign w:val="bottom"/>
            <w:shd w:val="clear" w:color="auto" w:fill="CCCCCC"/>
          </w:tcPr>
          <w:p>
            <w:pPr>
              <w:jc w:val="right"/>
              <w:ind w:right="11"/>
              <w:spacing w:after="0"/>
              <w:rPr>
                <w:sz w:val="20"/>
                <w:szCs w:val="20"/>
                <w:color w:val="auto"/>
              </w:rPr>
            </w:pPr>
            <w:r>
              <w:rPr>
                <w:rFonts w:ascii="Arial" w:cs="Arial" w:eastAsia="Arial" w:hAnsi="Arial"/>
                <w:sz w:val="13"/>
                <w:szCs w:val="13"/>
                <w:color w:val="auto"/>
              </w:rPr>
              <w:t>3/9/2022</w:t>
            </w:r>
          </w:p>
        </w:tc>
        <w:tc>
          <w:tcPr>
            <w:tcW w:w="800" w:type="dxa"/>
            <w:vAlign w:val="bottom"/>
            <w:shd w:val="clear" w:color="auto" w:fill="CCCCCC"/>
          </w:tcPr>
          <w:p>
            <w:pPr>
              <w:jc w:val="right"/>
              <w:ind w:right="72"/>
              <w:spacing w:after="0"/>
              <w:rPr>
                <w:sz w:val="20"/>
                <w:szCs w:val="20"/>
                <w:color w:val="auto"/>
              </w:rPr>
            </w:pPr>
            <w:r>
              <w:rPr>
                <w:rFonts w:ascii="Arial" w:cs="Arial" w:eastAsia="Arial" w:hAnsi="Arial"/>
                <w:sz w:val="13"/>
                <w:szCs w:val="13"/>
                <w:color w:val="auto"/>
              </w:rPr>
              <w:t>3/9/2022</w:t>
            </w:r>
          </w:p>
        </w:tc>
        <w:tc>
          <w:tcPr>
            <w:tcW w:w="760" w:type="dxa"/>
            <w:vAlign w:val="bottom"/>
            <w:shd w:val="clear" w:color="auto" w:fill="CCCCCC"/>
          </w:tcPr>
          <w:p>
            <w:pPr>
              <w:spacing w:after="0"/>
              <w:rPr>
                <w:sz w:val="22"/>
                <w:szCs w:val="22"/>
                <w:color w:val="auto"/>
              </w:rPr>
            </w:pPr>
          </w:p>
        </w:tc>
        <w:tc>
          <w:tcPr>
            <w:tcW w:w="70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100" w:type="dxa"/>
            <w:vAlign w:val="bottom"/>
            <w:shd w:val="clear" w:color="auto" w:fill="CCCCCC"/>
          </w:tcPr>
          <w:p>
            <w:pPr>
              <w:spacing w:after="0"/>
              <w:rPr>
                <w:sz w:val="22"/>
                <w:szCs w:val="22"/>
                <w:color w:val="auto"/>
              </w:rPr>
            </w:pPr>
          </w:p>
        </w:tc>
        <w:tc>
          <w:tcPr>
            <w:tcW w:w="760" w:type="dxa"/>
            <w:vAlign w:val="bottom"/>
            <w:shd w:val="clear" w:color="auto" w:fill="CCCCCC"/>
          </w:tcPr>
          <w:p>
            <w:pPr>
              <w:spacing w:after="0"/>
              <w:rPr>
                <w:sz w:val="22"/>
                <w:szCs w:val="22"/>
                <w:color w:val="auto"/>
              </w:rPr>
            </w:pPr>
          </w:p>
        </w:tc>
        <w:tc>
          <w:tcPr>
            <w:tcW w:w="54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780" w:type="dxa"/>
            <w:vAlign w:val="bottom"/>
            <w:shd w:val="clear" w:color="auto" w:fill="CCCCCC"/>
          </w:tcPr>
          <w:p>
            <w:pPr>
              <w:jc w:val="right"/>
              <w:ind w:right="70"/>
              <w:spacing w:after="0"/>
              <w:rPr>
                <w:sz w:val="20"/>
                <w:szCs w:val="20"/>
                <w:color w:val="auto"/>
              </w:rPr>
            </w:pPr>
            <w:r>
              <w:rPr>
                <w:rFonts w:ascii="Arial" w:cs="Arial" w:eastAsia="Arial" w:hAnsi="Arial"/>
                <w:sz w:val="13"/>
                <w:szCs w:val="13"/>
                <w:color w:val="auto"/>
              </w:rPr>
              <w:t>13,351</w:t>
            </w:r>
          </w:p>
        </w:tc>
        <w:tc>
          <w:tcPr>
            <w:tcW w:w="7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2,599,974</w:t>
            </w:r>
          </w:p>
        </w:tc>
        <w:tc>
          <w:tcPr>
            <w:tcW w:w="0" w:type="dxa"/>
            <w:vAlign w:val="bottom"/>
          </w:tcPr>
          <w:p>
            <w:pPr>
              <w:spacing w:after="0"/>
              <w:rPr>
                <w:sz w:val="1"/>
                <w:szCs w:val="1"/>
                <w:color w:val="auto"/>
              </w:rPr>
            </w:pPr>
          </w:p>
        </w:tc>
      </w:tr>
      <w:tr>
        <w:trPr>
          <w:trHeight w:val="301"/>
        </w:trPr>
        <w:tc>
          <w:tcPr>
            <w:tcW w:w="1240" w:type="dxa"/>
            <w:vAlign w:val="bottom"/>
            <w:tcBorders>
              <w:bottom w:val="single" w:sz="8" w:color="CCCCCC"/>
            </w:tcBorders>
            <w:shd w:val="clear" w:color="auto" w:fill="CCCCCC"/>
          </w:tcPr>
          <w:p>
            <w:pPr>
              <w:spacing w:after="0"/>
              <w:rPr>
                <w:sz w:val="24"/>
                <w:szCs w:val="24"/>
                <w:color w:val="auto"/>
              </w:rPr>
            </w:pPr>
          </w:p>
        </w:tc>
        <w:tc>
          <w:tcPr>
            <w:tcW w:w="106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3"/>
                <w:szCs w:val="13"/>
                <w:color w:val="auto"/>
              </w:rPr>
              <w:t>PSU</w:t>
            </w:r>
          </w:p>
        </w:tc>
        <w:tc>
          <w:tcPr>
            <w:tcW w:w="40" w:type="dxa"/>
            <w:vAlign w:val="bottom"/>
            <w:tcBorders>
              <w:bottom w:val="single" w:sz="8" w:color="CCCCCC"/>
            </w:tcBorders>
            <w:shd w:val="clear" w:color="auto" w:fill="CCCCCC"/>
          </w:tcPr>
          <w:p>
            <w:pPr>
              <w:spacing w:after="0"/>
              <w:rPr>
                <w:sz w:val="24"/>
                <w:szCs w:val="24"/>
                <w:color w:val="auto"/>
              </w:rPr>
            </w:pPr>
          </w:p>
        </w:tc>
        <w:tc>
          <w:tcPr>
            <w:tcW w:w="840" w:type="dxa"/>
            <w:vAlign w:val="bottom"/>
            <w:tcBorders>
              <w:bottom w:val="single" w:sz="8" w:color="CCCCCC"/>
            </w:tcBorders>
            <w:shd w:val="clear" w:color="auto" w:fill="CCCCCC"/>
          </w:tcPr>
          <w:p>
            <w:pPr>
              <w:jc w:val="right"/>
              <w:ind w:right="11"/>
              <w:spacing w:after="0"/>
              <w:rPr>
                <w:sz w:val="20"/>
                <w:szCs w:val="20"/>
                <w:color w:val="auto"/>
              </w:rPr>
            </w:pPr>
            <w:r>
              <w:rPr>
                <w:rFonts w:ascii="Arial" w:cs="Arial" w:eastAsia="Arial" w:hAnsi="Arial"/>
                <w:sz w:val="13"/>
                <w:szCs w:val="13"/>
                <w:color w:val="auto"/>
              </w:rPr>
              <w:t>3/9/2022</w:t>
            </w:r>
          </w:p>
        </w:tc>
        <w:tc>
          <w:tcPr>
            <w:tcW w:w="800" w:type="dxa"/>
            <w:vAlign w:val="bottom"/>
            <w:tcBorders>
              <w:bottom w:val="single" w:sz="8" w:color="CCCCCC"/>
            </w:tcBorders>
            <w:shd w:val="clear" w:color="auto" w:fill="CCCCCC"/>
          </w:tcPr>
          <w:p>
            <w:pPr>
              <w:jc w:val="right"/>
              <w:ind w:right="72"/>
              <w:spacing w:after="0"/>
              <w:rPr>
                <w:sz w:val="20"/>
                <w:szCs w:val="20"/>
                <w:color w:val="auto"/>
              </w:rPr>
            </w:pPr>
            <w:r>
              <w:rPr>
                <w:rFonts w:ascii="Arial" w:cs="Arial" w:eastAsia="Arial" w:hAnsi="Arial"/>
                <w:sz w:val="13"/>
                <w:szCs w:val="13"/>
                <w:color w:val="auto"/>
              </w:rPr>
              <w:t>3/9/2022</w:t>
            </w:r>
          </w:p>
        </w:tc>
        <w:tc>
          <w:tcPr>
            <w:tcW w:w="760" w:type="dxa"/>
            <w:vAlign w:val="bottom"/>
            <w:tcBorders>
              <w:bottom w:val="single" w:sz="8" w:color="CCCCCC"/>
            </w:tcBorders>
            <w:shd w:val="clear" w:color="auto" w:fill="CCCCCC"/>
          </w:tcPr>
          <w:p>
            <w:pPr>
              <w:spacing w:after="0"/>
              <w:rPr>
                <w:sz w:val="24"/>
                <w:szCs w:val="24"/>
                <w:color w:val="auto"/>
              </w:rPr>
            </w:pPr>
          </w:p>
        </w:tc>
        <w:tc>
          <w:tcPr>
            <w:tcW w:w="700" w:type="dxa"/>
            <w:vAlign w:val="bottom"/>
            <w:tcBorders>
              <w:bottom w:val="single" w:sz="8" w:color="CCCCCC"/>
            </w:tcBorders>
            <w:shd w:val="clear" w:color="auto" w:fill="CCCCCC"/>
          </w:tcPr>
          <w:p>
            <w:pPr>
              <w:spacing w:after="0"/>
              <w:rPr>
                <w:sz w:val="24"/>
                <w:szCs w:val="24"/>
                <w:color w:val="auto"/>
              </w:rPr>
            </w:pPr>
          </w:p>
        </w:tc>
        <w:tc>
          <w:tcPr>
            <w:tcW w:w="740" w:type="dxa"/>
            <w:vAlign w:val="bottom"/>
            <w:tcBorders>
              <w:bottom w:val="single" w:sz="8" w:color="CCCCCC"/>
            </w:tcBorders>
            <w:shd w:val="clear" w:color="auto" w:fill="CCCCCC"/>
          </w:tcPr>
          <w:p>
            <w:pPr>
              <w:spacing w:after="0"/>
              <w:rPr>
                <w:sz w:val="24"/>
                <w:szCs w:val="24"/>
                <w:color w:val="auto"/>
              </w:rPr>
            </w:pPr>
          </w:p>
        </w:tc>
        <w:tc>
          <w:tcPr>
            <w:tcW w:w="100" w:type="dxa"/>
            <w:vAlign w:val="bottom"/>
            <w:tcBorders>
              <w:bottom w:val="single" w:sz="8" w:color="CCCCCC"/>
            </w:tcBorders>
            <w:shd w:val="clear" w:color="auto" w:fill="CCCCCC"/>
          </w:tcPr>
          <w:p>
            <w:pPr>
              <w:spacing w:after="0"/>
              <w:rPr>
                <w:sz w:val="24"/>
                <w:szCs w:val="24"/>
                <w:color w:val="auto"/>
              </w:rPr>
            </w:pPr>
          </w:p>
        </w:tc>
        <w:tc>
          <w:tcPr>
            <w:tcW w:w="760" w:type="dxa"/>
            <w:vAlign w:val="bottom"/>
            <w:tcBorders>
              <w:bottom w:val="single" w:sz="8" w:color="CCCCCC"/>
            </w:tcBorders>
            <w:shd w:val="clear" w:color="auto" w:fill="CCCCCC"/>
          </w:tcPr>
          <w:p>
            <w:pPr>
              <w:jc w:val="right"/>
              <w:ind w:right="170"/>
              <w:spacing w:after="0"/>
              <w:rPr>
                <w:sz w:val="20"/>
                <w:szCs w:val="20"/>
                <w:color w:val="auto"/>
              </w:rPr>
            </w:pPr>
            <w:r>
              <w:rPr>
                <w:rFonts w:ascii="Arial" w:cs="Arial" w:eastAsia="Arial" w:hAnsi="Arial"/>
                <w:sz w:val="13"/>
                <w:szCs w:val="13"/>
                <w:color w:val="auto"/>
              </w:rPr>
              <w:t>6,675</w:t>
            </w:r>
          </w:p>
        </w:tc>
        <w:tc>
          <w:tcPr>
            <w:tcW w:w="5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13,351</w:t>
            </w:r>
          </w:p>
        </w:tc>
        <w:tc>
          <w:tcPr>
            <w:tcW w:w="740" w:type="dxa"/>
            <w:vAlign w:val="bottom"/>
            <w:tcBorders>
              <w:bottom w:val="single" w:sz="8" w:color="CCCCCC"/>
            </w:tcBorders>
            <w:shd w:val="clear" w:color="auto" w:fill="CCCCCC"/>
          </w:tcPr>
          <w:p>
            <w:pPr>
              <w:jc w:val="right"/>
              <w:ind w:right="71"/>
              <w:spacing w:after="0"/>
              <w:rPr>
                <w:sz w:val="20"/>
                <w:szCs w:val="20"/>
                <w:color w:val="auto"/>
              </w:rPr>
            </w:pPr>
            <w:r>
              <w:rPr>
                <w:rFonts w:ascii="Arial" w:cs="Arial" w:eastAsia="Arial" w:hAnsi="Arial"/>
                <w:sz w:val="13"/>
                <w:szCs w:val="13"/>
                <w:color w:val="auto"/>
              </w:rPr>
              <w:t>20,026</w:t>
            </w:r>
          </w:p>
        </w:tc>
        <w:tc>
          <w:tcPr>
            <w:tcW w:w="780" w:type="dxa"/>
            <w:vAlign w:val="bottom"/>
            <w:tcBorders>
              <w:bottom w:val="single" w:sz="8" w:color="CCCCCC"/>
            </w:tcBorders>
            <w:shd w:val="clear" w:color="auto" w:fill="CCCCCC"/>
          </w:tcPr>
          <w:p>
            <w:pPr>
              <w:spacing w:after="0"/>
              <w:rPr>
                <w:sz w:val="24"/>
                <w:szCs w:val="24"/>
                <w:color w:val="auto"/>
              </w:rPr>
            </w:pPr>
          </w:p>
        </w:tc>
        <w:tc>
          <w:tcPr>
            <w:tcW w:w="7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2,599,974</w:t>
            </w:r>
          </w:p>
        </w:tc>
        <w:tc>
          <w:tcPr>
            <w:tcW w:w="0" w:type="dxa"/>
            <w:vAlign w:val="bottom"/>
          </w:tcPr>
          <w:p>
            <w:pPr>
              <w:spacing w:after="0"/>
              <w:rPr>
                <w:sz w:val="1"/>
                <w:szCs w:val="1"/>
                <w:color w:val="auto"/>
              </w:rPr>
            </w:pPr>
          </w:p>
        </w:tc>
      </w:tr>
      <w:tr>
        <w:trPr>
          <w:trHeight w:val="211"/>
        </w:trPr>
        <w:tc>
          <w:tcPr>
            <w:tcW w:w="124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Mr. Choi</w:t>
            </w:r>
          </w:p>
        </w:tc>
        <w:tc>
          <w:tcPr>
            <w:tcW w:w="106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Annual Incentive</w:t>
            </w: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3"/>
                <w:szCs w:val="13"/>
                <w:color w:val="auto"/>
              </w:rPr>
              <w:t>375,000</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750,000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1,125,000</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RSU</w:t>
            </w:r>
          </w:p>
        </w:tc>
        <w:tc>
          <w:tcPr>
            <w:tcW w:w="880" w:type="dxa"/>
            <w:vAlign w:val="bottom"/>
            <w:gridSpan w:val="2"/>
          </w:tcPr>
          <w:p>
            <w:pPr>
              <w:jc w:val="right"/>
              <w:ind w:right="11"/>
              <w:spacing w:after="0"/>
              <w:rPr>
                <w:sz w:val="20"/>
                <w:szCs w:val="20"/>
                <w:color w:val="auto"/>
              </w:rPr>
            </w:pPr>
            <w:r>
              <w:rPr>
                <w:rFonts w:ascii="Arial" w:cs="Arial" w:eastAsia="Arial" w:hAnsi="Arial"/>
                <w:sz w:val="13"/>
                <w:szCs w:val="13"/>
                <w:color w:val="auto"/>
              </w:rPr>
              <w:t>12/30/2022</w:t>
            </w:r>
          </w:p>
        </w:tc>
        <w:tc>
          <w:tcPr>
            <w:tcW w:w="800" w:type="dxa"/>
            <w:vAlign w:val="bottom"/>
          </w:tcPr>
          <w:p>
            <w:pPr>
              <w:jc w:val="right"/>
              <w:ind w:right="72"/>
              <w:spacing w:after="0"/>
              <w:rPr>
                <w:sz w:val="20"/>
                <w:szCs w:val="20"/>
                <w:color w:val="auto"/>
              </w:rPr>
            </w:pPr>
            <w:r>
              <w:rPr>
                <w:rFonts w:ascii="Arial" w:cs="Arial" w:eastAsia="Arial" w:hAnsi="Arial"/>
                <w:sz w:val="13"/>
                <w:szCs w:val="13"/>
                <w:color w:val="auto"/>
              </w:rPr>
              <w:t>12/8/2022</w:t>
            </w: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jc w:val="right"/>
              <w:ind w:right="90"/>
              <w:spacing w:after="0"/>
              <w:rPr>
                <w:sz w:val="20"/>
                <w:szCs w:val="20"/>
                <w:color w:val="auto"/>
              </w:rPr>
            </w:pPr>
            <w:r>
              <w:rPr>
                <w:rFonts w:ascii="Arial" w:cs="Arial" w:eastAsia="Arial" w:hAnsi="Arial"/>
                <w:sz w:val="13"/>
                <w:szCs w:val="13"/>
                <w:color w:val="auto"/>
              </w:rPr>
              <w:t>9,150</w:t>
            </w:r>
          </w:p>
        </w:tc>
        <w:tc>
          <w:tcPr>
            <w:tcW w:w="740" w:type="dxa"/>
            <w:vAlign w:val="bottom"/>
          </w:tcPr>
          <w:p>
            <w:pPr>
              <w:jc w:val="right"/>
              <w:spacing w:after="0"/>
              <w:rPr>
                <w:sz w:val="20"/>
                <w:szCs w:val="20"/>
                <w:color w:val="auto"/>
              </w:rPr>
            </w:pPr>
            <w:r>
              <w:rPr>
                <w:rFonts w:ascii="Arial" w:cs="Arial" w:eastAsia="Arial" w:hAnsi="Arial"/>
                <w:sz w:val="13"/>
                <w:szCs w:val="13"/>
                <w:color w:val="auto"/>
              </w:rPr>
              <w:t>1,499,960</w:t>
            </w: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RSU</w:t>
            </w:r>
          </w:p>
        </w:tc>
        <w:tc>
          <w:tcPr>
            <w:tcW w:w="880" w:type="dxa"/>
            <w:vAlign w:val="bottom"/>
            <w:gridSpan w:val="2"/>
          </w:tcPr>
          <w:p>
            <w:pPr>
              <w:jc w:val="right"/>
              <w:ind w:right="11"/>
              <w:spacing w:after="0"/>
              <w:rPr>
                <w:sz w:val="20"/>
                <w:szCs w:val="20"/>
                <w:color w:val="auto"/>
              </w:rPr>
            </w:pPr>
            <w:r>
              <w:rPr>
                <w:rFonts w:ascii="Arial" w:cs="Arial" w:eastAsia="Arial" w:hAnsi="Arial"/>
                <w:sz w:val="13"/>
                <w:szCs w:val="13"/>
                <w:color w:val="auto"/>
              </w:rPr>
              <w:t>3/9/2022</w:t>
            </w:r>
          </w:p>
        </w:tc>
        <w:tc>
          <w:tcPr>
            <w:tcW w:w="800" w:type="dxa"/>
            <w:vAlign w:val="bottom"/>
          </w:tcPr>
          <w:p>
            <w:pPr>
              <w:jc w:val="right"/>
              <w:ind w:right="72"/>
              <w:spacing w:after="0"/>
              <w:rPr>
                <w:sz w:val="20"/>
                <w:szCs w:val="20"/>
                <w:color w:val="auto"/>
              </w:rPr>
            </w:pPr>
            <w:r>
              <w:rPr>
                <w:rFonts w:ascii="Arial" w:cs="Arial" w:eastAsia="Arial" w:hAnsi="Arial"/>
                <w:sz w:val="13"/>
                <w:szCs w:val="13"/>
                <w:color w:val="auto"/>
              </w:rPr>
              <w:t>3/9/2022</w:t>
            </w: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jc w:val="right"/>
              <w:ind w:right="90"/>
              <w:spacing w:after="0"/>
              <w:rPr>
                <w:sz w:val="20"/>
                <w:szCs w:val="20"/>
                <w:color w:val="auto"/>
              </w:rPr>
            </w:pPr>
            <w:r>
              <w:rPr>
                <w:rFonts w:ascii="Arial" w:cs="Arial" w:eastAsia="Arial" w:hAnsi="Arial"/>
                <w:sz w:val="13"/>
                <w:szCs w:val="13"/>
                <w:color w:val="auto"/>
              </w:rPr>
              <w:t>4,622</w:t>
            </w:r>
          </w:p>
        </w:tc>
        <w:tc>
          <w:tcPr>
            <w:tcW w:w="740" w:type="dxa"/>
            <w:vAlign w:val="bottom"/>
          </w:tcPr>
          <w:p>
            <w:pPr>
              <w:jc w:val="right"/>
              <w:spacing w:after="0"/>
              <w:rPr>
                <w:sz w:val="20"/>
                <w:szCs w:val="20"/>
                <w:color w:val="auto"/>
              </w:rPr>
            </w:pPr>
            <w:r>
              <w:rPr>
                <w:rFonts w:ascii="Arial" w:cs="Arial" w:eastAsia="Arial" w:hAnsi="Arial"/>
                <w:sz w:val="13"/>
                <w:szCs w:val="13"/>
                <w:color w:val="auto"/>
              </w:rPr>
              <w:t>900,088</w:t>
            </w: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PSU</w:t>
            </w:r>
          </w:p>
        </w:tc>
        <w:tc>
          <w:tcPr>
            <w:tcW w:w="880" w:type="dxa"/>
            <w:vAlign w:val="bottom"/>
            <w:gridSpan w:val="2"/>
          </w:tcPr>
          <w:p>
            <w:pPr>
              <w:jc w:val="right"/>
              <w:ind w:right="11"/>
              <w:spacing w:after="0"/>
              <w:rPr>
                <w:sz w:val="20"/>
                <w:szCs w:val="20"/>
                <w:color w:val="auto"/>
              </w:rPr>
            </w:pPr>
            <w:r>
              <w:rPr>
                <w:rFonts w:ascii="Arial" w:cs="Arial" w:eastAsia="Arial" w:hAnsi="Arial"/>
                <w:sz w:val="13"/>
                <w:szCs w:val="13"/>
                <w:color w:val="auto"/>
              </w:rPr>
              <w:t>3/9/2022</w:t>
            </w:r>
          </w:p>
        </w:tc>
        <w:tc>
          <w:tcPr>
            <w:tcW w:w="800" w:type="dxa"/>
            <w:vAlign w:val="bottom"/>
          </w:tcPr>
          <w:p>
            <w:pPr>
              <w:jc w:val="right"/>
              <w:ind w:right="72"/>
              <w:spacing w:after="0"/>
              <w:rPr>
                <w:sz w:val="20"/>
                <w:szCs w:val="20"/>
                <w:color w:val="auto"/>
              </w:rPr>
            </w:pPr>
            <w:r>
              <w:rPr>
                <w:rFonts w:ascii="Arial" w:cs="Arial" w:eastAsia="Arial" w:hAnsi="Arial"/>
                <w:sz w:val="13"/>
                <w:szCs w:val="13"/>
                <w:color w:val="auto"/>
              </w:rPr>
              <w:t>3/9/2022</w:t>
            </w: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170"/>
              <w:spacing w:after="0"/>
              <w:rPr>
                <w:sz w:val="20"/>
                <w:szCs w:val="20"/>
                <w:color w:val="auto"/>
              </w:rPr>
            </w:pPr>
            <w:r>
              <w:rPr>
                <w:rFonts w:ascii="Arial" w:cs="Arial" w:eastAsia="Arial" w:hAnsi="Arial"/>
                <w:sz w:val="13"/>
                <w:szCs w:val="13"/>
                <w:color w:val="auto"/>
              </w:rPr>
              <w:t>2,311</w:t>
            </w:r>
          </w:p>
        </w:tc>
        <w:tc>
          <w:tcPr>
            <w:tcW w:w="540" w:type="dxa"/>
            <w:vAlign w:val="bottom"/>
          </w:tcPr>
          <w:p>
            <w:pPr>
              <w:jc w:val="right"/>
              <w:spacing w:after="0"/>
              <w:rPr>
                <w:sz w:val="20"/>
                <w:szCs w:val="20"/>
                <w:color w:val="auto"/>
              </w:rPr>
            </w:pPr>
            <w:r>
              <w:rPr>
                <w:rFonts w:ascii="Arial" w:cs="Arial" w:eastAsia="Arial" w:hAnsi="Arial"/>
                <w:sz w:val="13"/>
                <w:szCs w:val="13"/>
                <w:color w:val="auto"/>
              </w:rPr>
              <w:t>4,622</w:t>
            </w:r>
          </w:p>
        </w:tc>
        <w:tc>
          <w:tcPr>
            <w:tcW w:w="740" w:type="dxa"/>
            <w:vAlign w:val="bottom"/>
          </w:tcPr>
          <w:p>
            <w:pPr>
              <w:jc w:val="right"/>
              <w:ind w:right="91"/>
              <w:spacing w:after="0"/>
              <w:rPr>
                <w:sz w:val="20"/>
                <w:szCs w:val="20"/>
                <w:color w:val="auto"/>
              </w:rPr>
            </w:pPr>
            <w:r>
              <w:rPr>
                <w:rFonts w:ascii="Arial" w:cs="Arial" w:eastAsia="Arial" w:hAnsi="Arial"/>
                <w:sz w:val="13"/>
                <w:szCs w:val="13"/>
                <w:color w:val="auto"/>
              </w:rPr>
              <w:t>6,933</w:t>
            </w:r>
          </w:p>
        </w:tc>
        <w:tc>
          <w:tcPr>
            <w:tcW w:w="7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900,088</w:t>
            </w:r>
          </w:p>
        </w:tc>
        <w:tc>
          <w:tcPr>
            <w:tcW w:w="0" w:type="dxa"/>
            <w:vAlign w:val="bottom"/>
          </w:tcPr>
          <w:p>
            <w:pPr>
              <w:spacing w:after="0"/>
              <w:rPr>
                <w:sz w:val="1"/>
                <w:szCs w:val="1"/>
                <w:color w:val="auto"/>
              </w:rPr>
            </w:pPr>
          </w:p>
        </w:tc>
      </w:tr>
      <w:tr>
        <w:trPr>
          <w:trHeight w:val="39"/>
        </w:trPr>
        <w:tc>
          <w:tcPr>
            <w:tcW w:w="1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240" w:type="dxa"/>
            <w:vAlign w:val="bottom"/>
            <w:shd w:val="clear" w:color="auto" w:fill="CCCCCC"/>
          </w:tcPr>
          <w:p>
            <w:pPr>
              <w:ind w:left="100"/>
              <w:spacing w:after="0"/>
              <w:rPr>
                <w:sz w:val="20"/>
                <w:szCs w:val="20"/>
                <w:color w:val="auto"/>
              </w:rPr>
            </w:pPr>
            <w:r>
              <w:rPr>
                <w:rFonts w:ascii="Arial" w:cs="Arial" w:eastAsia="Arial" w:hAnsi="Arial"/>
                <w:sz w:val="13"/>
                <w:szCs w:val="13"/>
                <w:color w:val="auto"/>
              </w:rPr>
              <w:t>Mr. Hees</w:t>
            </w:r>
          </w:p>
        </w:tc>
        <w:tc>
          <w:tcPr>
            <w:tcW w:w="1060" w:type="dxa"/>
            <w:vAlign w:val="bottom"/>
            <w:shd w:val="clear" w:color="auto" w:fill="CCCCCC"/>
          </w:tcPr>
          <w:p>
            <w:pPr>
              <w:ind w:left="60"/>
              <w:spacing w:after="0"/>
              <w:rPr>
                <w:sz w:val="20"/>
                <w:szCs w:val="20"/>
                <w:color w:val="auto"/>
              </w:rPr>
            </w:pPr>
            <w:r>
              <w:rPr>
                <w:rFonts w:ascii="Arial" w:cs="Arial" w:eastAsia="Arial" w:hAnsi="Arial"/>
                <w:sz w:val="13"/>
                <w:szCs w:val="13"/>
                <w:color w:val="auto"/>
              </w:rPr>
              <w:t>Annual Incentive</w:t>
            </w:r>
          </w:p>
        </w:tc>
        <w:tc>
          <w:tcPr>
            <w:tcW w:w="40" w:type="dxa"/>
            <w:vAlign w:val="bottom"/>
            <w:shd w:val="clear" w:color="auto" w:fill="CCCCCC"/>
          </w:tcPr>
          <w:p>
            <w:pPr>
              <w:spacing w:after="0"/>
              <w:rPr>
                <w:sz w:val="18"/>
                <w:szCs w:val="18"/>
                <w:color w:val="auto"/>
              </w:rPr>
            </w:pPr>
          </w:p>
        </w:tc>
        <w:tc>
          <w:tcPr>
            <w:tcW w:w="840" w:type="dxa"/>
            <w:vAlign w:val="bottom"/>
            <w:shd w:val="clear" w:color="auto" w:fill="CCCCCC"/>
          </w:tcPr>
          <w:p>
            <w:pPr>
              <w:jc w:val="right"/>
              <w:ind w:right="11"/>
              <w:spacing w:after="0"/>
              <w:rPr>
                <w:sz w:val="20"/>
                <w:szCs w:val="20"/>
                <w:color w:val="auto"/>
              </w:rPr>
            </w:pPr>
            <w:r>
              <w:rPr>
                <w:rFonts w:ascii="Arial" w:cs="Arial" w:eastAsia="Arial" w:hAnsi="Arial"/>
                <w:sz w:val="13"/>
                <w:szCs w:val="13"/>
                <w:color w:val="auto"/>
              </w:rPr>
              <w:t>—</w:t>
            </w:r>
          </w:p>
        </w:tc>
        <w:tc>
          <w:tcPr>
            <w:tcW w:w="800" w:type="dxa"/>
            <w:vAlign w:val="bottom"/>
            <w:shd w:val="clear" w:color="auto" w:fill="CCCCCC"/>
          </w:tcPr>
          <w:p>
            <w:pPr>
              <w:jc w:val="right"/>
              <w:ind w:right="72"/>
              <w:spacing w:after="0"/>
              <w:rPr>
                <w:sz w:val="20"/>
                <w:szCs w:val="20"/>
                <w:color w:val="auto"/>
              </w:rPr>
            </w:pPr>
            <w:r>
              <w:rPr>
                <w:rFonts w:ascii="Arial" w:cs="Arial" w:eastAsia="Arial" w:hAnsi="Arial"/>
                <w:sz w:val="13"/>
                <w:szCs w:val="13"/>
                <w:color w:val="auto"/>
              </w:rPr>
              <w:t>—</w:t>
            </w:r>
          </w:p>
        </w:tc>
        <w:tc>
          <w:tcPr>
            <w:tcW w:w="760" w:type="dxa"/>
            <w:vAlign w:val="bottom"/>
            <w:shd w:val="clear" w:color="auto" w:fill="CCCCCC"/>
          </w:tcPr>
          <w:p>
            <w:pPr>
              <w:jc w:val="right"/>
              <w:ind w:right="50"/>
              <w:spacing w:after="0"/>
              <w:rPr>
                <w:sz w:val="20"/>
                <w:szCs w:val="20"/>
                <w:color w:val="auto"/>
              </w:rPr>
            </w:pPr>
            <w:r>
              <w:rPr>
                <w:rFonts w:ascii="Arial" w:cs="Arial" w:eastAsia="Arial" w:hAnsi="Arial"/>
                <w:sz w:val="13"/>
                <w:szCs w:val="13"/>
                <w:color w:val="auto"/>
              </w:rPr>
              <w:t>250,000</w:t>
            </w:r>
          </w:p>
        </w:tc>
        <w:tc>
          <w:tcPr>
            <w:tcW w:w="7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500,000</w:t>
            </w:r>
          </w:p>
        </w:tc>
        <w:tc>
          <w:tcPr>
            <w:tcW w:w="7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shd w:val="clear" w:color="auto" w:fill="CCCCCC"/>
          </w:tcPr>
          <w:p>
            <w:pPr>
              <w:spacing w:after="0"/>
              <w:rPr>
                <w:sz w:val="18"/>
                <w:szCs w:val="18"/>
                <w:color w:val="auto"/>
              </w:rPr>
            </w:pPr>
          </w:p>
        </w:tc>
        <w:tc>
          <w:tcPr>
            <w:tcW w:w="76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40" w:type="dxa"/>
            <w:vAlign w:val="bottom"/>
            <w:shd w:val="clear" w:color="auto" w:fill="CCCCCC"/>
          </w:tcPr>
          <w:p>
            <w:pPr>
              <w:spacing w:after="0"/>
              <w:rPr>
                <w:sz w:val="22"/>
                <w:szCs w:val="22"/>
                <w:color w:val="auto"/>
              </w:rPr>
            </w:pPr>
          </w:p>
        </w:tc>
        <w:tc>
          <w:tcPr>
            <w:tcW w:w="1060" w:type="dxa"/>
            <w:vAlign w:val="bottom"/>
            <w:shd w:val="clear" w:color="auto" w:fill="CCCCCC"/>
          </w:tcPr>
          <w:p>
            <w:pPr>
              <w:ind w:left="60"/>
              <w:spacing w:after="0"/>
              <w:rPr>
                <w:sz w:val="20"/>
                <w:szCs w:val="20"/>
                <w:color w:val="auto"/>
              </w:rPr>
            </w:pPr>
            <w:r>
              <w:rPr>
                <w:rFonts w:ascii="Arial" w:cs="Arial" w:eastAsia="Arial" w:hAnsi="Arial"/>
                <w:sz w:val="13"/>
                <w:szCs w:val="13"/>
                <w:color w:val="auto"/>
              </w:rPr>
              <w:t>RSU</w:t>
            </w:r>
          </w:p>
        </w:tc>
        <w:tc>
          <w:tcPr>
            <w:tcW w:w="880" w:type="dxa"/>
            <w:vAlign w:val="bottom"/>
            <w:gridSpan w:val="2"/>
            <w:shd w:val="clear" w:color="auto" w:fill="CCCCCC"/>
          </w:tcPr>
          <w:p>
            <w:pPr>
              <w:jc w:val="right"/>
              <w:ind w:right="11"/>
              <w:spacing w:after="0"/>
              <w:rPr>
                <w:sz w:val="20"/>
                <w:szCs w:val="20"/>
                <w:color w:val="auto"/>
              </w:rPr>
            </w:pPr>
            <w:r>
              <w:rPr>
                <w:rFonts w:ascii="Arial" w:cs="Arial" w:eastAsia="Arial" w:hAnsi="Arial"/>
                <w:sz w:val="13"/>
                <w:szCs w:val="13"/>
                <w:color w:val="auto"/>
              </w:rPr>
              <w:t>3/9/2022</w:t>
            </w:r>
          </w:p>
        </w:tc>
        <w:tc>
          <w:tcPr>
            <w:tcW w:w="800" w:type="dxa"/>
            <w:vAlign w:val="bottom"/>
            <w:shd w:val="clear" w:color="auto" w:fill="CCCCCC"/>
          </w:tcPr>
          <w:p>
            <w:pPr>
              <w:jc w:val="right"/>
              <w:ind w:right="72"/>
              <w:spacing w:after="0"/>
              <w:rPr>
                <w:sz w:val="20"/>
                <w:szCs w:val="20"/>
                <w:color w:val="auto"/>
              </w:rPr>
            </w:pPr>
            <w:r>
              <w:rPr>
                <w:rFonts w:ascii="Arial" w:cs="Arial" w:eastAsia="Arial" w:hAnsi="Arial"/>
                <w:sz w:val="13"/>
                <w:szCs w:val="13"/>
                <w:color w:val="auto"/>
              </w:rPr>
              <w:t>3/9/2022</w:t>
            </w:r>
          </w:p>
        </w:tc>
        <w:tc>
          <w:tcPr>
            <w:tcW w:w="760" w:type="dxa"/>
            <w:vAlign w:val="bottom"/>
            <w:shd w:val="clear" w:color="auto" w:fill="CCCCCC"/>
          </w:tcPr>
          <w:p>
            <w:pPr>
              <w:spacing w:after="0"/>
              <w:rPr>
                <w:sz w:val="22"/>
                <w:szCs w:val="22"/>
                <w:color w:val="auto"/>
              </w:rPr>
            </w:pPr>
          </w:p>
        </w:tc>
        <w:tc>
          <w:tcPr>
            <w:tcW w:w="70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100" w:type="dxa"/>
            <w:vAlign w:val="bottom"/>
            <w:shd w:val="clear" w:color="auto" w:fill="CCCCCC"/>
          </w:tcPr>
          <w:p>
            <w:pPr>
              <w:spacing w:after="0"/>
              <w:rPr>
                <w:sz w:val="22"/>
                <w:szCs w:val="22"/>
                <w:color w:val="auto"/>
              </w:rPr>
            </w:pPr>
          </w:p>
        </w:tc>
        <w:tc>
          <w:tcPr>
            <w:tcW w:w="760" w:type="dxa"/>
            <w:vAlign w:val="bottom"/>
            <w:shd w:val="clear" w:color="auto" w:fill="CCCCCC"/>
          </w:tcPr>
          <w:p>
            <w:pPr>
              <w:spacing w:after="0"/>
              <w:rPr>
                <w:sz w:val="22"/>
                <w:szCs w:val="22"/>
                <w:color w:val="auto"/>
              </w:rPr>
            </w:pPr>
          </w:p>
        </w:tc>
        <w:tc>
          <w:tcPr>
            <w:tcW w:w="54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780" w:type="dxa"/>
            <w:vAlign w:val="bottom"/>
            <w:shd w:val="clear" w:color="auto" w:fill="CCCCCC"/>
          </w:tcPr>
          <w:p>
            <w:pPr>
              <w:jc w:val="right"/>
              <w:ind w:right="70"/>
              <w:spacing w:after="0"/>
              <w:rPr>
                <w:sz w:val="20"/>
                <w:szCs w:val="20"/>
                <w:color w:val="auto"/>
              </w:rPr>
            </w:pPr>
            <w:r>
              <w:rPr>
                <w:rFonts w:ascii="Arial" w:cs="Arial" w:eastAsia="Arial" w:hAnsi="Arial"/>
                <w:sz w:val="13"/>
                <w:szCs w:val="13"/>
                <w:color w:val="auto"/>
              </w:rPr>
              <w:t>10,270</w:t>
            </w:r>
          </w:p>
        </w:tc>
        <w:tc>
          <w:tcPr>
            <w:tcW w:w="7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1,999,980</w:t>
            </w:r>
          </w:p>
        </w:tc>
        <w:tc>
          <w:tcPr>
            <w:tcW w:w="0" w:type="dxa"/>
            <w:vAlign w:val="bottom"/>
          </w:tcPr>
          <w:p>
            <w:pPr>
              <w:spacing w:after="0"/>
              <w:rPr>
                <w:sz w:val="1"/>
                <w:szCs w:val="1"/>
                <w:color w:val="auto"/>
              </w:rPr>
            </w:pPr>
          </w:p>
        </w:tc>
      </w:tr>
      <w:tr>
        <w:trPr>
          <w:trHeight w:val="301"/>
        </w:trPr>
        <w:tc>
          <w:tcPr>
            <w:tcW w:w="1240" w:type="dxa"/>
            <w:vAlign w:val="bottom"/>
            <w:tcBorders>
              <w:bottom w:val="single" w:sz="8" w:color="CCCCCC"/>
            </w:tcBorders>
            <w:shd w:val="clear" w:color="auto" w:fill="CCCCCC"/>
          </w:tcPr>
          <w:p>
            <w:pPr>
              <w:spacing w:after="0"/>
              <w:rPr>
                <w:sz w:val="24"/>
                <w:szCs w:val="24"/>
                <w:color w:val="auto"/>
              </w:rPr>
            </w:pPr>
          </w:p>
        </w:tc>
        <w:tc>
          <w:tcPr>
            <w:tcW w:w="106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3"/>
                <w:szCs w:val="13"/>
                <w:color w:val="auto"/>
              </w:rPr>
              <w:t>PSU</w:t>
            </w:r>
          </w:p>
        </w:tc>
        <w:tc>
          <w:tcPr>
            <w:tcW w:w="880" w:type="dxa"/>
            <w:vAlign w:val="bottom"/>
            <w:tcBorders>
              <w:bottom w:val="single" w:sz="8" w:color="CCCCCC"/>
            </w:tcBorders>
            <w:gridSpan w:val="2"/>
            <w:shd w:val="clear" w:color="auto" w:fill="CCCCCC"/>
          </w:tcPr>
          <w:p>
            <w:pPr>
              <w:jc w:val="right"/>
              <w:ind w:right="11"/>
              <w:spacing w:after="0"/>
              <w:rPr>
                <w:sz w:val="20"/>
                <w:szCs w:val="20"/>
                <w:color w:val="auto"/>
              </w:rPr>
            </w:pPr>
            <w:r>
              <w:rPr>
                <w:rFonts w:ascii="Arial" w:cs="Arial" w:eastAsia="Arial" w:hAnsi="Arial"/>
                <w:sz w:val="13"/>
                <w:szCs w:val="13"/>
                <w:color w:val="auto"/>
              </w:rPr>
              <w:t>3/9/2022</w:t>
            </w:r>
          </w:p>
        </w:tc>
        <w:tc>
          <w:tcPr>
            <w:tcW w:w="800" w:type="dxa"/>
            <w:vAlign w:val="bottom"/>
            <w:tcBorders>
              <w:bottom w:val="single" w:sz="8" w:color="CCCCCC"/>
            </w:tcBorders>
            <w:shd w:val="clear" w:color="auto" w:fill="CCCCCC"/>
          </w:tcPr>
          <w:p>
            <w:pPr>
              <w:jc w:val="right"/>
              <w:ind w:right="72"/>
              <w:spacing w:after="0"/>
              <w:rPr>
                <w:sz w:val="20"/>
                <w:szCs w:val="20"/>
                <w:color w:val="auto"/>
              </w:rPr>
            </w:pPr>
            <w:r>
              <w:rPr>
                <w:rFonts w:ascii="Arial" w:cs="Arial" w:eastAsia="Arial" w:hAnsi="Arial"/>
                <w:sz w:val="13"/>
                <w:szCs w:val="13"/>
                <w:color w:val="auto"/>
              </w:rPr>
              <w:t>3/9/2022</w:t>
            </w:r>
          </w:p>
        </w:tc>
        <w:tc>
          <w:tcPr>
            <w:tcW w:w="760" w:type="dxa"/>
            <w:vAlign w:val="bottom"/>
            <w:tcBorders>
              <w:bottom w:val="single" w:sz="8" w:color="CCCCCC"/>
            </w:tcBorders>
            <w:shd w:val="clear" w:color="auto" w:fill="CCCCCC"/>
          </w:tcPr>
          <w:p>
            <w:pPr>
              <w:spacing w:after="0"/>
              <w:rPr>
                <w:sz w:val="24"/>
                <w:szCs w:val="24"/>
                <w:color w:val="auto"/>
              </w:rPr>
            </w:pPr>
          </w:p>
        </w:tc>
        <w:tc>
          <w:tcPr>
            <w:tcW w:w="700" w:type="dxa"/>
            <w:vAlign w:val="bottom"/>
            <w:tcBorders>
              <w:bottom w:val="single" w:sz="8" w:color="CCCCCC"/>
            </w:tcBorders>
            <w:shd w:val="clear" w:color="auto" w:fill="CCCCCC"/>
          </w:tcPr>
          <w:p>
            <w:pPr>
              <w:spacing w:after="0"/>
              <w:rPr>
                <w:sz w:val="24"/>
                <w:szCs w:val="24"/>
                <w:color w:val="auto"/>
              </w:rPr>
            </w:pPr>
          </w:p>
        </w:tc>
        <w:tc>
          <w:tcPr>
            <w:tcW w:w="740" w:type="dxa"/>
            <w:vAlign w:val="bottom"/>
            <w:tcBorders>
              <w:bottom w:val="single" w:sz="8" w:color="CCCCCC"/>
            </w:tcBorders>
            <w:shd w:val="clear" w:color="auto" w:fill="CCCCCC"/>
          </w:tcPr>
          <w:p>
            <w:pPr>
              <w:spacing w:after="0"/>
              <w:rPr>
                <w:sz w:val="24"/>
                <w:szCs w:val="24"/>
                <w:color w:val="auto"/>
              </w:rPr>
            </w:pPr>
          </w:p>
        </w:tc>
        <w:tc>
          <w:tcPr>
            <w:tcW w:w="100" w:type="dxa"/>
            <w:vAlign w:val="bottom"/>
            <w:tcBorders>
              <w:bottom w:val="single" w:sz="8" w:color="CCCCCC"/>
            </w:tcBorders>
            <w:shd w:val="clear" w:color="auto" w:fill="CCCCCC"/>
          </w:tcPr>
          <w:p>
            <w:pPr>
              <w:spacing w:after="0"/>
              <w:rPr>
                <w:sz w:val="24"/>
                <w:szCs w:val="24"/>
                <w:color w:val="auto"/>
              </w:rPr>
            </w:pPr>
          </w:p>
        </w:tc>
        <w:tc>
          <w:tcPr>
            <w:tcW w:w="760" w:type="dxa"/>
            <w:vAlign w:val="bottom"/>
            <w:tcBorders>
              <w:bottom w:val="single" w:sz="8" w:color="CCCCCC"/>
            </w:tcBorders>
            <w:shd w:val="clear" w:color="auto" w:fill="CCCCCC"/>
          </w:tcPr>
          <w:p>
            <w:pPr>
              <w:jc w:val="right"/>
              <w:ind w:right="170"/>
              <w:spacing w:after="0"/>
              <w:rPr>
                <w:sz w:val="20"/>
                <w:szCs w:val="20"/>
                <w:color w:val="auto"/>
              </w:rPr>
            </w:pPr>
            <w:r>
              <w:rPr>
                <w:rFonts w:ascii="Arial" w:cs="Arial" w:eastAsia="Arial" w:hAnsi="Arial"/>
                <w:sz w:val="13"/>
                <w:szCs w:val="13"/>
                <w:color w:val="auto"/>
              </w:rPr>
              <w:t>5,135</w:t>
            </w:r>
          </w:p>
        </w:tc>
        <w:tc>
          <w:tcPr>
            <w:tcW w:w="5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10,270</w:t>
            </w:r>
          </w:p>
        </w:tc>
        <w:tc>
          <w:tcPr>
            <w:tcW w:w="740" w:type="dxa"/>
            <w:vAlign w:val="bottom"/>
            <w:tcBorders>
              <w:bottom w:val="single" w:sz="8" w:color="CCCCCC"/>
            </w:tcBorders>
            <w:shd w:val="clear" w:color="auto" w:fill="CCCCCC"/>
          </w:tcPr>
          <w:p>
            <w:pPr>
              <w:jc w:val="right"/>
              <w:ind w:right="71"/>
              <w:spacing w:after="0"/>
              <w:rPr>
                <w:sz w:val="20"/>
                <w:szCs w:val="20"/>
                <w:color w:val="auto"/>
              </w:rPr>
            </w:pPr>
            <w:r>
              <w:rPr>
                <w:rFonts w:ascii="Arial" w:cs="Arial" w:eastAsia="Arial" w:hAnsi="Arial"/>
                <w:sz w:val="13"/>
                <w:szCs w:val="13"/>
                <w:color w:val="auto"/>
              </w:rPr>
              <w:t>15,405</w:t>
            </w:r>
          </w:p>
        </w:tc>
        <w:tc>
          <w:tcPr>
            <w:tcW w:w="780" w:type="dxa"/>
            <w:vAlign w:val="bottom"/>
            <w:tcBorders>
              <w:bottom w:val="single" w:sz="8" w:color="CCCCCC"/>
            </w:tcBorders>
            <w:shd w:val="clear" w:color="auto" w:fill="CCCCCC"/>
          </w:tcPr>
          <w:p>
            <w:pPr>
              <w:spacing w:after="0"/>
              <w:rPr>
                <w:sz w:val="24"/>
                <w:szCs w:val="24"/>
                <w:color w:val="auto"/>
              </w:rPr>
            </w:pPr>
          </w:p>
        </w:tc>
        <w:tc>
          <w:tcPr>
            <w:tcW w:w="7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1,999,980</w:t>
            </w:r>
          </w:p>
        </w:tc>
        <w:tc>
          <w:tcPr>
            <w:tcW w:w="0" w:type="dxa"/>
            <w:vAlign w:val="bottom"/>
          </w:tcPr>
          <w:p>
            <w:pPr>
              <w:spacing w:after="0"/>
              <w:rPr>
                <w:sz w:val="1"/>
                <w:szCs w:val="1"/>
                <w:color w:val="auto"/>
              </w:rPr>
            </w:pPr>
          </w:p>
        </w:tc>
      </w:tr>
      <w:tr>
        <w:trPr>
          <w:trHeight w:val="211"/>
        </w:trPr>
        <w:tc>
          <w:tcPr>
            <w:tcW w:w="124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Mr. Simhambhatla</w:t>
            </w:r>
          </w:p>
        </w:tc>
        <w:tc>
          <w:tcPr>
            <w:tcW w:w="106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Annual Incentive</w:t>
            </w: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3"/>
                <w:szCs w:val="13"/>
                <w:color w:val="auto"/>
              </w:rPr>
              <w:t>151,233</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302,466</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453,699</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RSU</w:t>
            </w:r>
          </w:p>
        </w:tc>
        <w:tc>
          <w:tcPr>
            <w:tcW w:w="880" w:type="dxa"/>
            <w:vAlign w:val="bottom"/>
            <w:gridSpan w:val="2"/>
          </w:tcPr>
          <w:p>
            <w:pPr>
              <w:jc w:val="right"/>
              <w:ind w:right="11"/>
              <w:spacing w:after="0"/>
              <w:rPr>
                <w:sz w:val="20"/>
                <w:szCs w:val="20"/>
                <w:color w:val="auto"/>
              </w:rPr>
            </w:pPr>
            <w:r>
              <w:rPr>
                <w:rFonts w:ascii="Arial" w:cs="Arial" w:eastAsia="Arial" w:hAnsi="Arial"/>
                <w:sz w:val="13"/>
                <w:szCs w:val="13"/>
                <w:color w:val="auto"/>
              </w:rPr>
              <w:t>7/26/2022</w:t>
            </w:r>
          </w:p>
        </w:tc>
        <w:tc>
          <w:tcPr>
            <w:tcW w:w="800" w:type="dxa"/>
            <w:vAlign w:val="bottom"/>
          </w:tcPr>
          <w:p>
            <w:pPr>
              <w:jc w:val="right"/>
              <w:ind w:right="72"/>
              <w:spacing w:after="0"/>
              <w:rPr>
                <w:sz w:val="20"/>
                <w:szCs w:val="20"/>
                <w:color w:val="auto"/>
              </w:rPr>
            </w:pPr>
            <w:r>
              <w:rPr>
                <w:rFonts w:ascii="Arial" w:cs="Arial" w:eastAsia="Arial" w:hAnsi="Arial"/>
                <w:sz w:val="13"/>
                <w:szCs w:val="13"/>
                <w:color w:val="auto"/>
              </w:rPr>
              <w:t>7/26/2022</w:t>
            </w: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jc w:val="right"/>
              <w:ind w:right="70"/>
              <w:spacing w:after="0"/>
              <w:rPr>
                <w:sz w:val="20"/>
                <w:szCs w:val="20"/>
                <w:color w:val="auto"/>
              </w:rPr>
            </w:pPr>
            <w:r>
              <w:rPr>
                <w:rFonts w:ascii="Arial" w:cs="Arial" w:eastAsia="Arial" w:hAnsi="Arial"/>
                <w:sz w:val="13"/>
                <w:szCs w:val="13"/>
                <w:color w:val="auto"/>
              </w:rPr>
              <w:t>33,756</w:t>
            </w:r>
          </w:p>
        </w:tc>
        <w:tc>
          <w:tcPr>
            <w:tcW w:w="740" w:type="dxa"/>
            <w:vAlign w:val="bottom"/>
          </w:tcPr>
          <w:p>
            <w:pPr>
              <w:jc w:val="right"/>
              <w:spacing w:after="0"/>
              <w:rPr>
                <w:sz w:val="20"/>
                <w:szCs w:val="20"/>
                <w:color w:val="auto"/>
              </w:rPr>
            </w:pPr>
            <w:r>
              <w:rPr>
                <w:rFonts w:ascii="Arial" w:cs="Arial" w:eastAsia="Arial" w:hAnsi="Arial"/>
                <w:sz w:val="13"/>
                <w:szCs w:val="13"/>
                <w:color w:val="auto"/>
              </w:rPr>
              <w:t>4,999,939</w:t>
            </w: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RSU</w:t>
            </w:r>
          </w:p>
        </w:tc>
        <w:tc>
          <w:tcPr>
            <w:tcW w:w="880" w:type="dxa"/>
            <w:vAlign w:val="bottom"/>
            <w:gridSpan w:val="2"/>
          </w:tcPr>
          <w:p>
            <w:pPr>
              <w:jc w:val="right"/>
              <w:ind w:right="11"/>
              <w:spacing w:after="0"/>
              <w:rPr>
                <w:sz w:val="20"/>
                <w:szCs w:val="20"/>
                <w:color w:val="auto"/>
              </w:rPr>
            </w:pPr>
            <w:r>
              <w:rPr>
                <w:rFonts w:ascii="Arial" w:cs="Arial" w:eastAsia="Arial" w:hAnsi="Arial"/>
                <w:sz w:val="13"/>
                <w:szCs w:val="13"/>
                <w:color w:val="auto"/>
              </w:rPr>
              <w:t>7/26/2022</w:t>
            </w:r>
          </w:p>
        </w:tc>
        <w:tc>
          <w:tcPr>
            <w:tcW w:w="800" w:type="dxa"/>
            <w:vAlign w:val="bottom"/>
          </w:tcPr>
          <w:p>
            <w:pPr>
              <w:jc w:val="right"/>
              <w:ind w:right="72"/>
              <w:spacing w:after="0"/>
              <w:rPr>
                <w:sz w:val="20"/>
                <w:szCs w:val="20"/>
                <w:color w:val="auto"/>
              </w:rPr>
            </w:pPr>
            <w:r>
              <w:rPr>
                <w:rFonts w:ascii="Arial" w:cs="Arial" w:eastAsia="Arial" w:hAnsi="Arial"/>
                <w:sz w:val="13"/>
                <w:szCs w:val="13"/>
                <w:color w:val="auto"/>
              </w:rPr>
              <w:t>7/26/2022</w:t>
            </w: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jc w:val="right"/>
              <w:ind w:right="90"/>
              <w:spacing w:after="0"/>
              <w:rPr>
                <w:sz w:val="20"/>
                <w:szCs w:val="20"/>
                <w:color w:val="auto"/>
              </w:rPr>
            </w:pPr>
            <w:r>
              <w:rPr>
                <w:rFonts w:ascii="Arial" w:cs="Arial" w:eastAsia="Arial" w:hAnsi="Arial"/>
                <w:sz w:val="13"/>
                <w:szCs w:val="13"/>
                <w:color w:val="auto"/>
              </w:rPr>
              <w:t>1,519</w:t>
            </w:r>
          </w:p>
        </w:tc>
        <w:tc>
          <w:tcPr>
            <w:tcW w:w="740" w:type="dxa"/>
            <w:vAlign w:val="bottom"/>
          </w:tcPr>
          <w:p>
            <w:pPr>
              <w:jc w:val="right"/>
              <w:spacing w:after="0"/>
              <w:rPr>
                <w:sz w:val="20"/>
                <w:szCs w:val="20"/>
                <w:color w:val="auto"/>
              </w:rPr>
            </w:pPr>
            <w:r>
              <w:rPr>
                <w:rFonts w:ascii="Arial" w:cs="Arial" w:eastAsia="Arial" w:hAnsi="Arial"/>
                <w:sz w:val="13"/>
                <w:szCs w:val="13"/>
                <w:color w:val="auto"/>
              </w:rPr>
              <w:t>224,994</w:t>
            </w: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PSU</w:t>
            </w:r>
          </w:p>
        </w:tc>
        <w:tc>
          <w:tcPr>
            <w:tcW w:w="880" w:type="dxa"/>
            <w:vAlign w:val="bottom"/>
            <w:gridSpan w:val="2"/>
          </w:tcPr>
          <w:p>
            <w:pPr>
              <w:jc w:val="right"/>
              <w:ind w:right="11"/>
              <w:spacing w:after="0"/>
              <w:rPr>
                <w:sz w:val="20"/>
                <w:szCs w:val="20"/>
                <w:color w:val="auto"/>
              </w:rPr>
            </w:pPr>
            <w:r>
              <w:rPr>
                <w:rFonts w:ascii="Arial" w:cs="Arial" w:eastAsia="Arial" w:hAnsi="Arial"/>
                <w:sz w:val="13"/>
                <w:szCs w:val="13"/>
                <w:color w:val="auto"/>
              </w:rPr>
              <w:t>7/26/2022</w:t>
            </w:r>
          </w:p>
        </w:tc>
        <w:tc>
          <w:tcPr>
            <w:tcW w:w="800" w:type="dxa"/>
            <w:vAlign w:val="bottom"/>
          </w:tcPr>
          <w:p>
            <w:pPr>
              <w:jc w:val="right"/>
              <w:ind w:right="72"/>
              <w:spacing w:after="0"/>
              <w:rPr>
                <w:sz w:val="20"/>
                <w:szCs w:val="20"/>
                <w:color w:val="auto"/>
              </w:rPr>
            </w:pPr>
            <w:r>
              <w:rPr>
                <w:rFonts w:ascii="Arial" w:cs="Arial" w:eastAsia="Arial" w:hAnsi="Arial"/>
                <w:sz w:val="13"/>
                <w:szCs w:val="13"/>
                <w:color w:val="auto"/>
              </w:rPr>
              <w:t>7/26/2022</w:t>
            </w: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170"/>
              <w:spacing w:after="0"/>
              <w:rPr>
                <w:sz w:val="20"/>
                <w:szCs w:val="20"/>
                <w:color w:val="auto"/>
              </w:rPr>
            </w:pPr>
            <w:r>
              <w:rPr>
                <w:rFonts w:ascii="Arial" w:cs="Arial" w:eastAsia="Arial" w:hAnsi="Arial"/>
                <w:sz w:val="13"/>
                <w:szCs w:val="13"/>
                <w:color w:val="auto"/>
              </w:rPr>
              <w:t>759</w:t>
            </w:r>
          </w:p>
        </w:tc>
        <w:tc>
          <w:tcPr>
            <w:tcW w:w="540" w:type="dxa"/>
            <w:vAlign w:val="bottom"/>
          </w:tcPr>
          <w:p>
            <w:pPr>
              <w:jc w:val="right"/>
              <w:spacing w:after="0"/>
              <w:rPr>
                <w:sz w:val="20"/>
                <w:szCs w:val="20"/>
                <w:color w:val="auto"/>
              </w:rPr>
            </w:pPr>
            <w:r>
              <w:rPr>
                <w:rFonts w:ascii="Arial" w:cs="Arial" w:eastAsia="Arial" w:hAnsi="Arial"/>
                <w:sz w:val="13"/>
                <w:szCs w:val="13"/>
                <w:color w:val="auto"/>
              </w:rPr>
              <w:t>1,519</w:t>
            </w:r>
          </w:p>
        </w:tc>
        <w:tc>
          <w:tcPr>
            <w:tcW w:w="740" w:type="dxa"/>
            <w:vAlign w:val="bottom"/>
          </w:tcPr>
          <w:p>
            <w:pPr>
              <w:jc w:val="right"/>
              <w:ind w:right="91"/>
              <w:spacing w:after="0"/>
              <w:rPr>
                <w:sz w:val="20"/>
                <w:szCs w:val="20"/>
                <w:color w:val="auto"/>
              </w:rPr>
            </w:pPr>
            <w:r>
              <w:rPr>
                <w:rFonts w:ascii="Arial" w:cs="Arial" w:eastAsia="Arial" w:hAnsi="Arial"/>
                <w:sz w:val="13"/>
                <w:szCs w:val="13"/>
                <w:color w:val="auto"/>
              </w:rPr>
              <w:t>2,278</w:t>
            </w:r>
          </w:p>
        </w:tc>
        <w:tc>
          <w:tcPr>
            <w:tcW w:w="7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224,994</w:t>
            </w:r>
          </w:p>
        </w:tc>
        <w:tc>
          <w:tcPr>
            <w:tcW w:w="0" w:type="dxa"/>
            <w:vAlign w:val="bottom"/>
          </w:tcPr>
          <w:p>
            <w:pPr>
              <w:spacing w:after="0"/>
              <w:rPr>
                <w:sz w:val="1"/>
                <w:szCs w:val="1"/>
                <w:color w:val="auto"/>
              </w:rPr>
            </w:pPr>
          </w:p>
        </w:tc>
      </w:tr>
      <w:tr>
        <w:trPr>
          <w:trHeight w:val="39"/>
        </w:trPr>
        <w:tc>
          <w:tcPr>
            <w:tcW w:w="1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240" w:type="dxa"/>
            <w:vAlign w:val="bottom"/>
            <w:shd w:val="clear" w:color="auto" w:fill="CCCCCC"/>
          </w:tcPr>
          <w:p>
            <w:pPr>
              <w:ind w:left="100"/>
              <w:spacing w:after="0"/>
              <w:rPr>
                <w:sz w:val="20"/>
                <w:szCs w:val="20"/>
                <w:color w:val="auto"/>
              </w:rPr>
            </w:pPr>
            <w:r>
              <w:rPr>
                <w:rFonts w:ascii="Arial" w:cs="Arial" w:eastAsia="Arial" w:hAnsi="Arial"/>
                <w:sz w:val="13"/>
                <w:szCs w:val="13"/>
                <w:color w:val="auto"/>
              </w:rPr>
              <w:t>Ms. Martins</w:t>
            </w:r>
          </w:p>
        </w:tc>
        <w:tc>
          <w:tcPr>
            <w:tcW w:w="1060" w:type="dxa"/>
            <w:vAlign w:val="bottom"/>
            <w:shd w:val="clear" w:color="auto" w:fill="CCCCCC"/>
          </w:tcPr>
          <w:p>
            <w:pPr>
              <w:ind w:left="60"/>
              <w:spacing w:after="0"/>
              <w:rPr>
                <w:sz w:val="20"/>
                <w:szCs w:val="20"/>
                <w:color w:val="auto"/>
              </w:rPr>
            </w:pPr>
            <w:r>
              <w:rPr>
                <w:rFonts w:ascii="Arial" w:cs="Arial" w:eastAsia="Arial" w:hAnsi="Arial"/>
                <w:sz w:val="13"/>
                <w:szCs w:val="13"/>
                <w:color w:val="auto"/>
              </w:rPr>
              <w:t>Annual Incentive</w:t>
            </w:r>
          </w:p>
        </w:tc>
        <w:tc>
          <w:tcPr>
            <w:tcW w:w="40" w:type="dxa"/>
            <w:vAlign w:val="bottom"/>
            <w:shd w:val="clear" w:color="auto" w:fill="CCCCCC"/>
          </w:tcPr>
          <w:p>
            <w:pPr>
              <w:spacing w:after="0"/>
              <w:rPr>
                <w:sz w:val="18"/>
                <w:szCs w:val="18"/>
                <w:color w:val="auto"/>
              </w:rPr>
            </w:pPr>
          </w:p>
        </w:tc>
        <w:tc>
          <w:tcPr>
            <w:tcW w:w="840" w:type="dxa"/>
            <w:vAlign w:val="bottom"/>
            <w:shd w:val="clear" w:color="auto" w:fill="CCCCCC"/>
          </w:tcPr>
          <w:p>
            <w:pPr>
              <w:jc w:val="right"/>
              <w:ind w:right="11"/>
              <w:spacing w:after="0"/>
              <w:rPr>
                <w:sz w:val="20"/>
                <w:szCs w:val="20"/>
                <w:color w:val="auto"/>
              </w:rPr>
            </w:pPr>
            <w:r>
              <w:rPr>
                <w:rFonts w:ascii="Arial" w:cs="Arial" w:eastAsia="Arial" w:hAnsi="Arial"/>
                <w:sz w:val="13"/>
                <w:szCs w:val="13"/>
                <w:color w:val="auto"/>
              </w:rPr>
              <w:t>—</w:t>
            </w:r>
          </w:p>
        </w:tc>
        <w:tc>
          <w:tcPr>
            <w:tcW w:w="800" w:type="dxa"/>
            <w:vAlign w:val="bottom"/>
            <w:shd w:val="clear" w:color="auto" w:fill="CCCCCC"/>
          </w:tcPr>
          <w:p>
            <w:pPr>
              <w:jc w:val="right"/>
              <w:ind w:right="72"/>
              <w:spacing w:after="0"/>
              <w:rPr>
                <w:sz w:val="20"/>
                <w:szCs w:val="20"/>
                <w:color w:val="auto"/>
              </w:rPr>
            </w:pPr>
            <w:r>
              <w:rPr>
                <w:rFonts w:ascii="Arial" w:cs="Arial" w:eastAsia="Arial" w:hAnsi="Arial"/>
                <w:sz w:val="13"/>
                <w:szCs w:val="13"/>
                <w:color w:val="auto"/>
              </w:rPr>
              <w:t>—</w:t>
            </w:r>
          </w:p>
        </w:tc>
        <w:tc>
          <w:tcPr>
            <w:tcW w:w="760" w:type="dxa"/>
            <w:vAlign w:val="bottom"/>
            <w:shd w:val="clear" w:color="auto" w:fill="CCCCCC"/>
          </w:tcPr>
          <w:p>
            <w:pPr>
              <w:jc w:val="right"/>
              <w:ind w:right="50"/>
              <w:spacing w:after="0"/>
              <w:rPr>
                <w:sz w:val="20"/>
                <w:szCs w:val="20"/>
                <w:color w:val="auto"/>
              </w:rPr>
            </w:pPr>
            <w:r>
              <w:rPr>
                <w:rFonts w:ascii="Arial" w:cs="Arial" w:eastAsia="Arial" w:hAnsi="Arial"/>
                <w:sz w:val="13"/>
                <w:szCs w:val="13"/>
                <w:color w:val="auto"/>
              </w:rPr>
              <w:t>375,000</w:t>
            </w:r>
          </w:p>
        </w:tc>
        <w:tc>
          <w:tcPr>
            <w:tcW w:w="7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750,000</w:t>
            </w:r>
          </w:p>
        </w:tc>
        <w:tc>
          <w:tcPr>
            <w:tcW w:w="7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1,125,000</w:t>
            </w:r>
          </w:p>
        </w:tc>
        <w:tc>
          <w:tcPr>
            <w:tcW w:w="100" w:type="dxa"/>
            <w:vAlign w:val="bottom"/>
            <w:shd w:val="clear" w:color="auto" w:fill="CCCCCC"/>
          </w:tcPr>
          <w:p>
            <w:pPr>
              <w:spacing w:after="0"/>
              <w:rPr>
                <w:sz w:val="18"/>
                <w:szCs w:val="18"/>
                <w:color w:val="auto"/>
              </w:rPr>
            </w:pPr>
          </w:p>
        </w:tc>
        <w:tc>
          <w:tcPr>
            <w:tcW w:w="76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240" w:type="dxa"/>
            <w:vAlign w:val="bottom"/>
            <w:shd w:val="clear" w:color="auto" w:fill="CCCCCC"/>
          </w:tcPr>
          <w:p>
            <w:pPr>
              <w:spacing w:after="0"/>
              <w:rPr>
                <w:sz w:val="22"/>
                <w:szCs w:val="22"/>
                <w:color w:val="auto"/>
              </w:rPr>
            </w:pPr>
          </w:p>
        </w:tc>
        <w:tc>
          <w:tcPr>
            <w:tcW w:w="1060" w:type="dxa"/>
            <w:vAlign w:val="bottom"/>
            <w:shd w:val="clear" w:color="auto" w:fill="CCCCCC"/>
          </w:tcPr>
          <w:p>
            <w:pPr>
              <w:ind w:left="60"/>
              <w:spacing w:after="0"/>
              <w:rPr>
                <w:sz w:val="20"/>
                <w:szCs w:val="20"/>
                <w:color w:val="auto"/>
              </w:rPr>
            </w:pPr>
            <w:r>
              <w:rPr>
                <w:rFonts w:ascii="Arial" w:cs="Arial" w:eastAsia="Arial" w:hAnsi="Arial"/>
                <w:sz w:val="13"/>
                <w:szCs w:val="13"/>
                <w:color w:val="auto"/>
              </w:rPr>
              <w:t>RSU</w:t>
            </w:r>
          </w:p>
        </w:tc>
        <w:tc>
          <w:tcPr>
            <w:tcW w:w="880" w:type="dxa"/>
            <w:vAlign w:val="bottom"/>
            <w:gridSpan w:val="2"/>
            <w:shd w:val="clear" w:color="auto" w:fill="CCCCCC"/>
          </w:tcPr>
          <w:p>
            <w:pPr>
              <w:jc w:val="right"/>
              <w:ind w:right="11"/>
              <w:spacing w:after="0"/>
              <w:rPr>
                <w:sz w:val="20"/>
                <w:szCs w:val="20"/>
                <w:color w:val="auto"/>
              </w:rPr>
            </w:pPr>
            <w:r>
              <w:rPr>
                <w:rFonts w:ascii="Arial" w:cs="Arial" w:eastAsia="Arial" w:hAnsi="Arial"/>
                <w:sz w:val="13"/>
                <w:szCs w:val="13"/>
                <w:color w:val="auto"/>
              </w:rPr>
              <w:t>12/30/2022</w:t>
            </w:r>
          </w:p>
        </w:tc>
        <w:tc>
          <w:tcPr>
            <w:tcW w:w="800" w:type="dxa"/>
            <w:vAlign w:val="bottom"/>
            <w:shd w:val="clear" w:color="auto" w:fill="CCCCCC"/>
          </w:tcPr>
          <w:p>
            <w:pPr>
              <w:jc w:val="right"/>
              <w:ind w:right="72"/>
              <w:spacing w:after="0"/>
              <w:rPr>
                <w:sz w:val="20"/>
                <w:szCs w:val="20"/>
                <w:color w:val="auto"/>
              </w:rPr>
            </w:pPr>
            <w:r>
              <w:rPr>
                <w:rFonts w:ascii="Arial" w:cs="Arial" w:eastAsia="Arial" w:hAnsi="Arial"/>
                <w:sz w:val="13"/>
                <w:szCs w:val="13"/>
                <w:color w:val="auto"/>
              </w:rPr>
              <w:t>12/8/2022</w:t>
            </w:r>
          </w:p>
        </w:tc>
        <w:tc>
          <w:tcPr>
            <w:tcW w:w="760" w:type="dxa"/>
            <w:vAlign w:val="bottom"/>
            <w:shd w:val="clear" w:color="auto" w:fill="CCCCCC"/>
          </w:tcPr>
          <w:p>
            <w:pPr>
              <w:spacing w:after="0"/>
              <w:rPr>
                <w:sz w:val="22"/>
                <w:szCs w:val="22"/>
                <w:color w:val="auto"/>
              </w:rPr>
            </w:pPr>
          </w:p>
        </w:tc>
        <w:tc>
          <w:tcPr>
            <w:tcW w:w="70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100" w:type="dxa"/>
            <w:vAlign w:val="bottom"/>
            <w:shd w:val="clear" w:color="auto" w:fill="CCCCCC"/>
          </w:tcPr>
          <w:p>
            <w:pPr>
              <w:spacing w:after="0"/>
              <w:rPr>
                <w:sz w:val="22"/>
                <w:szCs w:val="22"/>
                <w:color w:val="auto"/>
              </w:rPr>
            </w:pPr>
          </w:p>
        </w:tc>
        <w:tc>
          <w:tcPr>
            <w:tcW w:w="760" w:type="dxa"/>
            <w:vAlign w:val="bottom"/>
            <w:shd w:val="clear" w:color="auto" w:fill="CCCCCC"/>
          </w:tcPr>
          <w:p>
            <w:pPr>
              <w:spacing w:after="0"/>
              <w:rPr>
                <w:sz w:val="22"/>
                <w:szCs w:val="22"/>
                <w:color w:val="auto"/>
              </w:rPr>
            </w:pPr>
          </w:p>
        </w:tc>
        <w:tc>
          <w:tcPr>
            <w:tcW w:w="54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780" w:type="dxa"/>
            <w:vAlign w:val="bottom"/>
            <w:shd w:val="clear" w:color="auto" w:fill="CCCCCC"/>
          </w:tcPr>
          <w:p>
            <w:pPr>
              <w:jc w:val="right"/>
              <w:ind w:right="90"/>
              <w:spacing w:after="0"/>
              <w:rPr>
                <w:sz w:val="20"/>
                <w:szCs w:val="20"/>
                <w:color w:val="auto"/>
              </w:rPr>
            </w:pPr>
            <w:r>
              <w:rPr>
                <w:rFonts w:ascii="Arial" w:cs="Arial" w:eastAsia="Arial" w:hAnsi="Arial"/>
                <w:sz w:val="13"/>
                <w:szCs w:val="13"/>
                <w:color w:val="auto"/>
              </w:rPr>
              <w:t>9,150</w:t>
            </w:r>
          </w:p>
        </w:tc>
        <w:tc>
          <w:tcPr>
            <w:tcW w:w="7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1,499,960</w:t>
            </w:r>
          </w:p>
        </w:tc>
        <w:tc>
          <w:tcPr>
            <w:tcW w:w="0" w:type="dxa"/>
            <w:vAlign w:val="bottom"/>
          </w:tcPr>
          <w:p>
            <w:pPr>
              <w:spacing w:after="0"/>
              <w:rPr>
                <w:sz w:val="1"/>
                <w:szCs w:val="1"/>
                <w:color w:val="auto"/>
              </w:rPr>
            </w:pPr>
          </w:p>
        </w:tc>
      </w:tr>
      <w:tr>
        <w:trPr>
          <w:trHeight w:val="257"/>
        </w:trPr>
        <w:tc>
          <w:tcPr>
            <w:tcW w:w="1240" w:type="dxa"/>
            <w:vAlign w:val="bottom"/>
            <w:shd w:val="clear" w:color="auto" w:fill="CCCCCC"/>
          </w:tcPr>
          <w:p>
            <w:pPr>
              <w:spacing w:after="0"/>
              <w:rPr>
                <w:sz w:val="22"/>
                <w:szCs w:val="22"/>
                <w:color w:val="auto"/>
              </w:rPr>
            </w:pPr>
          </w:p>
        </w:tc>
        <w:tc>
          <w:tcPr>
            <w:tcW w:w="1060" w:type="dxa"/>
            <w:vAlign w:val="bottom"/>
            <w:shd w:val="clear" w:color="auto" w:fill="CCCCCC"/>
          </w:tcPr>
          <w:p>
            <w:pPr>
              <w:ind w:left="60"/>
              <w:spacing w:after="0"/>
              <w:rPr>
                <w:sz w:val="20"/>
                <w:szCs w:val="20"/>
                <w:color w:val="auto"/>
              </w:rPr>
            </w:pPr>
            <w:r>
              <w:rPr>
                <w:rFonts w:ascii="Arial" w:cs="Arial" w:eastAsia="Arial" w:hAnsi="Arial"/>
                <w:sz w:val="13"/>
                <w:szCs w:val="13"/>
                <w:color w:val="auto"/>
              </w:rPr>
              <w:t>RSU</w:t>
            </w:r>
          </w:p>
        </w:tc>
        <w:tc>
          <w:tcPr>
            <w:tcW w:w="40" w:type="dxa"/>
            <w:vAlign w:val="bottom"/>
            <w:shd w:val="clear" w:color="auto" w:fill="CCCCCC"/>
          </w:tcPr>
          <w:p>
            <w:pPr>
              <w:spacing w:after="0"/>
              <w:rPr>
                <w:sz w:val="22"/>
                <w:szCs w:val="22"/>
                <w:color w:val="auto"/>
              </w:rPr>
            </w:pPr>
          </w:p>
        </w:tc>
        <w:tc>
          <w:tcPr>
            <w:tcW w:w="840" w:type="dxa"/>
            <w:vAlign w:val="bottom"/>
            <w:shd w:val="clear" w:color="auto" w:fill="CCCCCC"/>
          </w:tcPr>
          <w:p>
            <w:pPr>
              <w:jc w:val="right"/>
              <w:ind w:right="11"/>
              <w:spacing w:after="0"/>
              <w:rPr>
                <w:sz w:val="20"/>
                <w:szCs w:val="20"/>
                <w:color w:val="auto"/>
              </w:rPr>
            </w:pPr>
            <w:r>
              <w:rPr>
                <w:rFonts w:ascii="Arial" w:cs="Arial" w:eastAsia="Arial" w:hAnsi="Arial"/>
                <w:sz w:val="13"/>
                <w:szCs w:val="13"/>
                <w:color w:val="auto"/>
              </w:rPr>
              <w:t>3/9/2022</w:t>
            </w:r>
          </w:p>
        </w:tc>
        <w:tc>
          <w:tcPr>
            <w:tcW w:w="800" w:type="dxa"/>
            <w:vAlign w:val="bottom"/>
            <w:shd w:val="clear" w:color="auto" w:fill="CCCCCC"/>
          </w:tcPr>
          <w:p>
            <w:pPr>
              <w:jc w:val="right"/>
              <w:ind w:right="72"/>
              <w:spacing w:after="0"/>
              <w:rPr>
                <w:sz w:val="20"/>
                <w:szCs w:val="20"/>
                <w:color w:val="auto"/>
              </w:rPr>
            </w:pPr>
            <w:r>
              <w:rPr>
                <w:rFonts w:ascii="Arial" w:cs="Arial" w:eastAsia="Arial" w:hAnsi="Arial"/>
                <w:sz w:val="13"/>
                <w:szCs w:val="13"/>
                <w:color w:val="auto"/>
              </w:rPr>
              <w:t>3/9/2022</w:t>
            </w:r>
          </w:p>
        </w:tc>
        <w:tc>
          <w:tcPr>
            <w:tcW w:w="760" w:type="dxa"/>
            <w:vAlign w:val="bottom"/>
            <w:shd w:val="clear" w:color="auto" w:fill="CCCCCC"/>
          </w:tcPr>
          <w:p>
            <w:pPr>
              <w:spacing w:after="0"/>
              <w:rPr>
                <w:sz w:val="22"/>
                <w:szCs w:val="22"/>
                <w:color w:val="auto"/>
              </w:rPr>
            </w:pPr>
          </w:p>
        </w:tc>
        <w:tc>
          <w:tcPr>
            <w:tcW w:w="70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100" w:type="dxa"/>
            <w:vAlign w:val="bottom"/>
            <w:shd w:val="clear" w:color="auto" w:fill="CCCCCC"/>
          </w:tcPr>
          <w:p>
            <w:pPr>
              <w:spacing w:after="0"/>
              <w:rPr>
                <w:sz w:val="22"/>
                <w:szCs w:val="22"/>
                <w:color w:val="auto"/>
              </w:rPr>
            </w:pPr>
          </w:p>
        </w:tc>
        <w:tc>
          <w:tcPr>
            <w:tcW w:w="760" w:type="dxa"/>
            <w:vAlign w:val="bottom"/>
            <w:shd w:val="clear" w:color="auto" w:fill="CCCCCC"/>
          </w:tcPr>
          <w:p>
            <w:pPr>
              <w:spacing w:after="0"/>
              <w:rPr>
                <w:sz w:val="22"/>
                <w:szCs w:val="22"/>
                <w:color w:val="auto"/>
              </w:rPr>
            </w:pPr>
          </w:p>
        </w:tc>
        <w:tc>
          <w:tcPr>
            <w:tcW w:w="54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780" w:type="dxa"/>
            <w:vAlign w:val="bottom"/>
            <w:shd w:val="clear" w:color="auto" w:fill="CCCCCC"/>
          </w:tcPr>
          <w:p>
            <w:pPr>
              <w:jc w:val="right"/>
              <w:ind w:right="70"/>
              <w:spacing w:after="0"/>
              <w:rPr>
                <w:sz w:val="20"/>
                <w:szCs w:val="20"/>
                <w:color w:val="auto"/>
              </w:rPr>
            </w:pPr>
            <w:r>
              <w:rPr>
                <w:rFonts w:ascii="Arial" w:cs="Arial" w:eastAsia="Arial" w:hAnsi="Arial"/>
                <w:sz w:val="13"/>
                <w:szCs w:val="13"/>
                <w:color w:val="auto"/>
              </w:rPr>
              <w:t>2,311</w:t>
            </w:r>
          </w:p>
        </w:tc>
        <w:tc>
          <w:tcPr>
            <w:tcW w:w="7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450,044</w:t>
            </w:r>
          </w:p>
        </w:tc>
        <w:tc>
          <w:tcPr>
            <w:tcW w:w="0" w:type="dxa"/>
            <w:vAlign w:val="bottom"/>
          </w:tcPr>
          <w:p>
            <w:pPr>
              <w:spacing w:after="0"/>
              <w:rPr>
                <w:sz w:val="1"/>
                <w:szCs w:val="1"/>
                <w:color w:val="auto"/>
              </w:rPr>
            </w:pPr>
          </w:p>
        </w:tc>
      </w:tr>
      <w:tr>
        <w:trPr>
          <w:trHeight w:val="263"/>
        </w:trPr>
        <w:tc>
          <w:tcPr>
            <w:tcW w:w="1240" w:type="dxa"/>
            <w:vAlign w:val="bottom"/>
            <w:tcBorders>
              <w:bottom w:val="single" w:sz="8" w:color="auto"/>
            </w:tcBorders>
            <w:shd w:val="clear" w:color="auto" w:fill="CCCCCC"/>
          </w:tcPr>
          <w:p>
            <w:pPr>
              <w:spacing w:after="0"/>
              <w:rPr>
                <w:sz w:val="22"/>
                <w:szCs w:val="22"/>
                <w:color w:val="auto"/>
              </w:rPr>
            </w:pPr>
          </w:p>
        </w:tc>
        <w:tc>
          <w:tcPr>
            <w:tcW w:w="106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3"/>
                <w:szCs w:val="13"/>
                <w:color w:val="auto"/>
              </w:rPr>
              <w:t>PSU</w:t>
            </w:r>
          </w:p>
        </w:tc>
        <w:tc>
          <w:tcPr>
            <w:tcW w:w="40" w:type="dxa"/>
            <w:vAlign w:val="bottom"/>
            <w:tcBorders>
              <w:bottom w:val="single" w:sz="8" w:color="auto"/>
            </w:tcBorders>
            <w:shd w:val="clear" w:color="auto" w:fill="CCCCCC"/>
          </w:tcPr>
          <w:p>
            <w:pPr>
              <w:spacing w:after="0"/>
              <w:rPr>
                <w:sz w:val="22"/>
                <w:szCs w:val="22"/>
                <w:color w:val="auto"/>
              </w:rPr>
            </w:pPr>
          </w:p>
        </w:tc>
        <w:tc>
          <w:tcPr>
            <w:tcW w:w="840" w:type="dxa"/>
            <w:vAlign w:val="bottom"/>
            <w:tcBorders>
              <w:bottom w:val="single" w:sz="8" w:color="auto"/>
            </w:tcBorders>
            <w:shd w:val="clear" w:color="auto" w:fill="CCCCCC"/>
          </w:tcPr>
          <w:p>
            <w:pPr>
              <w:jc w:val="right"/>
              <w:ind w:right="11"/>
              <w:spacing w:after="0"/>
              <w:rPr>
                <w:sz w:val="20"/>
                <w:szCs w:val="20"/>
                <w:color w:val="auto"/>
              </w:rPr>
            </w:pPr>
            <w:r>
              <w:rPr>
                <w:rFonts w:ascii="Arial" w:cs="Arial" w:eastAsia="Arial" w:hAnsi="Arial"/>
                <w:sz w:val="13"/>
                <w:szCs w:val="13"/>
                <w:color w:val="auto"/>
              </w:rPr>
              <w:t>3/9/2022</w:t>
            </w:r>
          </w:p>
        </w:tc>
        <w:tc>
          <w:tcPr>
            <w:tcW w:w="800" w:type="dxa"/>
            <w:vAlign w:val="bottom"/>
            <w:tcBorders>
              <w:bottom w:val="single" w:sz="8" w:color="auto"/>
            </w:tcBorders>
            <w:shd w:val="clear" w:color="auto" w:fill="CCCCCC"/>
          </w:tcPr>
          <w:p>
            <w:pPr>
              <w:jc w:val="right"/>
              <w:ind w:right="72"/>
              <w:spacing w:after="0"/>
              <w:rPr>
                <w:sz w:val="20"/>
                <w:szCs w:val="20"/>
                <w:color w:val="auto"/>
              </w:rPr>
            </w:pPr>
            <w:r>
              <w:rPr>
                <w:rFonts w:ascii="Arial" w:cs="Arial" w:eastAsia="Arial" w:hAnsi="Arial"/>
                <w:sz w:val="13"/>
                <w:szCs w:val="13"/>
                <w:color w:val="auto"/>
              </w:rPr>
              <w:t>3/9/2022</w:t>
            </w:r>
          </w:p>
        </w:tc>
        <w:tc>
          <w:tcPr>
            <w:tcW w:w="760" w:type="dxa"/>
            <w:vAlign w:val="bottom"/>
            <w:tcBorders>
              <w:bottom w:val="single" w:sz="8" w:color="auto"/>
            </w:tcBorders>
            <w:shd w:val="clear" w:color="auto" w:fill="CCCCCC"/>
          </w:tcPr>
          <w:p>
            <w:pPr>
              <w:spacing w:after="0"/>
              <w:rPr>
                <w:sz w:val="22"/>
                <w:szCs w:val="22"/>
                <w:color w:val="auto"/>
              </w:rPr>
            </w:pPr>
          </w:p>
        </w:tc>
        <w:tc>
          <w:tcPr>
            <w:tcW w:w="700" w:type="dxa"/>
            <w:vAlign w:val="bottom"/>
            <w:tcBorders>
              <w:bottom w:val="single" w:sz="8" w:color="auto"/>
            </w:tcBorders>
            <w:shd w:val="clear" w:color="auto" w:fill="CCCCCC"/>
          </w:tcPr>
          <w:p>
            <w:pPr>
              <w:spacing w:after="0"/>
              <w:rPr>
                <w:sz w:val="22"/>
                <w:szCs w:val="22"/>
                <w:color w:val="auto"/>
              </w:rPr>
            </w:pPr>
          </w:p>
        </w:tc>
        <w:tc>
          <w:tcPr>
            <w:tcW w:w="740" w:type="dxa"/>
            <w:vAlign w:val="bottom"/>
            <w:tcBorders>
              <w:bottom w:val="single" w:sz="8" w:color="auto"/>
            </w:tcBorders>
            <w:shd w:val="clear" w:color="auto" w:fill="CCCCCC"/>
          </w:tcPr>
          <w:p>
            <w:pPr>
              <w:spacing w:after="0"/>
              <w:rPr>
                <w:sz w:val="22"/>
                <w:szCs w:val="22"/>
                <w:color w:val="auto"/>
              </w:rPr>
            </w:pPr>
          </w:p>
        </w:tc>
        <w:tc>
          <w:tcPr>
            <w:tcW w:w="100" w:type="dxa"/>
            <w:vAlign w:val="bottom"/>
            <w:tcBorders>
              <w:bottom w:val="single" w:sz="8" w:color="auto"/>
            </w:tcBorders>
            <w:shd w:val="clear" w:color="auto" w:fill="CCCCCC"/>
          </w:tcPr>
          <w:p>
            <w:pPr>
              <w:spacing w:after="0"/>
              <w:rPr>
                <w:sz w:val="22"/>
                <w:szCs w:val="22"/>
                <w:color w:val="auto"/>
              </w:rPr>
            </w:pPr>
          </w:p>
        </w:tc>
        <w:tc>
          <w:tcPr>
            <w:tcW w:w="760" w:type="dxa"/>
            <w:vAlign w:val="bottom"/>
            <w:tcBorders>
              <w:bottom w:val="single" w:sz="8" w:color="auto"/>
            </w:tcBorders>
            <w:shd w:val="clear" w:color="auto" w:fill="CCCCCC"/>
          </w:tcPr>
          <w:p>
            <w:pPr>
              <w:jc w:val="right"/>
              <w:ind w:right="170"/>
              <w:spacing w:after="0"/>
              <w:rPr>
                <w:sz w:val="20"/>
                <w:szCs w:val="20"/>
                <w:color w:val="auto"/>
              </w:rPr>
            </w:pPr>
            <w:r>
              <w:rPr>
                <w:rFonts w:ascii="Arial" w:cs="Arial" w:eastAsia="Arial" w:hAnsi="Arial"/>
                <w:sz w:val="13"/>
                <w:szCs w:val="13"/>
                <w:color w:val="auto"/>
              </w:rPr>
              <w:t>1,155</w:t>
            </w:r>
          </w:p>
        </w:tc>
        <w:tc>
          <w:tcPr>
            <w:tcW w:w="5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2,311</w:t>
            </w:r>
          </w:p>
        </w:tc>
        <w:tc>
          <w:tcPr>
            <w:tcW w:w="740" w:type="dxa"/>
            <w:vAlign w:val="bottom"/>
            <w:tcBorders>
              <w:bottom w:val="single" w:sz="8" w:color="auto"/>
            </w:tcBorders>
            <w:shd w:val="clear" w:color="auto" w:fill="CCCCCC"/>
          </w:tcPr>
          <w:p>
            <w:pPr>
              <w:jc w:val="right"/>
              <w:ind w:right="91"/>
              <w:spacing w:after="0"/>
              <w:rPr>
                <w:sz w:val="20"/>
                <w:szCs w:val="20"/>
                <w:color w:val="auto"/>
              </w:rPr>
            </w:pPr>
            <w:r>
              <w:rPr>
                <w:rFonts w:ascii="Arial" w:cs="Arial" w:eastAsia="Arial" w:hAnsi="Arial"/>
                <w:sz w:val="13"/>
                <w:szCs w:val="13"/>
                <w:color w:val="auto"/>
              </w:rPr>
              <w:t>3,466</w:t>
            </w:r>
          </w:p>
        </w:tc>
        <w:tc>
          <w:tcPr>
            <w:tcW w:w="780" w:type="dxa"/>
            <w:vAlign w:val="bottom"/>
            <w:tcBorders>
              <w:bottom w:val="single" w:sz="8" w:color="auto"/>
            </w:tcBorders>
            <w:shd w:val="clear" w:color="auto" w:fill="CCCCCC"/>
          </w:tcPr>
          <w:p>
            <w:pPr>
              <w:spacing w:after="0"/>
              <w:rPr>
                <w:sz w:val="22"/>
                <w:szCs w:val="22"/>
                <w:color w:val="auto"/>
              </w:rPr>
            </w:pPr>
          </w:p>
        </w:tc>
        <w:tc>
          <w:tcPr>
            <w:tcW w:w="7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450,044</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60" w:hanging="350"/>
        <w:spacing w:after="0" w:line="285" w:lineRule="auto"/>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Reflects pay opportunity under the 2022 AIP, which is discussed in the CD&amp;A. Amounts actually earned and paid for 2022 performance are reflected in the Summary Compensation Table.</w:t>
      </w:r>
    </w:p>
    <w:p>
      <w:pPr>
        <w:spacing w:after="0" w:line="22" w:lineRule="exact"/>
        <w:rPr>
          <w:rFonts w:ascii="Arial" w:cs="Arial" w:eastAsia="Arial" w:hAnsi="Arial"/>
          <w:sz w:val="14"/>
          <w:szCs w:val="14"/>
          <w:color w:val="auto"/>
        </w:rPr>
      </w:pPr>
    </w:p>
    <w:p>
      <w:pPr>
        <w:ind w:left="360" w:hanging="350"/>
        <w:spacing w:after="0" w:line="285" w:lineRule="auto"/>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awards of PSUs which are scheduled to vest in 2025, subject to both continued service through the vesting date and attainment of performance goals as described in the CD&amp;A under “2022 Long-Term Incentive Awards.”</w:t>
      </w:r>
    </w:p>
    <w:p>
      <w:pPr>
        <w:spacing w:after="0" w:line="9" w:lineRule="exact"/>
        <w:rPr>
          <w:rFonts w:ascii="Arial" w:cs="Arial" w:eastAsia="Arial" w:hAnsi="Arial"/>
          <w:sz w:val="14"/>
          <w:szCs w:val="14"/>
          <w:color w:val="auto"/>
        </w:rPr>
      </w:pPr>
    </w:p>
    <w:p>
      <w:pPr>
        <w:jc w:val="both"/>
        <w:ind w:left="360" w:hanging="350"/>
        <w:spacing w:after="0" w:line="250" w:lineRule="auto"/>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Messrs. Ferraro and Choi and Ms. Martins, RSUs awarded March 9, 2022 are scheduled to vest in equal installments on each of the first three anniversaries of the date of grant, and RSUs awarded December 30, 2022 are scheduled to vest in full on the third anniversary of the date of grant, both generally subject to continued service through each vesting date. For Mr. Hees, the RSU award of 10,270 vests on June 30, 2023, subject to continued service. For Mr. Simhambhatla, the 1,519 RSUs awarded July 26, 2022 are scheduled to vest in equal installments on each of the first three anniversaries of the date of grant, and the 33,756 RSUs awarded July 26, 2022 are scheduled to vest in equal installments on each of July 26, 2024 and July 26, 2026, both generally subject to continued service through each vesting date.</w:t>
      </w:r>
    </w:p>
    <w:p>
      <w:pPr>
        <w:spacing w:after="0" w:line="33" w:lineRule="exact"/>
        <w:rPr>
          <w:rFonts w:ascii="Arial" w:cs="Arial" w:eastAsia="Arial" w:hAnsi="Arial"/>
          <w:sz w:val="14"/>
          <w:szCs w:val="14"/>
          <w:color w:val="auto"/>
        </w:rPr>
      </w:pPr>
    </w:p>
    <w:p>
      <w:pPr>
        <w:ind w:left="360" w:right="20" w:hanging="350"/>
        <w:spacing w:after="0" w:line="285" w:lineRule="auto"/>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Assumptions used in the calculation of the grant date fair value of the awards are included in Note 18 to our audited financial statements for the fiscal year ended December 31, 2022, included in our 2022 Form 10-K.</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39" w:name="page40"/>
    <w:bookmarkEnd w:id="39"/>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25"/>
          <w:szCs w:val="25"/>
          <w:b w:val="1"/>
          <w:bCs w:val="1"/>
          <w:color w:val="auto"/>
        </w:rPr>
        <w:t>Outstanding Equity Awards at Fiscal Year-End Table</w:t>
      </w:r>
    </w:p>
    <w:p>
      <w:pPr>
        <w:spacing w:after="0" w:line="164" w:lineRule="exact"/>
        <w:rPr>
          <w:sz w:val="20"/>
          <w:szCs w:val="20"/>
          <w:color w:val="auto"/>
        </w:rPr>
      </w:pPr>
    </w:p>
    <w:p>
      <w:pPr>
        <w:ind w:left="600" w:right="600"/>
        <w:spacing w:after="0" w:line="271" w:lineRule="auto"/>
        <w:rPr>
          <w:sz w:val="20"/>
          <w:szCs w:val="20"/>
          <w:color w:val="auto"/>
        </w:rPr>
      </w:pPr>
      <w:r>
        <w:rPr>
          <w:rFonts w:ascii="Arial" w:cs="Arial" w:eastAsia="Arial" w:hAnsi="Arial"/>
          <w:sz w:val="18"/>
          <w:szCs w:val="18"/>
          <w:color w:val="auto"/>
        </w:rPr>
        <w:t>The following table reflects information regarding our outstanding stock awards at December 31, 2022. There were no stock options outstanding.</w:t>
      </w:r>
    </w:p>
    <w:p>
      <w:pPr>
        <w:spacing w:after="0" w:line="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80" w:type="dxa"/>
            <w:vAlign w:val="bottom"/>
          </w:tcPr>
          <w:p>
            <w:pPr>
              <w:jc w:val="right"/>
              <w:ind w:right="1073"/>
              <w:spacing w:after="0"/>
              <w:rPr>
                <w:sz w:val="20"/>
                <w:szCs w:val="20"/>
                <w:color w:val="auto"/>
              </w:rPr>
            </w:pPr>
            <w:r>
              <w:rPr>
                <w:rFonts w:ascii="Arial" w:cs="Arial" w:eastAsia="Arial" w:hAnsi="Arial"/>
                <w:sz w:val="14"/>
                <w:szCs w:val="14"/>
                <w:b w:val="1"/>
                <w:bCs w:val="1"/>
                <w:color w:val="auto"/>
              </w:rPr>
              <w:t>Stock Awards(a)</w:t>
            </w:r>
          </w:p>
        </w:tc>
        <w:tc>
          <w:tcPr>
            <w:tcW w:w="1340" w:type="dxa"/>
            <w:vAlign w:val="bottom"/>
          </w:tcPr>
          <w:p>
            <w:pPr>
              <w:spacing w:after="0"/>
              <w:rPr>
                <w:sz w:val="17"/>
                <w:szCs w:val="17"/>
                <w:color w:val="auto"/>
              </w:rPr>
            </w:pPr>
          </w:p>
        </w:tc>
      </w:tr>
      <w:tr>
        <w:trPr>
          <w:trHeight w:val="43"/>
        </w:trPr>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4"/>
        </w:trPr>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40" w:type="dxa"/>
            <w:vAlign w:val="bottom"/>
          </w:tcPr>
          <w:p>
            <w:pPr>
              <w:jc w:val="center"/>
              <w:ind w:left="393"/>
              <w:spacing w:after="0"/>
              <w:rPr>
                <w:sz w:val="20"/>
                <w:szCs w:val="20"/>
                <w:color w:val="auto"/>
              </w:rPr>
            </w:pPr>
            <w:r>
              <w:rPr>
                <w:rFonts w:ascii="Arial" w:cs="Arial" w:eastAsia="Arial" w:hAnsi="Arial"/>
                <w:sz w:val="14"/>
                <w:szCs w:val="14"/>
                <w:b w:val="1"/>
                <w:bCs w:val="1"/>
                <w:color w:val="auto"/>
              </w:rPr>
              <w:t>Equity</w:t>
            </w:r>
          </w:p>
        </w:tc>
      </w:tr>
      <w:tr>
        <w:trPr>
          <w:trHeight w:val="162"/>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80" w:type="dxa"/>
            <w:vAlign w:val="bottom"/>
          </w:tcPr>
          <w:p>
            <w:pPr>
              <w:jc w:val="center"/>
              <w:ind w:left="453"/>
              <w:spacing w:after="0"/>
              <w:rPr>
                <w:sz w:val="20"/>
                <w:szCs w:val="20"/>
                <w:color w:val="auto"/>
              </w:rPr>
            </w:pPr>
            <w:r>
              <w:rPr>
                <w:rFonts w:ascii="Arial" w:cs="Arial" w:eastAsia="Arial" w:hAnsi="Arial"/>
                <w:sz w:val="14"/>
                <w:szCs w:val="14"/>
                <w:b w:val="1"/>
                <w:bCs w:val="1"/>
                <w:color w:val="auto"/>
              </w:rPr>
              <w:t>Equity</w:t>
            </w:r>
          </w:p>
        </w:tc>
        <w:tc>
          <w:tcPr>
            <w:tcW w:w="1340" w:type="dxa"/>
            <w:vAlign w:val="bottom"/>
          </w:tcPr>
          <w:p>
            <w:pPr>
              <w:jc w:val="center"/>
              <w:ind w:left="373"/>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80" w:type="dxa"/>
            <w:vAlign w:val="bottom"/>
          </w:tcPr>
          <w:p>
            <w:pPr>
              <w:jc w:val="center"/>
              <w:ind w:left="433"/>
              <w:spacing w:after="0"/>
              <w:rPr>
                <w:sz w:val="20"/>
                <w:szCs w:val="20"/>
                <w:color w:val="auto"/>
              </w:rPr>
            </w:pPr>
            <w:r>
              <w:rPr>
                <w:rFonts w:ascii="Arial" w:cs="Arial" w:eastAsia="Arial" w:hAnsi="Arial"/>
                <w:sz w:val="14"/>
                <w:szCs w:val="14"/>
                <w:b w:val="1"/>
                <w:bCs w:val="1"/>
                <w:color w:val="auto"/>
              </w:rPr>
              <w:t>Incentive</w:t>
            </w:r>
          </w:p>
        </w:tc>
        <w:tc>
          <w:tcPr>
            <w:tcW w:w="1340" w:type="dxa"/>
            <w:vAlign w:val="bottom"/>
          </w:tcPr>
          <w:p>
            <w:pPr>
              <w:jc w:val="center"/>
              <w:ind w:left="373"/>
              <w:spacing w:after="0"/>
              <w:rPr>
                <w:sz w:val="20"/>
                <w:szCs w:val="20"/>
                <w:color w:val="auto"/>
              </w:rPr>
            </w:pPr>
            <w:r>
              <w:rPr>
                <w:rFonts w:ascii="Arial" w:cs="Arial" w:eastAsia="Arial" w:hAnsi="Arial"/>
                <w:sz w:val="14"/>
                <w:szCs w:val="14"/>
                <w:b w:val="1"/>
                <w:bCs w:val="1"/>
                <w:color w:val="auto"/>
              </w:rPr>
              <w:t>Plan</w:t>
            </w:r>
          </w:p>
        </w:tc>
      </w:tr>
      <w:tr>
        <w:trPr>
          <w:trHeight w:val="162"/>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80" w:type="dxa"/>
            <w:vAlign w:val="bottom"/>
          </w:tcPr>
          <w:p>
            <w:pPr>
              <w:jc w:val="center"/>
              <w:ind w:left="433"/>
              <w:spacing w:after="0"/>
              <w:rPr>
                <w:sz w:val="20"/>
                <w:szCs w:val="20"/>
                <w:color w:val="auto"/>
              </w:rPr>
            </w:pPr>
            <w:r>
              <w:rPr>
                <w:rFonts w:ascii="Arial" w:cs="Arial" w:eastAsia="Arial" w:hAnsi="Arial"/>
                <w:sz w:val="14"/>
                <w:szCs w:val="14"/>
                <w:b w:val="1"/>
                <w:bCs w:val="1"/>
                <w:color w:val="auto"/>
              </w:rPr>
              <w:t>Plan</w:t>
            </w:r>
          </w:p>
        </w:tc>
        <w:tc>
          <w:tcPr>
            <w:tcW w:w="1340" w:type="dxa"/>
            <w:vAlign w:val="bottom"/>
          </w:tcPr>
          <w:p>
            <w:pPr>
              <w:jc w:val="center"/>
              <w:ind w:left="393"/>
              <w:spacing w:after="0"/>
              <w:rPr>
                <w:sz w:val="20"/>
                <w:szCs w:val="20"/>
                <w:color w:val="auto"/>
              </w:rPr>
            </w:pPr>
            <w:r>
              <w:rPr>
                <w:rFonts w:ascii="Arial" w:cs="Arial" w:eastAsia="Arial" w:hAnsi="Arial"/>
                <w:sz w:val="14"/>
                <w:szCs w:val="14"/>
                <w:b w:val="1"/>
                <w:bCs w:val="1"/>
                <w:color w:val="auto"/>
              </w:rPr>
              <w:t>Awards:</w:t>
            </w:r>
          </w:p>
        </w:tc>
      </w:tr>
      <w:tr>
        <w:trPr>
          <w:trHeight w:val="162"/>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80" w:type="dxa"/>
            <w:vAlign w:val="bottom"/>
          </w:tcPr>
          <w:p>
            <w:pPr>
              <w:jc w:val="center"/>
              <w:ind w:left="433"/>
              <w:spacing w:after="0"/>
              <w:rPr>
                <w:sz w:val="20"/>
                <w:szCs w:val="20"/>
                <w:color w:val="auto"/>
              </w:rPr>
            </w:pPr>
            <w:r>
              <w:rPr>
                <w:rFonts w:ascii="Arial" w:cs="Arial" w:eastAsia="Arial" w:hAnsi="Arial"/>
                <w:sz w:val="14"/>
                <w:szCs w:val="14"/>
                <w:b w:val="1"/>
                <w:bCs w:val="1"/>
                <w:color w:val="auto"/>
              </w:rPr>
              <w:t>Awards:</w:t>
            </w:r>
          </w:p>
        </w:tc>
        <w:tc>
          <w:tcPr>
            <w:tcW w:w="1340" w:type="dxa"/>
            <w:vAlign w:val="bottom"/>
          </w:tcPr>
          <w:p>
            <w:pPr>
              <w:jc w:val="center"/>
              <w:ind w:left="373"/>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80" w:type="dxa"/>
            <w:vAlign w:val="bottom"/>
          </w:tcPr>
          <w:p>
            <w:pPr>
              <w:jc w:val="right"/>
              <w:ind w:right="533"/>
              <w:spacing w:after="0"/>
              <w:rPr>
                <w:sz w:val="20"/>
                <w:szCs w:val="20"/>
                <w:color w:val="auto"/>
              </w:rPr>
            </w:pPr>
            <w:r>
              <w:rPr>
                <w:rFonts w:ascii="Arial" w:cs="Arial" w:eastAsia="Arial" w:hAnsi="Arial"/>
                <w:sz w:val="14"/>
                <w:szCs w:val="14"/>
                <w:b w:val="1"/>
                <w:bCs w:val="1"/>
                <w:color w:val="auto"/>
              </w:rPr>
              <w:t>Number</w:t>
            </w:r>
          </w:p>
        </w:tc>
        <w:tc>
          <w:tcPr>
            <w:tcW w:w="1340" w:type="dxa"/>
            <w:vAlign w:val="bottom"/>
          </w:tcPr>
          <w:p>
            <w:pPr>
              <w:jc w:val="center"/>
              <w:ind w:left="393"/>
              <w:spacing w:after="0"/>
              <w:rPr>
                <w:sz w:val="20"/>
                <w:szCs w:val="20"/>
                <w:color w:val="auto"/>
              </w:rPr>
            </w:pPr>
            <w:r>
              <w:rPr>
                <w:rFonts w:ascii="Arial" w:cs="Arial" w:eastAsia="Arial" w:hAnsi="Arial"/>
                <w:sz w:val="14"/>
                <w:szCs w:val="14"/>
                <w:b w:val="1"/>
                <w:bCs w:val="1"/>
                <w:color w:val="auto"/>
              </w:rPr>
              <w:t>Payout</w:t>
            </w:r>
          </w:p>
        </w:tc>
      </w:tr>
      <w:tr>
        <w:trPr>
          <w:trHeight w:val="162"/>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200" w:type="dxa"/>
            <w:vAlign w:val="bottom"/>
          </w:tcPr>
          <w:p>
            <w:pPr>
              <w:jc w:val="right"/>
              <w:ind w:right="54"/>
              <w:spacing w:after="0"/>
              <w:rPr>
                <w:sz w:val="20"/>
                <w:szCs w:val="20"/>
                <w:color w:val="auto"/>
              </w:rPr>
            </w:pPr>
            <w:r>
              <w:rPr>
                <w:rFonts w:ascii="Arial" w:cs="Arial" w:eastAsia="Arial" w:hAnsi="Arial"/>
                <w:sz w:val="14"/>
                <w:szCs w:val="14"/>
                <w:b w:val="1"/>
                <w:bCs w:val="1"/>
                <w:color w:val="auto"/>
              </w:rPr>
              <w:t>Market</w:t>
            </w:r>
          </w:p>
        </w:tc>
        <w:tc>
          <w:tcPr>
            <w:tcW w:w="2280" w:type="dxa"/>
            <w:vAlign w:val="bottom"/>
          </w:tcPr>
          <w:p>
            <w:pPr>
              <w:jc w:val="center"/>
              <w:ind w:left="433"/>
              <w:spacing w:after="0"/>
              <w:rPr>
                <w:sz w:val="20"/>
                <w:szCs w:val="20"/>
                <w:color w:val="auto"/>
              </w:rPr>
            </w:pPr>
            <w:r>
              <w:rPr>
                <w:rFonts w:ascii="Arial" w:cs="Arial" w:eastAsia="Arial" w:hAnsi="Arial"/>
                <w:sz w:val="14"/>
                <w:szCs w:val="14"/>
                <w:b w:val="1"/>
                <w:bCs w:val="1"/>
                <w:color w:val="auto"/>
              </w:rPr>
              <w:t>of</w:t>
            </w:r>
          </w:p>
        </w:tc>
        <w:tc>
          <w:tcPr>
            <w:tcW w:w="1340" w:type="dxa"/>
            <w:vAlign w:val="bottom"/>
          </w:tcPr>
          <w:p>
            <w:pPr>
              <w:jc w:val="center"/>
              <w:ind w:left="373"/>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1200" w:type="dxa"/>
            <w:vAlign w:val="bottom"/>
          </w:tcPr>
          <w:p>
            <w:pPr>
              <w:jc w:val="center"/>
              <w:ind w:left="414"/>
              <w:spacing w:after="0"/>
              <w:rPr>
                <w:sz w:val="20"/>
                <w:szCs w:val="20"/>
                <w:color w:val="auto"/>
              </w:rPr>
            </w:pPr>
            <w:r>
              <w:rPr>
                <w:rFonts w:ascii="Arial" w:cs="Arial" w:eastAsia="Arial" w:hAnsi="Arial"/>
                <w:sz w:val="14"/>
                <w:szCs w:val="14"/>
                <w:b w:val="1"/>
                <w:bCs w:val="1"/>
                <w:color w:val="auto"/>
              </w:rPr>
              <w:t>Value of</w:t>
            </w:r>
          </w:p>
        </w:tc>
        <w:tc>
          <w:tcPr>
            <w:tcW w:w="2280" w:type="dxa"/>
            <w:vAlign w:val="bottom"/>
          </w:tcPr>
          <w:p>
            <w:pPr>
              <w:jc w:val="center"/>
              <w:ind w:left="433"/>
              <w:spacing w:after="0"/>
              <w:rPr>
                <w:sz w:val="20"/>
                <w:szCs w:val="20"/>
                <w:color w:val="auto"/>
              </w:rPr>
            </w:pPr>
            <w:r>
              <w:rPr>
                <w:rFonts w:ascii="Arial" w:cs="Arial" w:eastAsia="Arial" w:hAnsi="Arial"/>
                <w:sz w:val="14"/>
                <w:szCs w:val="14"/>
                <w:b w:val="1"/>
                <w:bCs w:val="1"/>
                <w:color w:val="auto"/>
              </w:rPr>
              <w:t>Unearned</w:t>
            </w:r>
          </w:p>
        </w:tc>
        <w:tc>
          <w:tcPr>
            <w:tcW w:w="1340" w:type="dxa"/>
            <w:vAlign w:val="bottom"/>
          </w:tcPr>
          <w:p>
            <w:pPr>
              <w:jc w:val="center"/>
              <w:ind w:left="373"/>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0" w:type="dxa"/>
            <w:vAlign w:val="bottom"/>
          </w:tcPr>
          <w:p>
            <w:pPr>
              <w:jc w:val="center"/>
              <w:ind w:left="474"/>
              <w:spacing w:after="0"/>
              <w:rPr>
                <w:sz w:val="20"/>
                <w:szCs w:val="20"/>
                <w:color w:val="auto"/>
              </w:rPr>
            </w:pPr>
            <w:r>
              <w:rPr>
                <w:rFonts w:ascii="Arial" w:cs="Arial" w:eastAsia="Arial" w:hAnsi="Arial"/>
                <w:sz w:val="14"/>
                <w:szCs w:val="14"/>
                <w:b w:val="1"/>
                <w:bCs w:val="1"/>
                <w:color w:val="auto"/>
              </w:rPr>
              <w:t>Shares or</w:t>
            </w:r>
          </w:p>
        </w:tc>
        <w:tc>
          <w:tcPr>
            <w:tcW w:w="2280" w:type="dxa"/>
            <w:vAlign w:val="bottom"/>
          </w:tcPr>
          <w:p>
            <w:pPr>
              <w:jc w:val="center"/>
              <w:ind w:left="453"/>
              <w:spacing w:after="0"/>
              <w:rPr>
                <w:sz w:val="20"/>
                <w:szCs w:val="20"/>
                <w:color w:val="auto"/>
              </w:rPr>
            </w:pPr>
            <w:r>
              <w:rPr>
                <w:rFonts w:ascii="Arial" w:cs="Arial" w:eastAsia="Arial" w:hAnsi="Arial"/>
                <w:sz w:val="14"/>
                <w:szCs w:val="14"/>
                <w:b w:val="1"/>
                <w:bCs w:val="1"/>
                <w:color w:val="auto"/>
              </w:rPr>
              <w:t>Shares,</w:t>
            </w:r>
          </w:p>
        </w:tc>
        <w:tc>
          <w:tcPr>
            <w:tcW w:w="1340" w:type="dxa"/>
            <w:vAlign w:val="bottom"/>
          </w:tcPr>
          <w:p>
            <w:pPr>
              <w:jc w:val="center"/>
              <w:ind w:left="393"/>
              <w:spacing w:after="0"/>
              <w:rPr>
                <w:sz w:val="20"/>
                <w:szCs w:val="20"/>
                <w:color w:val="auto"/>
              </w:rPr>
            </w:pPr>
            <w:r>
              <w:rPr>
                <w:rFonts w:ascii="Arial" w:cs="Arial" w:eastAsia="Arial" w:hAnsi="Arial"/>
                <w:sz w:val="14"/>
                <w:szCs w:val="14"/>
                <w:b w:val="1"/>
                <w:bCs w:val="1"/>
                <w:color w:val="auto"/>
              </w:rPr>
              <w:t>Shares,</w:t>
            </w:r>
          </w:p>
        </w:tc>
      </w:tr>
      <w:tr>
        <w:trPr>
          <w:trHeight w:val="162"/>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or Units</w:t>
            </w:r>
          </w:p>
        </w:tc>
        <w:tc>
          <w:tcPr>
            <w:tcW w:w="1200" w:type="dxa"/>
            <w:vAlign w:val="bottom"/>
          </w:tcPr>
          <w:p>
            <w:pPr>
              <w:jc w:val="center"/>
              <w:ind w:left="434"/>
              <w:spacing w:after="0"/>
              <w:rPr>
                <w:sz w:val="20"/>
                <w:szCs w:val="20"/>
                <w:color w:val="auto"/>
              </w:rPr>
            </w:pPr>
            <w:r>
              <w:rPr>
                <w:rFonts w:ascii="Arial" w:cs="Arial" w:eastAsia="Arial" w:hAnsi="Arial"/>
                <w:sz w:val="14"/>
                <w:szCs w:val="14"/>
                <w:b w:val="1"/>
                <w:bCs w:val="1"/>
                <w:color w:val="auto"/>
              </w:rPr>
              <w:t>Units of</w:t>
            </w:r>
          </w:p>
        </w:tc>
        <w:tc>
          <w:tcPr>
            <w:tcW w:w="2280" w:type="dxa"/>
            <w:vAlign w:val="bottom"/>
          </w:tcPr>
          <w:p>
            <w:pPr>
              <w:jc w:val="center"/>
              <w:ind w:left="433"/>
              <w:spacing w:after="0"/>
              <w:rPr>
                <w:sz w:val="20"/>
                <w:szCs w:val="20"/>
                <w:color w:val="auto"/>
              </w:rPr>
            </w:pPr>
            <w:r>
              <w:rPr>
                <w:rFonts w:ascii="Arial" w:cs="Arial" w:eastAsia="Arial" w:hAnsi="Arial"/>
                <w:sz w:val="14"/>
                <w:szCs w:val="14"/>
                <w:b w:val="1"/>
                <w:bCs w:val="1"/>
                <w:color w:val="auto"/>
              </w:rPr>
              <w:t>Units or</w:t>
            </w:r>
          </w:p>
        </w:tc>
        <w:tc>
          <w:tcPr>
            <w:tcW w:w="1340" w:type="dxa"/>
            <w:vAlign w:val="bottom"/>
          </w:tcPr>
          <w:p>
            <w:pPr>
              <w:jc w:val="center"/>
              <w:ind w:left="373"/>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Stock</w:t>
            </w:r>
          </w:p>
        </w:tc>
        <w:tc>
          <w:tcPr>
            <w:tcW w:w="1200" w:type="dxa"/>
            <w:vAlign w:val="bottom"/>
          </w:tcPr>
          <w:p>
            <w:pPr>
              <w:jc w:val="center"/>
              <w:ind w:left="414"/>
              <w:spacing w:after="0"/>
              <w:rPr>
                <w:sz w:val="20"/>
                <w:szCs w:val="20"/>
                <w:color w:val="auto"/>
              </w:rPr>
            </w:pPr>
            <w:r>
              <w:rPr>
                <w:rFonts w:ascii="Arial" w:cs="Arial" w:eastAsia="Arial" w:hAnsi="Arial"/>
                <w:sz w:val="14"/>
                <w:szCs w:val="14"/>
                <w:b w:val="1"/>
                <w:bCs w:val="1"/>
                <w:color w:val="auto"/>
              </w:rPr>
              <w:t>Stock</w:t>
            </w:r>
          </w:p>
        </w:tc>
        <w:tc>
          <w:tcPr>
            <w:tcW w:w="2280" w:type="dxa"/>
            <w:vAlign w:val="bottom"/>
          </w:tcPr>
          <w:p>
            <w:pPr>
              <w:jc w:val="center"/>
              <w:ind w:left="433"/>
              <w:spacing w:after="0"/>
              <w:rPr>
                <w:sz w:val="20"/>
                <w:szCs w:val="20"/>
                <w:color w:val="auto"/>
              </w:rPr>
            </w:pPr>
            <w:r>
              <w:rPr>
                <w:rFonts w:ascii="Arial" w:cs="Arial" w:eastAsia="Arial" w:hAnsi="Arial"/>
                <w:sz w:val="14"/>
                <w:szCs w:val="14"/>
                <w:b w:val="1"/>
                <w:bCs w:val="1"/>
                <w:color w:val="auto"/>
              </w:rPr>
              <w:t>Other</w:t>
            </w:r>
          </w:p>
        </w:tc>
        <w:tc>
          <w:tcPr>
            <w:tcW w:w="1340" w:type="dxa"/>
            <w:vAlign w:val="bottom"/>
          </w:tcPr>
          <w:p>
            <w:pPr>
              <w:jc w:val="center"/>
              <w:ind w:left="373"/>
              <w:spacing w:after="0"/>
              <w:rPr>
                <w:sz w:val="20"/>
                <w:szCs w:val="20"/>
                <w:color w:val="auto"/>
              </w:rPr>
            </w:pPr>
            <w:r>
              <w:rPr>
                <w:rFonts w:ascii="Arial" w:cs="Arial" w:eastAsia="Arial" w:hAnsi="Arial"/>
                <w:sz w:val="14"/>
                <w:szCs w:val="14"/>
                <w:b w:val="1"/>
                <w:bCs w:val="1"/>
                <w:color w:val="auto"/>
              </w:rPr>
              <w:t>Other</w:t>
            </w:r>
          </w:p>
        </w:tc>
      </w:tr>
      <w:tr>
        <w:trPr>
          <w:trHeight w:val="162"/>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1200" w:type="dxa"/>
            <w:vAlign w:val="bottom"/>
          </w:tcPr>
          <w:p>
            <w:pPr>
              <w:jc w:val="center"/>
              <w:ind w:left="474"/>
              <w:spacing w:after="0"/>
              <w:rPr>
                <w:sz w:val="20"/>
                <w:szCs w:val="20"/>
                <w:color w:val="auto"/>
              </w:rPr>
            </w:pPr>
            <w:r>
              <w:rPr>
                <w:rFonts w:ascii="Arial" w:cs="Arial" w:eastAsia="Arial" w:hAnsi="Arial"/>
                <w:sz w:val="14"/>
                <w:szCs w:val="14"/>
                <w:b w:val="1"/>
                <w:bCs w:val="1"/>
                <w:color w:val="auto"/>
              </w:rPr>
              <w:t>That</w:t>
            </w:r>
          </w:p>
        </w:tc>
        <w:tc>
          <w:tcPr>
            <w:tcW w:w="2280" w:type="dxa"/>
            <w:vAlign w:val="bottom"/>
          </w:tcPr>
          <w:p>
            <w:pPr>
              <w:jc w:val="center"/>
              <w:ind w:left="433"/>
              <w:spacing w:after="0"/>
              <w:rPr>
                <w:sz w:val="20"/>
                <w:szCs w:val="20"/>
                <w:color w:val="auto"/>
              </w:rPr>
            </w:pPr>
            <w:r>
              <w:rPr>
                <w:rFonts w:ascii="Arial" w:cs="Arial" w:eastAsia="Arial" w:hAnsi="Arial"/>
                <w:sz w:val="14"/>
                <w:szCs w:val="14"/>
                <w:b w:val="1"/>
                <w:bCs w:val="1"/>
                <w:color w:val="auto"/>
              </w:rPr>
              <w:t>Rights</w:t>
            </w:r>
          </w:p>
        </w:tc>
        <w:tc>
          <w:tcPr>
            <w:tcW w:w="1340" w:type="dxa"/>
            <w:vAlign w:val="bottom"/>
          </w:tcPr>
          <w:p>
            <w:pPr>
              <w:jc w:val="center"/>
              <w:ind w:left="373"/>
              <w:spacing w:after="0"/>
              <w:rPr>
                <w:sz w:val="20"/>
                <w:szCs w:val="20"/>
                <w:color w:val="auto"/>
              </w:rPr>
            </w:pPr>
            <w:r>
              <w:rPr>
                <w:rFonts w:ascii="Arial" w:cs="Arial" w:eastAsia="Arial" w:hAnsi="Arial"/>
                <w:sz w:val="14"/>
                <w:szCs w:val="14"/>
                <w:b w:val="1"/>
                <w:bCs w:val="1"/>
                <w:color w:val="auto"/>
              </w:rPr>
              <w:t>Rights</w:t>
            </w:r>
          </w:p>
        </w:tc>
      </w:tr>
      <w:tr>
        <w:trPr>
          <w:trHeight w:val="162"/>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Have</w:t>
            </w:r>
          </w:p>
        </w:tc>
        <w:tc>
          <w:tcPr>
            <w:tcW w:w="1200" w:type="dxa"/>
            <w:vAlign w:val="bottom"/>
          </w:tcPr>
          <w:p>
            <w:pPr>
              <w:jc w:val="center"/>
              <w:ind w:left="434"/>
              <w:spacing w:after="0"/>
              <w:rPr>
                <w:sz w:val="20"/>
                <w:szCs w:val="20"/>
                <w:color w:val="auto"/>
              </w:rPr>
            </w:pPr>
            <w:r>
              <w:rPr>
                <w:rFonts w:ascii="Arial" w:cs="Arial" w:eastAsia="Arial" w:hAnsi="Arial"/>
                <w:sz w:val="14"/>
                <w:szCs w:val="14"/>
                <w:b w:val="1"/>
                <w:bCs w:val="1"/>
                <w:color w:val="auto"/>
              </w:rPr>
              <w:t>Have</w:t>
            </w:r>
          </w:p>
        </w:tc>
        <w:tc>
          <w:tcPr>
            <w:tcW w:w="2280" w:type="dxa"/>
            <w:vAlign w:val="bottom"/>
          </w:tcPr>
          <w:p>
            <w:pPr>
              <w:jc w:val="center"/>
              <w:ind w:left="433"/>
              <w:spacing w:after="0"/>
              <w:rPr>
                <w:sz w:val="20"/>
                <w:szCs w:val="20"/>
                <w:color w:val="auto"/>
              </w:rPr>
            </w:pPr>
            <w:r>
              <w:rPr>
                <w:rFonts w:ascii="Arial" w:cs="Arial" w:eastAsia="Arial" w:hAnsi="Arial"/>
                <w:sz w:val="14"/>
                <w:szCs w:val="14"/>
                <w:b w:val="1"/>
                <w:bCs w:val="1"/>
                <w:color w:val="auto"/>
              </w:rPr>
              <w:t>That</w:t>
            </w:r>
          </w:p>
        </w:tc>
        <w:tc>
          <w:tcPr>
            <w:tcW w:w="1340" w:type="dxa"/>
            <w:vAlign w:val="bottom"/>
          </w:tcPr>
          <w:p>
            <w:pPr>
              <w:jc w:val="center"/>
              <w:ind w:left="373"/>
              <w:spacing w:after="0"/>
              <w:rPr>
                <w:sz w:val="20"/>
                <w:szCs w:val="20"/>
                <w:color w:val="auto"/>
              </w:rPr>
            </w:pPr>
            <w:r>
              <w:rPr>
                <w:rFonts w:ascii="Arial" w:cs="Arial" w:eastAsia="Arial" w:hAnsi="Arial"/>
                <w:sz w:val="14"/>
                <w:szCs w:val="14"/>
                <w:b w:val="1"/>
                <w:bCs w:val="1"/>
                <w:color w:val="auto"/>
              </w:rPr>
              <w:t>That Have</w:t>
            </w:r>
          </w:p>
        </w:tc>
      </w:tr>
      <w:tr>
        <w:trPr>
          <w:trHeight w:val="162"/>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1200" w:type="dxa"/>
            <w:vAlign w:val="bottom"/>
          </w:tcPr>
          <w:p>
            <w:pPr>
              <w:jc w:val="center"/>
              <w:ind w:left="414"/>
              <w:spacing w:after="0"/>
              <w:rPr>
                <w:sz w:val="20"/>
                <w:szCs w:val="20"/>
                <w:color w:val="auto"/>
              </w:rPr>
            </w:pPr>
            <w:r>
              <w:rPr>
                <w:rFonts w:ascii="Arial" w:cs="Arial" w:eastAsia="Arial" w:hAnsi="Arial"/>
                <w:sz w:val="14"/>
                <w:szCs w:val="14"/>
                <w:b w:val="1"/>
                <w:bCs w:val="1"/>
                <w:color w:val="auto"/>
              </w:rPr>
              <w:t>Not</w:t>
            </w:r>
          </w:p>
        </w:tc>
        <w:tc>
          <w:tcPr>
            <w:tcW w:w="2280" w:type="dxa"/>
            <w:vAlign w:val="bottom"/>
          </w:tcPr>
          <w:p>
            <w:pPr>
              <w:jc w:val="center"/>
              <w:ind w:left="433"/>
              <w:spacing w:after="0"/>
              <w:rPr>
                <w:sz w:val="20"/>
                <w:szCs w:val="20"/>
                <w:color w:val="auto"/>
              </w:rPr>
            </w:pPr>
            <w:r>
              <w:rPr>
                <w:rFonts w:ascii="Arial" w:cs="Arial" w:eastAsia="Arial" w:hAnsi="Arial"/>
                <w:sz w:val="14"/>
                <w:szCs w:val="14"/>
                <w:b w:val="1"/>
                <w:bCs w:val="1"/>
                <w:color w:val="auto"/>
              </w:rPr>
              <w:t>Have Not</w:t>
            </w:r>
          </w:p>
        </w:tc>
        <w:tc>
          <w:tcPr>
            <w:tcW w:w="1340" w:type="dxa"/>
            <w:vAlign w:val="bottom"/>
          </w:tcPr>
          <w:p>
            <w:pPr>
              <w:jc w:val="right"/>
              <w:ind w:right="233"/>
              <w:spacing w:after="0"/>
              <w:rPr>
                <w:sz w:val="20"/>
                <w:szCs w:val="20"/>
                <w:color w:val="auto"/>
              </w:rPr>
            </w:pPr>
            <w:r>
              <w:rPr>
                <w:rFonts w:ascii="Arial" w:cs="Arial" w:eastAsia="Arial" w:hAnsi="Arial"/>
                <w:sz w:val="14"/>
                <w:szCs w:val="14"/>
                <w:b w:val="1"/>
                <w:bCs w:val="1"/>
                <w:color w:val="auto"/>
              </w:rPr>
              <w:t>Not</w:t>
            </w:r>
          </w:p>
        </w:tc>
      </w:tr>
      <w:tr>
        <w:trPr>
          <w:trHeight w:val="162"/>
        </w:trPr>
        <w:tc>
          <w:tcPr>
            <w:tcW w:w="1620" w:type="dxa"/>
            <w:vAlign w:val="bottom"/>
          </w:tcPr>
          <w:p>
            <w:pPr>
              <w:spacing w:after="0"/>
              <w:rPr>
                <w:sz w:val="14"/>
                <w:szCs w:val="14"/>
                <w:color w:val="auto"/>
              </w:rPr>
            </w:pPr>
          </w:p>
        </w:tc>
        <w:tc>
          <w:tcPr>
            <w:tcW w:w="1140" w:type="dxa"/>
            <w:vAlign w:val="bottom"/>
          </w:tcPr>
          <w:p>
            <w:pPr>
              <w:jc w:val="right"/>
              <w:ind w:right="76"/>
              <w:spacing w:after="0"/>
              <w:rPr>
                <w:sz w:val="20"/>
                <w:szCs w:val="20"/>
                <w:color w:val="auto"/>
              </w:rPr>
            </w:pPr>
            <w:r>
              <w:rPr>
                <w:rFonts w:ascii="Arial" w:cs="Arial" w:eastAsia="Arial" w:hAnsi="Arial"/>
                <w:sz w:val="14"/>
                <w:szCs w:val="14"/>
                <w:b w:val="1"/>
                <w:bCs w:val="1"/>
                <w:color w:val="auto"/>
              </w:rPr>
              <w:t>Grant</w:t>
            </w:r>
          </w:p>
        </w:tc>
        <w:tc>
          <w:tcPr>
            <w:tcW w:w="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1200" w:type="dxa"/>
            <w:vAlign w:val="bottom"/>
          </w:tcPr>
          <w:p>
            <w:pPr>
              <w:jc w:val="center"/>
              <w:ind w:left="434"/>
              <w:spacing w:after="0"/>
              <w:rPr>
                <w:sz w:val="20"/>
                <w:szCs w:val="20"/>
                <w:color w:val="auto"/>
              </w:rPr>
            </w:pPr>
            <w:r>
              <w:rPr>
                <w:rFonts w:ascii="Arial" w:cs="Arial" w:eastAsia="Arial" w:hAnsi="Arial"/>
                <w:sz w:val="14"/>
                <w:szCs w:val="14"/>
                <w:b w:val="1"/>
                <w:bCs w:val="1"/>
                <w:color w:val="auto"/>
              </w:rPr>
              <w:t>Vested</w:t>
            </w:r>
          </w:p>
        </w:tc>
        <w:tc>
          <w:tcPr>
            <w:tcW w:w="2280" w:type="dxa"/>
            <w:vAlign w:val="bottom"/>
          </w:tcPr>
          <w:p>
            <w:pPr>
              <w:jc w:val="center"/>
              <w:ind w:left="433"/>
              <w:spacing w:after="0"/>
              <w:rPr>
                <w:sz w:val="20"/>
                <w:szCs w:val="20"/>
                <w:color w:val="auto"/>
              </w:rPr>
            </w:pPr>
            <w:r>
              <w:rPr>
                <w:rFonts w:ascii="Arial" w:cs="Arial" w:eastAsia="Arial" w:hAnsi="Arial"/>
                <w:sz w:val="14"/>
                <w:szCs w:val="14"/>
                <w:b w:val="1"/>
                <w:bCs w:val="1"/>
                <w:color w:val="auto"/>
              </w:rPr>
              <w:t>Vested</w:t>
            </w:r>
          </w:p>
        </w:tc>
        <w:tc>
          <w:tcPr>
            <w:tcW w:w="1340" w:type="dxa"/>
            <w:vAlign w:val="bottom"/>
          </w:tcPr>
          <w:p>
            <w:pPr>
              <w:jc w:val="center"/>
              <w:ind w:left="373"/>
              <w:spacing w:after="0"/>
              <w:rPr>
                <w:sz w:val="20"/>
                <w:szCs w:val="20"/>
                <w:color w:val="auto"/>
              </w:rPr>
            </w:pPr>
            <w:r>
              <w:rPr>
                <w:rFonts w:ascii="Arial" w:cs="Arial" w:eastAsia="Arial" w:hAnsi="Arial"/>
                <w:sz w:val="14"/>
                <w:szCs w:val="14"/>
                <w:b w:val="1"/>
                <w:bCs w:val="1"/>
                <w:color w:val="auto"/>
              </w:rPr>
              <w:t>Vested</w:t>
            </w:r>
          </w:p>
        </w:tc>
      </w:tr>
      <w:tr>
        <w:trPr>
          <w:trHeight w:val="196"/>
        </w:trPr>
        <w:tc>
          <w:tcPr>
            <w:tcW w:w="162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right"/>
              <w:ind w:right="96"/>
              <w:spacing w:after="0"/>
              <w:rPr>
                <w:sz w:val="20"/>
                <w:szCs w:val="20"/>
                <w:color w:val="auto"/>
              </w:rPr>
            </w:pPr>
            <w:r>
              <w:rPr>
                <w:rFonts w:ascii="Arial" w:cs="Arial" w:eastAsia="Arial" w:hAnsi="Arial"/>
                <w:sz w:val="14"/>
                <w:szCs w:val="14"/>
                <w:b w:val="1"/>
                <w:bCs w:val="1"/>
                <w:color w:val="auto"/>
              </w:rPr>
              <w:t>Date</w:t>
            </w:r>
          </w:p>
        </w:tc>
        <w:tc>
          <w:tcPr>
            <w:tcW w:w="226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left="474"/>
              <w:spacing w:after="0"/>
              <w:rPr>
                <w:sz w:val="20"/>
                <w:szCs w:val="20"/>
                <w:color w:val="auto"/>
              </w:rPr>
            </w:pPr>
            <w:r>
              <w:rPr>
                <w:rFonts w:ascii="Arial" w:cs="Arial" w:eastAsia="Arial" w:hAnsi="Arial"/>
                <w:sz w:val="14"/>
                <w:szCs w:val="14"/>
                <w:b w:val="1"/>
                <w:bCs w:val="1"/>
                <w:color w:val="auto"/>
              </w:rPr>
              <w:t>($)</w:t>
            </w:r>
          </w:p>
        </w:tc>
        <w:tc>
          <w:tcPr>
            <w:tcW w:w="2280" w:type="dxa"/>
            <w:vAlign w:val="bottom"/>
          </w:tcPr>
          <w:p>
            <w:pPr>
              <w:jc w:val="center"/>
              <w:ind w:left="473"/>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center"/>
              <w:ind w:left="413"/>
              <w:spacing w:after="0"/>
              <w:rPr>
                <w:sz w:val="20"/>
                <w:szCs w:val="20"/>
                <w:color w:val="auto"/>
              </w:rPr>
            </w:pPr>
            <w:r>
              <w:rPr>
                <w:rFonts w:ascii="Arial" w:cs="Arial" w:eastAsia="Arial" w:hAnsi="Arial"/>
                <w:sz w:val="14"/>
                <w:szCs w:val="14"/>
                <w:b w:val="1"/>
                <w:bCs w:val="1"/>
                <w:color w:val="auto"/>
              </w:rPr>
              <w:t>($)</w:t>
            </w:r>
          </w:p>
        </w:tc>
      </w:tr>
      <w:tr>
        <w:trPr>
          <w:trHeight w:val="43"/>
        </w:trPr>
        <w:tc>
          <w:tcPr>
            <w:tcW w:w="16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1620" w:type="dxa"/>
            <w:vAlign w:val="bottom"/>
            <w:shd w:val="clear" w:color="auto" w:fill="CCCCCC"/>
          </w:tcPr>
          <w:p>
            <w:pPr>
              <w:ind w:left="80"/>
              <w:spacing w:after="0"/>
              <w:rPr>
                <w:sz w:val="20"/>
                <w:szCs w:val="20"/>
                <w:color w:val="auto"/>
              </w:rPr>
            </w:pPr>
            <w:r>
              <w:rPr>
                <w:rFonts w:ascii="Arial" w:cs="Arial" w:eastAsia="Arial" w:hAnsi="Arial"/>
                <w:sz w:val="13"/>
                <w:szCs w:val="13"/>
                <w:color w:val="auto"/>
              </w:rPr>
              <w:t>Mr. Ferraro</w:t>
            </w:r>
          </w:p>
        </w:tc>
        <w:tc>
          <w:tcPr>
            <w:tcW w:w="11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12/30/2022</w:t>
            </w:r>
          </w:p>
        </w:tc>
        <w:tc>
          <w:tcPr>
            <w:tcW w:w="540" w:type="dxa"/>
            <w:vAlign w:val="bottom"/>
            <w:shd w:val="clear" w:color="auto" w:fill="CCCCCC"/>
          </w:tcPr>
          <w:p>
            <w:pPr>
              <w:spacing w:after="0"/>
              <w:rPr>
                <w:sz w:val="18"/>
                <w:szCs w:val="18"/>
                <w:color w:val="auto"/>
              </w:rPr>
            </w:pPr>
          </w:p>
        </w:tc>
        <w:tc>
          <w:tcPr>
            <w:tcW w:w="1720" w:type="dxa"/>
            <w:vAlign w:val="bottom"/>
            <w:shd w:val="clear" w:color="auto" w:fill="CCCCCC"/>
          </w:tcPr>
          <w:p>
            <w:pPr>
              <w:jc w:val="right"/>
              <w:ind w:right="474"/>
              <w:spacing w:after="0"/>
              <w:rPr>
                <w:sz w:val="20"/>
                <w:szCs w:val="20"/>
                <w:color w:val="auto"/>
              </w:rPr>
            </w:pPr>
            <w:r>
              <w:rPr>
                <w:rFonts w:ascii="Arial" w:cs="Arial" w:eastAsia="Arial" w:hAnsi="Arial"/>
                <w:sz w:val="13"/>
                <w:szCs w:val="13"/>
                <w:color w:val="auto"/>
              </w:rPr>
              <w:t>18,300(b)</w:t>
            </w:r>
          </w:p>
        </w:tc>
        <w:tc>
          <w:tcPr>
            <w:tcW w:w="1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2,999,919</w:t>
            </w:r>
          </w:p>
        </w:tc>
        <w:tc>
          <w:tcPr>
            <w:tcW w:w="2280" w:type="dxa"/>
            <w:vAlign w:val="bottom"/>
            <w:shd w:val="clear" w:color="auto" w:fill="CCCCCC"/>
          </w:tcPr>
          <w:p>
            <w:pPr>
              <w:jc w:val="right"/>
              <w:ind w:right="593"/>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CCCC"/>
          </w:tcPr>
          <w:p>
            <w:pPr>
              <w:jc w:val="right"/>
              <w:ind w:right="53"/>
              <w:spacing w:after="0"/>
              <w:rPr>
                <w:sz w:val="20"/>
                <w:szCs w:val="20"/>
                <w:color w:val="auto"/>
              </w:rPr>
            </w:pPr>
            <w:r>
              <w:rPr>
                <w:rFonts w:ascii="Arial" w:cs="Arial" w:eastAsia="Arial" w:hAnsi="Arial"/>
                <w:sz w:val="13"/>
                <w:szCs w:val="13"/>
                <w:color w:val="auto"/>
              </w:rPr>
              <w:t>—</w:t>
            </w:r>
          </w:p>
        </w:tc>
      </w:tr>
      <w:tr>
        <w:trPr>
          <w:trHeight w:val="270"/>
        </w:trPr>
        <w:tc>
          <w:tcPr>
            <w:tcW w:w="1620" w:type="dxa"/>
            <w:vAlign w:val="bottom"/>
            <w:shd w:val="clear" w:color="auto" w:fill="CCCCCC"/>
          </w:tcPr>
          <w:p>
            <w:pPr>
              <w:spacing w:after="0"/>
              <w:rPr>
                <w:sz w:val="23"/>
                <w:szCs w:val="23"/>
                <w:color w:val="auto"/>
              </w:rPr>
            </w:pPr>
          </w:p>
        </w:tc>
        <w:tc>
          <w:tcPr>
            <w:tcW w:w="11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3/9/2022</w:t>
            </w:r>
          </w:p>
        </w:tc>
        <w:tc>
          <w:tcPr>
            <w:tcW w:w="540" w:type="dxa"/>
            <w:vAlign w:val="bottom"/>
            <w:shd w:val="clear" w:color="auto" w:fill="CCCCCC"/>
          </w:tcPr>
          <w:p>
            <w:pPr>
              <w:spacing w:after="0"/>
              <w:rPr>
                <w:sz w:val="23"/>
                <w:szCs w:val="23"/>
                <w:color w:val="auto"/>
              </w:rPr>
            </w:pPr>
          </w:p>
        </w:tc>
        <w:tc>
          <w:tcPr>
            <w:tcW w:w="1720" w:type="dxa"/>
            <w:vAlign w:val="bottom"/>
            <w:shd w:val="clear" w:color="auto" w:fill="CCCCCC"/>
          </w:tcPr>
          <w:p>
            <w:pPr>
              <w:jc w:val="right"/>
              <w:ind w:right="474"/>
              <w:spacing w:after="0"/>
              <w:rPr>
                <w:sz w:val="20"/>
                <w:szCs w:val="20"/>
                <w:color w:val="auto"/>
              </w:rPr>
            </w:pPr>
            <w:r>
              <w:rPr>
                <w:rFonts w:ascii="Arial" w:cs="Arial" w:eastAsia="Arial" w:hAnsi="Arial"/>
                <w:sz w:val="13"/>
                <w:szCs w:val="13"/>
                <w:color w:val="auto"/>
              </w:rPr>
              <w:t>13,351(c)</w:t>
            </w:r>
          </w:p>
        </w:tc>
        <w:tc>
          <w:tcPr>
            <w:tcW w:w="1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2,188,629</w:t>
            </w:r>
          </w:p>
        </w:tc>
        <w:tc>
          <w:tcPr>
            <w:tcW w:w="2280" w:type="dxa"/>
            <w:vAlign w:val="bottom"/>
            <w:shd w:val="clear" w:color="auto" w:fill="CCCCCC"/>
          </w:tcPr>
          <w:p>
            <w:pPr>
              <w:jc w:val="right"/>
              <w:ind w:right="513"/>
              <w:spacing w:after="0"/>
              <w:rPr>
                <w:sz w:val="20"/>
                <w:szCs w:val="20"/>
                <w:color w:val="auto"/>
              </w:rPr>
            </w:pPr>
            <w:r>
              <w:rPr>
                <w:rFonts w:ascii="Arial" w:cs="Arial" w:eastAsia="Arial" w:hAnsi="Arial"/>
                <w:sz w:val="13"/>
                <w:szCs w:val="13"/>
                <w:color w:val="auto"/>
              </w:rPr>
              <w:t>13,351(i)</w:t>
            </w:r>
          </w:p>
        </w:tc>
        <w:tc>
          <w:tcPr>
            <w:tcW w:w="1340" w:type="dxa"/>
            <w:vAlign w:val="bottom"/>
            <w:shd w:val="clear" w:color="auto" w:fill="CCCCCC"/>
          </w:tcPr>
          <w:p>
            <w:pPr>
              <w:jc w:val="right"/>
              <w:ind w:right="53"/>
              <w:spacing w:after="0"/>
              <w:rPr>
                <w:sz w:val="20"/>
                <w:szCs w:val="20"/>
                <w:color w:val="auto"/>
              </w:rPr>
            </w:pPr>
            <w:r>
              <w:rPr>
                <w:rFonts w:ascii="Arial" w:cs="Arial" w:eastAsia="Arial" w:hAnsi="Arial"/>
                <w:sz w:val="13"/>
                <w:szCs w:val="13"/>
                <w:color w:val="auto"/>
              </w:rPr>
              <w:t>2,188,629</w:t>
            </w:r>
          </w:p>
        </w:tc>
      </w:tr>
      <w:tr>
        <w:trPr>
          <w:trHeight w:val="270"/>
        </w:trPr>
        <w:tc>
          <w:tcPr>
            <w:tcW w:w="1620" w:type="dxa"/>
            <w:vAlign w:val="bottom"/>
            <w:shd w:val="clear" w:color="auto" w:fill="CCCCCC"/>
          </w:tcPr>
          <w:p>
            <w:pPr>
              <w:spacing w:after="0"/>
              <w:rPr>
                <w:sz w:val="23"/>
                <w:szCs w:val="23"/>
                <w:color w:val="auto"/>
              </w:rPr>
            </w:pPr>
          </w:p>
        </w:tc>
        <w:tc>
          <w:tcPr>
            <w:tcW w:w="11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3/9/2021</w:t>
            </w:r>
          </w:p>
        </w:tc>
        <w:tc>
          <w:tcPr>
            <w:tcW w:w="540" w:type="dxa"/>
            <w:vAlign w:val="bottom"/>
            <w:shd w:val="clear" w:color="auto" w:fill="CCCCCC"/>
          </w:tcPr>
          <w:p>
            <w:pPr>
              <w:spacing w:after="0"/>
              <w:rPr>
                <w:sz w:val="23"/>
                <w:szCs w:val="23"/>
                <w:color w:val="auto"/>
              </w:rPr>
            </w:pPr>
          </w:p>
        </w:tc>
        <w:tc>
          <w:tcPr>
            <w:tcW w:w="1720" w:type="dxa"/>
            <w:vAlign w:val="bottom"/>
            <w:shd w:val="clear" w:color="auto" w:fill="CCCCCC"/>
          </w:tcPr>
          <w:p>
            <w:pPr>
              <w:jc w:val="right"/>
              <w:ind w:right="474"/>
              <w:spacing w:after="0"/>
              <w:rPr>
                <w:sz w:val="20"/>
                <w:szCs w:val="20"/>
                <w:color w:val="auto"/>
              </w:rPr>
            </w:pPr>
            <w:r>
              <w:rPr>
                <w:rFonts w:ascii="Arial" w:cs="Arial" w:eastAsia="Arial" w:hAnsi="Arial"/>
                <w:sz w:val="13"/>
                <w:szCs w:val="13"/>
                <w:color w:val="auto"/>
              </w:rPr>
              <w:t>26,766(d)</w:t>
            </w:r>
          </w:p>
        </w:tc>
        <w:tc>
          <w:tcPr>
            <w:tcW w:w="1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4,387,750</w:t>
            </w:r>
          </w:p>
        </w:tc>
        <w:tc>
          <w:tcPr>
            <w:tcW w:w="2280" w:type="dxa"/>
            <w:vAlign w:val="bottom"/>
            <w:shd w:val="clear" w:color="auto" w:fill="CCCCCC"/>
          </w:tcPr>
          <w:p>
            <w:pPr>
              <w:jc w:val="right"/>
              <w:ind w:right="513"/>
              <w:spacing w:after="0"/>
              <w:rPr>
                <w:sz w:val="20"/>
                <w:szCs w:val="20"/>
                <w:color w:val="auto"/>
              </w:rPr>
            </w:pPr>
            <w:r>
              <w:rPr>
                <w:rFonts w:ascii="Arial" w:cs="Arial" w:eastAsia="Arial" w:hAnsi="Arial"/>
                <w:sz w:val="13"/>
                <w:szCs w:val="13"/>
                <w:color w:val="auto"/>
              </w:rPr>
              <w:t>60,222(j)</w:t>
            </w:r>
          </w:p>
        </w:tc>
        <w:tc>
          <w:tcPr>
            <w:tcW w:w="1340" w:type="dxa"/>
            <w:vAlign w:val="bottom"/>
            <w:shd w:val="clear" w:color="auto" w:fill="CCCCCC"/>
          </w:tcPr>
          <w:p>
            <w:pPr>
              <w:jc w:val="right"/>
              <w:ind w:right="53"/>
              <w:spacing w:after="0"/>
              <w:rPr>
                <w:sz w:val="20"/>
                <w:szCs w:val="20"/>
                <w:color w:val="auto"/>
              </w:rPr>
            </w:pPr>
            <w:r>
              <w:rPr>
                <w:rFonts w:ascii="Arial" w:cs="Arial" w:eastAsia="Arial" w:hAnsi="Arial"/>
                <w:sz w:val="13"/>
                <w:szCs w:val="13"/>
                <w:color w:val="auto"/>
              </w:rPr>
              <w:t>9,872,192</w:t>
            </w:r>
          </w:p>
        </w:tc>
      </w:tr>
      <w:tr>
        <w:trPr>
          <w:trHeight w:val="330"/>
        </w:trPr>
        <w:tc>
          <w:tcPr>
            <w:tcW w:w="1620" w:type="dxa"/>
            <w:vAlign w:val="bottom"/>
            <w:tcBorders>
              <w:bottom w:val="single" w:sz="8" w:color="CCCCCC"/>
            </w:tcBorders>
            <w:shd w:val="clear" w:color="auto" w:fill="CCCCCC"/>
          </w:tcPr>
          <w:p>
            <w:pPr>
              <w:spacing w:after="0"/>
              <w:rPr>
                <w:sz w:val="24"/>
                <w:szCs w:val="24"/>
                <w:color w:val="auto"/>
              </w:rPr>
            </w:pPr>
          </w:p>
        </w:tc>
        <w:tc>
          <w:tcPr>
            <w:tcW w:w="11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3/9/2020</w:t>
            </w:r>
          </w:p>
        </w:tc>
        <w:tc>
          <w:tcPr>
            <w:tcW w:w="540" w:type="dxa"/>
            <w:vAlign w:val="bottom"/>
            <w:tcBorders>
              <w:bottom w:val="single" w:sz="8" w:color="CCCCCC"/>
            </w:tcBorders>
            <w:shd w:val="clear" w:color="auto" w:fill="CCCCCC"/>
          </w:tcPr>
          <w:p>
            <w:pPr>
              <w:spacing w:after="0"/>
              <w:rPr>
                <w:sz w:val="24"/>
                <w:szCs w:val="24"/>
                <w:color w:val="auto"/>
              </w:rPr>
            </w:pPr>
          </w:p>
        </w:tc>
        <w:tc>
          <w:tcPr>
            <w:tcW w:w="1720" w:type="dxa"/>
            <w:vAlign w:val="bottom"/>
            <w:tcBorders>
              <w:bottom w:val="single" w:sz="8" w:color="CCCCCC"/>
            </w:tcBorders>
            <w:shd w:val="clear" w:color="auto" w:fill="CCCCCC"/>
          </w:tcPr>
          <w:p>
            <w:pPr>
              <w:jc w:val="right"/>
              <w:ind w:right="474"/>
              <w:spacing w:after="0"/>
              <w:rPr>
                <w:sz w:val="20"/>
                <w:szCs w:val="20"/>
                <w:color w:val="auto"/>
              </w:rPr>
            </w:pPr>
            <w:r>
              <w:rPr>
                <w:rFonts w:ascii="Arial" w:cs="Arial" w:eastAsia="Arial" w:hAnsi="Arial"/>
                <w:sz w:val="13"/>
                <w:szCs w:val="13"/>
                <w:color w:val="auto"/>
              </w:rPr>
              <w:t>15,806(e)</w:t>
            </w:r>
          </w:p>
        </w:tc>
        <w:tc>
          <w:tcPr>
            <w:tcW w:w="12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2,591,078</w:t>
            </w:r>
          </w:p>
        </w:tc>
        <w:tc>
          <w:tcPr>
            <w:tcW w:w="2280" w:type="dxa"/>
            <w:vAlign w:val="bottom"/>
            <w:tcBorders>
              <w:bottom w:val="single" w:sz="8" w:color="CCCCCC"/>
            </w:tcBorders>
            <w:shd w:val="clear" w:color="auto" w:fill="CCCCCC"/>
          </w:tcPr>
          <w:p>
            <w:pPr>
              <w:jc w:val="right"/>
              <w:ind w:right="473"/>
              <w:spacing w:after="0"/>
              <w:rPr>
                <w:sz w:val="20"/>
                <w:szCs w:val="20"/>
                <w:color w:val="auto"/>
              </w:rPr>
            </w:pPr>
            <w:r>
              <w:rPr>
                <w:rFonts w:ascii="Arial" w:cs="Arial" w:eastAsia="Arial" w:hAnsi="Arial"/>
                <w:sz w:val="13"/>
                <w:szCs w:val="13"/>
                <w:color w:val="auto"/>
              </w:rPr>
              <w:t>94,832(k)</w:t>
            </w:r>
          </w:p>
        </w:tc>
        <w:tc>
          <w:tcPr>
            <w:tcW w:w="1340" w:type="dxa"/>
            <w:vAlign w:val="bottom"/>
            <w:tcBorders>
              <w:bottom w:val="single" w:sz="8" w:color="CCCCCC"/>
            </w:tcBorders>
            <w:shd w:val="clear" w:color="auto" w:fill="CCCCCC"/>
          </w:tcPr>
          <w:p>
            <w:pPr>
              <w:jc w:val="right"/>
              <w:ind w:right="53"/>
              <w:spacing w:after="0"/>
              <w:rPr>
                <w:sz w:val="20"/>
                <w:szCs w:val="20"/>
                <w:color w:val="auto"/>
              </w:rPr>
            </w:pPr>
            <w:r>
              <w:rPr>
                <w:rFonts w:ascii="Arial" w:cs="Arial" w:eastAsia="Arial" w:hAnsi="Arial"/>
                <w:sz w:val="13"/>
                <w:szCs w:val="13"/>
                <w:color w:val="auto"/>
              </w:rPr>
              <w:t>15,545,810</w:t>
            </w:r>
          </w:p>
        </w:tc>
      </w:tr>
      <w:tr>
        <w:trPr>
          <w:trHeight w:val="209"/>
        </w:trPr>
        <w:tc>
          <w:tcPr>
            <w:tcW w:w="162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Mr. Choi</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12/30/2022</w:t>
            </w:r>
          </w:p>
        </w:tc>
        <w:tc>
          <w:tcPr>
            <w:tcW w:w="5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74"/>
              <w:spacing w:after="0"/>
              <w:rPr>
                <w:sz w:val="20"/>
                <w:szCs w:val="20"/>
                <w:color w:val="auto"/>
              </w:rPr>
            </w:pPr>
            <w:r>
              <w:rPr>
                <w:rFonts w:ascii="Arial" w:cs="Arial" w:eastAsia="Arial" w:hAnsi="Arial"/>
                <w:sz w:val="13"/>
                <w:szCs w:val="13"/>
                <w:color w:val="auto"/>
              </w:rPr>
              <w:t>9,150(b)</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1,499,960</w:t>
            </w:r>
          </w:p>
        </w:tc>
        <w:tc>
          <w:tcPr>
            <w:tcW w:w="2280" w:type="dxa"/>
            <w:vAlign w:val="bottom"/>
            <w:tcBorders>
              <w:top w:val="single" w:sz="8" w:color="auto"/>
            </w:tcBorders>
          </w:tcPr>
          <w:p>
            <w:pPr>
              <w:jc w:val="right"/>
              <w:ind w:right="593"/>
              <w:spacing w:after="0"/>
              <w:rPr>
                <w:sz w:val="20"/>
                <w:szCs w:val="20"/>
                <w:color w:val="auto"/>
              </w:rPr>
            </w:pPr>
            <w:r>
              <w:rPr>
                <w:rFonts w:ascii="Arial" w:cs="Arial" w:eastAsia="Arial" w:hAnsi="Arial"/>
                <w:sz w:val="13"/>
                <w:szCs w:val="13"/>
                <w:color w:val="auto"/>
              </w:rPr>
              <w:t>—</w:t>
            </w:r>
          </w:p>
        </w:tc>
        <w:tc>
          <w:tcPr>
            <w:tcW w:w="134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r>
      <w:tr>
        <w:trPr>
          <w:trHeight w:val="270"/>
        </w:trPr>
        <w:tc>
          <w:tcPr>
            <w:tcW w:w="16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3/9/2022</w:t>
            </w:r>
          </w:p>
        </w:tc>
        <w:tc>
          <w:tcPr>
            <w:tcW w:w="540" w:type="dxa"/>
            <w:vAlign w:val="bottom"/>
          </w:tcPr>
          <w:p>
            <w:pPr>
              <w:spacing w:after="0"/>
              <w:rPr>
                <w:sz w:val="23"/>
                <w:szCs w:val="23"/>
                <w:color w:val="auto"/>
              </w:rPr>
            </w:pPr>
          </w:p>
        </w:tc>
        <w:tc>
          <w:tcPr>
            <w:tcW w:w="1720" w:type="dxa"/>
            <w:vAlign w:val="bottom"/>
          </w:tcPr>
          <w:p>
            <w:pPr>
              <w:jc w:val="right"/>
              <w:ind w:right="474"/>
              <w:spacing w:after="0"/>
              <w:rPr>
                <w:sz w:val="20"/>
                <w:szCs w:val="20"/>
                <w:color w:val="auto"/>
              </w:rPr>
            </w:pPr>
            <w:r>
              <w:rPr>
                <w:rFonts w:ascii="Arial" w:cs="Arial" w:eastAsia="Arial" w:hAnsi="Arial"/>
                <w:sz w:val="13"/>
                <w:szCs w:val="13"/>
                <w:color w:val="auto"/>
              </w:rPr>
              <w:t>4,622(c)</w:t>
            </w:r>
          </w:p>
        </w:tc>
        <w:tc>
          <w:tcPr>
            <w:tcW w:w="1200" w:type="dxa"/>
            <w:vAlign w:val="bottom"/>
          </w:tcPr>
          <w:p>
            <w:pPr>
              <w:jc w:val="right"/>
              <w:spacing w:after="0"/>
              <w:rPr>
                <w:sz w:val="20"/>
                <w:szCs w:val="20"/>
                <w:color w:val="auto"/>
              </w:rPr>
            </w:pPr>
            <w:r>
              <w:rPr>
                <w:rFonts w:ascii="Arial" w:cs="Arial" w:eastAsia="Arial" w:hAnsi="Arial"/>
                <w:sz w:val="13"/>
                <w:szCs w:val="13"/>
                <w:color w:val="auto"/>
              </w:rPr>
              <w:t>757,684</w:t>
            </w:r>
          </w:p>
        </w:tc>
        <w:tc>
          <w:tcPr>
            <w:tcW w:w="2280" w:type="dxa"/>
            <w:vAlign w:val="bottom"/>
          </w:tcPr>
          <w:p>
            <w:pPr>
              <w:jc w:val="right"/>
              <w:ind w:right="513"/>
              <w:spacing w:after="0"/>
              <w:rPr>
                <w:sz w:val="20"/>
                <w:szCs w:val="20"/>
                <w:color w:val="auto"/>
              </w:rPr>
            </w:pPr>
            <w:r>
              <w:rPr>
                <w:rFonts w:ascii="Arial" w:cs="Arial" w:eastAsia="Arial" w:hAnsi="Arial"/>
                <w:sz w:val="13"/>
                <w:szCs w:val="13"/>
                <w:color w:val="auto"/>
              </w:rPr>
              <w:t>4,622(i)</w:t>
            </w:r>
          </w:p>
        </w:tc>
        <w:tc>
          <w:tcPr>
            <w:tcW w:w="1340" w:type="dxa"/>
            <w:vAlign w:val="bottom"/>
          </w:tcPr>
          <w:p>
            <w:pPr>
              <w:jc w:val="right"/>
              <w:ind w:right="53"/>
              <w:spacing w:after="0"/>
              <w:rPr>
                <w:sz w:val="20"/>
                <w:szCs w:val="20"/>
                <w:color w:val="auto"/>
              </w:rPr>
            </w:pPr>
            <w:r>
              <w:rPr>
                <w:rFonts w:ascii="Arial" w:cs="Arial" w:eastAsia="Arial" w:hAnsi="Arial"/>
                <w:sz w:val="13"/>
                <w:szCs w:val="13"/>
                <w:color w:val="auto"/>
              </w:rPr>
              <w:t>757,684</w:t>
            </w:r>
          </w:p>
        </w:tc>
      </w:tr>
      <w:tr>
        <w:trPr>
          <w:trHeight w:val="270"/>
        </w:trPr>
        <w:tc>
          <w:tcPr>
            <w:tcW w:w="16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3/9/2021</w:t>
            </w:r>
          </w:p>
        </w:tc>
        <w:tc>
          <w:tcPr>
            <w:tcW w:w="540" w:type="dxa"/>
            <w:vAlign w:val="bottom"/>
          </w:tcPr>
          <w:p>
            <w:pPr>
              <w:spacing w:after="0"/>
              <w:rPr>
                <w:sz w:val="23"/>
                <w:szCs w:val="23"/>
                <w:color w:val="auto"/>
              </w:rPr>
            </w:pPr>
          </w:p>
        </w:tc>
        <w:tc>
          <w:tcPr>
            <w:tcW w:w="1720" w:type="dxa"/>
            <w:vAlign w:val="bottom"/>
          </w:tcPr>
          <w:p>
            <w:pPr>
              <w:jc w:val="right"/>
              <w:ind w:right="474"/>
              <w:spacing w:after="0"/>
              <w:rPr>
                <w:sz w:val="20"/>
                <w:szCs w:val="20"/>
                <w:color w:val="auto"/>
              </w:rPr>
            </w:pPr>
            <w:r>
              <w:rPr>
                <w:rFonts w:ascii="Arial" w:cs="Arial" w:eastAsia="Arial" w:hAnsi="Arial"/>
                <w:sz w:val="13"/>
                <w:szCs w:val="13"/>
                <w:color w:val="auto"/>
              </w:rPr>
              <w:t>8,030(d)</w:t>
            </w:r>
          </w:p>
        </w:tc>
        <w:tc>
          <w:tcPr>
            <w:tcW w:w="1200" w:type="dxa"/>
            <w:vAlign w:val="bottom"/>
          </w:tcPr>
          <w:p>
            <w:pPr>
              <w:jc w:val="right"/>
              <w:spacing w:after="0"/>
              <w:rPr>
                <w:sz w:val="20"/>
                <w:szCs w:val="20"/>
                <w:color w:val="auto"/>
              </w:rPr>
            </w:pPr>
            <w:r>
              <w:rPr>
                <w:rFonts w:ascii="Arial" w:cs="Arial" w:eastAsia="Arial" w:hAnsi="Arial"/>
                <w:sz w:val="13"/>
                <w:szCs w:val="13"/>
                <w:color w:val="auto"/>
              </w:rPr>
              <w:t>1,316,358</w:t>
            </w:r>
          </w:p>
        </w:tc>
        <w:tc>
          <w:tcPr>
            <w:tcW w:w="2280" w:type="dxa"/>
            <w:vAlign w:val="bottom"/>
          </w:tcPr>
          <w:p>
            <w:pPr>
              <w:jc w:val="right"/>
              <w:ind w:right="513"/>
              <w:spacing w:after="0"/>
              <w:rPr>
                <w:sz w:val="20"/>
                <w:szCs w:val="20"/>
                <w:color w:val="auto"/>
              </w:rPr>
            </w:pPr>
            <w:r>
              <w:rPr>
                <w:rFonts w:ascii="Arial" w:cs="Arial" w:eastAsia="Arial" w:hAnsi="Arial"/>
                <w:sz w:val="13"/>
                <w:szCs w:val="13"/>
                <w:color w:val="auto"/>
              </w:rPr>
              <w:t>18,066(j)</w:t>
            </w:r>
          </w:p>
        </w:tc>
        <w:tc>
          <w:tcPr>
            <w:tcW w:w="1340" w:type="dxa"/>
            <w:vAlign w:val="bottom"/>
          </w:tcPr>
          <w:p>
            <w:pPr>
              <w:jc w:val="right"/>
              <w:ind w:right="53"/>
              <w:spacing w:after="0"/>
              <w:rPr>
                <w:sz w:val="20"/>
                <w:szCs w:val="20"/>
                <w:color w:val="auto"/>
              </w:rPr>
            </w:pPr>
            <w:r>
              <w:rPr>
                <w:rFonts w:ascii="Arial" w:cs="Arial" w:eastAsia="Arial" w:hAnsi="Arial"/>
                <w:sz w:val="13"/>
                <w:szCs w:val="13"/>
                <w:color w:val="auto"/>
              </w:rPr>
              <w:t>2,961,559</w:t>
            </w:r>
          </w:p>
        </w:tc>
      </w:tr>
      <w:tr>
        <w:trPr>
          <w:trHeight w:val="270"/>
        </w:trPr>
        <w:tc>
          <w:tcPr>
            <w:tcW w:w="16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8/31/2020</w:t>
            </w:r>
          </w:p>
        </w:tc>
        <w:tc>
          <w:tcPr>
            <w:tcW w:w="540" w:type="dxa"/>
            <w:vAlign w:val="bottom"/>
          </w:tcPr>
          <w:p>
            <w:pPr>
              <w:spacing w:after="0"/>
              <w:rPr>
                <w:sz w:val="23"/>
                <w:szCs w:val="23"/>
                <w:color w:val="auto"/>
              </w:rPr>
            </w:pPr>
          </w:p>
        </w:tc>
        <w:tc>
          <w:tcPr>
            <w:tcW w:w="1720" w:type="dxa"/>
            <w:vAlign w:val="bottom"/>
          </w:tcPr>
          <w:p>
            <w:pPr>
              <w:jc w:val="right"/>
              <w:ind w:right="494"/>
              <w:spacing w:after="0"/>
              <w:rPr>
                <w:sz w:val="20"/>
                <w:szCs w:val="20"/>
                <w:color w:val="auto"/>
              </w:rPr>
            </w:pPr>
            <w:r>
              <w:rPr>
                <w:rFonts w:ascii="Arial" w:cs="Arial" w:eastAsia="Arial" w:hAnsi="Arial"/>
                <w:sz w:val="13"/>
                <w:szCs w:val="13"/>
                <w:color w:val="auto"/>
              </w:rPr>
              <w:t>29,317(f)</w:t>
            </w:r>
          </w:p>
        </w:tc>
        <w:tc>
          <w:tcPr>
            <w:tcW w:w="1200" w:type="dxa"/>
            <w:vAlign w:val="bottom"/>
          </w:tcPr>
          <w:p>
            <w:pPr>
              <w:jc w:val="right"/>
              <w:spacing w:after="0"/>
              <w:rPr>
                <w:sz w:val="20"/>
                <w:szCs w:val="20"/>
                <w:color w:val="auto"/>
              </w:rPr>
            </w:pPr>
            <w:r>
              <w:rPr>
                <w:rFonts w:ascii="Arial" w:cs="Arial" w:eastAsia="Arial" w:hAnsi="Arial"/>
                <w:sz w:val="13"/>
                <w:szCs w:val="13"/>
                <w:color w:val="auto"/>
              </w:rPr>
              <w:t>4,805,936</w:t>
            </w:r>
          </w:p>
        </w:tc>
        <w:tc>
          <w:tcPr>
            <w:tcW w:w="2280" w:type="dxa"/>
            <w:vAlign w:val="bottom"/>
          </w:tcPr>
          <w:p>
            <w:pPr>
              <w:jc w:val="right"/>
              <w:ind w:right="59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3"/>
              <w:spacing w:after="0"/>
              <w:rPr>
                <w:sz w:val="20"/>
                <w:szCs w:val="20"/>
                <w:color w:val="auto"/>
              </w:rPr>
            </w:pPr>
            <w:r>
              <w:rPr>
                <w:rFonts w:ascii="Arial" w:cs="Arial" w:eastAsia="Arial" w:hAnsi="Arial"/>
                <w:sz w:val="13"/>
                <w:szCs w:val="13"/>
                <w:color w:val="auto"/>
              </w:rPr>
              <w:t>—</w:t>
            </w:r>
          </w:p>
        </w:tc>
      </w:tr>
      <w:tr>
        <w:trPr>
          <w:trHeight w:val="55"/>
        </w:trPr>
        <w:tc>
          <w:tcPr>
            <w:tcW w:w="16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09"/>
        </w:trPr>
        <w:tc>
          <w:tcPr>
            <w:tcW w:w="1620" w:type="dxa"/>
            <w:vAlign w:val="bottom"/>
            <w:shd w:val="clear" w:color="auto" w:fill="CCCCCC"/>
          </w:tcPr>
          <w:p>
            <w:pPr>
              <w:ind w:left="80"/>
              <w:spacing w:after="0"/>
              <w:rPr>
                <w:sz w:val="20"/>
                <w:szCs w:val="20"/>
                <w:color w:val="auto"/>
              </w:rPr>
            </w:pPr>
            <w:r>
              <w:rPr>
                <w:rFonts w:ascii="Arial" w:cs="Arial" w:eastAsia="Arial" w:hAnsi="Arial"/>
                <w:sz w:val="13"/>
                <w:szCs w:val="13"/>
                <w:color w:val="auto"/>
              </w:rPr>
              <w:t>Mr. Hees</w:t>
            </w:r>
          </w:p>
        </w:tc>
        <w:tc>
          <w:tcPr>
            <w:tcW w:w="11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3/9/2022</w:t>
            </w:r>
          </w:p>
        </w:tc>
        <w:tc>
          <w:tcPr>
            <w:tcW w:w="540" w:type="dxa"/>
            <w:vAlign w:val="bottom"/>
            <w:shd w:val="clear" w:color="auto" w:fill="CCCCCC"/>
          </w:tcPr>
          <w:p>
            <w:pPr>
              <w:spacing w:after="0"/>
              <w:rPr>
                <w:sz w:val="18"/>
                <w:szCs w:val="18"/>
                <w:color w:val="auto"/>
              </w:rPr>
            </w:pPr>
          </w:p>
        </w:tc>
        <w:tc>
          <w:tcPr>
            <w:tcW w:w="1720" w:type="dxa"/>
            <w:vAlign w:val="bottom"/>
            <w:shd w:val="clear" w:color="auto" w:fill="CCCCCC"/>
          </w:tcPr>
          <w:p>
            <w:pPr>
              <w:jc w:val="right"/>
              <w:ind w:right="474"/>
              <w:spacing w:after="0"/>
              <w:rPr>
                <w:sz w:val="20"/>
                <w:szCs w:val="20"/>
                <w:color w:val="auto"/>
              </w:rPr>
            </w:pPr>
            <w:r>
              <w:rPr>
                <w:rFonts w:ascii="Arial" w:cs="Arial" w:eastAsia="Arial" w:hAnsi="Arial"/>
                <w:sz w:val="13"/>
                <w:szCs w:val="13"/>
                <w:color w:val="auto"/>
              </w:rPr>
              <w:t>10,270(g)</w:t>
            </w:r>
          </w:p>
        </w:tc>
        <w:tc>
          <w:tcPr>
            <w:tcW w:w="1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1,683,561</w:t>
            </w:r>
          </w:p>
        </w:tc>
        <w:tc>
          <w:tcPr>
            <w:tcW w:w="2280" w:type="dxa"/>
            <w:vAlign w:val="bottom"/>
            <w:shd w:val="clear" w:color="auto" w:fill="CCCCCC"/>
          </w:tcPr>
          <w:p>
            <w:pPr>
              <w:jc w:val="right"/>
              <w:ind w:right="513"/>
              <w:spacing w:after="0"/>
              <w:rPr>
                <w:sz w:val="20"/>
                <w:szCs w:val="20"/>
                <w:color w:val="auto"/>
              </w:rPr>
            </w:pPr>
            <w:r>
              <w:rPr>
                <w:rFonts w:ascii="Arial" w:cs="Arial" w:eastAsia="Arial" w:hAnsi="Arial"/>
                <w:sz w:val="13"/>
                <w:szCs w:val="13"/>
                <w:color w:val="auto"/>
              </w:rPr>
              <w:t>10,270(i)</w:t>
            </w:r>
          </w:p>
        </w:tc>
        <w:tc>
          <w:tcPr>
            <w:tcW w:w="1340" w:type="dxa"/>
            <w:vAlign w:val="bottom"/>
            <w:shd w:val="clear" w:color="auto" w:fill="CCCCCC"/>
          </w:tcPr>
          <w:p>
            <w:pPr>
              <w:jc w:val="right"/>
              <w:ind w:right="53"/>
              <w:spacing w:after="0"/>
              <w:rPr>
                <w:sz w:val="20"/>
                <w:szCs w:val="20"/>
                <w:color w:val="auto"/>
              </w:rPr>
            </w:pPr>
            <w:r>
              <w:rPr>
                <w:rFonts w:ascii="Arial" w:cs="Arial" w:eastAsia="Arial" w:hAnsi="Arial"/>
                <w:sz w:val="13"/>
                <w:szCs w:val="13"/>
                <w:color w:val="auto"/>
              </w:rPr>
              <w:t>1,683,561</w:t>
            </w:r>
          </w:p>
        </w:tc>
      </w:tr>
      <w:tr>
        <w:trPr>
          <w:trHeight w:val="270"/>
        </w:trPr>
        <w:tc>
          <w:tcPr>
            <w:tcW w:w="1620" w:type="dxa"/>
            <w:vAlign w:val="bottom"/>
            <w:shd w:val="clear" w:color="auto" w:fill="CCCCCC"/>
          </w:tcPr>
          <w:p>
            <w:pPr>
              <w:spacing w:after="0"/>
              <w:rPr>
                <w:sz w:val="23"/>
                <w:szCs w:val="23"/>
                <w:color w:val="auto"/>
              </w:rPr>
            </w:pPr>
          </w:p>
        </w:tc>
        <w:tc>
          <w:tcPr>
            <w:tcW w:w="11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3/9/2021</w:t>
            </w:r>
          </w:p>
        </w:tc>
        <w:tc>
          <w:tcPr>
            <w:tcW w:w="540" w:type="dxa"/>
            <w:vAlign w:val="bottom"/>
            <w:shd w:val="clear" w:color="auto" w:fill="CCCCCC"/>
          </w:tcPr>
          <w:p>
            <w:pPr>
              <w:spacing w:after="0"/>
              <w:rPr>
                <w:sz w:val="23"/>
                <w:szCs w:val="23"/>
                <w:color w:val="auto"/>
              </w:rPr>
            </w:pPr>
          </w:p>
        </w:tc>
        <w:tc>
          <w:tcPr>
            <w:tcW w:w="1720" w:type="dxa"/>
            <w:vAlign w:val="bottom"/>
            <w:shd w:val="clear" w:color="auto" w:fill="CCCCCC"/>
          </w:tcPr>
          <w:p>
            <w:pPr>
              <w:jc w:val="right"/>
              <w:ind w:right="574"/>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w:t>
            </w:r>
          </w:p>
        </w:tc>
        <w:tc>
          <w:tcPr>
            <w:tcW w:w="2280" w:type="dxa"/>
            <w:vAlign w:val="bottom"/>
            <w:shd w:val="clear" w:color="auto" w:fill="CCCCCC"/>
          </w:tcPr>
          <w:p>
            <w:pPr>
              <w:jc w:val="right"/>
              <w:ind w:right="513"/>
              <w:spacing w:after="0"/>
              <w:rPr>
                <w:sz w:val="20"/>
                <w:szCs w:val="20"/>
                <w:color w:val="auto"/>
              </w:rPr>
            </w:pPr>
            <w:r>
              <w:rPr>
                <w:rFonts w:ascii="Arial" w:cs="Arial" w:eastAsia="Arial" w:hAnsi="Arial"/>
                <w:sz w:val="13"/>
                <w:szCs w:val="13"/>
                <w:color w:val="auto"/>
              </w:rPr>
              <w:t>24,089(j)</w:t>
            </w:r>
          </w:p>
        </w:tc>
        <w:tc>
          <w:tcPr>
            <w:tcW w:w="1340" w:type="dxa"/>
            <w:vAlign w:val="bottom"/>
            <w:shd w:val="clear" w:color="auto" w:fill="CCCCCC"/>
          </w:tcPr>
          <w:p>
            <w:pPr>
              <w:jc w:val="right"/>
              <w:ind w:right="53"/>
              <w:spacing w:after="0"/>
              <w:rPr>
                <w:sz w:val="20"/>
                <w:szCs w:val="20"/>
                <w:color w:val="auto"/>
              </w:rPr>
            </w:pPr>
            <w:r>
              <w:rPr>
                <w:rFonts w:ascii="Arial" w:cs="Arial" w:eastAsia="Arial" w:hAnsi="Arial"/>
                <w:sz w:val="13"/>
                <w:szCs w:val="13"/>
                <w:color w:val="auto"/>
              </w:rPr>
              <w:t>3,948,910</w:t>
            </w:r>
          </w:p>
        </w:tc>
      </w:tr>
      <w:tr>
        <w:trPr>
          <w:trHeight w:val="330"/>
        </w:trPr>
        <w:tc>
          <w:tcPr>
            <w:tcW w:w="1620" w:type="dxa"/>
            <w:vAlign w:val="bottom"/>
            <w:tcBorders>
              <w:bottom w:val="single" w:sz="8" w:color="CCCCCC"/>
            </w:tcBorders>
            <w:shd w:val="clear" w:color="auto" w:fill="CCCCCC"/>
          </w:tcPr>
          <w:p>
            <w:pPr>
              <w:spacing w:after="0"/>
              <w:rPr>
                <w:sz w:val="24"/>
                <w:szCs w:val="24"/>
                <w:color w:val="auto"/>
              </w:rPr>
            </w:pPr>
          </w:p>
        </w:tc>
        <w:tc>
          <w:tcPr>
            <w:tcW w:w="11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6/30/2020</w:t>
            </w:r>
          </w:p>
        </w:tc>
        <w:tc>
          <w:tcPr>
            <w:tcW w:w="540" w:type="dxa"/>
            <w:vAlign w:val="bottom"/>
            <w:tcBorders>
              <w:bottom w:val="single" w:sz="8" w:color="CCCCCC"/>
            </w:tcBorders>
            <w:shd w:val="clear" w:color="auto" w:fill="CCCCCC"/>
          </w:tcPr>
          <w:p>
            <w:pPr>
              <w:spacing w:after="0"/>
              <w:rPr>
                <w:sz w:val="24"/>
                <w:szCs w:val="24"/>
                <w:color w:val="auto"/>
              </w:rPr>
            </w:pPr>
          </w:p>
        </w:tc>
        <w:tc>
          <w:tcPr>
            <w:tcW w:w="1720" w:type="dxa"/>
            <w:vAlign w:val="bottom"/>
            <w:tcBorders>
              <w:bottom w:val="single" w:sz="8" w:color="CCCCCC"/>
            </w:tcBorders>
            <w:shd w:val="clear" w:color="auto" w:fill="CCCCCC"/>
          </w:tcPr>
          <w:p>
            <w:pPr>
              <w:jc w:val="right"/>
              <w:ind w:right="474"/>
              <w:spacing w:after="0"/>
              <w:rPr>
                <w:sz w:val="20"/>
                <w:szCs w:val="20"/>
                <w:color w:val="auto"/>
              </w:rPr>
            </w:pPr>
            <w:r>
              <w:rPr>
                <w:rFonts w:ascii="Arial" w:cs="Arial" w:eastAsia="Arial" w:hAnsi="Arial"/>
                <w:sz w:val="13"/>
                <w:szCs w:val="13"/>
                <w:color w:val="auto"/>
              </w:rPr>
              <w:t>14,563(g)</w:t>
            </w:r>
          </w:p>
        </w:tc>
        <w:tc>
          <w:tcPr>
            <w:tcW w:w="12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2,387,313</w:t>
            </w:r>
          </w:p>
        </w:tc>
        <w:tc>
          <w:tcPr>
            <w:tcW w:w="2280" w:type="dxa"/>
            <w:vAlign w:val="bottom"/>
            <w:tcBorders>
              <w:bottom w:val="single" w:sz="8" w:color="CCCCCC"/>
            </w:tcBorders>
            <w:shd w:val="clear" w:color="auto" w:fill="CCCCCC"/>
          </w:tcPr>
          <w:p>
            <w:pPr>
              <w:jc w:val="right"/>
              <w:ind w:right="513"/>
              <w:spacing w:after="0"/>
              <w:rPr>
                <w:sz w:val="20"/>
                <w:szCs w:val="20"/>
                <w:color w:val="auto"/>
              </w:rPr>
            </w:pPr>
            <w:r>
              <w:rPr>
                <w:rFonts w:ascii="Arial" w:cs="Arial" w:eastAsia="Arial" w:hAnsi="Arial"/>
                <w:sz w:val="13"/>
                <w:szCs w:val="13"/>
                <w:color w:val="auto"/>
              </w:rPr>
              <w:t>37,500(l)</w:t>
            </w:r>
          </w:p>
        </w:tc>
        <w:tc>
          <w:tcPr>
            <w:tcW w:w="1340" w:type="dxa"/>
            <w:vAlign w:val="bottom"/>
            <w:tcBorders>
              <w:bottom w:val="single" w:sz="8" w:color="CCCCCC"/>
            </w:tcBorders>
            <w:shd w:val="clear" w:color="auto" w:fill="CCCCCC"/>
          </w:tcPr>
          <w:p>
            <w:pPr>
              <w:jc w:val="right"/>
              <w:ind w:right="53"/>
              <w:spacing w:after="0"/>
              <w:rPr>
                <w:sz w:val="20"/>
                <w:szCs w:val="20"/>
                <w:color w:val="auto"/>
              </w:rPr>
            </w:pPr>
            <w:r>
              <w:rPr>
                <w:rFonts w:ascii="Arial" w:cs="Arial" w:eastAsia="Arial" w:hAnsi="Arial"/>
                <w:sz w:val="13"/>
                <w:szCs w:val="13"/>
                <w:color w:val="auto"/>
              </w:rPr>
              <w:t>6,147,375</w:t>
            </w:r>
          </w:p>
        </w:tc>
      </w:tr>
      <w:tr>
        <w:trPr>
          <w:trHeight w:val="209"/>
        </w:trPr>
        <w:tc>
          <w:tcPr>
            <w:tcW w:w="162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Mr. Simhambhatla</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7/26/2022</w:t>
            </w:r>
          </w:p>
        </w:tc>
        <w:tc>
          <w:tcPr>
            <w:tcW w:w="5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74"/>
              <w:spacing w:after="0"/>
              <w:rPr>
                <w:sz w:val="20"/>
                <w:szCs w:val="20"/>
                <w:color w:val="auto"/>
              </w:rPr>
            </w:pPr>
            <w:r>
              <w:rPr>
                <w:rFonts w:ascii="Arial" w:cs="Arial" w:eastAsia="Arial" w:hAnsi="Arial"/>
                <w:sz w:val="13"/>
                <w:szCs w:val="13"/>
                <w:color w:val="auto"/>
              </w:rPr>
              <w:t>35,275(h)</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5,782,631</w:t>
            </w:r>
          </w:p>
        </w:tc>
        <w:tc>
          <w:tcPr>
            <w:tcW w:w="2280" w:type="dxa"/>
            <w:vAlign w:val="bottom"/>
            <w:tcBorders>
              <w:top w:val="single" w:sz="8" w:color="auto"/>
            </w:tcBorders>
          </w:tcPr>
          <w:p>
            <w:pPr>
              <w:jc w:val="right"/>
              <w:ind w:right="513"/>
              <w:spacing w:after="0"/>
              <w:rPr>
                <w:sz w:val="20"/>
                <w:szCs w:val="20"/>
                <w:color w:val="auto"/>
              </w:rPr>
            </w:pPr>
            <w:r>
              <w:rPr>
                <w:rFonts w:ascii="Arial" w:cs="Arial" w:eastAsia="Arial" w:hAnsi="Arial"/>
                <w:sz w:val="13"/>
                <w:szCs w:val="13"/>
                <w:color w:val="auto"/>
              </w:rPr>
              <w:t>1,519(i)</w:t>
            </w:r>
          </w:p>
        </w:tc>
        <w:tc>
          <w:tcPr>
            <w:tcW w:w="134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249,010</w:t>
            </w:r>
          </w:p>
        </w:tc>
      </w:tr>
      <w:tr>
        <w:trPr>
          <w:trHeight w:val="54"/>
        </w:trPr>
        <w:tc>
          <w:tcPr>
            <w:tcW w:w="16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09"/>
        </w:trPr>
        <w:tc>
          <w:tcPr>
            <w:tcW w:w="1620" w:type="dxa"/>
            <w:vAlign w:val="bottom"/>
            <w:shd w:val="clear" w:color="auto" w:fill="CCCCCC"/>
          </w:tcPr>
          <w:p>
            <w:pPr>
              <w:ind w:left="80"/>
              <w:spacing w:after="0"/>
              <w:rPr>
                <w:sz w:val="20"/>
                <w:szCs w:val="20"/>
                <w:color w:val="auto"/>
              </w:rPr>
            </w:pPr>
            <w:r>
              <w:rPr>
                <w:rFonts w:ascii="Arial" w:cs="Arial" w:eastAsia="Arial" w:hAnsi="Arial"/>
                <w:sz w:val="13"/>
                <w:szCs w:val="13"/>
                <w:color w:val="auto"/>
              </w:rPr>
              <w:t>Mr. Martins</w:t>
            </w:r>
          </w:p>
        </w:tc>
        <w:tc>
          <w:tcPr>
            <w:tcW w:w="11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12/30/2022</w:t>
            </w:r>
          </w:p>
        </w:tc>
        <w:tc>
          <w:tcPr>
            <w:tcW w:w="540" w:type="dxa"/>
            <w:vAlign w:val="bottom"/>
            <w:shd w:val="clear" w:color="auto" w:fill="CCCCCC"/>
          </w:tcPr>
          <w:p>
            <w:pPr>
              <w:spacing w:after="0"/>
              <w:rPr>
                <w:sz w:val="18"/>
                <w:szCs w:val="18"/>
                <w:color w:val="auto"/>
              </w:rPr>
            </w:pPr>
          </w:p>
        </w:tc>
        <w:tc>
          <w:tcPr>
            <w:tcW w:w="1720" w:type="dxa"/>
            <w:vAlign w:val="bottom"/>
            <w:shd w:val="clear" w:color="auto" w:fill="CCCCCC"/>
          </w:tcPr>
          <w:p>
            <w:pPr>
              <w:jc w:val="right"/>
              <w:ind w:right="474"/>
              <w:spacing w:after="0"/>
              <w:rPr>
                <w:sz w:val="20"/>
                <w:szCs w:val="20"/>
                <w:color w:val="auto"/>
              </w:rPr>
            </w:pPr>
            <w:r>
              <w:rPr>
                <w:rFonts w:ascii="Arial" w:cs="Arial" w:eastAsia="Arial" w:hAnsi="Arial"/>
                <w:sz w:val="13"/>
                <w:szCs w:val="13"/>
                <w:color w:val="auto"/>
              </w:rPr>
              <w:t>9,150(b)</w:t>
            </w:r>
          </w:p>
        </w:tc>
        <w:tc>
          <w:tcPr>
            <w:tcW w:w="1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1,499,960</w:t>
            </w:r>
          </w:p>
        </w:tc>
        <w:tc>
          <w:tcPr>
            <w:tcW w:w="2280" w:type="dxa"/>
            <w:vAlign w:val="bottom"/>
            <w:shd w:val="clear" w:color="auto" w:fill="CCCCCC"/>
          </w:tcPr>
          <w:p>
            <w:pPr>
              <w:jc w:val="right"/>
              <w:ind w:right="593"/>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CCCC"/>
          </w:tcPr>
          <w:p>
            <w:pPr>
              <w:jc w:val="right"/>
              <w:ind w:right="53"/>
              <w:spacing w:after="0"/>
              <w:rPr>
                <w:sz w:val="20"/>
                <w:szCs w:val="20"/>
                <w:color w:val="auto"/>
              </w:rPr>
            </w:pPr>
            <w:r>
              <w:rPr>
                <w:rFonts w:ascii="Arial" w:cs="Arial" w:eastAsia="Arial" w:hAnsi="Arial"/>
                <w:sz w:val="13"/>
                <w:szCs w:val="13"/>
                <w:color w:val="auto"/>
              </w:rPr>
              <w:t>—</w:t>
            </w:r>
          </w:p>
        </w:tc>
      </w:tr>
      <w:tr>
        <w:trPr>
          <w:trHeight w:val="270"/>
        </w:trPr>
        <w:tc>
          <w:tcPr>
            <w:tcW w:w="1620" w:type="dxa"/>
            <w:vAlign w:val="bottom"/>
            <w:shd w:val="clear" w:color="auto" w:fill="CCCCCC"/>
          </w:tcPr>
          <w:p>
            <w:pPr>
              <w:spacing w:after="0"/>
              <w:rPr>
                <w:sz w:val="23"/>
                <w:szCs w:val="23"/>
                <w:color w:val="auto"/>
              </w:rPr>
            </w:pPr>
          </w:p>
        </w:tc>
        <w:tc>
          <w:tcPr>
            <w:tcW w:w="11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3/9/2022</w:t>
            </w:r>
          </w:p>
        </w:tc>
        <w:tc>
          <w:tcPr>
            <w:tcW w:w="540" w:type="dxa"/>
            <w:vAlign w:val="bottom"/>
            <w:shd w:val="clear" w:color="auto" w:fill="CCCCCC"/>
          </w:tcPr>
          <w:p>
            <w:pPr>
              <w:spacing w:after="0"/>
              <w:rPr>
                <w:sz w:val="23"/>
                <w:szCs w:val="23"/>
                <w:color w:val="auto"/>
              </w:rPr>
            </w:pPr>
          </w:p>
        </w:tc>
        <w:tc>
          <w:tcPr>
            <w:tcW w:w="1720" w:type="dxa"/>
            <w:vAlign w:val="bottom"/>
            <w:shd w:val="clear" w:color="auto" w:fill="CCCCCC"/>
          </w:tcPr>
          <w:p>
            <w:pPr>
              <w:jc w:val="right"/>
              <w:ind w:right="494"/>
              <w:spacing w:after="0"/>
              <w:rPr>
                <w:sz w:val="20"/>
                <w:szCs w:val="20"/>
                <w:color w:val="auto"/>
              </w:rPr>
            </w:pPr>
            <w:r>
              <w:rPr>
                <w:rFonts w:ascii="Arial" w:cs="Arial" w:eastAsia="Arial" w:hAnsi="Arial"/>
                <w:sz w:val="13"/>
                <w:szCs w:val="13"/>
                <w:color w:val="auto"/>
              </w:rPr>
              <w:t>2,311(c)</w:t>
            </w:r>
          </w:p>
        </w:tc>
        <w:tc>
          <w:tcPr>
            <w:tcW w:w="1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378,842</w:t>
            </w:r>
          </w:p>
        </w:tc>
        <w:tc>
          <w:tcPr>
            <w:tcW w:w="2280" w:type="dxa"/>
            <w:vAlign w:val="bottom"/>
            <w:shd w:val="clear" w:color="auto" w:fill="CCCCCC"/>
          </w:tcPr>
          <w:p>
            <w:pPr>
              <w:jc w:val="right"/>
              <w:ind w:right="533"/>
              <w:spacing w:after="0"/>
              <w:rPr>
                <w:sz w:val="20"/>
                <w:szCs w:val="20"/>
                <w:color w:val="auto"/>
              </w:rPr>
            </w:pPr>
            <w:r>
              <w:rPr>
                <w:rFonts w:ascii="Arial" w:cs="Arial" w:eastAsia="Arial" w:hAnsi="Arial"/>
                <w:sz w:val="13"/>
                <w:szCs w:val="13"/>
                <w:color w:val="auto"/>
              </w:rPr>
              <w:t>2,311(i)</w:t>
            </w:r>
          </w:p>
        </w:tc>
        <w:tc>
          <w:tcPr>
            <w:tcW w:w="1340" w:type="dxa"/>
            <w:vAlign w:val="bottom"/>
            <w:shd w:val="clear" w:color="auto" w:fill="CCCCCC"/>
          </w:tcPr>
          <w:p>
            <w:pPr>
              <w:jc w:val="right"/>
              <w:ind w:right="53"/>
              <w:spacing w:after="0"/>
              <w:rPr>
                <w:sz w:val="20"/>
                <w:szCs w:val="20"/>
                <w:color w:val="auto"/>
              </w:rPr>
            </w:pPr>
            <w:r>
              <w:rPr>
                <w:rFonts w:ascii="Arial" w:cs="Arial" w:eastAsia="Arial" w:hAnsi="Arial"/>
                <w:sz w:val="13"/>
                <w:szCs w:val="13"/>
                <w:color w:val="auto"/>
              </w:rPr>
              <w:t>378,842</w:t>
            </w:r>
          </w:p>
        </w:tc>
      </w:tr>
      <w:tr>
        <w:trPr>
          <w:trHeight w:val="270"/>
        </w:trPr>
        <w:tc>
          <w:tcPr>
            <w:tcW w:w="1620" w:type="dxa"/>
            <w:vAlign w:val="bottom"/>
            <w:shd w:val="clear" w:color="auto" w:fill="CCCCCC"/>
          </w:tcPr>
          <w:p>
            <w:pPr>
              <w:spacing w:after="0"/>
              <w:rPr>
                <w:sz w:val="23"/>
                <w:szCs w:val="23"/>
                <w:color w:val="auto"/>
              </w:rPr>
            </w:pPr>
          </w:p>
        </w:tc>
        <w:tc>
          <w:tcPr>
            <w:tcW w:w="11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3/9/2021</w:t>
            </w:r>
          </w:p>
        </w:tc>
        <w:tc>
          <w:tcPr>
            <w:tcW w:w="540" w:type="dxa"/>
            <w:vAlign w:val="bottom"/>
            <w:shd w:val="clear" w:color="auto" w:fill="CCCCCC"/>
          </w:tcPr>
          <w:p>
            <w:pPr>
              <w:spacing w:after="0"/>
              <w:rPr>
                <w:sz w:val="23"/>
                <w:szCs w:val="23"/>
                <w:color w:val="auto"/>
              </w:rPr>
            </w:pPr>
          </w:p>
        </w:tc>
        <w:tc>
          <w:tcPr>
            <w:tcW w:w="1720" w:type="dxa"/>
            <w:vAlign w:val="bottom"/>
            <w:shd w:val="clear" w:color="auto" w:fill="CCCCCC"/>
          </w:tcPr>
          <w:p>
            <w:pPr>
              <w:jc w:val="right"/>
              <w:ind w:right="474"/>
              <w:spacing w:after="0"/>
              <w:rPr>
                <w:sz w:val="20"/>
                <w:szCs w:val="20"/>
                <w:color w:val="auto"/>
              </w:rPr>
            </w:pPr>
            <w:r>
              <w:rPr>
                <w:rFonts w:ascii="Arial" w:cs="Arial" w:eastAsia="Arial" w:hAnsi="Arial"/>
                <w:sz w:val="13"/>
                <w:szCs w:val="13"/>
                <w:color w:val="auto"/>
              </w:rPr>
              <w:t>4,283(d)</w:t>
            </w:r>
          </w:p>
        </w:tc>
        <w:tc>
          <w:tcPr>
            <w:tcW w:w="1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702,112</w:t>
            </w:r>
          </w:p>
        </w:tc>
        <w:tc>
          <w:tcPr>
            <w:tcW w:w="2280" w:type="dxa"/>
            <w:vAlign w:val="bottom"/>
            <w:shd w:val="clear" w:color="auto" w:fill="CCCCCC"/>
          </w:tcPr>
          <w:p>
            <w:pPr>
              <w:jc w:val="right"/>
              <w:ind w:right="513"/>
              <w:spacing w:after="0"/>
              <w:rPr>
                <w:sz w:val="20"/>
                <w:szCs w:val="20"/>
                <w:color w:val="auto"/>
              </w:rPr>
            </w:pPr>
            <w:r>
              <w:rPr>
                <w:rFonts w:ascii="Arial" w:cs="Arial" w:eastAsia="Arial" w:hAnsi="Arial"/>
                <w:sz w:val="13"/>
                <w:szCs w:val="13"/>
                <w:color w:val="auto"/>
              </w:rPr>
              <w:t>9,636(j)</w:t>
            </w:r>
          </w:p>
        </w:tc>
        <w:tc>
          <w:tcPr>
            <w:tcW w:w="1340" w:type="dxa"/>
            <w:vAlign w:val="bottom"/>
            <w:shd w:val="clear" w:color="auto" w:fill="CCCCCC"/>
          </w:tcPr>
          <w:p>
            <w:pPr>
              <w:jc w:val="right"/>
              <w:ind w:right="53"/>
              <w:spacing w:after="0"/>
              <w:rPr>
                <w:sz w:val="20"/>
                <w:szCs w:val="20"/>
                <w:color w:val="auto"/>
              </w:rPr>
            </w:pPr>
            <w:r>
              <w:rPr>
                <w:rFonts w:ascii="Arial" w:cs="Arial" w:eastAsia="Arial" w:hAnsi="Arial"/>
                <w:sz w:val="13"/>
                <w:szCs w:val="13"/>
                <w:color w:val="auto"/>
              </w:rPr>
              <w:t>1,579,629</w:t>
            </w:r>
          </w:p>
        </w:tc>
      </w:tr>
      <w:tr>
        <w:trPr>
          <w:trHeight w:val="278"/>
        </w:trPr>
        <w:tc>
          <w:tcPr>
            <w:tcW w:w="1620" w:type="dxa"/>
            <w:vAlign w:val="bottom"/>
            <w:tcBorders>
              <w:bottom w:val="single" w:sz="8" w:color="auto"/>
            </w:tcBorders>
            <w:shd w:val="clear" w:color="auto" w:fill="CCCCCC"/>
          </w:tcPr>
          <w:p>
            <w:pPr>
              <w:spacing w:after="0"/>
              <w:rPr>
                <w:sz w:val="24"/>
                <w:szCs w:val="24"/>
                <w:color w:val="auto"/>
              </w:rPr>
            </w:pPr>
          </w:p>
        </w:tc>
        <w:tc>
          <w:tcPr>
            <w:tcW w:w="11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3/9/2020</w:t>
            </w:r>
          </w:p>
        </w:tc>
        <w:tc>
          <w:tcPr>
            <w:tcW w:w="540" w:type="dxa"/>
            <w:vAlign w:val="bottom"/>
            <w:tcBorders>
              <w:bottom w:val="single" w:sz="8" w:color="auto"/>
            </w:tcBorders>
            <w:shd w:val="clear" w:color="auto" w:fill="CCCCCC"/>
          </w:tcPr>
          <w:p>
            <w:pPr>
              <w:spacing w:after="0"/>
              <w:rPr>
                <w:sz w:val="24"/>
                <w:szCs w:val="24"/>
                <w:color w:val="auto"/>
              </w:rPr>
            </w:pPr>
          </w:p>
        </w:tc>
        <w:tc>
          <w:tcPr>
            <w:tcW w:w="1720" w:type="dxa"/>
            <w:vAlign w:val="bottom"/>
            <w:tcBorders>
              <w:bottom w:val="single" w:sz="8" w:color="auto"/>
            </w:tcBorders>
            <w:shd w:val="clear" w:color="auto" w:fill="CCCCCC"/>
          </w:tcPr>
          <w:p>
            <w:pPr>
              <w:jc w:val="right"/>
              <w:ind w:right="474"/>
              <w:spacing w:after="0"/>
              <w:rPr>
                <w:sz w:val="20"/>
                <w:szCs w:val="20"/>
                <w:color w:val="auto"/>
              </w:rPr>
            </w:pPr>
            <w:r>
              <w:rPr>
                <w:rFonts w:ascii="Arial" w:cs="Arial" w:eastAsia="Arial" w:hAnsi="Arial"/>
                <w:sz w:val="13"/>
                <w:szCs w:val="13"/>
                <w:color w:val="auto"/>
              </w:rPr>
              <w:t>3,596(e)</w:t>
            </w:r>
          </w:p>
        </w:tc>
        <w:tc>
          <w:tcPr>
            <w:tcW w:w="12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589,492</w:t>
            </w:r>
          </w:p>
        </w:tc>
        <w:tc>
          <w:tcPr>
            <w:tcW w:w="2280" w:type="dxa"/>
            <w:vAlign w:val="bottom"/>
            <w:tcBorders>
              <w:bottom w:val="single" w:sz="8" w:color="auto"/>
            </w:tcBorders>
            <w:shd w:val="clear" w:color="auto" w:fill="CCCCCC"/>
          </w:tcPr>
          <w:p>
            <w:pPr>
              <w:jc w:val="right"/>
              <w:ind w:right="493"/>
              <w:spacing w:after="0"/>
              <w:rPr>
                <w:sz w:val="20"/>
                <w:szCs w:val="20"/>
                <w:color w:val="auto"/>
              </w:rPr>
            </w:pPr>
            <w:r>
              <w:rPr>
                <w:rFonts w:ascii="Arial" w:cs="Arial" w:eastAsia="Arial" w:hAnsi="Arial"/>
                <w:sz w:val="13"/>
                <w:szCs w:val="13"/>
                <w:color w:val="auto"/>
              </w:rPr>
              <w:t>9,246(k)</w:t>
            </w:r>
          </w:p>
        </w:tc>
        <w:tc>
          <w:tcPr>
            <w:tcW w:w="1340" w:type="dxa"/>
            <w:vAlign w:val="bottom"/>
            <w:tcBorders>
              <w:bottom w:val="single" w:sz="8" w:color="auto"/>
            </w:tcBorders>
            <w:shd w:val="clear" w:color="auto" w:fill="CCCCCC"/>
          </w:tcPr>
          <w:p>
            <w:pPr>
              <w:jc w:val="right"/>
              <w:ind w:right="53"/>
              <w:spacing w:after="0"/>
              <w:rPr>
                <w:sz w:val="20"/>
                <w:szCs w:val="20"/>
                <w:color w:val="auto"/>
              </w:rPr>
            </w:pPr>
            <w:r>
              <w:rPr>
                <w:rFonts w:ascii="Arial" w:cs="Arial" w:eastAsia="Arial" w:hAnsi="Arial"/>
                <w:sz w:val="13"/>
                <w:szCs w:val="13"/>
                <w:color w:val="auto"/>
              </w:rPr>
              <w:t>1,515,697</w:t>
            </w:r>
          </w:p>
        </w:tc>
      </w:tr>
    </w:tbl>
    <w:p>
      <w:pPr>
        <w:spacing w:after="0" w:line="153" w:lineRule="exact"/>
        <w:rPr>
          <w:sz w:val="20"/>
          <w:szCs w:val="20"/>
          <w:color w:val="auto"/>
        </w:rPr>
      </w:pPr>
    </w:p>
    <w:p>
      <w:pPr>
        <w:jc w:val="both"/>
        <w:ind w:left="940" w:right="600" w:hanging="350"/>
        <w:spacing w:after="0" w:line="263" w:lineRule="auto"/>
        <w:tabs>
          <w:tab w:leader="none" w:pos="9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Stock awards include RSUs and PSUs. Values are based on the closing price of our Common Stock on December 30, 2022 of $163.93. For PSUs where performance levels have been achieved but remained unvested as of December 31, 2022, the number of shares shown as outstanding reflect the actual achievement. Notes (b)-(l) are set forth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Award</w:t>
            </w:r>
          </w:p>
        </w:tc>
        <w:tc>
          <w:tcPr>
            <w:tcW w:w="8960" w:type="dxa"/>
            <w:vAlign w:val="bottom"/>
          </w:tcPr>
          <w:p>
            <w:pPr>
              <w:ind w:left="200"/>
              <w:spacing w:after="0"/>
              <w:rPr>
                <w:sz w:val="20"/>
                <w:szCs w:val="20"/>
                <w:color w:val="auto"/>
              </w:rPr>
            </w:pPr>
            <w:r>
              <w:rPr>
                <w:rFonts w:ascii="Arial" w:cs="Arial" w:eastAsia="Arial" w:hAnsi="Arial"/>
                <w:sz w:val="14"/>
                <w:szCs w:val="14"/>
                <w:b w:val="1"/>
                <w:bCs w:val="1"/>
                <w:color w:val="auto"/>
              </w:rPr>
              <w:t>Scheduled Vesting</w:t>
            </w:r>
          </w:p>
        </w:tc>
      </w:tr>
      <w:tr>
        <w:trPr>
          <w:trHeight w:val="291"/>
        </w:trPr>
        <w:tc>
          <w:tcPr>
            <w:tcW w:w="1140" w:type="dxa"/>
            <w:vAlign w:val="bottom"/>
          </w:tcPr>
          <w:p>
            <w:pPr>
              <w:ind w:left="680"/>
              <w:spacing w:after="0"/>
              <w:rPr>
                <w:sz w:val="20"/>
                <w:szCs w:val="20"/>
                <w:color w:val="auto"/>
              </w:rPr>
            </w:pPr>
            <w:r>
              <w:rPr>
                <w:rFonts w:ascii="Arial" w:cs="Arial" w:eastAsia="Arial" w:hAnsi="Arial"/>
                <w:sz w:val="14"/>
                <w:szCs w:val="14"/>
                <w:color w:val="auto"/>
              </w:rPr>
              <w:t>(b)</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December 30, 2025</w:t>
            </w:r>
          </w:p>
        </w:tc>
      </w:tr>
      <w:tr>
        <w:trPr>
          <w:trHeight w:val="270"/>
        </w:trPr>
        <w:tc>
          <w:tcPr>
            <w:tcW w:w="1140" w:type="dxa"/>
            <w:vAlign w:val="bottom"/>
          </w:tcPr>
          <w:p>
            <w:pPr>
              <w:ind w:left="680"/>
              <w:spacing w:after="0"/>
              <w:rPr>
                <w:sz w:val="20"/>
                <w:szCs w:val="20"/>
                <w:color w:val="auto"/>
              </w:rPr>
            </w:pPr>
            <w:r>
              <w:rPr>
                <w:rFonts w:ascii="Arial" w:cs="Arial" w:eastAsia="Arial" w:hAnsi="Arial"/>
                <w:sz w:val="14"/>
                <w:szCs w:val="14"/>
                <w:color w:val="auto"/>
              </w:rPr>
              <w:t>(c)</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Three equal installments on March 9, 2023, 2024, and 2025.</w:t>
            </w:r>
          </w:p>
        </w:tc>
      </w:tr>
      <w:tr>
        <w:trPr>
          <w:trHeight w:val="270"/>
        </w:trPr>
        <w:tc>
          <w:tcPr>
            <w:tcW w:w="1140" w:type="dxa"/>
            <w:vAlign w:val="bottom"/>
          </w:tcPr>
          <w:p>
            <w:pPr>
              <w:ind w:left="680"/>
              <w:spacing w:after="0"/>
              <w:rPr>
                <w:sz w:val="20"/>
                <w:szCs w:val="20"/>
                <w:color w:val="auto"/>
              </w:rPr>
            </w:pPr>
            <w:r>
              <w:rPr>
                <w:rFonts w:ascii="Arial" w:cs="Arial" w:eastAsia="Arial" w:hAnsi="Arial"/>
                <w:sz w:val="14"/>
                <w:szCs w:val="14"/>
                <w:color w:val="auto"/>
              </w:rPr>
              <w:t>(d)</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Two equal installments on March 9, 2023 and 2024.</w:t>
            </w:r>
          </w:p>
        </w:tc>
      </w:tr>
      <w:tr>
        <w:trPr>
          <w:trHeight w:val="270"/>
        </w:trPr>
        <w:tc>
          <w:tcPr>
            <w:tcW w:w="1140" w:type="dxa"/>
            <w:vAlign w:val="bottom"/>
          </w:tcPr>
          <w:p>
            <w:pPr>
              <w:ind w:left="680"/>
              <w:spacing w:after="0"/>
              <w:rPr>
                <w:sz w:val="20"/>
                <w:szCs w:val="20"/>
                <w:color w:val="auto"/>
              </w:rPr>
            </w:pPr>
            <w:r>
              <w:rPr>
                <w:rFonts w:ascii="Arial" w:cs="Arial" w:eastAsia="Arial" w:hAnsi="Arial"/>
                <w:sz w:val="14"/>
                <w:szCs w:val="14"/>
                <w:color w:val="auto"/>
              </w:rPr>
              <w:t>(e)</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March 9, 2023</w:t>
            </w:r>
          </w:p>
        </w:tc>
      </w:tr>
      <w:tr>
        <w:trPr>
          <w:trHeight w:val="270"/>
        </w:trPr>
        <w:tc>
          <w:tcPr>
            <w:tcW w:w="1140" w:type="dxa"/>
            <w:vAlign w:val="bottom"/>
          </w:tcPr>
          <w:p>
            <w:pPr>
              <w:ind w:left="680"/>
              <w:spacing w:after="0"/>
              <w:rPr>
                <w:sz w:val="20"/>
                <w:szCs w:val="20"/>
                <w:color w:val="auto"/>
              </w:rPr>
            </w:pPr>
            <w:r>
              <w:rPr>
                <w:rFonts w:ascii="Arial" w:cs="Arial" w:eastAsia="Arial" w:hAnsi="Arial"/>
                <w:sz w:val="14"/>
                <w:szCs w:val="14"/>
                <w:color w:val="auto"/>
              </w:rPr>
              <w:t>(f)</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August 31, 2023</w:t>
            </w:r>
          </w:p>
        </w:tc>
      </w:tr>
      <w:tr>
        <w:trPr>
          <w:trHeight w:val="270"/>
        </w:trPr>
        <w:tc>
          <w:tcPr>
            <w:tcW w:w="1140" w:type="dxa"/>
            <w:vAlign w:val="bottom"/>
          </w:tcPr>
          <w:p>
            <w:pPr>
              <w:ind w:left="680"/>
              <w:spacing w:after="0"/>
              <w:rPr>
                <w:sz w:val="20"/>
                <w:szCs w:val="20"/>
                <w:color w:val="auto"/>
              </w:rPr>
            </w:pPr>
            <w:r>
              <w:rPr>
                <w:rFonts w:ascii="Arial" w:cs="Arial" w:eastAsia="Arial" w:hAnsi="Arial"/>
                <w:sz w:val="14"/>
                <w:szCs w:val="14"/>
                <w:color w:val="auto"/>
              </w:rPr>
              <w:t>(g)</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June 30, 2023</w:t>
            </w:r>
          </w:p>
        </w:tc>
      </w:tr>
      <w:tr>
        <w:trPr>
          <w:trHeight w:val="270"/>
        </w:trPr>
        <w:tc>
          <w:tcPr>
            <w:tcW w:w="1140" w:type="dxa"/>
            <w:vAlign w:val="bottom"/>
          </w:tcPr>
          <w:p>
            <w:pPr>
              <w:ind w:left="680"/>
              <w:spacing w:after="0"/>
              <w:rPr>
                <w:sz w:val="20"/>
                <w:szCs w:val="20"/>
                <w:color w:val="auto"/>
              </w:rPr>
            </w:pPr>
            <w:r>
              <w:rPr>
                <w:rFonts w:ascii="Arial" w:cs="Arial" w:eastAsia="Arial" w:hAnsi="Arial"/>
                <w:sz w:val="14"/>
                <w:szCs w:val="14"/>
                <w:color w:val="auto"/>
              </w:rPr>
              <w:t>(h)</w:t>
            </w:r>
          </w:p>
        </w:tc>
        <w:tc>
          <w:tcPr>
            <w:tcW w:w="92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506 on July 26, 2023, 17,384 on July 26, 2024, 507 on July 26, 2025, and 16,878 on July 26, 2026</w:t>
            </w:r>
          </w:p>
        </w:tc>
      </w:tr>
      <w:tr>
        <w:trPr>
          <w:trHeight w:val="242"/>
        </w:trPr>
        <w:tc>
          <w:tcPr>
            <w:tcW w:w="1140" w:type="dxa"/>
            <w:vAlign w:val="bottom"/>
          </w:tcPr>
          <w:p>
            <w:pPr>
              <w:ind w:left="680"/>
              <w:spacing w:after="0"/>
              <w:rPr>
                <w:sz w:val="20"/>
                <w:szCs w:val="20"/>
                <w:color w:val="auto"/>
              </w:rPr>
            </w:pPr>
            <w:r>
              <w:rPr>
                <w:rFonts w:ascii="Arial" w:cs="Arial" w:eastAsia="Arial" w:hAnsi="Arial"/>
                <w:sz w:val="14"/>
                <w:szCs w:val="14"/>
                <w:color w:val="auto"/>
              </w:rPr>
              <w:t>(i)</w:t>
            </w:r>
          </w:p>
        </w:tc>
        <w:tc>
          <w:tcPr>
            <w:tcW w:w="920" w:type="dxa"/>
            <w:vAlign w:val="bottom"/>
          </w:tcPr>
          <w:p>
            <w:pPr>
              <w:ind w:left="280"/>
              <w:spacing w:after="0"/>
              <w:rPr>
                <w:sz w:val="20"/>
                <w:szCs w:val="20"/>
                <w:color w:val="auto"/>
              </w:rPr>
            </w:pPr>
            <w:r>
              <w:rPr>
                <w:rFonts w:ascii="Arial" w:cs="Arial" w:eastAsia="Arial" w:hAnsi="Arial"/>
                <w:sz w:val="14"/>
                <w:szCs w:val="14"/>
                <w:color w:val="auto"/>
              </w:rPr>
              <w:t>PSUs</w:t>
            </w:r>
          </w:p>
        </w:tc>
        <w:tc>
          <w:tcPr>
            <w:tcW w:w="8960" w:type="dxa"/>
            <w:vAlign w:val="bottom"/>
          </w:tcPr>
          <w:p>
            <w:pPr>
              <w:ind w:left="200"/>
              <w:spacing w:after="0"/>
              <w:rPr>
                <w:sz w:val="20"/>
                <w:szCs w:val="20"/>
                <w:color w:val="auto"/>
              </w:rPr>
            </w:pPr>
            <w:r>
              <w:rPr>
                <w:rFonts w:ascii="Arial" w:cs="Arial" w:eastAsia="Arial" w:hAnsi="Arial"/>
                <w:sz w:val="14"/>
                <w:szCs w:val="14"/>
                <w:color w:val="auto"/>
              </w:rPr>
              <w:t>March 9, 2025 (or July 26, 2025 in the case of Mr. Simhambhatla’s award), based on three-year cumulative Adjusted EBITDA</w:t>
            </w:r>
          </w:p>
        </w:tc>
      </w:tr>
      <w:tr>
        <w:trPr>
          <w:trHeight w:val="190"/>
        </w:trPr>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960" w:type="dxa"/>
            <w:vAlign w:val="bottom"/>
          </w:tcPr>
          <w:p>
            <w:pPr>
              <w:ind w:left="200"/>
              <w:spacing w:after="0"/>
              <w:rPr>
                <w:sz w:val="20"/>
                <w:szCs w:val="20"/>
                <w:color w:val="auto"/>
              </w:rPr>
            </w:pPr>
            <w:r>
              <w:rPr>
                <w:rFonts w:ascii="Arial" w:cs="Arial" w:eastAsia="Arial" w:hAnsi="Arial"/>
                <w:sz w:val="14"/>
                <w:szCs w:val="14"/>
                <w:color w:val="auto"/>
              </w:rPr>
              <w:t>(75% weighting) and a variable cost metric (25% weighting), as discussed in the CD&amp;A.</w:t>
            </w:r>
          </w:p>
        </w:tc>
      </w:tr>
      <w:tr>
        <w:trPr>
          <w:trHeight w:val="242"/>
        </w:trPr>
        <w:tc>
          <w:tcPr>
            <w:tcW w:w="1140" w:type="dxa"/>
            <w:vAlign w:val="bottom"/>
          </w:tcPr>
          <w:p>
            <w:pPr>
              <w:ind w:left="680"/>
              <w:spacing w:after="0"/>
              <w:rPr>
                <w:sz w:val="20"/>
                <w:szCs w:val="20"/>
                <w:color w:val="auto"/>
              </w:rPr>
            </w:pPr>
            <w:r>
              <w:rPr>
                <w:rFonts w:ascii="Arial" w:cs="Arial" w:eastAsia="Arial" w:hAnsi="Arial"/>
                <w:sz w:val="14"/>
                <w:szCs w:val="14"/>
                <w:color w:val="auto"/>
              </w:rPr>
              <w:t>(j)</w:t>
            </w:r>
          </w:p>
        </w:tc>
        <w:tc>
          <w:tcPr>
            <w:tcW w:w="920" w:type="dxa"/>
            <w:vAlign w:val="bottom"/>
          </w:tcPr>
          <w:p>
            <w:pPr>
              <w:ind w:left="280"/>
              <w:spacing w:after="0"/>
              <w:rPr>
                <w:sz w:val="20"/>
                <w:szCs w:val="20"/>
                <w:color w:val="auto"/>
              </w:rPr>
            </w:pPr>
            <w:r>
              <w:rPr>
                <w:rFonts w:ascii="Arial" w:cs="Arial" w:eastAsia="Arial" w:hAnsi="Arial"/>
                <w:sz w:val="14"/>
                <w:szCs w:val="14"/>
                <w:color w:val="auto"/>
              </w:rPr>
              <w:t>PSUs</w:t>
            </w:r>
          </w:p>
        </w:tc>
        <w:tc>
          <w:tcPr>
            <w:tcW w:w="8960" w:type="dxa"/>
            <w:vAlign w:val="bottom"/>
          </w:tcPr>
          <w:p>
            <w:pPr>
              <w:ind w:left="200"/>
              <w:spacing w:after="0"/>
              <w:rPr>
                <w:sz w:val="20"/>
                <w:szCs w:val="20"/>
                <w:color w:val="auto"/>
              </w:rPr>
            </w:pPr>
            <w:r>
              <w:rPr>
                <w:rFonts w:ascii="Arial" w:cs="Arial" w:eastAsia="Arial" w:hAnsi="Arial"/>
                <w:sz w:val="14"/>
                <w:szCs w:val="14"/>
                <w:color w:val="auto"/>
              </w:rPr>
              <w:t>March 9, 2024, based on highest one-year Adjusted EBITDA performance during the performance period, and disclosed above</w:t>
            </w:r>
          </w:p>
        </w:tc>
      </w:tr>
      <w:tr>
        <w:trPr>
          <w:trHeight w:val="162"/>
        </w:trPr>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960" w:type="dxa"/>
            <w:vAlign w:val="bottom"/>
          </w:tcPr>
          <w:p>
            <w:pPr>
              <w:ind w:left="200"/>
              <w:spacing w:after="0"/>
              <w:rPr>
                <w:sz w:val="20"/>
                <w:szCs w:val="20"/>
                <w:color w:val="auto"/>
              </w:rPr>
            </w:pPr>
            <w:r>
              <w:rPr>
                <w:rFonts w:ascii="Arial" w:cs="Arial" w:eastAsia="Arial" w:hAnsi="Arial"/>
                <w:sz w:val="14"/>
                <w:szCs w:val="14"/>
                <w:color w:val="auto"/>
              </w:rPr>
              <w:t>at maximum value as performance goals were achieved at the maximum vesting level (150% of target for NEOs other than</w:t>
            </w:r>
          </w:p>
        </w:tc>
      </w:tr>
      <w:tr>
        <w:trPr>
          <w:trHeight w:val="190"/>
        </w:trPr>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960" w:type="dxa"/>
            <w:vAlign w:val="bottom"/>
          </w:tcPr>
          <w:p>
            <w:pPr>
              <w:ind w:left="200"/>
              <w:spacing w:after="0"/>
              <w:rPr>
                <w:sz w:val="20"/>
                <w:szCs w:val="20"/>
                <w:color w:val="auto"/>
              </w:rPr>
            </w:pPr>
            <w:r>
              <w:rPr>
                <w:rFonts w:ascii="Arial" w:cs="Arial" w:eastAsia="Arial" w:hAnsi="Arial"/>
                <w:sz w:val="14"/>
                <w:szCs w:val="14"/>
                <w:color w:val="auto"/>
              </w:rPr>
              <w:t>Mr. Hees whose award vesting was capped at 100%).</w:t>
            </w:r>
          </w:p>
        </w:tc>
      </w:tr>
      <w:tr>
        <w:trPr>
          <w:trHeight w:val="242"/>
        </w:trPr>
        <w:tc>
          <w:tcPr>
            <w:tcW w:w="1140" w:type="dxa"/>
            <w:vAlign w:val="bottom"/>
          </w:tcPr>
          <w:p>
            <w:pPr>
              <w:ind w:left="680"/>
              <w:spacing w:after="0"/>
              <w:rPr>
                <w:sz w:val="20"/>
                <w:szCs w:val="20"/>
                <w:color w:val="auto"/>
              </w:rPr>
            </w:pPr>
            <w:r>
              <w:rPr>
                <w:rFonts w:ascii="Arial" w:cs="Arial" w:eastAsia="Arial" w:hAnsi="Arial"/>
                <w:sz w:val="14"/>
                <w:szCs w:val="14"/>
                <w:color w:val="auto"/>
              </w:rPr>
              <w:t>(k)</w:t>
            </w:r>
          </w:p>
        </w:tc>
        <w:tc>
          <w:tcPr>
            <w:tcW w:w="920" w:type="dxa"/>
            <w:vAlign w:val="bottom"/>
          </w:tcPr>
          <w:p>
            <w:pPr>
              <w:ind w:left="280"/>
              <w:spacing w:after="0"/>
              <w:rPr>
                <w:sz w:val="20"/>
                <w:szCs w:val="20"/>
                <w:color w:val="auto"/>
              </w:rPr>
            </w:pPr>
            <w:r>
              <w:rPr>
                <w:rFonts w:ascii="Arial" w:cs="Arial" w:eastAsia="Arial" w:hAnsi="Arial"/>
                <w:sz w:val="14"/>
                <w:szCs w:val="14"/>
                <w:color w:val="auto"/>
              </w:rPr>
              <w:t>PSUs</w:t>
            </w:r>
          </w:p>
        </w:tc>
        <w:tc>
          <w:tcPr>
            <w:tcW w:w="8960" w:type="dxa"/>
            <w:vAlign w:val="bottom"/>
          </w:tcPr>
          <w:p>
            <w:pPr>
              <w:ind w:left="200"/>
              <w:spacing w:after="0"/>
              <w:rPr>
                <w:sz w:val="20"/>
                <w:szCs w:val="20"/>
                <w:color w:val="auto"/>
              </w:rPr>
            </w:pPr>
            <w:r>
              <w:rPr>
                <w:rFonts w:ascii="Arial" w:cs="Arial" w:eastAsia="Arial" w:hAnsi="Arial"/>
                <w:sz w:val="14"/>
                <w:szCs w:val="14"/>
                <w:color w:val="auto"/>
              </w:rPr>
              <w:t>March 9, 2023, based on three-year cumulative Adjusted EBITDA performance, and disclosed above at the maximum value as</w:t>
            </w:r>
          </w:p>
        </w:tc>
      </w:tr>
      <w:tr>
        <w:trPr>
          <w:trHeight w:val="190"/>
        </w:trPr>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960" w:type="dxa"/>
            <w:vAlign w:val="bottom"/>
          </w:tcPr>
          <w:p>
            <w:pPr>
              <w:ind w:left="200"/>
              <w:spacing w:after="0"/>
              <w:rPr>
                <w:sz w:val="20"/>
                <w:szCs w:val="20"/>
                <w:color w:val="auto"/>
              </w:rPr>
            </w:pPr>
            <w:r>
              <w:rPr>
                <w:rFonts w:ascii="Arial" w:cs="Arial" w:eastAsia="Arial" w:hAnsi="Arial"/>
                <w:sz w:val="14"/>
                <w:szCs w:val="14"/>
                <w:color w:val="auto"/>
              </w:rPr>
              <w:t>performance goals were achieved at the maximum vesting level (200% of target).</w:t>
            </w:r>
          </w:p>
        </w:tc>
      </w:tr>
      <w:tr>
        <w:trPr>
          <w:trHeight w:val="242"/>
        </w:trPr>
        <w:tc>
          <w:tcPr>
            <w:tcW w:w="1140" w:type="dxa"/>
            <w:vAlign w:val="bottom"/>
          </w:tcPr>
          <w:p>
            <w:pPr>
              <w:ind w:left="680"/>
              <w:spacing w:after="0"/>
              <w:rPr>
                <w:sz w:val="20"/>
                <w:szCs w:val="20"/>
                <w:color w:val="auto"/>
              </w:rPr>
            </w:pPr>
            <w:r>
              <w:rPr>
                <w:rFonts w:ascii="Arial" w:cs="Arial" w:eastAsia="Arial" w:hAnsi="Arial"/>
                <w:sz w:val="14"/>
                <w:szCs w:val="14"/>
                <w:color w:val="auto"/>
              </w:rPr>
              <w:t>(l)</w:t>
            </w:r>
          </w:p>
        </w:tc>
        <w:tc>
          <w:tcPr>
            <w:tcW w:w="920" w:type="dxa"/>
            <w:vAlign w:val="bottom"/>
          </w:tcPr>
          <w:p>
            <w:pPr>
              <w:ind w:left="280"/>
              <w:spacing w:after="0"/>
              <w:rPr>
                <w:sz w:val="20"/>
                <w:szCs w:val="20"/>
                <w:color w:val="auto"/>
              </w:rPr>
            </w:pPr>
            <w:r>
              <w:rPr>
                <w:rFonts w:ascii="Arial" w:cs="Arial" w:eastAsia="Arial" w:hAnsi="Arial"/>
                <w:sz w:val="14"/>
                <w:szCs w:val="14"/>
                <w:color w:val="auto"/>
              </w:rPr>
              <w:t>PSU</w:t>
            </w:r>
          </w:p>
        </w:tc>
        <w:tc>
          <w:tcPr>
            <w:tcW w:w="8960" w:type="dxa"/>
            <w:vAlign w:val="bottom"/>
          </w:tcPr>
          <w:p>
            <w:pPr>
              <w:ind w:left="200"/>
              <w:spacing w:after="0"/>
              <w:rPr>
                <w:sz w:val="20"/>
                <w:szCs w:val="20"/>
                <w:color w:val="auto"/>
              </w:rPr>
            </w:pPr>
            <w:r>
              <w:rPr>
                <w:rFonts w:ascii="Arial" w:cs="Arial" w:eastAsia="Arial" w:hAnsi="Arial"/>
                <w:sz w:val="14"/>
                <w:szCs w:val="14"/>
                <w:color w:val="auto"/>
              </w:rPr>
              <w:t>July 1, 2023, if the average closing price of the Company's common stock equals or exceeds $30.44 per share over any</w:t>
            </w:r>
          </w:p>
        </w:tc>
      </w:tr>
      <w:tr>
        <w:trPr>
          <w:trHeight w:val="190"/>
        </w:trPr>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960" w:type="dxa"/>
            <w:vAlign w:val="bottom"/>
          </w:tcPr>
          <w:p>
            <w:pPr>
              <w:ind w:left="200"/>
              <w:spacing w:after="0"/>
              <w:rPr>
                <w:sz w:val="20"/>
                <w:szCs w:val="20"/>
                <w:color w:val="auto"/>
              </w:rPr>
            </w:pPr>
            <w:r>
              <w:rPr>
                <w:rFonts w:ascii="Arial" w:cs="Arial" w:eastAsia="Arial" w:hAnsi="Arial"/>
                <w:sz w:val="14"/>
                <w:szCs w:val="14"/>
                <w:color w:val="auto"/>
              </w:rPr>
              <w:t>30 consecutive trading days during the period between the grant date and July 1, 2023.</w:t>
            </w:r>
          </w:p>
        </w:tc>
      </w:tr>
      <w:tr>
        <w:trPr>
          <w:trHeight w:val="552"/>
        </w:trPr>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60" w:type="dxa"/>
            <w:vAlign w:val="bottom"/>
          </w:tcPr>
          <w:p>
            <w:pPr>
              <w:ind w:left="3340"/>
              <w:spacing w:after="0"/>
              <w:rPr>
                <w:sz w:val="20"/>
                <w:szCs w:val="20"/>
                <w:color w:val="auto"/>
              </w:rPr>
            </w:pPr>
            <w:r>
              <w:rPr>
                <w:rFonts w:ascii="Arial" w:cs="Arial" w:eastAsia="Arial" w:hAnsi="Arial"/>
                <w:sz w:val="18"/>
                <w:szCs w:val="18"/>
                <w:color w:val="auto"/>
              </w:rPr>
              <w:t>36</w:t>
            </w:r>
          </w:p>
        </w:tc>
      </w:tr>
      <w:tr>
        <w:trPr>
          <w:trHeight w:val="219"/>
        </w:trPr>
        <w:tc>
          <w:tcPr>
            <w:tcW w:w="1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9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2022 Option Exercises and Stock Vested Table</w:t>
      </w:r>
    </w:p>
    <w:p>
      <w:pPr>
        <w:spacing w:after="0" w:line="164"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The following table reflects information regarding vesting of our stock awards during fiscal 2022. There were no stock options outstanding or exercised.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36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 Awards</w:t>
            </w:r>
          </w:p>
        </w:tc>
      </w:tr>
      <w:tr>
        <w:trPr>
          <w:trHeight w:val="43"/>
        </w:trPr>
        <w:tc>
          <w:tcPr>
            <w:tcW w:w="64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14"/>
        </w:trPr>
        <w:tc>
          <w:tcPr>
            <w:tcW w:w="6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2"/>
        </w:trPr>
        <w:tc>
          <w:tcPr>
            <w:tcW w:w="6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360" w:type="dxa"/>
            <w:vAlign w:val="bottom"/>
            <w:gridSpan w:val="2"/>
          </w:tcPr>
          <w:p>
            <w:pPr>
              <w:jc w:val="center"/>
              <w:ind w:left="1408"/>
              <w:spacing w:after="0"/>
              <w:rPr>
                <w:sz w:val="20"/>
                <w:szCs w:val="20"/>
                <w:color w:val="auto"/>
              </w:rPr>
            </w:pPr>
            <w:r>
              <w:rPr>
                <w:rFonts w:ascii="Arial" w:cs="Arial" w:eastAsia="Arial" w:hAnsi="Arial"/>
                <w:sz w:val="14"/>
                <w:szCs w:val="14"/>
                <w:b w:val="1"/>
                <w:bCs w:val="1"/>
                <w:color w:val="auto"/>
                <w:w w:val="96"/>
              </w:rPr>
              <w:t>Value</w:t>
            </w:r>
          </w:p>
        </w:tc>
      </w:tr>
      <w:tr>
        <w:trPr>
          <w:trHeight w:val="162"/>
        </w:trPr>
        <w:tc>
          <w:tcPr>
            <w:tcW w:w="6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Acquired on</w:t>
            </w:r>
          </w:p>
        </w:tc>
        <w:tc>
          <w:tcPr>
            <w:tcW w:w="2360" w:type="dxa"/>
            <w:vAlign w:val="bottom"/>
            <w:gridSpan w:val="2"/>
          </w:tcPr>
          <w:p>
            <w:pPr>
              <w:jc w:val="center"/>
              <w:ind w:left="1408"/>
              <w:spacing w:after="0"/>
              <w:rPr>
                <w:sz w:val="20"/>
                <w:szCs w:val="20"/>
                <w:color w:val="auto"/>
              </w:rPr>
            </w:pPr>
            <w:r>
              <w:rPr>
                <w:rFonts w:ascii="Arial" w:cs="Arial" w:eastAsia="Arial" w:hAnsi="Arial"/>
                <w:sz w:val="14"/>
                <w:szCs w:val="14"/>
                <w:b w:val="1"/>
                <w:bCs w:val="1"/>
                <w:color w:val="auto"/>
              </w:rPr>
              <w:t>Realized</w:t>
            </w:r>
          </w:p>
        </w:tc>
      </w:tr>
      <w:tr>
        <w:trPr>
          <w:trHeight w:val="162"/>
        </w:trPr>
        <w:tc>
          <w:tcPr>
            <w:tcW w:w="6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Vesting</w:t>
            </w:r>
          </w:p>
        </w:tc>
        <w:tc>
          <w:tcPr>
            <w:tcW w:w="2360" w:type="dxa"/>
            <w:vAlign w:val="bottom"/>
            <w:gridSpan w:val="2"/>
          </w:tcPr>
          <w:p>
            <w:pPr>
              <w:jc w:val="center"/>
              <w:ind w:left="1448"/>
              <w:spacing w:after="0"/>
              <w:rPr>
                <w:sz w:val="20"/>
                <w:szCs w:val="20"/>
                <w:color w:val="auto"/>
              </w:rPr>
            </w:pPr>
            <w:r>
              <w:rPr>
                <w:rFonts w:ascii="Arial" w:cs="Arial" w:eastAsia="Arial" w:hAnsi="Arial"/>
                <w:sz w:val="14"/>
                <w:szCs w:val="14"/>
                <w:b w:val="1"/>
                <w:bCs w:val="1"/>
                <w:color w:val="auto"/>
              </w:rPr>
              <w:t>on Vesting</w:t>
            </w:r>
          </w:p>
        </w:tc>
      </w:tr>
      <w:tr>
        <w:trPr>
          <w:trHeight w:val="196"/>
        </w:trPr>
        <w:tc>
          <w:tcPr>
            <w:tcW w:w="640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360" w:type="dxa"/>
            <w:vAlign w:val="bottom"/>
            <w:gridSpan w:val="2"/>
          </w:tcPr>
          <w:p>
            <w:pPr>
              <w:jc w:val="center"/>
              <w:ind w:left="1448"/>
              <w:spacing w:after="0"/>
              <w:rPr>
                <w:sz w:val="20"/>
                <w:szCs w:val="20"/>
                <w:color w:val="auto"/>
              </w:rPr>
            </w:pPr>
            <w:r>
              <w:rPr>
                <w:rFonts w:ascii="Arial" w:cs="Arial" w:eastAsia="Arial" w:hAnsi="Arial"/>
                <w:sz w:val="14"/>
                <w:szCs w:val="14"/>
                <w:b w:val="1"/>
                <w:bCs w:val="1"/>
                <w:color w:val="auto"/>
              </w:rPr>
              <w:t>($)(a)</w:t>
            </w:r>
          </w:p>
        </w:tc>
      </w:tr>
      <w:tr>
        <w:trPr>
          <w:trHeight w:val="43"/>
        </w:trPr>
        <w:tc>
          <w:tcPr>
            <w:tcW w:w="6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640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Mr. Ferraro</w:t>
            </w:r>
          </w:p>
        </w:tc>
        <w:tc>
          <w:tcPr>
            <w:tcW w:w="10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79,445</w:t>
            </w:r>
          </w:p>
        </w:tc>
        <w:tc>
          <w:tcPr>
            <w:tcW w:w="2300" w:type="dxa"/>
            <w:vAlign w:val="bottom"/>
            <w:tcBorders>
              <w:bottom w:val="single" w:sz="8" w:color="CCCCCC"/>
            </w:tcBorders>
            <w:shd w:val="clear" w:color="auto" w:fill="CCCCCC"/>
          </w:tcPr>
          <w:p>
            <w:pPr>
              <w:jc w:val="center"/>
              <w:ind w:left="1508"/>
              <w:spacing w:after="0"/>
              <w:rPr>
                <w:sz w:val="20"/>
                <w:szCs w:val="20"/>
                <w:color w:val="auto"/>
              </w:rPr>
            </w:pPr>
            <w:r>
              <w:rPr>
                <w:rFonts w:ascii="Arial" w:cs="Arial" w:eastAsia="Arial" w:hAnsi="Arial"/>
                <w:sz w:val="14"/>
                <w:szCs w:val="14"/>
                <w:color w:val="auto"/>
              </w:rPr>
              <w:t>17,325,137</w:t>
            </w:r>
          </w:p>
        </w:tc>
        <w:tc>
          <w:tcPr>
            <w:tcW w:w="60" w:type="dxa"/>
            <w:vAlign w:val="bottom"/>
            <w:tcBorders>
              <w:bottom w:val="single" w:sz="8" w:color="CCCCCC"/>
            </w:tcBorders>
            <w:shd w:val="clear" w:color="auto" w:fill="CCCCCC"/>
          </w:tcPr>
          <w:p>
            <w:pPr>
              <w:spacing w:after="0"/>
              <w:rPr>
                <w:sz w:val="22"/>
                <w:szCs w:val="22"/>
                <w:color w:val="auto"/>
              </w:rPr>
            </w:pPr>
          </w:p>
        </w:tc>
      </w:tr>
      <w:tr>
        <w:trPr>
          <w:trHeight w:val="235"/>
        </w:trPr>
        <w:tc>
          <w:tcPr>
            <w:tcW w:w="6400" w:type="dxa"/>
            <w:vAlign w:val="bottom"/>
          </w:tcPr>
          <w:p>
            <w:pPr>
              <w:ind w:left="100"/>
              <w:spacing w:after="0"/>
              <w:rPr>
                <w:sz w:val="20"/>
                <w:szCs w:val="20"/>
                <w:color w:val="auto"/>
              </w:rPr>
            </w:pPr>
            <w:r>
              <w:rPr>
                <w:rFonts w:ascii="Arial" w:cs="Arial" w:eastAsia="Arial" w:hAnsi="Arial"/>
                <w:sz w:val="14"/>
                <w:szCs w:val="14"/>
                <w:color w:val="auto"/>
              </w:rPr>
              <w:t>Mr. Choi</w:t>
            </w:r>
          </w:p>
        </w:tc>
        <w:tc>
          <w:tcPr>
            <w:tcW w:w="1080" w:type="dxa"/>
            <w:vAlign w:val="bottom"/>
          </w:tcPr>
          <w:p>
            <w:pPr>
              <w:jc w:val="center"/>
              <w:spacing w:after="0"/>
              <w:rPr>
                <w:sz w:val="20"/>
                <w:szCs w:val="20"/>
                <w:color w:val="auto"/>
              </w:rPr>
            </w:pPr>
            <w:r>
              <w:rPr>
                <w:rFonts w:ascii="Arial" w:cs="Arial" w:eastAsia="Arial" w:hAnsi="Arial"/>
                <w:sz w:val="14"/>
                <w:szCs w:val="14"/>
                <w:color w:val="auto"/>
              </w:rPr>
              <w:t>33,331</w:t>
            </w:r>
          </w:p>
        </w:tc>
        <w:tc>
          <w:tcPr>
            <w:tcW w:w="2300" w:type="dxa"/>
            <w:vAlign w:val="bottom"/>
          </w:tcPr>
          <w:p>
            <w:pPr>
              <w:jc w:val="right"/>
              <w:spacing w:after="0"/>
              <w:rPr>
                <w:sz w:val="20"/>
                <w:szCs w:val="20"/>
                <w:color w:val="auto"/>
              </w:rPr>
            </w:pPr>
            <w:r>
              <w:rPr>
                <w:rFonts w:ascii="Arial" w:cs="Arial" w:eastAsia="Arial" w:hAnsi="Arial"/>
                <w:sz w:val="14"/>
                <w:szCs w:val="14"/>
                <w:color w:val="auto"/>
              </w:rPr>
              <w:t>5,688,766</w:t>
            </w:r>
          </w:p>
        </w:tc>
        <w:tc>
          <w:tcPr>
            <w:tcW w:w="60" w:type="dxa"/>
            <w:vAlign w:val="bottom"/>
          </w:tcPr>
          <w:p>
            <w:pPr>
              <w:spacing w:after="0"/>
              <w:rPr>
                <w:sz w:val="20"/>
                <w:szCs w:val="20"/>
                <w:color w:val="auto"/>
              </w:rPr>
            </w:pPr>
          </w:p>
        </w:tc>
      </w:tr>
      <w:tr>
        <w:trPr>
          <w:trHeight w:val="35"/>
        </w:trPr>
        <w:tc>
          <w:tcPr>
            <w:tcW w:w="6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3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640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Mr. Hees</w:t>
            </w:r>
          </w:p>
        </w:tc>
        <w:tc>
          <w:tcPr>
            <w:tcW w:w="10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46,680</w:t>
            </w:r>
          </w:p>
        </w:tc>
        <w:tc>
          <w:tcPr>
            <w:tcW w:w="23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6,865,694</w:t>
            </w:r>
          </w:p>
        </w:tc>
        <w:tc>
          <w:tcPr>
            <w:tcW w:w="60" w:type="dxa"/>
            <w:vAlign w:val="bottom"/>
            <w:tcBorders>
              <w:bottom w:val="single" w:sz="8" w:color="CCCCCC"/>
            </w:tcBorders>
            <w:shd w:val="clear" w:color="auto" w:fill="CCCCCC"/>
          </w:tcPr>
          <w:p>
            <w:pPr>
              <w:spacing w:after="0"/>
              <w:rPr>
                <w:sz w:val="21"/>
                <w:szCs w:val="21"/>
                <w:color w:val="auto"/>
              </w:rPr>
            </w:pPr>
          </w:p>
        </w:tc>
      </w:tr>
      <w:tr>
        <w:trPr>
          <w:trHeight w:val="235"/>
        </w:trPr>
        <w:tc>
          <w:tcPr>
            <w:tcW w:w="6400" w:type="dxa"/>
            <w:vAlign w:val="bottom"/>
          </w:tcPr>
          <w:p>
            <w:pPr>
              <w:ind w:left="100"/>
              <w:spacing w:after="0"/>
              <w:rPr>
                <w:sz w:val="20"/>
                <w:szCs w:val="20"/>
                <w:color w:val="auto"/>
              </w:rPr>
            </w:pPr>
            <w:r>
              <w:rPr>
                <w:rFonts w:ascii="Arial" w:cs="Arial" w:eastAsia="Arial" w:hAnsi="Arial"/>
                <w:sz w:val="14"/>
                <w:szCs w:val="14"/>
                <w:color w:val="auto"/>
              </w:rPr>
              <w:t>Mr. Simhambhatla</w:t>
            </w:r>
          </w:p>
        </w:tc>
        <w:tc>
          <w:tcPr>
            <w:tcW w:w="1080" w:type="dxa"/>
            <w:vAlign w:val="bottom"/>
          </w:tcPr>
          <w:p>
            <w:pPr>
              <w:ind w:left="620"/>
              <w:spacing w:after="0"/>
              <w:rPr>
                <w:sz w:val="20"/>
                <w:szCs w:val="20"/>
                <w:color w:val="auto"/>
              </w:rPr>
            </w:pPr>
            <w:r>
              <w:rPr>
                <w:rFonts w:ascii="Arial" w:cs="Arial" w:eastAsia="Arial" w:hAnsi="Arial"/>
                <w:sz w:val="14"/>
                <w:szCs w:val="14"/>
                <w:color w:val="auto"/>
              </w:rPr>
              <w:t>—</w:t>
            </w:r>
          </w:p>
        </w:tc>
        <w:tc>
          <w:tcPr>
            <w:tcW w:w="2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35"/>
        </w:trPr>
        <w:tc>
          <w:tcPr>
            <w:tcW w:w="6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3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39"/>
        </w:trPr>
        <w:tc>
          <w:tcPr>
            <w:tcW w:w="640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Ms. Martins</w:t>
            </w:r>
          </w:p>
        </w:tc>
        <w:tc>
          <w:tcPr>
            <w:tcW w:w="10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13,515</w:t>
            </w:r>
          </w:p>
        </w:tc>
        <w:tc>
          <w:tcPr>
            <w:tcW w:w="23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2,918,842</w:t>
            </w:r>
          </w:p>
        </w:tc>
        <w:tc>
          <w:tcPr>
            <w:tcW w:w="60" w:type="dxa"/>
            <w:vAlign w:val="bottom"/>
            <w:tcBorders>
              <w:bottom w:val="single" w:sz="8" w:color="auto"/>
            </w:tcBorders>
            <w:shd w:val="clear" w:color="auto" w:fill="CCCCCC"/>
          </w:tcPr>
          <w:p>
            <w:pPr>
              <w:spacing w:after="0"/>
              <w:rPr>
                <w:sz w:val="20"/>
                <w:szCs w:val="20"/>
                <w:color w:val="auto"/>
              </w:rPr>
            </w:pPr>
          </w:p>
        </w:tc>
      </w:tr>
    </w:tbl>
    <w:p>
      <w:pPr>
        <w:spacing w:after="0" w:line="153" w:lineRule="exact"/>
        <w:rPr>
          <w:sz w:val="20"/>
          <w:szCs w:val="20"/>
          <w:color w:val="auto"/>
        </w:rPr>
      </w:pPr>
    </w:p>
    <w:p>
      <w:pPr>
        <w:ind w:left="360" w:hanging="350"/>
        <w:spacing w:after="0"/>
        <w:tabs>
          <w:tab w:leader="none" w:pos="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value realized on vesting reflects the market value of the shares on the applicable vesting date.</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Pension Benefits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jc w:val="center"/>
              <w:ind w:left="28"/>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14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980" w:type="dxa"/>
            <w:vAlign w:val="bottom"/>
          </w:tcPr>
          <w:p>
            <w:pPr>
              <w:jc w:val="center"/>
              <w:ind w:left="228"/>
              <w:spacing w:after="0"/>
              <w:rPr>
                <w:sz w:val="20"/>
                <w:szCs w:val="20"/>
                <w:color w:val="auto"/>
              </w:rPr>
            </w:pPr>
            <w:r>
              <w:rPr>
                <w:rFonts w:ascii="Arial" w:cs="Arial" w:eastAsia="Arial" w:hAnsi="Arial"/>
                <w:sz w:val="14"/>
                <w:szCs w:val="14"/>
                <w:b w:val="1"/>
                <w:bCs w:val="1"/>
                <w:color w:val="auto"/>
              </w:rPr>
              <w:t>Number of Years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Present Value</w:t>
            </w:r>
          </w:p>
        </w:tc>
        <w:tc>
          <w:tcPr>
            <w:tcW w:w="1060" w:type="dxa"/>
            <w:vAlign w:val="bottom"/>
          </w:tcPr>
          <w:p>
            <w:pPr>
              <w:jc w:val="center"/>
              <w:ind w:left="68"/>
              <w:spacing w:after="0"/>
              <w:rPr>
                <w:sz w:val="20"/>
                <w:szCs w:val="20"/>
                <w:color w:val="auto"/>
              </w:rPr>
            </w:pPr>
            <w:r>
              <w:rPr>
                <w:rFonts w:ascii="Arial" w:cs="Arial" w:eastAsia="Arial" w:hAnsi="Arial"/>
                <w:sz w:val="14"/>
                <w:szCs w:val="14"/>
                <w:b w:val="1"/>
                <w:bCs w:val="1"/>
                <w:color w:val="auto"/>
              </w:rPr>
              <w:t>During Last</w:t>
            </w:r>
          </w:p>
        </w:tc>
      </w:tr>
      <w:tr>
        <w:trPr>
          <w:trHeight w:val="162"/>
        </w:trPr>
        <w:tc>
          <w:tcPr>
            <w:tcW w:w="14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980" w:type="dxa"/>
            <w:vAlign w:val="bottom"/>
          </w:tcPr>
          <w:p>
            <w:pPr>
              <w:jc w:val="center"/>
              <w:ind w:left="168"/>
              <w:spacing w:after="0"/>
              <w:rPr>
                <w:sz w:val="20"/>
                <w:szCs w:val="20"/>
                <w:color w:val="auto"/>
              </w:rPr>
            </w:pPr>
            <w:r>
              <w:rPr>
                <w:rFonts w:ascii="Arial" w:cs="Arial" w:eastAsia="Arial" w:hAnsi="Arial"/>
                <w:sz w:val="14"/>
                <w:szCs w:val="14"/>
                <w:b w:val="1"/>
                <w:bCs w:val="1"/>
                <w:color w:val="auto"/>
              </w:rPr>
              <w:t>Credited Service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of Accumulated</w:t>
            </w:r>
          </w:p>
        </w:tc>
        <w:tc>
          <w:tcPr>
            <w:tcW w:w="1060" w:type="dxa"/>
            <w:vAlign w:val="bottom"/>
          </w:tcPr>
          <w:p>
            <w:pPr>
              <w:jc w:val="center"/>
              <w:ind w:left="28"/>
              <w:spacing w:after="0"/>
              <w:rPr>
                <w:sz w:val="20"/>
                <w:szCs w:val="20"/>
                <w:color w:val="auto"/>
              </w:rPr>
            </w:pPr>
            <w:r>
              <w:rPr>
                <w:rFonts w:ascii="Arial" w:cs="Arial" w:eastAsia="Arial" w:hAnsi="Arial"/>
                <w:sz w:val="14"/>
                <w:szCs w:val="14"/>
                <w:b w:val="1"/>
                <w:bCs w:val="1"/>
                <w:color w:val="auto"/>
              </w:rPr>
              <w:t>Fiscal Year</w:t>
            </w:r>
          </w:p>
        </w:tc>
      </w:tr>
      <w:tr>
        <w:trPr>
          <w:trHeight w:val="205"/>
        </w:trPr>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w:t>
            </w:r>
          </w:p>
        </w:tc>
        <w:tc>
          <w:tcPr>
            <w:tcW w:w="38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Plan Name (a)</w:t>
            </w:r>
          </w:p>
        </w:tc>
        <w:tc>
          <w:tcPr>
            <w:tcW w:w="19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(#)(a)</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 ($)(a)</w:t>
            </w: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26"/>
        </w:trPr>
        <w:tc>
          <w:tcPr>
            <w:tcW w:w="146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Mr. Ferraro</w:t>
            </w:r>
          </w:p>
        </w:tc>
        <w:tc>
          <w:tcPr>
            <w:tcW w:w="3880" w:type="dxa"/>
            <w:vAlign w:val="bottom"/>
            <w:tcBorders>
              <w:bottom w:val="single" w:sz="8" w:color="auto"/>
            </w:tcBorders>
            <w:shd w:val="clear" w:color="auto" w:fill="CCCCCC"/>
          </w:tcPr>
          <w:p>
            <w:pPr>
              <w:jc w:val="center"/>
              <w:ind w:left="108"/>
              <w:spacing w:after="0"/>
              <w:rPr>
                <w:sz w:val="20"/>
                <w:szCs w:val="20"/>
                <w:color w:val="auto"/>
              </w:rPr>
            </w:pPr>
            <w:r>
              <w:rPr>
                <w:rFonts w:ascii="Arial" w:cs="Arial" w:eastAsia="Arial" w:hAnsi="Arial"/>
                <w:sz w:val="14"/>
                <w:szCs w:val="14"/>
                <w:color w:val="auto"/>
              </w:rPr>
              <w:t>Avis Rent A Car System, LLC Pension Plan</w:t>
            </w:r>
          </w:p>
        </w:tc>
        <w:tc>
          <w:tcPr>
            <w:tcW w:w="1980" w:type="dxa"/>
            <w:vAlign w:val="bottom"/>
            <w:tcBorders>
              <w:bottom w:val="single" w:sz="8" w:color="auto"/>
            </w:tcBorders>
            <w:shd w:val="clear" w:color="auto" w:fill="CCCCCC"/>
          </w:tcPr>
          <w:p>
            <w:pPr>
              <w:jc w:val="center"/>
              <w:ind w:left="228"/>
              <w:spacing w:after="0"/>
              <w:rPr>
                <w:sz w:val="20"/>
                <w:szCs w:val="20"/>
                <w:color w:val="auto"/>
              </w:rPr>
            </w:pPr>
            <w:r>
              <w:rPr>
                <w:rFonts w:ascii="Arial" w:cs="Arial" w:eastAsia="Arial" w:hAnsi="Arial"/>
                <w:sz w:val="14"/>
                <w:szCs w:val="14"/>
                <w:color w:val="auto"/>
              </w:rPr>
              <w:t>21 years, 1 month</w:t>
            </w:r>
          </w:p>
        </w:tc>
        <w:tc>
          <w:tcPr>
            <w:tcW w:w="14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377,631</w:t>
            </w:r>
          </w:p>
        </w:tc>
        <w:tc>
          <w:tcPr>
            <w:tcW w:w="1060" w:type="dxa"/>
            <w:vAlign w:val="bottom"/>
            <w:tcBorders>
              <w:bottom w:val="single" w:sz="8" w:color="auto"/>
            </w:tcBorders>
            <w:shd w:val="clear" w:color="auto" w:fill="CCCCCC"/>
          </w:tcPr>
          <w:p>
            <w:pPr>
              <w:jc w:val="center"/>
              <w:ind w:left="68"/>
              <w:spacing w:after="0"/>
              <w:rPr>
                <w:sz w:val="20"/>
                <w:szCs w:val="20"/>
                <w:color w:val="auto"/>
              </w:rPr>
            </w:pPr>
            <w:r>
              <w:rPr>
                <w:rFonts w:ascii="Arial" w:cs="Arial" w:eastAsia="Arial" w:hAnsi="Arial"/>
                <w:sz w:val="14"/>
                <w:szCs w:val="14"/>
                <w:color w:val="auto"/>
              </w:rPr>
              <w:t>—</w:t>
            </w:r>
          </w:p>
        </w:tc>
      </w:tr>
    </w:tbl>
    <w:p>
      <w:pPr>
        <w:spacing w:after="0" w:line="153" w:lineRule="exact"/>
        <w:rPr>
          <w:sz w:val="20"/>
          <w:szCs w:val="20"/>
          <w:color w:val="auto"/>
        </w:rPr>
      </w:pPr>
    </w:p>
    <w:p>
      <w:pPr>
        <w:jc w:val="both"/>
        <w:ind w:left="360" w:hanging="350"/>
        <w:spacing w:after="0" w:line="256"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Avis froze its qualified defined benefit pension plan to new participation and future benefit accruals as of December 31, 1998. Mr. Ferraro is the only NEO who participated in this plan. Prior to December 31, 1998, Mr. Ferraro earned the right to receive certain benefits upon retirement at the retirement age of 65 or upon early retirement on or after age 55. For a discussion of the calculation of retirement benefits, please see Note 19 to our audited financial statements for the fiscal year ended December 31, 2022, included in our 2022 Form 10-K.</w:t>
      </w:r>
    </w:p>
    <w:p>
      <w:pPr>
        <w:spacing w:after="0" w:line="28" w:lineRule="exact"/>
        <w:rPr>
          <w:rFonts w:ascii="Arial" w:cs="Arial" w:eastAsia="Arial" w:hAnsi="Arial"/>
          <w:sz w:val="14"/>
          <w:szCs w:val="14"/>
          <w:color w:val="auto"/>
        </w:rPr>
      </w:pPr>
    </w:p>
    <w:p>
      <w:pPr>
        <w:jc w:val="both"/>
        <w:ind w:left="360"/>
        <w:spacing w:after="0" w:line="250" w:lineRule="auto"/>
        <w:rPr>
          <w:rFonts w:ascii="Arial" w:cs="Arial" w:eastAsia="Arial" w:hAnsi="Arial"/>
          <w:sz w:val="14"/>
          <w:szCs w:val="14"/>
          <w:color w:val="auto"/>
        </w:rPr>
      </w:pPr>
      <w:r>
        <w:rPr>
          <w:rFonts w:ascii="Arial" w:cs="Arial" w:eastAsia="Arial" w:hAnsi="Arial"/>
          <w:sz w:val="14"/>
          <w:szCs w:val="14"/>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32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Non-qualified Deferred Compensation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220" w:type="dxa"/>
            <w:vAlign w:val="bottom"/>
          </w:tcPr>
          <w:p>
            <w:pPr>
              <w:jc w:val="center"/>
              <w:ind w:left="588"/>
              <w:spacing w:after="0"/>
              <w:rPr>
                <w:sz w:val="20"/>
                <w:szCs w:val="20"/>
                <w:color w:val="auto"/>
              </w:rPr>
            </w:pPr>
            <w:r>
              <w:rPr>
                <w:rFonts w:ascii="Arial" w:cs="Arial" w:eastAsia="Arial" w:hAnsi="Arial"/>
                <w:sz w:val="14"/>
                <w:szCs w:val="14"/>
                <w:b w:val="1"/>
                <w:bCs w:val="1"/>
                <w:color w:val="auto"/>
              </w:rPr>
              <w:t>Executive</w:t>
            </w: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Registrant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460" w:type="dxa"/>
            <w:vAlign w:val="bottom"/>
          </w:tcPr>
          <w:p>
            <w:pPr>
              <w:jc w:val="right"/>
              <w:ind w:right="328"/>
              <w:spacing w:after="0"/>
              <w:rPr>
                <w:sz w:val="20"/>
                <w:szCs w:val="20"/>
                <w:color w:val="auto"/>
              </w:rPr>
            </w:pPr>
            <w:r>
              <w:rPr>
                <w:rFonts w:ascii="Arial" w:cs="Arial" w:eastAsia="Arial" w:hAnsi="Arial"/>
                <w:sz w:val="14"/>
                <w:szCs w:val="14"/>
                <w:b w:val="1"/>
                <w:bCs w:val="1"/>
                <w:color w:val="auto"/>
              </w:rPr>
              <w:t>Aggregate</w:t>
            </w:r>
          </w:p>
        </w:tc>
        <w:tc>
          <w:tcPr>
            <w:tcW w:w="1080" w:type="dxa"/>
            <w:vAlign w:val="bottom"/>
          </w:tcPr>
          <w:p>
            <w:pPr>
              <w:jc w:val="center"/>
              <w:ind w:left="14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240" w:type="dxa"/>
            <w:vAlign w:val="bottom"/>
          </w:tcPr>
          <w:p>
            <w:pPr>
              <w:spacing w:after="0"/>
              <w:rPr>
                <w:sz w:val="14"/>
                <w:szCs w:val="14"/>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b w:val="1"/>
                <w:bCs w:val="1"/>
                <w:color w:val="auto"/>
              </w:rPr>
              <w:t>Contributions</w:t>
            </w:r>
          </w:p>
        </w:tc>
        <w:tc>
          <w:tcPr>
            <w:tcW w:w="1500" w:type="dxa"/>
            <w:vAlign w:val="bottom"/>
          </w:tcPr>
          <w:p>
            <w:pPr>
              <w:jc w:val="right"/>
              <w:ind w:right="208"/>
              <w:spacing w:after="0"/>
              <w:rPr>
                <w:sz w:val="20"/>
                <w:szCs w:val="20"/>
                <w:color w:val="auto"/>
              </w:rPr>
            </w:pPr>
            <w:r>
              <w:rPr>
                <w:rFonts w:ascii="Arial" w:cs="Arial" w:eastAsia="Arial" w:hAnsi="Arial"/>
                <w:sz w:val="14"/>
                <w:szCs w:val="14"/>
                <w:b w:val="1"/>
                <w:bCs w:val="1"/>
                <w:color w:val="auto"/>
              </w:rPr>
              <w:t>Contributions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460" w:type="dxa"/>
            <w:vAlign w:val="bottom"/>
          </w:tcPr>
          <w:p>
            <w:pPr>
              <w:jc w:val="right"/>
              <w:ind w:right="208"/>
              <w:spacing w:after="0"/>
              <w:rPr>
                <w:sz w:val="20"/>
                <w:szCs w:val="20"/>
                <w:color w:val="auto"/>
              </w:rPr>
            </w:pPr>
            <w:r>
              <w:rPr>
                <w:rFonts w:ascii="Arial" w:cs="Arial" w:eastAsia="Arial" w:hAnsi="Arial"/>
                <w:sz w:val="14"/>
                <w:szCs w:val="14"/>
                <w:b w:val="1"/>
                <w:bCs w:val="1"/>
                <w:color w:val="auto"/>
              </w:rPr>
              <w:t>Withdrawals/</w:t>
            </w:r>
          </w:p>
        </w:tc>
        <w:tc>
          <w:tcPr>
            <w:tcW w:w="1080" w:type="dxa"/>
            <w:vAlign w:val="bottom"/>
          </w:tcPr>
          <w:p>
            <w:pPr>
              <w:jc w:val="center"/>
              <w:ind w:left="168"/>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240" w:type="dxa"/>
            <w:vAlign w:val="bottom"/>
          </w:tcPr>
          <w:p>
            <w:pPr>
              <w:spacing w:after="0"/>
              <w:rPr>
                <w:sz w:val="14"/>
                <w:szCs w:val="14"/>
                <w:color w:val="auto"/>
              </w:rPr>
            </w:pPr>
          </w:p>
        </w:tc>
        <w:tc>
          <w:tcPr>
            <w:tcW w:w="2220" w:type="dxa"/>
            <w:vAlign w:val="bottom"/>
          </w:tcPr>
          <w:p>
            <w:pPr>
              <w:jc w:val="center"/>
              <w:ind w:left="588"/>
              <w:spacing w:after="0"/>
              <w:rPr>
                <w:sz w:val="20"/>
                <w:szCs w:val="20"/>
                <w:color w:val="auto"/>
              </w:rPr>
            </w:pPr>
            <w:r>
              <w:rPr>
                <w:rFonts w:ascii="Arial" w:cs="Arial" w:eastAsia="Arial" w:hAnsi="Arial"/>
                <w:sz w:val="14"/>
                <w:szCs w:val="14"/>
                <w:b w:val="1"/>
                <w:bCs w:val="1"/>
                <w:color w:val="auto"/>
              </w:rPr>
              <w:t>in Last FY</w:t>
            </w: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in Last FY</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460" w:type="dxa"/>
            <w:vAlign w:val="bottom"/>
          </w:tcPr>
          <w:p>
            <w:pPr>
              <w:jc w:val="right"/>
              <w:ind w:right="208"/>
              <w:spacing w:after="0"/>
              <w:rPr>
                <w:sz w:val="20"/>
                <w:szCs w:val="20"/>
                <w:color w:val="auto"/>
              </w:rPr>
            </w:pPr>
            <w:r>
              <w:rPr>
                <w:rFonts w:ascii="Arial" w:cs="Arial" w:eastAsia="Arial" w:hAnsi="Arial"/>
                <w:sz w:val="14"/>
                <w:szCs w:val="14"/>
                <w:b w:val="1"/>
                <w:bCs w:val="1"/>
                <w:color w:val="auto"/>
              </w:rPr>
              <w:t>Distributions</w:t>
            </w: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Last FYE</w:t>
            </w:r>
          </w:p>
        </w:tc>
      </w:tr>
      <w:tr>
        <w:trPr>
          <w:trHeight w:val="196"/>
        </w:trPr>
        <w:tc>
          <w:tcPr>
            <w:tcW w:w="224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2220" w:type="dxa"/>
            <w:vAlign w:val="bottom"/>
          </w:tcPr>
          <w:p>
            <w:pPr>
              <w:jc w:val="center"/>
              <w:ind w:left="628"/>
              <w:spacing w:after="0"/>
              <w:rPr>
                <w:sz w:val="20"/>
                <w:szCs w:val="20"/>
                <w:color w:val="auto"/>
              </w:rPr>
            </w:pPr>
            <w:r>
              <w:rPr>
                <w:rFonts w:ascii="Arial" w:cs="Arial" w:eastAsia="Arial" w:hAnsi="Arial"/>
                <w:sz w:val="14"/>
                <w:szCs w:val="14"/>
                <w:b w:val="1"/>
                <w:bCs w:val="1"/>
                <w:color w:val="auto"/>
              </w:rPr>
              <w:t>($)(a)</w:t>
            </w:r>
          </w:p>
        </w:tc>
        <w:tc>
          <w:tcPr>
            <w:tcW w:w="1500" w:type="dxa"/>
            <w:vAlign w:val="bottom"/>
          </w:tcPr>
          <w:p>
            <w:pPr>
              <w:jc w:val="right"/>
              <w:ind w:right="508"/>
              <w:spacing w:after="0"/>
              <w:rPr>
                <w:sz w:val="20"/>
                <w:szCs w:val="20"/>
                <w:color w:val="auto"/>
              </w:rPr>
            </w:pPr>
            <w:r>
              <w:rPr>
                <w:rFonts w:ascii="Arial" w:cs="Arial" w:eastAsia="Arial" w:hAnsi="Arial"/>
                <w:sz w:val="14"/>
                <w:szCs w:val="14"/>
                <w:b w:val="1"/>
                <w:bCs w:val="1"/>
                <w:color w:val="auto"/>
              </w:rPr>
              <w:t>($)(b)</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($)(c)</w:t>
            </w:r>
          </w:p>
        </w:tc>
        <w:tc>
          <w:tcPr>
            <w:tcW w:w="1460" w:type="dxa"/>
            <w:vAlign w:val="bottom"/>
          </w:tcPr>
          <w:p>
            <w:pPr>
              <w:jc w:val="right"/>
              <w:ind w:right="488"/>
              <w:spacing w:after="0"/>
              <w:rPr>
                <w:sz w:val="20"/>
                <w:szCs w:val="20"/>
                <w:color w:val="auto"/>
              </w:rPr>
            </w:pPr>
            <w:r>
              <w:rPr>
                <w:rFonts w:ascii="Arial" w:cs="Arial" w:eastAsia="Arial" w:hAnsi="Arial"/>
                <w:sz w:val="14"/>
                <w:szCs w:val="14"/>
                <w:b w:val="1"/>
                <w:bCs w:val="1"/>
                <w:color w:val="auto"/>
              </w:rPr>
              <w:t>($)(d)</w:t>
            </w:r>
          </w:p>
        </w:tc>
        <w:tc>
          <w:tcPr>
            <w:tcW w:w="1080" w:type="dxa"/>
            <w:vAlign w:val="bottom"/>
          </w:tcPr>
          <w:p>
            <w:pPr>
              <w:jc w:val="center"/>
              <w:ind w:left="148"/>
              <w:spacing w:after="0"/>
              <w:rPr>
                <w:sz w:val="20"/>
                <w:szCs w:val="20"/>
                <w:color w:val="auto"/>
              </w:rPr>
            </w:pPr>
            <w:r>
              <w:rPr>
                <w:rFonts w:ascii="Arial" w:cs="Arial" w:eastAsia="Arial" w:hAnsi="Arial"/>
                <w:sz w:val="14"/>
                <w:szCs w:val="14"/>
                <w:b w:val="1"/>
                <w:bCs w:val="1"/>
                <w:color w:val="auto"/>
                <w:w w:val="99"/>
              </w:rPr>
              <w:t>($)(e)</w:t>
            </w:r>
          </w:p>
        </w:tc>
      </w:tr>
      <w:tr>
        <w:trPr>
          <w:trHeight w:val="43"/>
        </w:trPr>
        <w:tc>
          <w:tcPr>
            <w:tcW w:w="224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95"/>
        </w:trPr>
        <w:tc>
          <w:tcPr>
            <w:tcW w:w="224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Mr. Ferraro</w:t>
            </w:r>
          </w:p>
        </w:tc>
        <w:tc>
          <w:tcPr>
            <w:tcW w:w="2220" w:type="dxa"/>
            <w:vAlign w:val="bottom"/>
            <w:tcBorders>
              <w:bottom w:val="single" w:sz="8" w:color="CCCCCC"/>
            </w:tcBorders>
            <w:shd w:val="clear" w:color="auto" w:fill="CCCCCC"/>
          </w:tcPr>
          <w:p>
            <w:pPr>
              <w:jc w:val="right"/>
              <w:ind w:right="228"/>
              <w:spacing w:after="0"/>
              <w:rPr>
                <w:sz w:val="20"/>
                <w:szCs w:val="20"/>
                <w:color w:val="auto"/>
              </w:rPr>
            </w:pPr>
            <w:r>
              <w:rPr>
                <w:rFonts w:ascii="Arial" w:cs="Arial" w:eastAsia="Arial" w:hAnsi="Arial"/>
                <w:sz w:val="14"/>
                <w:szCs w:val="14"/>
                <w:color w:val="auto"/>
              </w:rPr>
              <w:t>577,077</w:t>
            </w:r>
          </w:p>
        </w:tc>
        <w:tc>
          <w:tcPr>
            <w:tcW w:w="1500" w:type="dxa"/>
            <w:vAlign w:val="bottom"/>
            <w:tcBorders>
              <w:bottom w:val="single" w:sz="8" w:color="CCCCCC"/>
            </w:tcBorders>
            <w:shd w:val="clear" w:color="auto" w:fill="CCCCCC"/>
          </w:tcPr>
          <w:p>
            <w:pPr>
              <w:jc w:val="right"/>
              <w:ind w:right="208"/>
              <w:spacing w:after="0"/>
              <w:rPr>
                <w:sz w:val="20"/>
                <w:szCs w:val="20"/>
                <w:color w:val="auto"/>
              </w:rPr>
            </w:pPr>
            <w:r>
              <w:rPr>
                <w:rFonts w:ascii="Arial" w:cs="Arial" w:eastAsia="Arial" w:hAnsi="Arial"/>
                <w:sz w:val="14"/>
                <w:szCs w:val="14"/>
                <w:color w:val="auto"/>
              </w:rPr>
              <w:t>224,308</w:t>
            </w:r>
          </w:p>
        </w:tc>
        <w:tc>
          <w:tcPr>
            <w:tcW w:w="1340" w:type="dxa"/>
            <w:vAlign w:val="bottom"/>
            <w:tcBorders>
              <w:bottom w:val="single" w:sz="8" w:color="CCCCCC"/>
            </w:tcBorders>
            <w:shd w:val="clear" w:color="auto" w:fill="CCCCCC"/>
          </w:tcPr>
          <w:p>
            <w:pPr>
              <w:jc w:val="right"/>
              <w:ind w:right="228"/>
              <w:spacing w:after="0"/>
              <w:rPr>
                <w:sz w:val="20"/>
                <w:szCs w:val="20"/>
                <w:color w:val="auto"/>
              </w:rPr>
            </w:pPr>
            <w:r>
              <w:rPr>
                <w:rFonts w:ascii="Arial" w:cs="Arial" w:eastAsia="Arial" w:hAnsi="Arial"/>
                <w:sz w:val="14"/>
                <w:szCs w:val="14"/>
                <w:color w:val="auto"/>
              </w:rPr>
              <w:t>(279,655)</w:t>
            </w:r>
          </w:p>
        </w:tc>
        <w:tc>
          <w:tcPr>
            <w:tcW w:w="1460" w:type="dxa"/>
            <w:vAlign w:val="bottom"/>
            <w:tcBorders>
              <w:bottom w:val="single" w:sz="8" w:color="CCCCCC"/>
            </w:tcBorders>
            <w:shd w:val="clear" w:color="auto" w:fill="CCCCCC"/>
          </w:tcPr>
          <w:p>
            <w:pPr>
              <w:jc w:val="right"/>
              <w:ind w:right="208"/>
              <w:spacing w:after="0"/>
              <w:rPr>
                <w:sz w:val="20"/>
                <w:szCs w:val="20"/>
                <w:color w:val="auto"/>
              </w:rPr>
            </w:pPr>
            <w:r>
              <w:rPr>
                <w:rFonts w:ascii="Arial" w:cs="Arial" w:eastAsia="Arial" w:hAnsi="Arial"/>
                <w:sz w:val="14"/>
                <w:szCs w:val="14"/>
                <w:color w:val="auto"/>
              </w:rPr>
              <w:t>0</w:t>
            </w:r>
          </w:p>
        </w:tc>
        <w:tc>
          <w:tcPr>
            <w:tcW w:w="1080" w:type="dxa"/>
            <w:vAlign w:val="bottom"/>
            <w:tcBorders>
              <w:bottom w:val="single" w:sz="8" w:color="CCCCCC"/>
            </w:tcBorders>
            <w:shd w:val="clear" w:color="auto" w:fill="CCCCCC"/>
          </w:tcPr>
          <w:p>
            <w:pPr>
              <w:jc w:val="right"/>
              <w:ind w:right="8"/>
              <w:spacing w:after="0"/>
              <w:rPr>
                <w:sz w:val="20"/>
                <w:szCs w:val="20"/>
                <w:color w:val="auto"/>
              </w:rPr>
            </w:pPr>
            <w:r>
              <w:rPr>
                <w:rFonts w:ascii="Arial" w:cs="Arial" w:eastAsia="Arial" w:hAnsi="Arial"/>
                <w:sz w:val="14"/>
                <w:szCs w:val="14"/>
                <w:color w:val="auto"/>
              </w:rPr>
              <w:t>1,631,163</w:t>
            </w:r>
          </w:p>
        </w:tc>
      </w:tr>
      <w:tr>
        <w:trPr>
          <w:trHeight w:val="242"/>
        </w:trPr>
        <w:tc>
          <w:tcPr>
            <w:tcW w:w="224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Mr. Choi</w:t>
            </w:r>
          </w:p>
        </w:tc>
        <w:tc>
          <w:tcPr>
            <w:tcW w:w="22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0</w:t>
            </w:r>
          </w:p>
        </w:tc>
        <w:tc>
          <w:tcPr>
            <w:tcW w:w="15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0</w:t>
            </w:r>
          </w:p>
        </w:tc>
        <w:tc>
          <w:tcPr>
            <w:tcW w:w="13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0</w:t>
            </w:r>
          </w:p>
        </w:tc>
        <w:tc>
          <w:tcPr>
            <w:tcW w:w="14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0</w:t>
            </w: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0</w:t>
            </w:r>
          </w:p>
        </w:tc>
      </w:tr>
      <w:tr>
        <w:trPr>
          <w:trHeight w:val="49"/>
        </w:trPr>
        <w:tc>
          <w:tcPr>
            <w:tcW w:w="224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95"/>
        </w:trPr>
        <w:tc>
          <w:tcPr>
            <w:tcW w:w="224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Mr. Hees</w:t>
            </w:r>
          </w:p>
        </w:tc>
        <w:tc>
          <w:tcPr>
            <w:tcW w:w="2220" w:type="dxa"/>
            <w:vAlign w:val="bottom"/>
            <w:tcBorders>
              <w:bottom w:val="single" w:sz="8" w:color="CCCCCC"/>
            </w:tcBorders>
            <w:shd w:val="clear" w:color="auto" w:fill="CCCCCC"/>
          </w:tcPr>
          <w:p>
            <w:pPr>
              <w:jc w:val="right"/>
              <w:ind w:right="228"/>
              <w:spacing w:after="0"/>
              <w:rPr>
                <w:sz w:val="20"/>
                <w:szCs w:val="20"/>
                <w:color w:val="auto"/>
              </w:rPr>
            </w:pPr>
            <w:r>
              <w:rPr>
                <w:rFonts w:ascii="Arial" w:cs="Arial" w:eastAsia="Arial" w:hAnsi="Arial"/>
                <w:sz w:val="14"/>
                <w:szCs w:val="14"/>
                <w:color w:val="auto"/>
              </w:rPr>
              <w:t>0</w:t>
            </w:r>
          </w:p>
        </w:tc>
        <w:tc>
          <w:tcPr>
            <w:tcW w:w="1500" w:type="dxa"/>
            <w:vAlign w:val="bottom"/>
            <w:tcBorders>
              <w:bottom w:val="single" w:sz="8" w:color="CCCCCC"/>
            </w:tcBorders>
            <w:shd w:val="clear" w:color="auto" w:fill="CCCCCC"/>
          </w:tcPr>
          <w:p>
            <w:pPr>
              <w:jc w:val="right"/>
              <w:ind w:right="208"/>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CCCCCC"/>
            </w:tcBorders>
            <w:shd w:val="clear" w:color="auto" w:fill="CCCCCC"/>
          </w:tcPr>
          <w:p>
            <w:pPr>
              <w:jc w:val="right"/>
              <w:ind w:right="268"/>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CCCCCC"/>
            </w:tcBorders>
            <w:shd w:val="clear" w:color="auto" w:fill="CCCCCC"/>
          </w:tcPr>
          <w:p>
            <w:pPr>
              <w:jc w:val="right"/>
              <w:ind w:right="208"/>
              <w:spacing w:after="0"/>
              <w:rPr>
                <w:sz w:val="20"/>
                <w:szCs w:val="20"/>
                <w:color w:val="auto"/>
              </w:rPr>
            </w:pPr>
            <w:r>
              <w:rPr>
                <w:rFonts w:ascii="Arial" w:cs="Arial" w:eastAsia="Arial" w:hAnsi="Arial"/>
                <w:sz w:val="14"/>
                <w:szCs w:val="14"/>
                <w:color w:val="auto"/>
              </w:rPr>
              <w:t>0</w:t>
            </w:r>
          </w:p>
        </w:tc>
        <w:tc>
          <w:tcPr>
            <w:tcW w:w="1080" w:type="dxa"/>
            <w:vAlign w:val="bottom"/>
            <w:tcBorders>
              <w:bottom w:val="single" w:sz="8" w:color="CCCCCC"/>
            </w:tcBorders>
            <w:shd w:val="clear" w:color="auto" w:fill="CCCCCC"/>
          </w:tcPr>
          <w:p>
            <w:pPr>
              <w:jc w:val="right"/>
              <w:ind w:right="8"/>
              <w:spacing w:after="0"/>
              <w:rPr>
                <w:sz w:val="20"/>
                <w:szCs w:val="20"/>
                <w:color w:val="auto"/>
              </w:rPr>
            </w:pPr>
            <w:r>
              <w:rPr>
                <w:rFonts w:ascii="Arial" w:cs="Arial" w:eastAsia="Arial" w:hAnsi="Arial"/>
                <w:sz w:val="14"/>
                <w:szCs w:val="14"/>
                <w:color w:val="auto"/>
              </w:rPr>
              <w:t>0</w:t>
            </w:r>
          </w:p>
        </w:tc>
      </w:tr>
      <w:tr>
        <w:trPr>
          <w:trHeight w:val="242"/>
        </w:trPr>
        <w:tc>
          <w:tcPr>
            <w:tcW w:w="224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Mr. Simhambhatla</w:t>
            </w:r>
          </w:p>
        </w:tc>
        <w:tc>
          <w:tcPr>
            <w:tcW w:w="22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0</w:t>
            </w:r>
          </w:p>
        </w:tc>
        <w:tc>
          <w:tcPr>
            <w:tcW w:w="15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0</w:t>
            </w:r>
          </w:p>
        </w:tc>
        <w:tc>
          <w:tcPr>
            <w:tcW w:w="13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0</w:t>
            </w:r>
          </w:p>
        </w:tc>
        <w:tc>
          <w:tcPr>
            <w:tcW w:w="14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0</w:t>
            </w: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0</w:t>
            </w:r>
          </w:p>
        </w:tc>
      </w:tr>
      <w:tr>
        <w:trPr>
          <w:trHeight w:val="48"/>
        </w:trPr>
        <w:tc>
          <w:tcPr>
            <w:tcW w:w="224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6"/>
        </w:trPr>
        <w:tc>
          <w:tcPr>
            <w:tcW w:w="224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Ms. Martins</w:t>
            </w:r>
          </w:p>
        </w:tc>
        <w:tc>
          <w:tcPr>
            <w:tcW w:w="2220" w:type="dxa"/>
            <w:vAlign w:val="bottom"/>
            <w:tcBorders>
              <w:bottom w:val="single" w:sz="8" w:color="auto"/>
            </w:tcBorders>
            <w:shd w:val="clear" w:color="auto" w:fill="CCCCCC"/>
          </w:tcPr>
          <w:p>
            <w:pPr>
              <w:jc w:val="right"/>
              <w:ind w:right="228"/>
              <w:spacing w:after="0"/>
              <w:rPr>
                <w:sz w:val="20"/>
                <w:szCs w:val="20"/>
                <w:color w:val="auto"/>
              </w:rPr>
            </w:pPr>
            <w:r>
              <w:rPr>
                <w:rFonts w:ascii="Arial" w:cs="Arial" w:eastAsia="Arial" w:hAnsi="Arial"/>
                <w:sz w:val="14"/>
                <w:szCs w:val="14"/>
                <w:color w:val="auto"/>
              </w:rPr>
              <w:t>0</w:t>
            </w:r>
          </w:p>
        </w:tc>
        <w:tc>
          <w:tcPr>
            <w:tcW w:w="1500" w:type="dxa"/>
            <w:vAlign w:val="bottom"/>
            <w:tcBorders>
              <w:bottom w:val="single" w:sz="8" w:color="auto"/>
            </w:tcBorders>
            <w:shd w:val="clear" w:color="auto" w:fill="CCCCCC"/>
          </w:tcPr>
          <w:p>
            <w:pPr>
              <w:jc w:val="right"/>
              <w:ind w:right="208"/>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auto"/>
            </w:tcBorders>
            <w:shd w:val="clear" w:color="auto" w:fill="CCCCCC"/>
          </w:tcPr>
          <w:p>
            <w:pPr>
              <w:jc w:val="right"/>
              <w:ind w:right="268"/>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shd w:val="clear" w:color="auto" w:fill="CCCCCC"/>
          </w:tcPr>
          <w:p>
            <w:pPr>
              <w:jc w:val="right"/>
              <w:ind w:right="208"/>
              <w:spacing w:after="0"/>
              <w:rPr>
                <w:sz w:val="20"/>
                <w:szCs w:val="20"/>
                <w:color w:val="auto"/>
              </w:rPr>
            </w:pPr>
            <w:r>
              <w:rPr>
                <w:rFonts w:ascii="Arial" w:cs="Arial" w:eastAsia="Arial" w:hAnsi="Arial"/>
                <w:sz w:val="14"/>
                <w:szCs w:val="14"/>
                <w:color w:val="auto"/>
              </w:rPr>
              <w:t>0</w:t>
            </w:r>
          </w:p>
        </w:tc>
        <w:tc>
          <w:tcPr>
            <w:tcW w:w="1080" w:type="dxa"/>
            <w:vAlign w:val="bottom"/>
            <w:tcBorders>
              <w:bottom w:val="single" w:sz="8" w:color="auto"/>
            </w:tcBorders>
            <w:shd w:val="clear" w:color="auto" w:fill="CCCCCC"/>
          </w:tcPr>
          <w:p>
            <w:pPr>
              <w:jc w:val="right"/>
              <w:ind w:right="8"/>
              <w:spacing w:after="0"/>
              <w:rPr>
                <w:sz w:val="20"/>
                <w:szCs w:val="20"/>
                <w:color w:val="auto"/>
              </w:rPr>
            </w:pPr>
            <w:r>
              <w:rPr>
                <w:rFonts w:ascii="Arial" w:cs="Arial" w:eastAsia="Arial" w:hAnsi="Arial"/>
                <w:sz w:val="14"/>
                <w:szCs w:val="14"/>
                <w:color w:val="auto"/>
              </w:rPr>
              <w:t>0</w:t>
            </w:r>
          </w:p>
        </w:tc>
      </w:tr>
    </w:tbl>
    <w:p>
      <w:pPr>
        <w:spacing w:after="0" w:line="153" w:lineRule="exact"/>
        <w:rPr>
          <w:sz w:val="20"/>
          <w:szCs w:val="20"/>
          <w:color w:val="auto"/>
        </w:rPr>
      </w:pPr>
    </w:p>
    <w:p>
      <w:pPr>
        <w:jc w:val="both"/>
        <w:ind w:left="360" w:hanging="350"/>
        <w:spacing w:after="0" w:line="251"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Under the deferred compensation plan as in effect during 2022, participants were able to elect to defer a maximum of 80% of base salary and 98% of annual cash incentives. The agreements between participants and the Company must provide that the deferrals under the plan are (1) irrevocable;</w:t>
      </w:r>
    </w:p>
    <w:p>
      <w:pPr>
        <w:spacing w:after="0" w:line="1" w:lineRule="exact"/>
        <w:rPr>
          <w:rFonts w:ascii="Arial" w:cs="Arial" w:eastAsia="Arial" w:hAnsi="Arial"/>
          <w:sz w:val="14"/>
          <w:szCs w:val="14"/>
          <w:color w:val="auto"/>
        </w:rPr>
      </w:pPr>
    </w:p>
    <w:p>
      <w:pPr>
        <w:jc w:val="both"/>
        <w:ind w:left="360"/>
        <w:spacing w:after="0" w:line="245" w:lineRule="auto"/>
        <w:rPr>
          <w:rFonts w:ascii="Arial" w:cs="Arial" w:eastAsia="Arial" w:hAnsi="Arial"/>
          <w:sz w:val="14"/>
          <w:szCs w:val="14"/>
          <w:color w:val="auto"/>
        </w:rPr>
      </w:pPr>
      <w:r>
        <w:rPr>
          <w:rFonts w:ascii="Arial" w:cs="Arial" w:eastAsia="Arial" w:hAnsi="Arial"/>
          <w:sz w:val="14"/>
          <w:szCs w:val="14"/>
          <w:color w:val="auto"/>
        </w:rPr>
        <w:t>(2)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w:t>
      </w:r>
    </w:p>
    <w:p>
      <w:pPr>
        <w:spacing w:after="0" w:line="37" w:lineRule="exact"/>
        <w:rPr>
          <w:rFonts w:ascii="Arial" w:cs="Arial" w:eastAsia="Arial" w:hAnsi="Arial"/>
          <w:sz w:val="14"/>
          <w:szCs w:val="14"/>
          <w:color w:val="auto"/>
        </w:rPr>
      </w:pPr>
    </w:p>
    <w:p>
      <w:pPr>
        <w:ind w:left="360" w:hanging="350"/>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Company provides matching contributions for its NEOs up to a cap of 6% of base salary and annual incentive, as applicable.</w:t>
      </w:r>
    </w:p>
    <w:p>
      <w:pPr>
        <w:spacing w:after="0" w:line="68" w:lineRule="exact"/>
        <w:rPr>
          <w:rFonts w:ascii="Arial" w:cs="Arial" w:eastAsia="Arial" w:hAnsi="Arial"/>
          <w:sz w:val="14"/>
          <w:szCs w:val="14"/>
          <w:color w:val="auto"/>
        </w:rPr>
      </w:pPr>
    </w:p>
    <w:p>
      <w:pPr>
        <w:jc w:val="both"/>
        <w:ind w:left="360" w:right="20" w:hanging="350"/>
        <w:spacing w:after="0" w:line="256"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All participant deferrals and matching contributions are immediately vested and are held in a grantor trust. Under this arrangement, the Company takes no tax deduction, and the beneficiaries pay no tax on contributions to the trust until amounts are paid. Although funds are potentially subject to the employer’s creditors, they are inaccessible to present and future management until payment is required to be made in accordance with the terms of the plan.</w:t>
      </w:r>
    </w:p>
    <w:p>
      <w:pPr>
        <w:spacing w:after="0" w:line="42" w:lineRule="exact"/>
        <w:rPr>
          <w:rFonts w:ascii="Arial" w:cs="Arial" w:eastAsia="Arial" w:hAnsi="Arial"/>
          <w:sz w:val="14"/>
          <w:szCs w:val="14"/>
          <w:color w:val="auto"/>
        </w:rPr>
      </w:pPr>
    </w:p>
    <w:p>
      <w:pPr>
        <w:ind w:left="360" w:hanging="350"/>
        <w:spacing w:after="0" w:line="285"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represent ordinary-course distributions pursuant to prior payment elections made by the NEOs in accordance with the terms and conditions of the applicable plan (as further discussed in note (a) above).</w:t>
      </w:r>
    </w:p>
    <w:p>
      <w:pPr>
        <w:spacing w:after="0" w:line="9" w:lineRule="exact"/>
        <w:rPr>
          <w:rFonts w:ascii="Arial" w:cs="Arial" w:eastAsia="Arial" w:hAnsi="Arial"/>
          <w:sz w:val="14"/>
          <w:szCs w:val="14"/>
          <w:color w:val="auto"/>
        </w:rPr>
      </w:pPr>
    </w:p>
    <w:p>
      <w:pPr>
        <w:ind w:left="360" w:right="20" w:hanging="350"/>
        <w:spacing w:after="0" w:line="285"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total trust assets accumulated for all periods of plan participation through the end of 2022. The aggregate balance is the sum of all participant and registrant contributions and investment earnings less any withdrawals or distributions.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41" w:name="page42"/>
    <w:bookmarkEnd w:id="41"/>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3"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Employment Agreements and Other Arrangements</w:t>
      </w:r>
    </w:p>
    <w:p>
      <w:pPr>
        <w:spacing w:after="0" w:line="164" w:lineRule="exact"/>
        <w:rPr>
          <w:sz w:val="20"/>
          <w:szCs w:val="20"/>
          <w:color w:val="auto"/>
        </w:rPr>
      </w:pPr>
    </w:p>
    <w:p>
      <w:pPr>
        <w:jc w:val="both"/>
        <w:ind w:left="10" w:right="20"/>
        <w:spacing w:after="0" w:line="271" w:lineRule="auto"/>
        <w:rPr>
          <w:sz w:val="20"/>
          <w:szCs w:val="20"/>
          <w:color w:val="auto"/>
        </w:rPr>
      </w:pPr>
      <w:r>
        <w:rPr>
          <w:rFonts w:ascii="Arial" w:cs="Arial" w:eastAsia="Arial" w:hAnsi="Arial"/>
          <w:sz w:val="18"/>
          <w:szCs w:val="18"/>
          <w:color w:val="auto"/>
        </w:rPr>
        <w:t>Each NEO has a written agreement with the Company or is eligible to participate in the Executive Severance Plan, as summarized below and discussed under “Employment and Change of Control Agreements; Severance Arrangements.”</w:t>
      </w:r>
    </w:p>
    <w:p>
      <w:pPr>
        <w:spacing w:after="0" w:line="29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CEO</w:t>
      </w:r>
    </w:p>
    <w:p>
      <w:pPr>
        <w:spacing w:after="0" w:line="139"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Our CEO is party to a severance agreement with the Company. The agreement generally provides that if the executive’s employment is terminated by us other than for “Cause” (as defined below), disability or death, he will receive lump-sum severance equal to 200% of the sum of base salary plus target incentive bonus, and perquisites to include, if applicable, car usage and financial planning for a period of up to 24 months.</w:t>
      </w:r>
    </w:p>
    <w:p>
      <w:pPr>
        <w:spacing w:after="0" w:line="106"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In addition, in connection with any such termination, the agreement also generally provides for accelerated vesting on termination of the stock-based awards that would have vested in accordance with their original vesting schedule by the two-year anniversary of termination of employment. However, awards that vest based on the achievement of specified objective performance goals will remain outstanding following such termination and become vested or be forfeited based on actual achievement of the applicable performance goals during the two-year period following such termination.</w:t>
      </w:r>
    </w:p>
    <w:p>
      <w:pPr>
        <w:spacing w:after="0" w:line="95"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Severance is contingent upon the executive’s execution and non-revocation of a separation agreement containing a release of claims against the Company and non-competition covenants.</w:t>
      </w:r>
    </w:p>
    <w:p>
      <w:pPr>
        <w:spacing w:after="0" w:line="31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Other NEOs</w:t>
      </w:r>
    </w:p>
    <w:p>
      <w:pPr>
        <w:spacing w:after="0" w:line="126"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Each of our other NEOs is eligible to participate in the Executive Severance Pay Plan adopted by the Board in December 2020 (the “Executive Severance Plan”). The Executive Severance Plan provides that if any of these executives is involuntarily terminated other than for cause and delivers an agreement and general release as set forth in the plan, such executive shall be entitled to:</w:t>
      </w:r>
    </w:p>
    <w:p>
      <w:pPr>
        <w:spacing w:after="0" w:line="106" w:lineRule="exact"/>
        <w:rPr>
          <w:sz w:val="20"/>
          <w:szCs w:val="20"/>
          <w:color w:val="auto"/>
        </w:rPr>
      </w:pPr>
    </w:p>
    <w:p>
      <w:pPr>
        <w:ind w:left="350" w:hanging="350"/>
        <w:spacing w:after="0"/>
        <w:tabs>
          <w:tab w:leader="none" w:pos="3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two years of base pay;</w:t>
      </w:r>
    </w:p>
    <w:p>
      <w:pPr>
        <w:spacing w:after="0" w:line="144" w:lineRule="exact"/>
        <w:rPr>
          <w:rFonts w:ascii="Arial" w:cs="Arial" w:eastAsia="Arial" w:hAnsi="Arial"/>
          <w:sz w:val="18"/>
          <w:szCs w:val="18"/>
          <w:color w:val="auto"/>
        </w:rPr>
      </w:pPr>
    </w:p>
    <w:p>
      <w:pPr>
        <w:jc w:val="both"/>
        <w:ind w:left="350" w:hanging="350"/>
        <w:spacing w:after="0" w:line="253" w:lineRule="auto"/>
        <w:tabs>
          <w:tab w:leader="none" w:pos="3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under the short-term incentive plan in place in the year of termination, pro rata for the amount of time employed in that year, based on the extent to which performance goals are achieved, with any individual component computed as though the applicable target was reached;</w:t>
      </w:r>
    </w:p>
    <w:p>
      <w:pPr>
        <w:spacing w:after="0" w:line="87" w:lineRule="exact"/>
        <w:rPr>
          <w:rFonts w:ascii="Arial" w:cs="Arial" w:eastAsia="Arial" w:hAnsi="Arial"/>
          <w:sz w:val="18"/>
          <w:szCs w:val="18"/>
          <w:color w:val="auto"/>
        </w:rPr>
      </w:pPr>
    </w:p>
    <w:p>
      <w:pPr>
        <w:jc w:val="both"/>
        <w:ind w:left="350" w:hanging="350"/>
        <w:spacing w:after="0" w:line="253" w:lineRule="auto"/>
        <w:tabs>
          <w:tab w:leader="none" w:pos="3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accelerated vesting of unvested RSUs scheduled to vest within one year of employment termination, and vesting of unvested PSUs scheduled to vest within one year of employment termination based on the extent to which the performance goals are achieved; and</w:t>
      </w:r>
    </w:p>
    <w:p>
      <w:pPr>
        <w:spacing w:after="0" w:line="101"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lump-sum payment equal to the Company’s portion of certain health care premiums for one year of coverage, and perquisites to include, if applicable, car usage and financial planning for a period of up to 12 months.</w:t>
      </w:r>
    </w:p>
    <w:p>
      <w:pPr>
        <w:spacing w:after="0" w:line="86"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As noted above, no NEO is entitled to any tax gross-up or other payments for any “golden parachute” excise taxes, interest or penalties.</w:t>
      </w:r>
    </w:p>
    <w:p>
      <w:pPr>
        <w:spacing w:after="0" w:line="73"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In addition, our equity award agreements generally provide for potential vesting upon death or disability prior to the vesting date, and our annual incentive program provides for payments in the event of an executive’s death or disability prior to the payment date.</w:t>
      </w:r>
    </w:p>
    <w:p>
      <w:pPr>
        <w:spacing w:after="0" w:line="31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Definition of Cause</w:t>
      </w:r>
    </w:p>
    <w:p>
      <w:pPr>
        <w:spacing w:after="0" w:line="139"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For all NEOs, “Cause” is defined to generally include the willful failure to substantially perform duties, any act of fraud, embezzlement or similar conduct and conviction of a felony.</w:t>
      </w:r>
    </w:p>
    <w:p>
      <w:pPr>
        <w:spacing w:after="0" w:line="28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Discussion of Change-in-Control Provisions</w:t>
      </w:r>
    </w:p>
    <w:p>
      <w:pPr>
        <w:spacing w:after="0" w:line="139"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Company’s Amended and Restated Equity and Incentive Plan (the “Equity Plan”) generally provides that equity awards accelerate following a Change in Control (as defined in the Equity Plan) of the Company only if a participant is also terminated without Cause or experiences a Constructive Discharge (as defined in the Equity Plan) within two years following a Change in Control.</w:t>
      </w:r>
    </w:p>
    <w:p>
      <w:pPr>
        <w:spacing w:after="0" w:line="28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“Constructive Discharge” is generally defined as set forth in a grantee’s employment agreement, or if no agreement or definition exists it is defined as: (a) a material reduction in base compensation, (b) a material adverse change in the nature or status of duties or responsibilities, or (c) a relocation of more than 30 miles from the principal place of employment.</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Potential Payments on Termination or Change of Control</w:t>
      </w:r>
    </w:p>
    <w:p>
      <w:pPr>
        <w:spacing w:after="0" w:line="139"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table below provides estimated potential severance payments for each NEO, as of December 31, 2022, under the circumstances described (excluding amounts accrued under the pension plan described above or other retirement plans, as applicable).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tcPr>
          <w:p>
            <w:pPr>
              <w:jc w:val="right"/>
              <w:ind w:right="208"/>
              <w:spacing w:after="0"/>
              <w:rPr>
                <w:sz w:val="20"/>
                <w:szCs w:val="20"/>
                <w:color w:val="auto"/>
              </w:rPr>
            </w:pPr>
            <w:r>
              <w:rPr>
                <w:rFonts w:ascii="Arial" w:cs="Arial" w:eastAsia="Arial" w:hAnsi="Arial"/>
                <w:sz w:val="14"/>
                <w:szCs w:val="14"/>
                <w:b w:val="1"/>
                <w:bCs w:val="1"/>
                <w:color w:val="auto"/>
              </w:rPr>
              <w:t>Accelerated</w:t>
            </w: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tcPr>
          <w:p>
            <w:pPr>
              <w:jc w:val="center"/>
              <w:ind w:left="148"/>
              <w:spacing w:after="0"/>
              <w:rPr>
                <w:sz w:val="20"/>
                <w:szCs w:val="20"/>
                <w:color w:val="auto"/>
              </w:rPr>
            </w:pPr>
            <w:r>
              <w:rPr>
                <w:rFonts w:ascii="Arial" w:cs="Arial" w:eastAsia="Arial" w:hAnsi="Arial"/>
                <w:sz w:val="14"/>
                <w:szCs w:val="14"/>
                <w:b w:val="1"/>
                <w:bCs w:val="1"/>
                <w:color w:val="auto"/>
              </w:rPr>
              <w:t>Vesting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Continuation</w:t>
            </w:r>
          </w:p>
        </w:tc>
        <w:tc>
          <w:tcPr>
            <w:tcW w:w="10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Lump-Sum</w:t>
            </w:r>
          </w:p>
        </w:tc>
        <w:tc>
          <w:tcPr>
            <w:tcW w:w="1640" w:type="dxa"/>
            <w:vAlign w:val="bottom"/>
          </w:tcPr>
          <w:p>
            <w:pPr>
              <w:jc w:val="center"/>
              <w:ind w:left="168"/>
              <w:spacing w:after="0"/>
              <w:rPr>
                <w:sz w:val="20"/>
                <w:szCs w:val="20"/>
                <w:color w:val="auto"/>
              </w:rPr>
            </w:pPr>
            <w:r>
              <w:rPr>
                <w:rFonts w:ascii="Arial" w:cs="Arial" w:eastAsia="Arial" w:hAnsi="Arial"/>
                <w:sz w:val="14"/>
                <w:szCs w:val="14"/>
                <w:b w:val="1"/>
                <w:bCs w:val="1"/>
                <w:color w:val="auto"/>
              </w:rPr>
              <w:t>Stock-</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of Benefits</w:t>
            </w:r>
          </w:p>
        </w:tc>
        <w:tc>
          <w:tcPr>
            <w:tcW w:w="10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Severance</w:t>
            </w:r>
          </w:p>
        </w:tc>
        <w:tc>
          <w:tcPr>
            <w:tcW w:w="1640" w:type="dxa"/>
            <w:vAlign w:val="bottom"/>
          </w:tcPr>
          <w:p>
            <w:pPr>
              <w:jc w:val="center"/>
              <w:ind w:left="148"/>
              <w:spacing w:after="0"/>
              <w:rPr>
                <w:sz w:val="20"/>
                <w:szCs w:val="20"/>
                <w:color w:val="auto"/>
              </w:rPr>
            </w:pPr>
            <w:r>
              <w:rPr>
                <w:rFonts w:ascii="Arial" w:cs="Arial" w:eastAsia="Arial" w:hAnsi="Arial"/>
                <w:sz w:val="14"/>
                <w:szCs w:val="14"/>
                <w:b w:val="1"/>
                <w:bCs w:val="1"/>
                <w:color w:val="auto"/>
              </w:rPr>
              <w:t>based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0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Payment</w:t>
            </w:r>
          </w:p>
        </w:tc>
        <w:tc>
          <w:tcPr>
            <w:tcW w:w="1640" w:type="dxa"/>
            <w:vAlign w:val="bottom"/>
          </w:tcPr>
          <w:p>
            <w:pPr>
              <w:jc w:val="center"/>
              <w:ind w:left="168"/>
              <w:spacing w:after="0"/>
              <w:rPr>
                <w:sz w:val="20"/>
                <w:szCs w:val="20"/>
                <w:color w:val="auto"/>
              </w:rPr>
            </w:pPr>
            <w:r>
              <w:rPr>
                <w:rFonts w:ascii="Arial" w:cs="Arial" w:eastAsia="Arial" w:hAnsi="Arial"/>
                <w:sz w:val="14"/>
                <w:szCs w:val="14"/>
                <w:b w:val="1"/>
                <w:bCs w:val="1"/>
                <w:color w:val="auto"/>
              </w:rPr>
              <w:t>Awards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Perquisites</w:t>
            </w:r>
          </w:p>
        </w:tc>
        <w:tc>
          <w:tcPr>
            <w:tcW w:w="106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96"/>
        </w:trPr>
        <w:tc>
          <w:tcPr>
            <w:tcW w:w="4420" w:type="dxa"/>
            <w:vAlign w:val="bottom"/>
          </w:tcPr>
          <w:p>
            <w:pPr>
              <w:ind w:left="100"/>
              <w:spacing w:after="0"/>
              <w:rPr>
                <w:sz w:val="20"/>
                <w:szCs w:val="20"/>
                <w:color w:val="auto"/>
              </w:rPr>
            </w:pPr>
            <w:r>
              <w:rPr>
                <w:rFonts w:ascii="Arial" w:cs="Arial" w:eastAsia="Arial" w:hAnsi="Arial"/>
                <w:sz w:val="14"/>
                <w:szCs w:val="14"/>
                <w:b w:val="1"/>
                <w:bCs w:val="1"/>
                <w:color w:val="auto"/>
              </w:rPr>
              <w:t>Name and Triggering Event(a)</w:t>
            </w: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($)(b)</w:t>
            </w:r>
          </w:p>
        </w:tc>
        <w:tc>
          <w:tcPr>
            <w:tcW w:w="1640" w:type="dxa"/>
            <w:vAlign w:val="bottom"/>
          </w:tcPr>
          <w:p>
            <w:pPr>
              <w:jc w:val="center"/>
              <w:ind w:left="188"/>
              <w:spacing w:after="0"/>
              <w:rPr>
                <w:sz w:val="20"/>
                <w:szCs w:val="20"/>
                <w:color w:val="auto"/>
              </w:rPr>
            </w:pPr>
            <w:r>
              <w:rPr>
                <w:rFonts w:ascii="Arial" w:cs="Arial" w:eastAsia="Arial" w:hAnsi="Arial"/>
                <w:sz w:val="14"/>
                <w:szCs w:val="14"/>
                <w:b w:val="1"/>
                <w:bCs w:val="1"/>
                <w:color w:val="auto"/>
                <w:w w:val="99"/>
              </w:rPr>
              <w:t>($)(c)</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06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29"/>
        </w:trPr>
        <w:tc>
          <w:tcPr>
            <w:tcW w:w="4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b w:val="1"/>
                <w:bCs w:val="1"/>
                <w:color w:val="auto"/>
              </w:rPr>
              <w:t>Mr. Ferraro</w:t>
            </w:r>
          </w:p>
        </w:tc>
        <w:tc>
          <w:tcPr>
            <w:tcW w:w="1300" w:type="dxa"/>
            <w:vAlign w:val="bottom"/>
            <w:shd w:val="clear" w:color="auto" w:fill="CCCCCC"/>
          </w:tcPr>
          <w:p>
            <w:pPr>
              <w:spacing w:after="0"/>
              <w:rPr>
                <w:sz w:val="20"/>
                <w:szCs w:val="20"/>
                <w:color w:val="auto"/>
              </w:rPr>
            </w:pPr>
          </w:p>
        </w:tc>
        <w:tc>
          <w:tcPr>
            <w:tcW w:w="1640" w:type="dxa"/>
            <w:vAlign w:val="bottom"/>
            <w:shd w:val="clear" w:color="auto" w:fill="CCCCCC"/>
          </w:tcPr>
          <w:p>
            <w:pPr>
              <w:spacing w:after="0"/>
              <w:rPr>
                <w:sz w:val="20"/>
                <w:szCs w:val="20"/>
                <w:color w:val="auto"/>
              </w:rPr>
            </w:pPr>
          </w:p>
        </w:tc>
        <w:tc>
          <w:tcPr>
            <w:tcW w:w="1420" w:type="dxa"/>
            <w:vAlign w:val="bottom"/>
            <w:shd w:val="clear" w:color="auto" w:fill="CCCCCC"/>
          </w:tcPr>
          <w:p>
            <w:pPr>
              <w:spacing w:after="0"/>
              <w:rPr>
                <w:sz w:val="20"/>
                <w:szCs w:val="20"/>
                <w:color w:val="auto"/>
              </w:rPr>
            </w:pPr>
          </w:p>
        </w:tc>
        <w:tc>
          <w:tcPr>
            <w:tcW w:w="1060" w:type="dxa"/>
            <w:vAlign w:val="bottom"/>
            <w:shd w:val="clear" w:color="auto" w:fill="CCCCCC"/>
          </w:tcPr>
          <w:p>
            <w:pPr>
              <w:spacing w:after="0"/>
              <w:rPr>
                <w:sz w:val="20"/>
                <w:szCs w:val="20"/>
                <w:color w:val="auto"/>
              </w:rPr>
            </w:pPr>
          </w:p>
        </w:tc>
      </w:tr>
      <w:tr>
        <w:trPr>
          <w:trHeight w:val="237"/>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3,348,000</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39,774,008</w:t>
            </w:r>
          </w:p>
        </w:tc>
        <w:tc>
          <w:tcPr>
            <w:tcW w:w="14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43,122,008</w:t>
            </w:r>
          </w:p>
        </w:tc>
      </w:tr>
      <w:tr>
        <w:trPr>
          <w:trHeight w:val="215"/>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by Company without Cause or due to Constructive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7,200,000</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33,855,807</w:t>
            </w:r>
          </w:p>
        </w:tc>
        <w:tc>
          <w:tcPr>
            <w:tcW w:w="1420" w:type="dxa"/>
            <w:vAlign w:val="bottom"/>
            <w:shd w:val="clear" w:color="auto" w:fill="CCCCCC"/>
          </w:tcPr>
          <w:p>
            <w:pPr>
              <w:jc w:val="right"/>
              <w:ind w:right="188"/>
              <w:spacing w:after="0"/>
              <w:rPr>
                <w:sz w:val="20"/>
                <w:szCs w:val="20"/>
                <w:color w:val="auto"/>
              </w:rPr>
            </w:pPr>
            <w:r>
              <w:rPr>
                <w:rFonts w:ascii="Arial" w:cs="Arial" w:eastAsia="Arial" w:hAnsi="Arial"/>
                <w:sz w:val="14"/>
                <w:szCs w:val="14"/>
                <w:color w:val="auto"/>
              </w:rPr>
              <w:t>106,909</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41,162,716</w:t>
            </w:r>
          </w:p>
        </w:tc>
      </w:tr>
      <w:tr>
        <w:trPr>
          <w:trHeight w:val="190"/>
        </w:trPr>
        <w:tc>
          <w:tcPr>
            <w:tcW w:w="4420" w:type="dxa"/>
            <w:vAlign w:val="bottom"/>
            <w:shd w:val="clear" w:color="auto" w:fill="CCCCCC"/>
          </w:tcPr>
          <w:p>
            <w:pPr>
              <w:ind w:left="280"/>
              <w:spacing w:after="0"/>
              <w:rPr>
                <w:sz w:val="20"/>
                <w:szCs w:val="20"/>
                <w:color w:val="auto"/>
              </w:rPr>
            </w:pPr>
            <w:r>
              <w:rPr>
                <w:rFonts w:ascii="Arial" w:cs="Arial" w:eastAsia="Arial" w:hAnsi="Arial"/>
                <w:sz w:val="14"/>
                <w:szCs w:val="14"/>
                <w:color w:val="auto"/>
              </w:rPr>
              <w:t>Discharge</w:t>
            </w:r>
          </w:p>
        </w:tc>
        <w:tc>
          <w:tcPr>
            <w:tcW w:w="1300" w:type="dxa"/>
            <w:vAlign w:val="bottom"/>
            <w:shd w:val="clear" w:color="auto" w:fill="CCCCCC"/>
          </w:tcPr>
          <w:p>
            <w:pPr>
              <w:spacing w:after="0"/>
              <w:rPr>
                <w:sz w:val="16"/>
                <w:szCs w:val="16"/>
                <w:color w:val="auto"/>
              </w:rPr>
            </w:pPr>
          </w:p>
        </w:tc>
        <w:tc>
          <w:tcPr>
            <w:tcW w:w="1640" w:type="dxa"/>
            <w:vAlign w:val="bottom"/>
            <w:shd w:val="clear" w:color="auto" w:fill="CCCCCC"/>
          </w:tcPr>
          <w:p>
            <w:pPr>
              <w:spacing w:after="0"/>
              <w:rPr>
                <w:sz w:val="16"/>
                <w:szCs w:val="16"/>
                <w:color w:val="auto"/>
              </w:rPr>
            </w:pPr>
          </w:p>
        </w:tc>
        <w:tc>
          <w:tcPr>
            <w:tcW w:w="1420" w:type="dxa"/>
            <w:vAlign w:val="bottom"/>
            <w:shd w:val="clear" w:color="auto" w:fill="CCCCCC"/>
          </w:tcPr>
          <w:p>
            <w:pPr>
              <w:spacing w:after="0"/>
              <w:rPr>
                <w:sz w:val="16"/>
                <w:szCs w:val="16"/>
                <w:color w:val="auto"/>
              </w:rPr>
            </w:pPr>
          </w:p>
        </w:tc>
        <w:tc>
          <w:tcPr>
            <w:tcW w:w="1060" w:type="dxa"/>
            <w:vAlign w:val="bottom"/>
            <w:shd w:val="clear" w:color="auto" w:fill="CCCCCC"/>
          </w:tcPr>
          <w:p>
            <w:pPr>
              <w:spacing w:after="0"/>
              <w:rPr>
                <w:sz w:val="16"/>
                <w:szCs w:val="16"/>
                <w:color w:val="auto"/>
              </w:rPr>
            </w:pPr>
          </w:p>
        </w:tc>
      </w:tr>
      <w:tr>
        <w:trPr>
          <w:trHeight w:val="215"/>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7,200,000</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39,774,008</w:t>
            </w:r>
          </w:p>
        </w:tc>
        <w:tc>
          <w:tcPr>
            <w:tcW w:w="1420" w:type="dxa"/>
            <w:vAlign w:val="bottom"/>
            <w:shd w:val="clear" w:color="auto" w:fill="CCCCCC"/>
          </w:tcPr>
          <w:p>
            <w:pPr>
              <w:jc w:val="right"/>
              <w:ind w:right="188"/>
              <w:spacing w:after="0"/>
              <w:rPr>
                <w:sz w:val="20"/>
                <w:szCs w:val="20"/>
                <w:color w:val="auto"/>
              </w:rPr>
            </w:pPr>
            <w:r>
              <w:rPr>
                <w:rFonts w:ascii="Arial" w:cs="Arial" w:eastAsia="Arial" w:hAnsi="Arial"/>
                <w:sz w:val="14"/>
                <w:szCs w:val="14"/>
                <w:color w:val="auto"/>
              </w:rPr>
              <w:t>106,909</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47,080,917</w:t>
            </w:r>
          </w:p>
        </w:tc>
      </w:tr>
      <w:tr>
        <w:trPr>
          <w:trHeight w:val="190"/>
        </w:trPr>
        <w:tc>
          <w:tcPr>
            <w:tcW w:w="4420" w:type="dxa"/>
            <w:vAlign w:val="bottom"/>
            <w:shd w:val="clear" w:color="auto" w:fill="CCCCCC"/>
          </w:tcPr>
          <w:p>
            <w:pPr>
              <w:ind w:left="280"/>
              <w:spacing w:after="0"/>
              <w:rPr>
                <w:sz w:val="20"/>
                <w:szCs w:val="20"/>
                <w:color w:val="auto"/>
              </w:rPr>
            </w:pPr>
            <w:r>
              <w:rPr>
                <w:rFonts w:ascii="Arial" w:cs="Arial" w:eastAsia="Arial" w:hAnsi="Arial"/>
                <w:sz w:val="14"/>
                <w:szCs w:val="14"/>
                <w:color w:val="auto"/>
              </w:rPr>
              <w:t>without Cause or due to a Constructive Discharge</w:t>
            </w:r>
          </w:p>
        </w:tc>
        <w:tc>
          <w:tcPr>
            <w:tcW w:w="1300" w:type="dxa"/>
            <w:vAlign w:val="bottom"/>
            <w:shd w:val="clear" w:color="auto" w:fill="CCCCCC"/>
          </w:tcPr>
          <w:p>
            <w:pPr>
              <w:spacing w:after="0"/>
              <w:rPr>
                <w:sz w:val="16"/>
                <w:szCs w:val="16"/>
                <w:color w:val="auto"/>
              </w:rPr>
            </w:pPr>
          </w:p>
        </w:tc>
        <w:tc>
          <w:tcPr>
            <w:tcW w:w="1640" w:type="dxa"/>
            <w:vAlign w:val="bottom"/>
            <w:shd w:val="clear" w:color="auto" w:fill="CCCCCC"/>
          </w:tcPr>
          <w:p>
            <w:pPr>
              <w:spacing w:after="0"/>
              <w:rPr>
                <w:sz w:val="16"/>
                <w:szCs w:val="16"/>
                <w:color w:val="auto"/>
              </w:rPr>
            </w:pPr>
          </w:p>
        </w:tc>
        <w:tc>
          <w:tcPr>
            <w:tcW w:w="1420" w:type="dxa"/>
            <w:vAlign w:val="bottom"/>
            <w:shd w:val="clear" w:color="auto" w:fill="CCCCCC"/>
          </w:tcPr>
          <w:p>
            <w:pPr>
              <w:spacing w:after="0"/>
              <w:rPr>
                <w:sz w:val="16"/>
                <w:szCs w:val="16"/>
                <w:color w:val="auto"/>
              </w:rPr>
            </w:pPr>
          </w:p>
        </w:tc>
        <w:tc>
          <w:tcPr>
            <w:tcW w:w="1060" w:type="dxa"/>
            <w:vAlign w:val="bottom"/>
            <w:shd w:val="clear" w:color="auto" w:fill="CCCCCC"/>
          </w:tcPr>
          <w:p>
            <w:pPr>
              <w:spacing w:after="0"/>
              <w:rPr>
                <w:sz w:val="16"/>
                <w:szCs w:val="16"/>
                <w:color w:val="auto"/>
              </w:rPr>
            </w:pPr>
          </w:p>
        </w:tc>
      </w:tr>
      <w:tr>
        <w:trPr>
          <w:trHeight w:val="283"/>
        </w:trPr>
        <w:tc>
          <w:tcPr>
            <w:tcW w:w="442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3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CCCC"/>
            </w:tcBorders>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CCCC"/>
            </w:tcBorders>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CCCC"/>
            </w:tcBorders>
            <w:shd w:val="clear" w:color="auto" w:fill="CCCCCC"/>
          </w:tcPr>
          <w:p>
            <w:pPr>
              <w:jc w:val="right"/>
              <w:ind w:right="8"/>
              <w:spacing w:after="0"/>
              <w:rPr>
                <w:sz w:val="20"/>
                <w:szCs w:val="20"/>
                <w:color w:val="auto"/>
              </w:rPr>
            </w:pPr>
            <w:r>
              <w:rPr>
                <w:rFonts w:ascii="Arial" w:cs="Arial" w:eastAsia="Arial" w:hAnsi="Arial"/>
                <w:sz w:val="14"/>
                <w:szCs w:val="14"/>
                <w:color w:val="auto"/>
              </w:rPr>
              <w:t>—</w:t>
            </w:r>
          </w:p>
        </w:tc>
      </w:tr>
      <w:tr>
        <w:trPr>
          <w:trHeight w:val="234"/>
        </w:trPr>
        <w:tc>
          <w:tcPr>
            <w:tcW w:w="44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Mr. Choi</w:t>
            </w:r>
          </w:p>
        </w:tc>
        <w:tc>
          <w:tcPr>
            <w:tcW w:w="1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37"/>
        </w:trPr>
        <w:tc>
          <w:tcPr>
            <w:tcW w:w="4420" w:type="dxa"/>
            <w:vAlign w:val="bottom"/>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420" w:type="dxa"/>
            <w:vAlign w:val="bottom"/>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300" w:type="dxa"/>
            <w:vAlign w:val="bottom"/>
          </w:tcPr>
          <w:p>
            <w:pPr>
              <w:jc w:val="right"/>
              <w:spacing w:after="0"/>
              <w:rPr>
                <w:sz w:val="20"/>
                <w:szCs w:val="20"/>
                <w:color w:val="auto"/>
              </w:rPr>
            </w:pPr>
            <w:r>
              <w:rPr>
                <w:rFonts w:ascii="Arial" w:cs="Arial" w:eastAsia="Arial" w:hAnsi="Arial"/>
                <w:sz w:val="14"/>
                <w:szCs w:val="14"/>
                <w:color w:val="auto"/>
              </w:rPr>
              <w:t>1,057,500</w:t>
            </w:r>
          </w:p>
        </w:tc>
        <w:tc>
          <w:tcPr>
            <w:tcW w:w="1640" w:type="dxa"/>
            <w:vAlign w:val="bottom"/>
          </w:tcPr>
          <w:p>
            <w:pPr>
              <w:jc w:val="right"/>
              <w:ind w:right="208"/>
              <w:spacing w:after="0"/>
              <w:rPr>
                <w:sz w:val="20"/>
                <w:szCs w:val="20"/>
                <w:color w:val="auto"/>
              </w:rPr>
            </w:pPr>
            <w:r>
              <w:rPr>
                <w:rFonts w:ascii="Arial" w:cs="Arial" w:eastAsia="Arial" w:hAnsi="Arial"/>
                <w:sz w:val="14"/>
                <w:szCs w:val="14"/>
                <w:color w:val="auto"/>
              </w:rPr>
              <w:t>12,099,182</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13,156,682</w:t>
            </w:r>
          </w:p>
        </w:tc>
      </w:tr>
      <w:tr>
        <w:trPr>
          <w:trHeight w:val="215"/>
        </w:trPr>
        <w:tc>
          <w:tcPr>
            <w:tcW w:w="4420" w:type="dxa"/>
            <w:vAlign w:val="bottom"/>
          </w:tcPr>
          <w:p>
            <w:pPr>
              <w:ind w:left="100"/>
              <w:spacing w:after="0"/>
              <w:rPr>
                <w:sz w:val="20"/>
                <w:szCs w:val="20"/>
                <w:color w:val="auto"/>
              </w:rPr>
            </w:pPr>
            <w:r>
              <w:rPr>
                <w:rFonts w:ascii="Arial" w:cs="Arial" w:eastAsia="Arial" w:hAnsi="Arial"/>
                <w:sz w:val="14"/>
                <w:szCs w:val="14"/>
                <w:color w:val="auto"/>
              </w:rPr>
              <w:t>Termination by Company without Cause or due to Constructive</w:t>
            </w:r>
          </w:p>
        </w:tc>
        <w:tc>
          <w:tcPr>
            <w:tcW w:w="1300" w:type="dxa"/>
            <w:vAlign w:val="bottom"/>
          </w:tcPr>
          <w:p>
            <w:pPr>
              <w:jc w:val="right"/>
              <w:spacing w:after="0"/>
              <w:rPr>
                <w:sz w:val="20"/>
                <w:szCs w:val="20"/>
                <w:color w:val="auto"/>
              </w:rPr>
            </w:pPr>
            <w:r>
              <w:rPr>
                <w:rFonts w:ascii="Arial" w:cs="Arial" w:eastAsia="Arial" w:hAnsi="Arial"/>
                <w:sz w:val="14"/>
                <w:szCs w:val="14"/>
                <w:color w:val="auto"/>
              </w:rPr>
              <w:t>2,280,941</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5,716,567</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27,086</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8,024,594</w:t>
            </w:r>
          </w:p>
        </w:tc>
      </w:tr>
      <w:tr>
        <w:trPr>
          <w:trHeight w:val="190"/>
        </w:trPr>
        <w:tc>
          <w:tcPr>
            <w:tcW w:w="4420" w:type="dxa"/>
            <w:vAlign w:val="bottom"/>
          </w:tcPr>
          <w:p>
            <w:pPr>
              <w:ind w:left="280"/>
              <w:spacing w:after="0"/>
              <w:rPr>
                <w:sz w:val="20"/>
                <w:szCs w:val="20"/>
                <w:color w:val="auto"/>
              </w:rPr>
            </w:pPr>
            <w:r>
              <w:rPr>
                <w:rFonts w:ascii="Arial" w:cs="Arial" w:eastAsia="Arial" w:hAnsi="Arial"/>
                <w:sz w:val="14"/>
                <w:szCs w:val="14"/>
                <w:color w:val="auto"/>
              </w:rPr>
              <w:t>Discharge</w:t>
            </w: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5"/>
        </w:trPr>
        <w:tc>
          <w:tcPr>
            <w:tcW w:w="4420" w:type="dxa"/>
            <w:vAlign w:val="bottom"/>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300" w:type="dxa"/>
            <w:vAlign w:val="bottom"/>
          </w:tcPr>
          <w:p>
            <w:pPr>
              <w:jc w:val="right"/>
              <w:spacing w:after="0"/>
              <w:rPr>
                <w:sz w:val="20"/>
                <w:szCs w:val="20"/>
                <w:color w:val="auto"/>
              </w:rPr>
            </w:pPr>
            <w:r>
              <w:rPr>
                <w:rFonts w:ascii="Arial" w:cs="Arial" w:eastAsia="Arial" w:hAnsi="Arial"/>
                <w:sz w:val="14"/>
                <w:szCs w:val="14"/>
                <w:color w:val="auto"/>
              </w:rPr>
              <w:t>2,280,941</w:t>
            </w:r>
          </w:p>
        </w:tc>
        <w:tc>
          <w:tcPr>
            <w:tcW w:w="1640" w:type="dxa"/>
            <w:vAlign w:val="bottom"/>
          </w:tcPr>
          <w:p>
            <w:pPr>
              <w:jc w:val="right"/>
              <w:ind w:right="208"/>
              <w:spacing w:after="0"/>
              <w:rPr>
                <w:sz w:val="20"/>
                <w:szCs w:val="20"/>
                <w:color w:val="auto"/>
              </w:rPr>
            </w:pPr>
            <w:r>
              <w:rPr>
                <w:rFonts w:ascii="Arial" w:cs="Arial" w:eastAsia="Arial" w:hAnsi="Arial"/>
                <w:sz w:val="14"/>
                <w:szCs w:val="14"/>
                <w:color w:val="auto"/>
              </w:rPr>
              <w:t>12,099,182</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27,086</w:t>
            </w:r>
          </w:p>
        </w:tc>
        <w:tc>
          <w:tcPr>
            <w:tcW w:w="1060" w:type="dxa"/>
            <w:vAlign w:val="bottom"/>
          </w:tcPr>
          <w:p>
            <w:pPr>
              <w:jc w:val="right"/>
              <w:spacing w:after="0"/>
              <w:rPr>
                <w:sz w:val="20"/>
                <w:szCs w:val="20"/>
                <w:color w:val="auto"/>
              </w:rPr>
            </w:pPr>
            <w:r>
              <w:rPr>
                <w:rFonts w:ascii="Arial" w:cs="Arial" w:eastAsia="Arial" w:hAnsi="Arial"/>
                <w:sz w:val="14"/>
                <w:szCs w:val="14"/>
                <w:color w:val="auto"/>
              </w:rPr>
              <w:t>14,407,209</w:t>
            </w:r>
          </w:p>
        </w:tc>
      </w:tr>
      <w:tr>
        <w:trPr>
          <w:trHeight w:val="190"/>
        </w:trPr>
        <w:tc>
          <w:tcPr>
            <w:tcW w:w="4420" w:type="dxa"/>
            <w:vAlign w:val="bottom"/>
          </w:tcPr>
          <w:p>
            <w:pPr>
              <w:ind w:left="280"/>
              <w:spacing w:after="0"/>
              <w:rPr>
                <w:sz w:val="20"/>
                <w:szCs w:val="20"/>
                <w:color w:val="auto"/>
              </w:rPr>
            </w:pPr>
            <w:r>
              <w:rPr>
                <w:rFonts w:ascii="Arial" w:cs="Arial" w:eastAsia="Arial" w:hAnsi="Arial"/>
                <w:sz w:val="14"/>
                <w:szCs w:val="14"/>
                <w:color w:val="auto"/>
              </w:rPr>
              <w:t>without Cause or due to Constructive Discharge</w:t>
            </w: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3"/>
        </w:trPr>
        <w:tc>
          <w:tcPr>
            <w:tcW w:w="4420" w:type="dxa"/>
            <w:vAlign w:val="bottom"/>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5"/>
        </w:trPr>
        <w:tc>
          <w:tcPr>
            <w:tcW w:w="44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5"/>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b w:val="1"/>
                <w:bCs w:val="1"/>
                <w:color w:val="auto"/>
              </w:rPr>
              <w:t>Mr. Hees</w:t>
            </w:r>
          </w:p>
        </w:tc>
        <w:tc>
          <w:tcPr>
            <w:tcW w:w="1300" w:type="dxa"/>
            <w:vAlign w:val="bottom"/>
            <w:shd w:val="clear" w:color="auto" w:fill="CCCCCC"/>
          </w:tcPr>
          <w:p>
            <w:pPr>
              <w:spacing w:after="0"/>
              <w:rPr>
                <w:sz w:val="20"/>
                <w:szCs w:val="20"/>
                <w:color w:val="auto"/>
              </w:rPr>
            </w:pPr>
          </w:p>
        </w:tc>
        <w:tc>
          <w:tcPr>
            <w:tcW w:w="1640" w:type="dxa"/>
            <w:vAlign w:val="bottom"/>
            <w:shd w:val="clear" w:color="auto" w:fill="CCCCCC"/>
          </w:tcPr>
          <w:p>
            <w:pPr>
              <w:spacing w:after="0"/>
              <w:rPr>
                <w:sz w:val="20"/>
                <w:szCs w:val="20"/>
                <w:color w:val="auto"/>
              </w:rPr>
            </w:pPr>
          </w:p>
        </w:tc>
        <w:tc>
          <w:tcPr>
            <w:tcW w:w="1420" w:type="dxa"/>
            <w:vAlign w:val="bottom"/>
            <w:shd w:val="clear" w:color="auto" w:fill="CCCCCC"/>
          </w:tcPr>
          <w:p>
            <w:pPr>
              <w:spacing w:after="0"/>
              <w:rPr>
                <w:sz w:val="20"/>
                <w:szCs w:val="20"/>
                <w:color w:val="auto"/>
              </w:rPr>
            </w:pPr>
          </w:p>
        </w:tc>
        <w:tc>
          <w:tcPr>
            <w:tcW w:w="1060" w:type="dxa"/>
            <w:vAlign w:val="bottom"/>
            <w:shd w:val="clear" w:color="auto" w:fill="CCCCCC"/>
          </w:tcPr>
          <w:p>
            <w:pPr>
              <w:spacing w:after="0"/>
              <w:rPr>
                <w:sz w:val="20"/>
                <w:szCs w:val="20"/>
                <w:color w:val="auto"/>
              </w:rPr>
            </w:pPr>
          </w:p>
        </w:tc>
      </w:tr>
      <w:tr>
        <w:trPr>
          <w:trHeight w:val="237"/>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500,000</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15,850,720</w:t>
            </w:r>
          </w:p>
        </w:tc>
        <w:tc>
          <w:tcPr>
            <w:tcW w:w="14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16,350,720</w:t>
            </w:r>
          </w:p>
        </w:tc>
      </w:tr>
      <w:tr>
        <w:trPr>
          <w:trHeight w:val="215"/>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by Company without Cause or due to Constructive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1,523,441</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10,218,249</w:t>
            </w:r>
          </w:p>
        </w:tc>
        <w:tc>
          <w:tcPr>
            <w:tcW w:w="14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11,741,690</w:t>
            </w:r>
          </w:p>
        </w:tc>
      </w:tr>
      <w:tr>
        <w:trPr>
          <w:trHeight w:val="190"/>
        </w:trPr>
        <w:tc>
          <w:tcPr>
            <w:tcW w:w="4420" w:type="dxa"/>
            <w:vAlign w:val="bottom"/>
            <w:shd w:val="clear" w:color="auto" w:fill="CCCCCC"/>
          </w:tcPr>
          <w:p>
            <w:pPr>
              <w:ind w:left="280"/>
              <w:spacing w:after="0"/>
              <w:rPr>
                <w:sz w:val="20"/>
                <w:szCs w:val="20"/>
                <w:color w:val="auto"/>
              </w:rPr>
            </w:pPr>
            <w:r>
              <w:rPr>
                <w:rFonts w:ascii="Arial" w:cs="Arial" w:eastAsia="Arial" w:hAnsi="Arial"/>
                <w:sz w:val="14"/>
                <w:szCs w:val="14"/>
                <w:color w:val="auto"/>
              </w:rPr>
              <w:t>Discharge</w:t>
            </w:r>
          </w:p>
        </w:tc>
        <w:tc>
          <w:tcPr>
            <w:tcW w:w="1300" w:type="dxa"/>
            <w:vAlign w:val="bottom"/>
            <w:shd w:val="clear" w:color="auto" w:fill="CCCCCC"/>
          </w:tcPr>
          <w:p>
            <w:pPr>
              <w:spacing w:after="0"/>
              <w:rPr>
                <w:sz w:val="16"/>
                <w:szCs w:val="16"/>
                <w:color w:val="auto"/>
              </w:rPr>
            </w:pPr>
          </w:p>
        </w:tc>
        <w:tc>
          <w:tcPr>
            <w:tcW w:w="1640" w:type="dxa"/>
            <w:vAlign w:val="bottom"/>
            <w:shd w:val="clear" w:color="auto" w:fill="CCCCCC"/>
          </w:tcPr>
          <w:p>
            <w:pPr>
              <w:spacing w:after="0"/>
              <w:rPr>
                <w:sz w:val="16"/>
                <w:szCs w:val="16"/>
                <w:color w:val="auto"/>
              </w:rPr>
            </w:pPr>
          </w:p>
        </w:tc>
        <w:tc>
          <w:tcPr>
            <w:tcW w:w="1420" w:type="dxa"/>
            <w:vAlign w:val="bottom"/>
            <w:shd w:val="clear" w:color="auto" w:fill="CCCCCC"/>
          </w:tcPr>
          <w:p>
            <w:pPr>
              <w:spacing w:after="0"/>
              <w:rPr>
                <w:sz w:val="16"/>
                <w:szCs w:val="16"/>
                <w:color w:val="auto"/>
              </w:rPr>
            </w:pPr>
          </w:p>
        </w:tc>
        <w:tc>
          <w:tcPr>
            <w:tcW w:w="1060" w:type="dxa"/>
            <w:vAlign w:val="bottom"/>
            <w:shd w:val="clear" w:color="auto" w:fill="CCCCCC"/>
          </w:tcPr>
          <w:p>
            <w:pPr>
              <w:spacing w:after="0"/>
              <w:rPr>
                <w:sz w:val="16"/>
                <w:szCs w:val="16"/>
                <w:color w:val="auto"/>
              </w:rPr>
            </w:pPr>
          </w:p>
        </w:tc>
      </w:tr>
      <w:tr>
        <w:trPr>
          <w:trHeight w:val="215"/>
        </w:trPr>
        <w:tc>
          <w:tcPr>
            <w:tcW w:w="44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1,523,441</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15,850,720</w:t>
            </w:r>
          </w:p>
        </w:tc>
        <w:tc>
          <w:tcPr>
            <w:tcW w:w="14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17,374,161</w:t>
            </w:r>
          </w:p>
        </w:tc>
      </w:tr>
      <w:tr>
        <w:trPr>
          <w:trHeight w:val="190"/>
        </w:trPr>
        <w:tc>
          <w:tcPr>
            <w:tcW w:w="4420" w:type="dxa"/>
            <w:vAlign w:val="bottom"/>
            <w:shd w:val="clear" w:color="auto" w:fill="CCCCCC"/>
          </w:tcPr>
          <w:p>
            <w:pPr>
              <w:ind w:left="280"/>
              <w:spacing w:after="0"/>
              <w:rPr>
                <w:sz w:val="20"/>
                <w:szCs w:val="20"/>
                <w:color w:val="auto"/>
              </w:rPr>
            </w:pPr>
            <w:r>
              <w:rPr>
                <w:rFonts w:ascii="Arial" w:cs="Arial" w:eastAsia="Arial" w:hAnsi="Arial"/>
                <w:sz w:val="14"/>
                <w:szCs w:val="14"/>
                <w:color w:val="auto"/>
              </w:rPr>
              <w:t>without Cause or due to a Constructive Discharge</w:t>
            </w:r>
          </w:p>
        </w:tc>
        <w:tc>
          <w:tcPr>
            <w:tcW w:w="1300" w:type="dxa"/>
            <w:vAlign w:val="bottom"/>
            <w:shd w:val="clear" w:color="auto" w:fill="CCCCCC"/>
          </w:tcPr>
          <w:p>
            <w:pPr>
              <w:spacing w:after="0"/>
              <w:rPr>
                <w:sz w:val="16"/>
                <w:szCs w:val="16"/>
                <w:color w:val="auto"/>
              </w:rPr>
            </w:pPr>
          </w:p>
        </w:tc>
        <w:tc>
          <w:tcPr>
            <w:tcW w:w="1640" w:type="dxa"/>
            <w:vAlign w:val="bottom"/>
            <w:shd w:val="clear" w:color="auto" w:fill="CCCCCC"/>
          </w:tcPr>
          <w:p>
            <w:pPr>
              <w:spacing w:after="0"/>
              <w:rPr>
                <w:sz w:val="16"/>
                <w:szCs w:val="16"/>
                <w:color w:val="auto"/>
              </w:rPr>
            </w:pPr>
          </w:p>
        </w:tc>
        <w:tc>
          <w:tcPr>
            <w:tcW w:w="1420" w:type="dxa"/>
            <w:vAlign w:val="bottom"/>
            <w:shd w:val="clear" w:color="auto" w:fill="CCCCCC"/>
          </w:tcPr>
          <w:p>
            <w:pPr>
              <w:spacing w:after="0"/>
              <w:rPr>
                <w:sz w:val="16"/>
                <w:szCs w:val="16"/>
                <w:color w:val="auto"/>
              </w:rPr>
            </w:pPr>
          </w:p>
        </w:tc>
        <w:tc>
          <w:tcPr>
            <w:tcW w:w="1060" w:type="dxa"/>
            <w:vAlign w:val="bottom"/>
            <w:shd w:val="clear" w:color="auto" w:fill="CCCCCC"/>
          </w:tcPr>
          <w:p>
            <w:pPr>
              <w:spacing w:after="0"/>
              <w:rPr>
                <w:sz w:val="16"/>
                <w:szCs w:val="16"/>
                <w:color w:val="auto"/>
              </w:rPr>
            </w:pPr>
          </w:p>
        </w:tc>
      </w:tr>
      <w:tr>
        <w:trPr>
          <w:trHeight w:val="283"/>
        </w:trPr>
        <w:tc>
          <w:tcPr>
            <w:tcW w:w="442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3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CCCC"/>
            </w:tcBorders>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CCCC"/>
            </w:tcBorders>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CCCC"/>
            </w:tcBorders>
            <w:shd w:val="clear" w:color="auto" w:fill="CCCCCC"/>
          </w:tcPr>
          <w:p>
            <w:pPr>
              <w:jc w:val="right"/>
              <w:ind w:right="8"/>
              <w:spacing w:after="0"/>
              <w:rPr>
                <w:sz w:val="20"/>
                <w:szCs w:val="20"/>
                <w:color w:val="auto"/>
              </w:rPr>
            </w:pPr>
            <w:r>
              <w:rPr>
                <w:rFonts w:ascii="Arial" w:cs="Arial" w:eastAsia="Arial" w:hAnsi="Arial"/>
                <w:sz w:val="14"/>
                <w:szCs w:val="14"/>
                <w:color w:val="auto"/>
              </w:rPr>
              <w:t>—</w:t>
            </w:r>
          </w:p>
        </w:tc>
      </w:tr>
      <w:tr>
        <w:trPr>
          <w:trHeight w:val="235"/>
        </w:trPr>
        <w:tc>
          <w:tcPr>
            <w:tcW w:w="44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Mr. Simhambhatla</w:t>
            </w:r>
          </w:p>
        </w:tc>
        <w:tc>
          <w:tcPr>
            <w:tcW w:w="1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37"/>
        </w:trPr>
        <w:tc>
          <w:tcPr>
            <w:tcW w:w="4420" w:type="dxa"/>
            <w:vAlign w:val="bottom"/>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420" w:type="dxa"/>
            <w:vAlign w:val="bottom"/>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300" w:type="dxa"/>
            <w:vAlign w:val="bottom"/>
          </w:tcPr>
          <w:p>
            <w:pPr>
              <w:jc w:val="right"/>
              <w:spacing w:after="0"/>
              <w:rPr>
                <w:sz w:val="20"/>
                <w:szCs w:val="20"/>
                <w:color w:val="auto"/>
              </w:rPr>
            </w:pPr>
            <w:r>
              <w:rPr>
                <w:rFonts w:ascii="Arial" w:cs="Arial" w:eastAsia="Arial" w:hAnsi="Arial"/>
                <w:sz w:val="14"/>
                <w:szCs w:val="14"/>
                <w:color w:val="auto"/>
              </w:rPr>
              <w:t>421,940</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6,031,640</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6,453,580</w:t>
            </w:r>
          </w:p>
        </w:tc>
      </w:tr>
      <w:tr>
        <w:trPr>
          <w:trHeight w:val="215"/>
        </w:trPr>
        <w:tc>
          <w:tcPr>
            <w:tcW w:w="4420" w:type="dxa"/>
            <w:vAlign w:val="bottom"/>
          </w:tcPr>
          <w:p>
            <w:pPr>
              <w:ind w:left="100"/>
              <w:spacing w:after="0"/>
              <w:rPr>
                <w:sz w:val="20"/>
                <w:szCs w:val="20"/>
                <w:color w:val="auto"/>
              </w:rPr>
            </w:pPr>
            <w:r>
              <w:rPr>
                <w:rFonts w:ascii="Arial" w:cs="Arial" w:eastAsia="Arial" w:hAnsi="Arial"/>
                <w:sz w:val="14"/>
                <w:szCs w:val="14"/>
                <w:color w:val="auto"/>
              </w:rPr>
              <w:t>Termination by Company without Cause or due to Constructive</w:t>
            </w:r>
          </w:p>
        </w:tc>
        <w:tc>
          <w:tcPr>
            <w:tcW w:w="1300" w:type="dxa"/>
            <w:vAlign w:val="bottom"/>
          </w:tcPr>
          <w:p>
            <w:pPr>
              <w:jc w:val="right"/>
              <w:spacing w:after="0"/>
              <w:rPr>
                <w:sz w:val="20"/>
                <w:szCs w:val="20"/>
                <w:color w:val="auto"/>
              </w:rPr>
            </w:pPr>
            <w:r>
              <w:rPr>
                <w:rFonts w:ascii="Arial" w:cs="Arial" w:eastAsia="Arial" w:hAnsi="Arial"/>
                <w:sz w:val="14"/>
                <w:szCs w:val="14"/>
                <w:color w:val="auto"/>
              </w:rPr>
              <w:t>1,435,470</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82,949</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1,518,419</w:t>
            </w:r>
          </w:p>
        </w:tc>
      </w:tr>
      <w:tr>
        <w:trPr>
          <w:trHeight w:val="190"/>
        </w:trPr>
        <w:tc>
          <w:tcPr>
            <w:tcW w:w="4420" w:type="dxa"/>
            <w:vAlign w:val="bottom"/>
          </w:tcPr>
          <w:p>
            <w:pPr>
              <w:ind w:left="280"/>
              <w:spacing w:after="0"/>
              <w:rPr>
                <w:sz w:val="20"/>
                <w:szCs w:val="20"/>
                <w:color w:val="auto"/>
              </w:rPr>
            </w:pPr>
            <w:r>
              <w:rPr>
                <w:rFonts w:ascii="Arial" w:cs="Arial" w:eastAsia="Arial" w:hAnsi="Arial"/>
                <w:sz w:val="14"/>
                <w:szCs w:val="14"/>
                <w:color w:val="auto"/>
              </w:rPr>
              <w:t>Discharge</w:t>
            </w: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5"/>
        </w:trPr>
        <w:tc>
          <w:tcPr>
            <w:tcW w:w="4420" w:type="dxa"/>
            <w:vAlign w:val="bottom"/>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300" w:type="dxa"/>
            <w:vAlign w:val="bottom"/>
          </w:tcPr>
          <w:p>
            <w:pPr>
              <w:jc w:val="right"/>
              <w:spacing w:after="0"/>
              <w:rPr>
                <w:sz w:val="20"/>
                <w:szCs w:val="20"/>
                <w:color w:val="auto"/>
              </w:rPr>
            </w:pPr>
            <w:r>
              <w:rPr>
                <w:rFonts w:ascii="Arial" w:cs="Arial" w:eastAsia="Arial" w:hAnsi="Arial"/>
                <w:sz w:val="14"/>
                <w:szCs w:val="14"/>
                <w:color w:val="auto"/>
              </w:rPr>
              <w:t>1,435,470</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6,031,640</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7,467,111</w:t>
            </w:r>
          </w:p>
        </w:tc>
      </w:tr>
      <w:tr>
        <w:trPr>
          <w:trHeight w:val="190"/>
        </w:trPr>
        <w:tc>
          <w:tcPr>
            <w:tcW w:w="4420" w:type="dxa"/>
            <w:vAlign w:val="bottom"/>
          </w:tcPr>
          <w:p>
            <w:pPr>
              <w:ind w:left="280"/>
              <w:spacing w:after="0"/>
              <w:rPr>
                <w:sz w:val="20"/>
                <w:szCs w:val="20"/>
                <w:color w:val="auto"/>
              </w:rPr>
            </w:pPr>
            <w:r>
              <w:rPr>
                <w:rFonts w:ascii="Arial" w:cs="Arial" w:eastAsia="Arial" w:hAnsi="Arial"/>
                <w:sz w:val="14"/>
                <w:szCs w:val="14"/>
                <w:color w:val="auto"/>
              </w:rPr>
              <w:t>without Cause or due to a Constructive Discharge</w:t>
            </w: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7"/>
        </w:trPr>
        <w:tc>
          <w:tcPr>
            <w:tcW w:w="44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35"/>
        </w:trPr>
        <w:tc>
          <w:tcPr>
            <w:tcW w:w="1560" w:type="dxa"/>
            <w:vAlign w:val="bottom"/>
            <w:tcBorders>
              <w:top w:val="single" w:sz="8" w:color="0000EE"/>
            </w:tcBorders>
          </w:tcPr>
          <w:p>
            <w:pPr>
              <w:spacing w:after="0"/>
              <w:rPr>
                <w:sz w:val="24"/>
                <w:szCs w:val="24"/>
                <w:color w:val="auto"/>
              </w:rPr>
            </w:pP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jc w:val="center"/>
              <w:ind w:left="188"/>
              <w:spacing w:after="0"/>
              <w:rPr>
                <w:sz w:val="20"/>
                <w:szCs w:val="20"/>
                <w:color w:val="auto"/>
              </w:rPr>
            </w:pPr>
            <w:r>
              <w:rPr>
                <w:rFonts w:ascii="Arial" w:cs="Arial" w:eastAsia="Arial" w:hAnsi="Arial"/>
                <w:sz w:val="14"/>
                <w:szCs w:val="14"/>
                <w:b w:val="1"/>
                <w:bCs w:val="1"/>
                <w:color w:val="auto"/>
              </w:rPr>
              <w:t>Accelerated</w:t>
            </w: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2"/>
        </w:trPr>
        <w:tc>
          <w:tcPr>
            <w:tcW w:w="1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jc w:val="center"/>
              <w:ind w:left="148"/>
              <w:spacing w:after="0"/>
              <w:rPr>
                <w:sz w:val="20"/>
                <w:szCs w:val="20"/>
                <w:color w:val="auto"/>
              </w:rPr>
            </w:pPr>
            <w:r>
              <w:rPr>
                <w:rFonts w:ascii="Arial" w:cs="Arial" w:eastAsia="Arial" w:hAnsi="Arial"/>
                <w:sz w:val="14"/>
                <w:szCs w:val="14"/>
                <w:b w:val="1"/>
                <w:bCs w:val="1"/>
                <w:color w:val="auto"/>
              </w:rPr>
              <w:t>Vesting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Continuation</w:t>
            </w:r>
          </w:p>
        </w:tc>
        <w:tc>
          <w:tcPr>
            <w:tcW w:w="102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60" w:type="dxa"/>
            <w:vAlign w:val="bottom"/>
          </w:tcPr>
          <w:p>
            <w:pPr>
              <w:jc w:val="center"/>
              <w:ind w:left="328"/>
              <w:spacing w:after="0"/>
              <w:rPr>
                <w:sz w:val="20"/>
                <w:szCs w:val="20"/>
                <w:color w:val="auto"/>
              </w:rPr>
            </w:pPr>
            <w:r>
              <w:rPr>
                <w:rFonts w:ascii="Arial" w:cs="Arial" w:eastAsia="Arial" w:hAnsi="Arial"/>
                <w:sz w:val="14"/>
                <w:szCs w:val="14"/>
                <w:b w:val="1"/>
                <w:bCs w:val="1"/>
                <w:color w:val="auto"/>
              </w:rPr>
              <w:t>Lump-Sum</w:t>
            </w:r>
          </w:p>
        </w:tc>
        <w:tc>
          <w:tcPr>
            <w:tcW w:w="1640" w:type="dxa"/>
            <w:vAlign w:val="bottom"/>
          </w:tcPr>
          <w:p>
            <w:pPr>
              <w:jc w:val="center"/>
              <w:ind w:left="168"/>
              <w:spacing w:after="0"/>
              <w:rPr>
                <w:sz w:val="20"/>
                <w:szCs w:val="20"/>
                <w:color w:val="auto"/>
              </w:rPr>
            </w:pPr>
            <w:r>
              <w:rPr>
                <w:rFonts w:ascii="Arial" w:cs="Arial" w:eastAsia="Arial" w:hAnsi="Arial"/>
                <w:sz w:val="14"/>
                <w:szCs w:val="14"/>
                <w:b w:val="1"/>
                <w:bCs w:val="1"/>
                <w:color w:val="auto"/>
              </w:rPr>
              <w:t>Stock-</w:t>
            </w:r>
          </w:p>
        </w:tc>
        <w:tc>
          <w:tcPr>
            <w:tcW w:w="1460" w:type="dxa"/>
            <w:vAlign w:val="bottom"/>
          </w:tcPr>
          <w:p>
            <w:pPr>
              <w:jc w:val="center"/>
              <w:ind w:right="8"/>
              <w:spacing w:after="0"/>
              <w:rPr>
                <w:sz w:val="20"/>
                <w:szCs w:val="20"/>
                <w:color w:val="auto"/>
              </w:rPr>
            </w:pPr>
            <w:r>
              <w:rPr>
                <w:rFonts w:ascii="Arial" w:cs="Arial" w:eastAsia="Arial" w:hAnsi="Arial"/>
                <w:sz w:val="14"/>
                <w:szCs w:val="14"/>
                <w:b w:val="1"/>
                <w:bCs w:val="1"/>
                <w:color w:val="auto"/>
              </w:rPr>
              <w:t>of Benefits</w:t>
            </w:r>
          </w:p>
        </w:tc>
        <w:tc>
          <w:tcPr>
            <w:tcW w:w="102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60" w:type="dxa"/>
            <w:vAlign w:val="bottom"/>
          </w:tcPr>
          <w:p>
            <w:pPr>
              <w:jc w:val="center"/>
              <w:ind w:left="328"/>
              <w:spacing w:after="0"/>
              <w:rPr>
                <w:sz w:val="20"/>
                <w:szCs w:val="20"/>
                <w:color w:val="auto"/>
              </w:rPr>
            </w:pPr>
            <w:r>
              <w:rPr>
                <w:rFonts w:ascii="Arial" w:cs="Arial" w:eastAsia="Arial" w:hAnsi="Arial"/>
                <w:sz w:val="14"/>
                <w:szCs w:val="14"/>
                <w:b w:val="1"/>
                <w:bCs w:val="1"/>
                <w:color w:val="auto"/>
              </w:rPr>
              <w:t>Severance</w:t>
            </w:r>
          </w:p>
        </w:tc>
        <w:tc>
          <w:tcPr>
            <w:tcW w:w="1640" w:type="dxa"/>
            <w:vAlign w:val="bottom"/>
          </w:tcPr>
          <w:p>
            <w:pPr>
              <w:jc w:val="center"/>
              <w:ind w:left="148"/>
              <w:spacing w:after="0"/>
              <w:rPr>
                <w:sz w:val="20"/>
                <w:szCs w:val="20"/>
                <w:color w:val="auto"/>
              </w:rPr>
            </w:pPr>
            <w:r>
              <w:rPr>
                <w:rFonts w:ascii="Arial" w:cs="Arial" w:eastAsia="Arial" w:hAnsi="Arial"/>
                <w:sz w:val="14"/>
                <w:szCs w:val="14"/>
                <w:b w:val="1"/>
                <w:bCs w:val="1"/>
                <w:color w:val="auto"/>
              </w:rPr>
              <w:t>based</w:t>
            </w:r>
          </w:p>
        </w:tc>
        <w:tc>
          <w:tcPr>
            <w:tcW w:w="1460" w:type="dxa"/>
            <w:vAlign w:val="bottom"/>
          </w:tcPr>
          <w:p>
            <w:pPr>
              <w:jc w:val="center"/>
              <w:ind w:right="8"/>
              <w:spacing w:after="0"/>
              <w:rPr>
                <w:sz w:val="20"/>
                <w:szCs w:val="20"/>
                <w:color w:val="auto"/>
              </w:rPr>
            </w:pPr>
            <w:r>
              <w:rPr>
                <w:rFonts w:ascii="Arial" w:cs="Arial" w:eastAsia="Arial" w:hAnsi="Arial"/>
                <w:sz w:val="14"/>
                <w:szCs w:val="14"/>
                <w:b w:val="1"/>
                <w:bCs w:val="1"/>
                <w:color w:val="auto"/>
              </w:rPr>
              <w:t>and</w:t>
            </w:r>
          </w:p>
        </w:tc>
        <w:tc>
          <w:tcPr>
            <w:tcW w:w="102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60" w:type="dxa"/>
            <w:vAlign w:val="bottom"/>
          </w:tcPr>
          <w:p>
            <w:pPr>
              <w:jc w:val="center"/>
              <w:ind w:left="288"/>
              <w:spacing w:after="0"/>
              <w:rPr>
                <w:sz w:val="20"/>
                <w:szCs w:val="20"/>
                <w:color w:val="auto"/>
              </w:rPr>
            </w:pPr>
            <w:r>
              <w:rPr>
                <w:rFonts w:ascii="Arial" w:cs="Arial" w:eastAsia="Arial" w:hAnsi="Arial"/>
                <w:sz w:val="14"/>
                <w:szCs w:val="14"/>
                <w:b w:val="1"/>
                <w:bCs w:val="1"/>
                <w:color w:val="auto"/>
              </w:rPr>
              <w:t>Payment</w:t>
            </w:r>
          </w:p>
        </w:tc>
        <w:tc>
          <w:tcPr>
            <w:tcW w:w="1640" w:type="dxa"/>
            <w:vAlign w:val="bottom"/>
          </w:tcPr>
          <w:p>
            <w:pPr>
              <w:jc w:val="center"/>
              <w:ind w:left="168"/>
              <w:spacing w:after="0"/>
              <w:rPr>
                <w:sz w:val="20"/>
                <w:szCs w:val="20"/>
                <w:color w:val="auto"/>
              </w:rPr>
            </w:pPr>
            <w:r>
              <w:rPr>
                <w:rFonts w:ascii="Arial" w:cs="Arial" w:eastAsia="Arial" w:hAnsi="Arial"/>
                <w:sz w:val="14"/>
                <w:szCs w:val="14"/>
                <w:b w:val="1"/>
                <w:bCs w:val="1"/>
                <w:color w:val="auto"/>
              </w:rPr>
              <w:t>Awards</w:t>
            </w:r>
          </w:p>
        </w:tc>
        <w:tc>
          <w:tcPr>
            <w:tcW w:w="1460" w:type="dxa"/>
            <w:vAlign w:val="bottom"/>
          </w:tcPr>
          <w:p>
            <w:pPr>
              <w:jc w:val="center"/>
              <w:ind w:right="8"/>
              <w:spacing w:after="0"/>
              <w:rPr>
                <w:sz w:val="20"/>
                <w:szCs w:val="20"/>
                <w:color w:val="auto"/>
              </w:rPr>
            </w:pPr>
            <w:r>
              <w:rPr>
                <w:rFonts w:ascii="Arial" w:cs="Arial" w:eastAsia="Arial" w:hAnsi="Arial"/>
                <w:sz w:val="14"/>
                <w:szCs w:val="14"/>
                <w:b w:val="1"/>
                <w:bCs w:val="1"/>
                <w:color w:val="auto"/>
              </w:rPr>
              <w:t>Perquisites</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96"/>
        </w:trPr>
        <w:tc>
          <w:tcPr>
            <w:tcW w:w="4560" w:type="dxa"/>
            <w:vAlign w:val="bottom"/>
            <w:gridSpan w:val="2"/>
          </w:tcPr>
          <w:p>
            <w:pPr>
              <w:ind w:left="100"/>
              <w:spacing w:after="0"/>
              <w:rPr>
                <w:sz w:val="20"/>
                <w:szCs w:val="20"/>
                <w:color w:val="auto"/>
              </w:rPr>
            </w:pPr>
            <w:r>
              <w:rPr>
                <w:rFonts w:ascii="Arial" w:cs="Arial" w:eastAsia="Arial" w:hAnsi="Arial"/>
                <w:sz w:val="14"/>
                <w:szCs w:val="14"/>
                <w:b w:val="1"/>
                <w:bCs w:val="1"/>
                <w:color w:val="auto"/>
              </w:rPr>
              <w:t>Name and Triggering Event(a)</w:t>
            </w:r>
          </w:p>
        </w:tc>
        <w:tc>
          <w:tcPr>
            <w:tcW w:w="1160" w:type="dxa"/>
            <w:vAlign w:val="bottom"/>
          </w:tcPr>
          <w:p>
            <w:pPr>
              <w:jc w:val="center"/>
              <w:ind w:left="328"/>
              <w:spacing w:after="0"/>
              <w:rPr>
                <w:sz w:val="20"/>
                <w:szCs w:val="20"/>
                <w:color w:val="auto"/>
              </w:rPr>
            </w:pPr>
            <w:r>
              <w:rPr>
                <w:rFonts w:ascii="Arial" w:cs="Arial" w:eastAsia="Arial" w:hAnsi="Arial"/>
                <w:sz w:val="14"/>
                <w:szCs w:val="14"/>
                <w:b w:val="1"/>
                <w:bCs w:val="1"/>
                <w:color w:val="auto"/>
              </w:rPr>
              <w:t>($)(b)</w:t>
            </w:r>
          </w:p>
        </w:tc>
        <w:tc>
          <w:tcPr>
            <w:tcW w:w="1640" w:type="dxa"/>
            <w:vAlign w:val="bottom"/>
          </w:tcPr>
          <w:p>
            <w:pPr>
              <w:jc w:val="center"/>
              <w:ind w:left="188"/>
              <w:spacing w:after="0"/>
              <w:rPr>
                <w:sz w:val="20"/>
                <w:szCs w:val="20"/>
                <w:color w:val="auto"/>
              </w:rPr>
            </w:pPr>
            <w:r>
              <w:rPr>
                <w:rFonts w:ascii="Arial" w:cs="Arial" w:eastAsia="Arial" w:hAnsi="Arial"/>
                <w:sz w:val="14"/>
                <w:szCs w:val="14"/>
                <w:b w:val="1"/>
                <w:bCs w:val="1"/>
                <w:color w:val="auto"/>
                <w:w w:val="99"/>
              </w:rPr>
              <w:t>($)(c)</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02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29"/>
        </w:trPr>
        <w:tc>
          <w:tcPr>
            <w:tcW w:w="15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4"/>
        </w:trPr>
        <w:tc>
          <w:tcPr>
            <w:tcW w:w="4560" w:type="dxa"/>
            <w:vAlign w:val="bottom"/>
            <w:gridSpan w:val="2"/>
            <w:shd w:val="clear" w:color="auto" w:fill="CCCCCC"/>
          </w:tcPr>
          <w:p>
            <w:pPr>
              <w:ind w:left="100"/>
              <w:spacing w:after="0"/>
              <w:rPr>
                <w:sz w:val="20"/>
                <w:szCs w:val="20"/>
                <w:color w:val="auto"/>
              </w:rPr>
            </w:pPr>
            <w:r>
              <w:rPr>
                <w:rFonts w:ascii="Arial" w:cs="Arial" w:eastAsia="Arial" w:hAnsi="Arial"/>
                <w:sz w:val="14"/>
                <w:szCs w:val="14"/>
                <w:b w:val="1"/>
                <w:bCs w:val="1"/>
                <w:color w:val="auto"/>
              </w:rPr>
              <w:t>Ms. Martins</w:t>
            </w:r>
          </w:p>
        </w:tc>
        <w:tc>
          <w:tcPr>
            <w:tcW w:w="1160" w:type="dxa"/>
            <w:vAlign w:val="bottom"/>
            <w:shd w:val="clear" w:color="auto" w:fill="CCCCCC"/>
          </w:tcPr>
          <w:p>
            <w:pPr>
              <w:spacing w:after="0"/>
              <w:rPr>
                <w:sz w:val="20"/>
                <w:szCs w:val="20"/>
                <w:color w:val="auto"/>
              </w:rPr>
            </w:pPr>
          </w:p>
        </w:tc>
        <w:tc>
          <w:tcPr>
            <w:tcW w:w="1640" w:type="dxa"/>
            <w:vAlign w:val="bottom"/>
            <w:shd w:val="clear" w:color="auto" w:fill="CCCCCC"/>
          </w:tcPr>
          <w:p>
            <w:pPr>
              <w:spacing w:after="0"/>
              <w:rPr>
                <w:sz w:val="20"/>
                <w:szCs w:val="20"/>
                <w:color w:val="auto"/>
              </w:rPr>
            </w:pPr>
          </w:p>
        </w:tc>
        <w:tc>
          <w:tcPr>
            <w:tcW w:w="1460" w:type="dxa"/>
            <w:vAlign w:val="bottom"/>
            <w:shd w:val="clear" w:color="auto" w:fill="CCCCCC"/>
          </w:tcPr>
          <w:p>
            <w:pPr>
              <w:spacing w:after="0"/>
              <w:rPr>
                <w:sz w:val="20"/>
                <w:szCs w:val="20"/>
                <w:color w:val="auto"/>
              </w:rPr>
            </w:pPr>
          </w:p>
        </w:tc>
        <w:tc>
          <w:tcPr>
            <w:tcW w:w="1020" w:type="dxa"/>
            <w:vAlign w:val="bottom"/>
            <w:shd w:val="clear" w:color="auto" w:fill="CCCCCC"/>
          </w:tcPr>
          <w:p>
            <w:pPr>
              <w:spacing w:after="0"/>
              <w:rPr>
                <w:sz w:val="20"/>
                <w:szCs w:val="20"/>
                <w:color w:val="auto"/>
              </w:rPr>
            </w:pPr>
          </w:p>
        </w:tc>
      </w:tr>
      <w:tr>
        <w:trPr>
          <w:trHeight w:val="237"/>
        </w:trPr>
        <w:tc>
          <w:tcPr>
            <w:tcW w:w="4560" w:type="dxa"/>
            <w:vAlign w:val="bottom"/>
            <w:gridSpan w:val="2"/>
            <w:shd w:val="clear" w:color="auto" w:fill="CCCCCC"/>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1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CCCC"/>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560" w:type="dxa"/>
            <w:vAlign w:val="bottom"/>
            <w:gridSpan w:val="2"/>
            <w:shd w:val="clear" w:color="auto" w:fill="CCCCCC"/>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1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1,051,875</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6,644,575</w:t>
            </w:r>
          </w:p>
        </w:tc>
        <w:tc>
          <w:tcPr>
            <w:tcW w:w="1460" w:type="dxa"/>
            <w:vAlign w:val="bottom"/>
            <w:shd w:val="clear" w:color="auto" w:fill="CCCCCC"/>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7,696,450</w:t>
            </w:r>
          </w:p>
        </w:tc>
      </w:tr>
      <w:tr>
        <w:trPr>
          <w:trHeight w:val="215"/>
        </w:trPr>
        <w:tc>
          <w:tcPr>
            <w:tcW w:w="4560" w:type="dxa"/>
            <w:vAlign w:val="bottom"/>
            <w:gridSpan w:val="2"/>
            <w:shd w:val="clear" w:color="auto" w:fill="CCCCCC"/>
          </w:tcPr>
          <w:p>
            <w:pPr>
              <w:ind w:left="100"/>
              <w:spacing w:after="0"/>
              <w:rPr>
                <w:sz w:val="20"/>
                <w:szCs w:val="20"/>
                <w:color w:val="auto"/>
              </w:rPr>
            </w:pPr>
            <w:r>
              <w:rPr>
                <w:rFonts w:ascii="Arial" w:cs="Arial" w:eastAsia="Arial" w:hAnsi="Arial"/>
                <w:sz w:val="14"/>
                <w:szCs w:val="14"/>
                <w:color w:val="auto"/>
              </w:rPr>
              <w:t>Termination by Company without Cause or due to Constructive</w:t>
            </w:r>
          </w:p>
        </w:tc>
        <w:tc>
          <w:tcPr>
            <w:tcW w:w="11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2,275,510</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2,582,389</w:t>
            </w:r>
          </w:p>
        </w:tc>
        <w:tc>
          <w:tcPr>
            <w:tcW w:w="146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20,666</w:t>
            </w:r>
          </w:p>
        </w:tc>
        <w:tc>
          <w:tcPr>
            <w:tcW w:w="10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4,878,565</w:t>
            </w:r>
          </w:p>
        </w:tc>
      </w:tr>
      <w:tr>
        <w:trPr>
          <w:trHeight w:val="190"/>
        </w:trPr>
        <w:tc>
          <w:tcPr>
            <w:tcW w:w="4560" w:type="dxa"/>
            <w:vAlign w:val="bottom"/>
            <w:gridSpan w:val="2"/>
            <w:shd w:val="clear" w:color="auto" w:fill="CCCCCC"/>
          </w:tcPr>
          <w:p>
            <w:pPr>
              <w:ind w:left="280"/>
              <w:spacing w:after="0"/>
              <w:rPr>
                <w:sz w:val="20"/>
                <w:szCs w:val="20"/>
                <w:color w:val="auto"/>
              </w:rPr>
            </w:pPr>
            <w:r>
              <w:rPr>
                <w:rFonts w:ascii="Arial" w:cs="Arial" w:eastAsia="Arial" w:hAnsi="Arial"/>
                <w:sz w:val="14"/>
                <w:szCs w:val="14"/>
                <w:color w:val="auto"/>
              </w:rPr>
              <w:t>Discharge</w:t>
            </w:r>
          </w:p>
        </w:tc>
        <w:tc>
          <w:tcPr>
            <w:tcW w:w="1160" w:type="dxa"/>
            <w:vAlign w:val="bottom"/>
            <w:shd w:val="clear" w:color="auto" w:fill="CCCCCC"/>
          </w:tcPr>
          <w:p>
            <w:pPr>
              <w:spacing w:after="0"/>
              <w:rPr>
                <w:sz w:val="16"/>
                <w:szCs w:val="16"/>
                <w:color w:val="auto"/>
              </w:rPr>
            </w:pPr>
          </w:p>
        </w:tc>
        <w:tc>
          <w:tcPr>
            <w:tcW w:w="1640" w:type="dxa"/>
            <w:vAlign w:val="bottom"/>
            <w:shd w:val="clear" w:color="auto" w:fill="CCCCCC"/>
          </w:tcPr>
          <w:p>
            <w:pPr>
              <w:spacing w:after="0"/>
              <w:rPr>
                <w:sz w:val="16"/>
                <w:szCs w:val="16"/>
                <w:color w:val="auto"/>
              </w:rPr>
            </w:pPr>
          </w:p>
        </w:tc>
        <w:tc>
          <w:tcPr>
            <w:tcW w:w="1460" w:type="dxa"/>
            <w:vAlign w:val="bottom"/>
            <w:shd w:val="clear" w:color="auto" w:fill="CCCCCC"/>
          </w:tcPr>
          <w:p>
            <w:pPr>
              <w:spacing w:after="0"/>
              <w:rPr>
                <w:sz w:val="16"/>
                <w:szCs w:val="16"/>
                <w:color w:val="auto"/>
              </w:rPr>
            </w:pPr>
          </w:p>
        </w:tc>
        <w:tc>
          <w:tcPr>
            <w:tcW w:w="1020" w:type="dxa"/>
            <w:vAlign w:val="bottom"/>
            <w:shd w:val="clear" w:color="auto" w:fill="CCCCCC"/>
          </w:tcPr>
          <w:p>
            <w:pPr>
              <w:spacing w:after="0"/>
              <w:rPr>
                <w:sz w:val="16"/>
                <w:szCs w:val="16"/>
                <w:color w:val="auto"/>
              </w:rPr>
            </w:pPr>
          </w:p>
        </w:tc>
      </w:tr>
      <w:tr>
        <w:trPr>
          <w:trHeight w:val="215"/>
        </w:trPr>
        <w:tc>
          <w:tcPr>
            <w:tcW w:w="4560" w:type="dxa"/>
            <w:vAlign w:val="bottom"/>
            <w:gridSpan w:val="2"/>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1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2,275,510</w:t>
            </w:r>
          </w:p>
        </w:tc>
        <w:tc>
          <w:tcPr>
            <w:tcW w:w="16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6,644,575</w:t>
            </w:r>
          </w:p>
        </w:tc>
        <w:tc>
          <w:tcPr>
            <w:tcW w:w="146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20,666</w:t>
            </w:r>
          </w:p>
        </w:tc>
        <w:tc>
          <w:tcPr>
            <w:tcW w:w="10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8,940,751</w:t>
            </w:r>
          </w:p>
        </w:tc>
      </w:tr>
      <w:tr>
        <w:trPr>
          <w:trHeight w:val="190"/>
        </w:trPr>
        <w:tc>
          <w:tcPr>
            <w:tcW w:w="4560" w:type="dxa"/>
            <w:vAlign w:val="bottom"/>
            <w:gridSpan w:val="2"/>
            <w:shd w:val="clear" w:color="auto" w:fill="CCCCCC"/>
          </w:tcPr>
          <w:p>
            <w:pPr>
              <w:ind w:left="280"/>
              <w:spacing w:after="0"/>
              <w:rPr>
                <w:sz w:val="20"/>
                <w:szCs w:val="20"/>
                <w:color w:val="auto"/>
              </w:rPr>
            </w:pPr>
            <w:r>
              <w:rPr>
                <w:rFonts w:ascii="Arial" w:cs="Arial" w:eastAsia="Arial" w:hAnsi="Arial"/>
                <w:sz w:val="14"/>
                <w:szCs w:val="14"/>
                <w:color w:val="auto"/>
              </w:rPr>
              <w:t>without Cause or due to Constructive Discharge</w:t>
            </w:r>
          </w:p>
        </w:tc>
        <w:tc>
          <w:tcPr>
            <w:tcW w:w="1160" w:type="dxa"/>
            <w:vAlign w:val="bottom"/>
            <w:shd w:val="clear" w:color="auto" w:fill="CCCCCC"/>
          </w:tcPr>
          <w:p>
            <w:pPr>
              <w:spacing w:after="0"/>
              <w:rPr>
                <w:sz w:val="16"/>
                <w:szCs w:val="16"/>
                <w:color w:val="auto"/>
              </w:rPr>
            </w:pPr>
          </w:p>
        </w:tc>
        <w:tc>
          <w:tcPr>
            <w:tcW w:w="1640" w:type="dxa"/>
            <w:vAlign w:val="bottom"/>
            <w:shd w:val="clear" w:color="auto" w:fill="CCCCCC"/>
          </w:tcPr>
          <w:p>
            <w:pPr>
              <w:spacing w:after="0"/>
              <w:rPr>
                <w:sz w:val="16"/>
                <w:szCs w:val="16"/>
                <w:color w:val="auto"/>
              </w:rPr>
            </w:pPr>
          </w:p>
        </w:tc>
        <w:tc>
          <w:tcPr>
            <w:tcW w:w="1460" w:type="dxa"/>
            <w:vAlign w:val="bottom"/>
            <w:shd w:val="clear" w:color="auto" w:fill="CCCCCC"/>
          </w:tcPr>
          <w:p>
            <w:pPr>
              <w:spacing w:after="0"/>
              <w:rPr>
                <w:sz w:val="16"/>
                <w:szCs w:val="16"/>
                <w:color w:val="auto"/>
              </w:rPr>
            </w:pPr>
          </w:p>
        </w:tc>
        <w:tc>
          <w:tcPr>
            <w:tcW w:w="1020" w:type="dxa"/>
            <w:vAlign w:val="bottom"/>
            <w:shd w:val="clear" w:color="auto" w:fill="CCCCCC"/>
          </w:tcPr>
          <w:p>
            <w:pPr>
              <w:spacing w:after="0"/>
              <w:rPr>
                <w:sz w:val="16"/>
                <w:szCs w:val="16"/>
                <w:color w:val="auto"/>
              </w:rPr>
            </w:pPr>
          </w:p>
        </w:tc>
      </w:tr>
      <w:tr>
        <w:trPr>
          <w:trHeight w:val="247"/>
        </w:trPr>
        <w:tc>
          <w:tcPr>
            <w:tcW w:w="4560" w:type="dxa"/>
            <w:vAlign w:val="bottom"/>
            <w:tcBorders>
              <w:bottom w:val="single" w:sz="8" w:color="auto"/>
            </w:tcBorders>
            <w:gridSpan w:val="2"/>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1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CCCC"/>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CCCC"/>
          </w:tcPr>
          <w:p>
            <w:pPr>
              <w:jc w:val="right"/>
              <w:ind w:right="8"/>
              <w:spacing w:after="0"/>
              <w:rPr>
                <w:sz w:val="20"/>
                <w:szCs w:val="20"/>
                <w:color w:val="auto"/>
              </w:rPr>
            </w:pPr>
            <w:r>
              <w:rPr>
                <w:rFonts w:ascii="Arial" w:cs="Arial" w:eastAsia="Arial" w:hAnsi="Arial"/>
                <w:sz w:val="14"/>
                <w:szCs w:val="14"/>
                <w:color w:val="auto"/>
              </w:rPr>
              <w:t>—</w:t>
            </w:r>
          </w:p>
        </w:tc>
      </w:tr>
    </w:tbl>
    <w:p>
      <w:pPr>
        <w:spacing w:after="0" w:line="153" w:lineRule="exact"/>
        <w:rPr>
          <w:sz w:val="20"/>
          <w:szCs w:val="20"/>
          <w:color w:val="auto"/>
        </w:rPr>
      </w:pPr>
    </w:p>
    <w:p>
      <w:pPr>
        <w:ind w:left="360" w:hanging="350"/>
        <w:spacing w:after="0" w:line="285" w:lineRule="auto"/>
        <w:tabs>
          <w:tab w:leader="none" w:pos="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Descriptions of the terms “Cause” and “Constructive Discharge” are provided above under the sections captioned “Employment Agreements and Other Arrangements — Definition of Cause” and “Discussion of Change-in-Control Provisions.”</w:t>
      </w:r>
    </w:p>
    <w:p>
      <w:pPr>
        <w:spacing w:after="0" w:line="22" w:lineRule="exact"/>
        <w:rPr>
          <w:rFonts w:ascii="Arial" w:cs="Arial" w:eastAsia="Arial" w:hAnsi="Arial"/>
          <w:sz w:val="14"/>
          <w:szCs w:val="14"/>
          <w:color w:val="auto"/>
        </w:rPr>
      </w:pPr>
    </w:p>
    <w:p>
      <w:pPr>
        <w:jc w:val="both"/>
        <w:ind w:left="360" w:hanging="350"/>
        <w:spacing w:after="0" w:line="252" w:lineRule="auto"/>
        <w:tabs>
          <w:tab w:leader="none" w:pos="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Lump-sum severance payments due to death or disability, for each NEO, is based on actual annual incentives under the AIP in 2022. For Mr. Ferraro, lump sum severance payments, other than due to death or disability, is calculated as of December 31, 2022, based on base salary and target annual incentive and multiplied by 200%. For Messrs. Choi, Hees and Simhambhatla and Ms. Martins, lump-sum severance payments, other than due to death or disability, are calculated as of December 31, 2022, based on base salary multiplied by 200%, actual incentives earned under the AIP in 2022, and the annual amount of the Company's contribution towards medical and dental premiums.</w:t>
      </w:r>
    </w:p>
    <w:p>
      <w:pPr>
        <w:spacing w:after="0" w:line="32" w:lineRule="exact"/>
        <w:rPr>
          <w:rFonts w:ascii="Arial" w:cs="Arial" w:eastAsia="Arial" w:hAnsi="Arial"/>
          <w:sz w:val="14"/>
          <w:szCs w:val="14"/>
          <w:color w:val="auto"/>
        </w:rPr>
      </w:pPr>
    </w:p>
    <w:p>
      <w:pPr>
        <w:jc w:val="both"/>
        <w:ind w:left="360" w:hanging="350"/>
        <w:spacing w:after="0" w:line="263" w:lineRule="auto"/>
        <w:tabs>
          <w:tab w:leader="none" w:pos="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values of RSUs and PSUs were calculated assuming accelerated vesting as of December 31, 2022 and based on the closing price of our Common Stock of $163.93. Additionally, values are based on maximum vesting levels for the 2020 and 2021 PSUs, and target vesting for the 2022 PSUs. Descriptions of the accelerated vesting provisions are provided under “Employment Agreements and Other Arrangements.”</w:t>
      </w:r>
    </w:p>
    <w:p>
      <w:pPr>
        <w:spacing w:after="0" w:line="24" w:lineRule="exact"/>
        <w:rPr>
          <w:rFonts w:ascii="Arial" w:cs="Arial" w:eastAsia="Arial" w:hAnsi="Arial"/>
          <w:sz w:val="14"/>
          <w:szCs w:val="14"/>
          <w:color w:val="auto"/>
        </w:rPr>
      </w:pPr>
    </w:p>
    <w:p>
      <w:pPr>
        <w:jc w:val="both"/>
        <w:ind w:left="360" w:right="20" w:hanging="350"/>
        <w:spacing w:after="0" w:line="263" w:lineRule="auto"/>
        <w:tabs>
          <w:tab w:leader="none" w:pos="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For Mr. Ferraro, reflects 24 months of continued health and dental, car benefits and financial planning. For Messrs. Choi, Hees and Simhambhatla and Ms. Martins, reflects 12 months of continued participation in financial planning and car benefits, as applicable based on each Executive's participation in such programs as of December 31, 2022.</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CEO Pay Ratio</w:t>
      </w:r>
    </w:p>
    <w:p>
      <w:pPr>
        <w:spacing w:after="0" w:line="15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Based on a review of our internal records, we believe that there has not been a change in our employee population or compensation arrangements that would significantly change our pay ratio disclosure as compared to the last two years. However, the median employee identified for 2020 is no longer employed with the Company, and therefore, we have selected an employee (the “Median Employee”) in a similarly compensated position to calculate this year's pay ratio. We have calculated the total annual compensation for the Median Employee applying the same methodology used for our named executive officers, as set forth in the Summary Compensation Table above. Total compensation for 2022 for our CEO was $13,010,743. Our Median Employee's total compensation for 2022 was $40,933. The ratio of our CEO's pay to the pay of our Median Employee for 2022 was 318 to 1.</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2" w:right="10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 </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ind w:left="720"/>
        <w:spacing w:after="0"/>
        <w:rPr>
          <w:sz w:val="20"/>
          <w:szCs w:val="20"/>
          <w:color w:val="auto"/>
        </w:rPr>
      </w:pPr>
      <w:r>
        <w:rPr>
          <w:rFonts w:ascii="Arial" w:cs="Arial" w:eastAsia="Arial" w:hAnsi="Arial"/>
          <w:sz w:val="25"/>
          <w:szCs w:val="25"/>
          <w:b w:val="1"/>
          <w:bCs w:val="1"/>
          <w:color w:val="auto"/>
        </w:rPr>
        <w:t>Pay Versus Performance</w:t>
      </w:r>
    </w:p>
    <w:p>
      <w:pPr>
        <w:spacing w:after="0" w:line="164" w:lineRule="exact"/>
        <w:rPr>
          <w:sz w:val="20"/>
          <w:szCs w:val="20"/>
          <w:color w:val="auto"/>
        </w:rPr>
      </w:pPr>
    </w:p>
    <w:p>
      <w:pPr>
        <w:jc w:val="both"/>
        <w:ind w:left="720"/>
        <w:spacing w:after="0" w:line="253" w:lineRule="auto"/>
        <w:rPr>
          <w:sz w:val="20"/>
          <w:szCs w:val="20"/>
          <w:color w:val="auto"/>
        </w:rPr>
      </w:pPr>
      <w:r>
        <w:rPr>
          <w:rFonts w:ascii="Arial" w:cs="Arial" w:eastAsia="Arial" w:hAnsi="Arial"/>
          <w:sz w:val="18"/>
          <w:szCs w:val="18"/>
          <w:color w:val="auto"/>
        </w:rPr>
        <w:t>In accordance with Section 953(a) of the Dodd-Frank Act and Item 402(v) of SEC Regulation S-K, we are required to disclose the relationship between executive compensation actually paid (“CAP”) by us and our financial performance over the applicable time period of the disclosure.</w:t>
      </w:r>
    </w:p>
    <w:p>
      <w:pPr>
        <w:spacing w:after="0" w:line="4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Pay Versus Performance Table</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Average</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1580" w:type="dxa"/>
            <w:vAlign w:val="bottom"/>
          </w:tcPr>
          <w:p>
            <w:pPr>
              <w:ind w:left="660"/>
              <w:spacing w:after="0"/>
              <w:rPr>
                <w:sz w:val="20"/>
                <w:szCs w:val="20"/>
                <w:color w:val="auto"/>
              </w:rPr>
            </w:pPr>
            <w:r>
              <w:rPr>
                <w:rFonts w:ascii="Arial" w:cs="Arial" w:eastAsia="Arial" w:hAnsi="Arial"/>
                <w:sz w:val="14"/>
                <w:szCs w:val="14"/>
                <w:b w:val="1"/>
                <w:bCs w:val="1"/>
                <w:color w:val="auto"/>
              </w:rPr>
              <w:t>Summary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9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Peer Group</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1580" w:type="dxa"/>
            <w:vAlign w:val="bottom"/>
          </w:tcPr>
          <w:p>
            <w:pPr>
              <w:jc w:val="center"/>
              <w:ind w:left="348"/>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Actually Paid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Actually aid to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1580" w:type="dxa"/>
            <w:vAlign w:val="bottom"/>
          </w:tcPr>
          <w:p>
            <w:pPr>
              <w:jc w:val="center"/>
              <w:ind w:left="308"/>
              <w:spacing w:after="0"/>
              <w:rPr>
                <w:sz w:val="20"/>
                <w:szCs w:val="20"/>
                <w:color w:val="auto"/>
              </w:rPr>
            </w:pPr>
            <w:r>
              <w:rPr>
                <w:rFonts w:ascii="Arial" w:cs="Arial" w:eastAsia="Arial" w:hAnsi="Arial"/>
                <w:sz w:val="14"/>
                <w:szCs w:val="14"/>
                <w:b w:val="1"/>
                <w:bCs w:val="1"/>
                <w:color w:val="auto"/>
                <w:w w:val="99"/>
              </w:rPr>
              <w:t>Table Total for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(CAP) to PEO</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9"/>
              </w:rPr>
              <w:t>Table Total for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Adjusted</w:t>
            </w:r>
          </w:p>
        </w:tc>
      </w:tr>
      <w:tr>
        <w:trPr>
          <w:trHeight w:val="162"/>
        </w:trPr>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Fiscal</w:t>
            </w:r>
          </w:p>
        </w:tc>
        <w:tc>
          <w:tcPr>
            <w:tcW w:w="1580" w:type="dxa"/>
            <w:vAlign w:val="bottom"/>
          </w:tcPr>
          <w:p>
            <w:pPr>
              <w:jc w:val="center"/>
              <w:ind w:left="308"/>
              <w:spacing w:after="0"/>
              <w:rPr>
                <w:sz w:val="20"/>
                <w:szCs w:val="20"/>
                <w:color w:val="auto"/>
              </w:rPr>
            </w:pPr>
            <w:r>
              <w:rPr>
                <w:rFonts w:ascii="Arial" w:cs="Arial" w:eastAsia="Arial" w:hAnsi="Arial"/>
                <w:sz w:val="14"/>
                <w:szCs w:val="14"/>
                <w:b w:val="1"/>
                <w:bCs w:val="1"/>
                <w:color w:val="auto"/>
              </w:rPr>
              <w:t>PEO (a)(b)</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(a)(c)(d)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NEOs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Return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Return</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Income</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EBITDA</w:t>
            </w:r>
          </w:p>
        </w:tc>
      </w:tr>
      <w:tr>
        <w:trPr>
          <w:trHeight w:val="196"/>
        </w:trPr>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Year</w:t>
            </w:r>
          </w:p>
        </w:tc>
        <w:tc>
          <w:tcPr>
            <w:tcW w:w="1580" w:type="dxa"/>
            <w:vAlign w:val="bottom"/>
          </w:tcPr>
          <w:p>
            <w:pPr>
              <w:jc w:val="center"/>
              <w:ind w:left="348"/>
              <w:spacing w:after="0"/>
              <w:rPr>
                <w:sz w:val="20"/>
                <w:szCs w:val="20"/>
                <w:color w:val="auto"/>
              </w:rPr>
            </w:pPr>
            <w:r>
              <w:rPr>
                <w:rFonts w:ascii="Arial" w:cs="Arial" w:eastAsia="Arial" w:hAnsi="Arial"/>
                <w:sz w:val="14"/>
                <w:szCs w:val="14"/>
                <w:b w:val="1"/>
                <w:bCs w:val="1"/>
                <w:color w:val="auto"/>
                <w:w w:val="93"/>
              </w:rPr>
              <w: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NEOs (e)(f)($)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(e)(g)($)</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(h)($)</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(h)($)</w:t>
            </w:r>
          </w:p>
        </w:tc>
        <w:tc>
          <w:tcPr>
            <w:tcW w:w="960" w:type="dxa"/>
            <w:vAlign w:val="bottom"/>
            <w:gridSpan w:val="2"/>
          </w:tcPr>
          <w:p>
            <w:pPr>
              <w:ind w:left="36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w:t>
            </w:r>
          </w:p>
        </w:tc>
      </w:tr>
      <w:tr>
        <w:trPr>
          <w:trHeight w:val="43"/>
        </w:trPr>
        <w:tc>
          <w:tcPr>
            <w:tcW w:w="10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r>
      <w:tr>
        <w:trPr>
          <w:trHeight w:val="257"/>
        </w:trPr>
        <w:tc>
          <w:tcPr>
            <w:tcW w:w="100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2022</w:t>
            </w:r>
          </w:p>
        </w:tc>
        <w:tc>
          <w:tcPr>
            <w:tcW w:w="1580" w:type="dxa"/>
            <w:vAlign w:val="bottom"/>
            <w:tcBorders>
              <w:bottom w:val="single" w:sz="8" w:color="CCCCCC"/>
            </w:tcBorders>
            <w:shd w:val="clear" w:color="auto" w:fill="CCCCCC"/>
          </w:tcPr>
          <w:p>
            <w:pPr>
              <w:jc w:val="center"/>
              <w:ind w:left="348"/>
              <w:spacing w:after="0"/>
              <w:rPr>
                <w:sz w:val="20"/>
                <w:szCs w:val="20"/>
                <w:color w:val="auto"/>
              </w:rPr>
            </w:pPr>
            <w:r>
              <w:rPr>
                <w:rFonts w:ascii="Arial" w:cs="Arial" w:eastAsia="Arial" w:hAnsi="Arial"/>
                <w:sz w:val="14"/>
                <w:szCs w:val="14"/>
                <w:color w:val="auto"/>
              </w:rPr>
              <w:t>13,010,743</w:t>
            </w:r>
          </w:p>
        </w:tc>
        <w:tc>
          <w:tcPr>
            <w:tcW w:w="1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5,274,544</w:t>
            </w:r>
          </w:p>
        </w:tc>
        <w:tc>
          <w:tcPr>
            <w:tcW w:w="11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5,079,055</w:t>
            </w:r>
          </w:p>
        </w:tc>
        <w:tc>
          <w:tcPr>
            <w:tcW w:w="1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2,547,482</w:t>
            </w:r>
          </w:p>
        </w:tc>
        <w:tc>
          <w:tcPr>
            <w:tcW w:w="98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4"/>
                <w:szCs w:val="14"/>
                <w:color w:val="auto"/>
              </w:rPr>
              <w:t>508.47</w:t>
            </w:r>
          </w:p>
        </w:tc>
        <w:tc>
          <w:tcPr>
            <w:tcW w:w="100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4"/>
                <w:szCs w:val="14"/>
                <w:color w:val="auto"/>
              </w:rPr>
              <w:t>127.96</w:t>
            </w:r>
          </w:p>
        </w:tc>
        <w:tc>
          <w:tcPr>
            <w:tcW w:w="960" w:type="dxa"/>
            <w:vAlign w:val="bottom"/>
            <w:tcBorders>
              <w:bottom w:val="single" w:sz="8" w:color="CCCCCC"/>
            </w:tcBorders>
            <w:gridSpan w:val="2"/>
            <w:shd w:val="clear" w:color="auto" w:fill="CCCCCC"/>
          </w:tcPr>
          <w:p>
            <w:pPr>
              <w:ind w:left="80"/>
              <w:spacing w:after="0"/>
              <w:rPr>
                <w:sz w:val="20"/>
                <w:szCs w:val="20"/>
                <w:color w:val="auto"/>
              </w:rPr>
            </w:pPr>
            <w:r>
              <w:rPr>
                <w:rFonts w:ascii="Arial" w:cs="Arial" w:eastAsia="Arial" w:hAnsi="Arial"/>
                <w:sz w:val="14"/>
                <w:szCs w:val="14"/>
                <w:color w:val="auto"/>
              </w:rPr>
              <w:t>2.756 billion</w:t>
            </w:r>
          </w:p>
        </w:tc>
        <w:tc>
          <w:tcPr>
            <w:tcW w:w="880" w:type="dxa"/>
            <w:vAlign w:val="bottom"/>
            <w:tcBorders>
              <w:bottom w:val="single" w:sz="8" w:color="CCCCCC"/>
            </w:tcBorders>
            <w:gridSpan w:val="2"/>
            <w:shd w:val="clear" w:color="auto" w:fill="CCCCCC"/>
          </w:tcPr>
          <w:p>
            <w:pPr>
              <w:jc w:val="center"/>
              <w:spacing w:after="0"/>
              <w:rPr>
                <w:sz w:val="20"/>
                <w:szCs w:val="20"/>
                <w:color w:val="auto"/>
              </w:rPr>
            </w:pPr>
            <w:r>
              <w:rPr>
                <w:rFonts w:ascii="Arial" w:cs="Arial" w:eastAsia="Arial" w:hAnsi="Arial"/>
                <w:sz w:val="14"/>
                <w:szCs w:val="14"/>
                <w:color w:val="auto"/>
              </w:rPr>
              <w:t>4.133 billion</w:t>
            </w:r>
          </w:p>
        </w:tc>
      </w:tr>
      <w:tr>
        <w:trPr>
          <w:trHeight w:val="235"/>
        </w:trPr>
        <w:tc>
          <w:tcPr>
            <w:tcW w:w="1000" w:type="dxa"/>
            <w:vAlign w:val="bottom"/>
          </w:tcPr>
          <w:p>
            <w:pPr>
              <w:ind w:left="100"/>
              <w:spacing w:after="0"/>
              <w:rPr>
                <w:sz w:val="20"/>
                <w:szCs w:val="20"/>
                <w:color w:val="auto"/>
              </w:rPr>
            </w:pPr>
            <w:r>
              <w:rPr>
                <w:rFonts w:ascii="Arial" w:cs="Arial" w:eastAsia="Arial" w:hAnsi="Arial"/>
                <w:sz w:val="14"/>
                <w:szCs w:val="14"/>
                <w:color w:val="auto"/>
              </w:rPr>
              <w:t>2021</w:t>
            </w:r>
          </w:p>
        </w:tc>
        <w:tc>
          <w:tcPr>
            <w:tcW w:w="1580" w:type="dxa"/>
            <w:vAlign w:val="bottom"/>
          </w:tcPr>
          <w:p>
            <w:pPr>
              <w:jc w:val="center"/>
              <w:ind w:left="388"/>
              <w:spacing w:after="0"/>
              <w:rPr>
                <w:sz w:val="20"/>
                <w:szCs w:val="20"/>
                <w:color w:val="auto"/>
              </w:rPr>
            </w:pPr>
            <w:r>
              <w:rPr>
                <w:rFonts w:ascii="Arial" w:cs="Arial" w:eastAsia="Arial" w:hAnsi="Arial"/>
                <w:sz w:val="14"/>
                <w:szCs w:val="14"/>
                <w:color w:val="auto"/>
              </w:rPr>
              <w:t>8,594,555</w:t>
            </w:r>
          </w:p>
        </w:tc>
        <w:tc>
          <w:tcPr>
            <w:tcW w:w="1140" w:type="dxa"/>
            <w:vAlign w:val="bottom"/>
          </w:tcPr>
          <w:p>
            <w:pPr>
              <w:jc w:val="center"/>
              <w:spacing w:after="0"/>
              <w:rPr>
                <w:sz w:val="20"/>
                <w:szCs w:val="20"/>
                <w:color w:val="auto"/>
              </w:rPr>
            </w:pPr>
            <w:r>
              <w:rPr>
                <w:rFonts w:ascii="Arial" w:cs="Arial" w:eastAsia="Arial" w:hAnsi="Arial"/>
                <w:sz w:val="14"/>
                <w:szCs w:val="14"/>
                <w:color w:val="auto"/>
              </w:rPr>
              <w:t>64,815,057</w:t>
            </w:r>
          </w:p>
        </w:tc>
        <w:tc>
          <w:tcPr>
            <w:tcW w:w="1160" w:type="dxa"/>
            <w:vAlign w:val="bottom"/>
          </w:tcPr>
          <w:p>
            <w:pPr>
              <w:jc w:val="center"/>
              <w:spacing w:after="0"/>
              <w:rPr>
                <w:sz w:val="20"/>
                <w:szCs w:val="20"/>
                <w:color w:val="auto"/>
              </w:rPr>
            </w:pPr>
            <w:r>
              <w:rPr>
                <w:rFonts w:ascii="Arial" w:cs="Arial" w:eastAsia="Arial" w:hAnsi="Arial"/>
                <w:sz w:val="14"/>
                <w:szCs w:val="14"/>
                <w:color w:val="auto"/>
              </w:rPr>
              <w:t>3,344,194</w:t>
            </w:r>
          </w:p>
        </w:tc>
        <w:tc>
          <w:tcPr>
            <w:tcW w:w="1140" w:type="dxa"/>
            <w:vAlign w:val="bottom"/>
          </w:tcPr>
          <w:p>
            <w:pPr>
              <w:jc w:val="center"/>
              <w:spacing w:after="0"/>
              <w:rPr>
                <w:sz w:val="20"/>
                <w:szCs w:val="20"/>
                <w:color w:val="auto"/>
              </w:rPr>
            </w:pPr>
            <w:r>
              <w:rPr>
                <w:rFonts w:ascii="Arial" w:cs="Arial" w:eastAsia="Arial" w:hAnsi="Arial"/>
                <w:sz w:val="14"/>
                <w:szCs w:val="14"/>
                <w:color w:val="auto"/>
              </w:rPr>
              <w:t>21,392,900</w:t>
            </w:r>
          </w:p>
        </w:tc>
        <w:tc>
          <w:tcPr>
            <w:tcW w:w="980" w:type="dxa"/>
            <w:vAlign w:val="bottom"/>
          </w:tcPr>
          <w:p>
            <w:pPr>
              <w:ind w:left="260"/>
              <w:spacing w:after="0"/>
              <w:rPr>
                <w:sz w:val="20"/>
                <w:szCs w:val="20"/>
                <w:color w:val="auto"/>
              </w:rPr>
            </w:pPr>
            <w:r>
              <w:rPr>
                <w:rFonts w:ascii="Arial" w:cs="Arial" w:eastAsia="Arial" w:hAnsi="Arial"/>
                <w:sz w:val="14"/>
                <w:szCs w:val="14"/>
                <w:color w:val="auto"/>
              </w:rPr>
              <w:t>643.21</w:t>
            </w:r>
          </w:p>
        </w:tc>
        <w:tc>
          <w:tcPr>
            <w:tcW w:w="1000" w:type="dxa"/>
            <w:vAlign w:val="bottom"/>
          </w:tcPr>
          <w:p>
            <w:pPr>
              <w:ind w:left="280"/>
              <w:spacing w:after="0"/>
              <w:rPr>
                <w:sz w:val="20"/>
                <w:szCs w:val="20"/>
                <w:color w:val="auto"/>
              </w:rPr>
            </w:pPr>
            <w:r>
              <w:rPr>
                <w:rFonts w:ascii="Arial" w:cs="Arial" w:eastAsia="Arial" w:hAnsi="Arial"/>
                <w:sz w:val="14"/>
                <w:szCs w:val="14"/>
                <w:color w:val="auto"/>
              </w:rPr>
              <w:t>155.22</w:t>
            </w: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1.283 billion</w:t>
            </w: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rPr>
              <w:t>2.411 billion</w:t>
            </w:r>
          </w:p>
        </w:tc>
      </w:tr>
      <w:tr>
        <w:trPr>
          <w:trHeight w:val="35"/>
        </w:trPr>
        <w:tc>
          <w:tcPr>
            <w:tcW w:w="10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23"/>
        </w:trPr>
        <w:tc>
          <w:tcPr>
            <w:tcW w:w="100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2020</w:t>
            </w:r>
          </w:p>
        </w:tc>
        <w:tc>
          <w:tcPr>
            <w:tcW w:w="1580" w:type="dxa"/>
            <w:vAlign w:val="bottom"/>
            <w:tcBorders>
              <w:bottom w:val="single" w:sz="8" w:color="CCCCCC"/>
            </w:tcBorders>
            <w:shd w:val="clear" w:color="auto" w:fill="CCCCCC"/>
          </w:tcPr>
          <w:p>
            <w:pPr>
              <w:jc w:val="center"/>
              <w:ind w:left="388"/>
              <w:spacing w:after="0"/>
              <w:rPr>
                <w:sz w:val="20"/>
                <w:szCs w:val="20"/>
                <w:color w:val="auto"/>
              </w:rPr>
            </w:pPr>
            <w:r>
              <w:rPr>
                <w:rFonts w:ascii="Arial" w:cs="Arial" w:eastAsia="Arial" w:hAnsi="Arial"/>
                <w:sz w:val="14"/>
                <w:szCs w:val="14"/>
                <w:color w:val="auto"/>
              </w:rPr>
              <w:t>4,915,152</w:t>
            </w:r>
          </w:p>
        </w:tc>
        <w:tc>
          <w:tcPr>
            <w:tcW w:w="1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4,087,859</w:t>
            </w:r>
          </w:p>
        </w:tc>
        <w:tc>
          <w:tcPr>
            <w:tcW w:w="11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2,876,919</w:t>
            </w:r>
          </w:p>
        </w:tc>
        <w:tc>
          <w:tcPr>
            <w:tcW w:w="1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2,321,984</w:t>
            </w:r>
          </w:p>
        </w:tc>
        <w:tc>
          <w:tcPr>
            <w:tcW w:w="98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4"/>
                <w:szCs w:val="14"/>
                <w:color w:val="auto"/>
              </w:rPr>
              <w:t>115.69</w:t>
            </w:r>
          </w:p>
        </w:tc>
        <w:tc>
          <w:tcPr>
            <w:tcW w:w="100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4"/>
                <w:szCs w:val="14"/>
                <w:color w:val="auto"/>
              </w:rPr>
              <w:t>116.52</w:t>
            </w:r>
          </w:p>
        </w:tc>
        <w:tc>
          <w:tcPr>
            <w:tcW w:w="4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(684)​</w:t>
            </w:r>
          </w:p>
        </w:tc>
        <w:tc>
          <w:tcPr>
            <w:tcW w:w="5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million</w:t>
            </w:r>
          </w:p>
        </w:tc>
        <w:tc>
          <w:tcPr>
            <w:tcW w:w="40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4"/>
                <w:szCs w:val="14"/>
                <w:color w:val="auto"/>
              </w:rPr>
              <w:t>(175)​</w:t>
            </w:r>
          </w:p>
        </w:tc>
        <w:tc>
          <w:tcPr>
            <w:tcW w:w="4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million</w:t>
            </w:r>
          </w:p>
        </w:tc>
      </w:tr>
      <w:tr>
        <w:trPr>
          <w:trHeight w:val="20"/>
        </w:trPr>
        <w:tc>
          <w:tcPr>
            <w:tcW w:w="10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153" w:lineRule="exact"/>
        <w:rPr>
          <w:sz w:val="20"/>
          <w:szCs w:val="20"/>
          <w:color w:val="auto"/>
        </w:rPr>
      </w:pPr>
    </w:p>
    <w:p>
      <w:pPr>
        <w:ind w:left="1060" w:hanging="350"/>
        <w:spacing w:after="0"/>
        <w:tabs>
          <w:tab w:leader="none" w:pos="10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PEO for each year is Mr. Ferraro.</w:t>
      </w:r>
    </w:p>
    <w:p>
      <w:pPr>
        <w:spacing w:after="0" w:line="68" w:lineRule="exact"/>
        <w:rPr>
          <w:rFonts w:ascii="Arial" w:cs="Arial" w:eastAsia="Arial" w:hAnsi="Arial"/>
          <w:sz w:val="14"/>
          <w:szCs w:val="14"/>
          <w:color w:val="auto"/>
        </w:rPr>
      </w:pPr>
    </w:p>
    <w:p>
      <w:pPr>
        <w:ind w:left="1060" w:hanging="350"/>
        <w:spacing w:after="0"/>
        <w:tabs>
          <w:tab w:leader="none" w:pos="10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Values reflect total compensation as shown in the Summary Compensation Table for each year shown.</w:t>
      </w:r>
    </w:p>
    <w:p>
      <w:pPr>
        <w:spacing w:after="0" w:line="82" w:lineRule="exact"/>
        <w:rPr>
          <w:rFonts w:ascii="Arial" w:cs="Arial" w:eastAsia="Arial" w:hAnsi="Arial"/>
          <w:sz w:val="14"/>
          <w:szCs w:val="14"/>
          <w:color w:val="auto"/>
        </w:rPr>
      </w:pPr>
    </w:p>
    <w:p>
      <w:pPr>
        <w:jc w:val="both"/>
        <w:ind w:left="1060" w:right="20" w:hanging="350"/>
        <w:spacing w:after="0" w:line="271" w:lineRule="auto"/>
        <w:tabs>
          <w:tab w:leader="none" w:pos="10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 accordance with Item 402(v) of Regulation S-K, CAP is calculated first by subtracting the amounts shown in the Stock Awards column of the Summary Compensation Total (as shown elsewhere in this proxy) for each applicable year. Then the following adjustments are made to the calculation:</w:t>
      </w:r>
    </w:p>
    <w:p>
      <w:pPr>
        <w:spacing w:after="0" w:line="244"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2160" w:type="dxa"/>
            <w:vAlign w:val="bottom"/>
          </w:tcPr>
          <w:p>
            <w:pPr>
              <w:jc w:val="center"/>
              <w:ind w:left="608"/>
              <w:spacing w:after="0"/>
              <w:rPr>
                <w:sz w:val="20"/>
                <w:szCs w:val="20"/>
                <w:color w:val="auto"/>
              </w:rPr>
            </w:pPr>
            <w:r>
              <w:rPr>
                <w:rFonts w:ascii="Arial" w:cs="Arial" w:eastAsia="Arial" w:hAnsi="Arial"/>
                <w:sz w:val="14"/>
                <w:szCs w:val="14"/>
                <w:b w:val="1"/>
                <w:bCs w:val="1"/>
                <w:color w:val="auto"/>
              </w:rPr>
              <w:t>Fair Value at 12/31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Fair Value at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Change in fair</w:t>
            </w:r>
          </w:p>
        </w:tc>
        <w:tc>
          <w:tcPr>
            <w:tcW w:w="2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2160" w:type="dxa"/>
            <w:vAlign w:val="bottom"/>
          </w:tcPr>
          <w:p>
            <w:pPr>
              <w:jc w:val="center"/>
              <w:ind w:left="588"/>
              <w:spacing w:after="0"/>
              <w:rPr>
                <w:sz w:val="20"/>
                <w:szCs w:val="20"/>
                <w:color w:val="auto"/>
              </w:rPr>
            </w:pPr>
            <w:r>
              <w:rPr>
                <w:rFonts w:ascii="Arial" w:cs="Arial" w:eastAsia="Arial" w:hAnsi="Arial"/>
                <w:sz w:val="14"/>
                <w:szCs w:val="14"/>
                <w:b w:val="1"/>
                <w:bCs w:val="1"/>
                <w:color w:val="auto"/>
              </w:rPr>
              <w:t>of equity awards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vesting of equity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Change in fair value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Forfeitures of equity</w:t>
            </w:r>
          </w:p>
        </w:tc>
      </w:tr>
      <w:tr>
        <w:trPr>
          <w:trHeight w:val="162"/>
        </w:trPr>
        <w:tc>
          <w:tcPr>
            <w:tcW w:w="1220" w:type="dxa"/>
            <w:vAlign w:val="bottom"/>
          </w:tcPr>
          <w:p>
            <w:pPr>
              <w:spacing w:after="0"/>
              <w:rPr>
                <w:sz w:val="14"/>
                <w:szCs w:val="14"/>
                <w:color w:val="auto"/>
              </w:rPr>
            </w:pPr>
          </w:p>
        </w:tc>
        <w:tc>
          <w:tcPr>
            <w:tcW w:w="2160" w:type="dxa"/>
            <w:vAlign w:val="bottom"/>
          </w:tcPr>
          <w:p>
            <w:pPr>
              <w:jc w:val="center"/>
              <w:ind w:left="628"/>
              <w:spacing w:after="0"/>
              <w:rPr>
                <w:sz w:val="20"/>
                <w:szCs w:val="20"/>
                <w:color w:val="auto"/>
              </w:rPr>
            </w:pPr>
            <w:r>
              <w:rPr>
                <w:rFonts w:ascii="Arial" w:cs="Arial" w:eastAsia="Arial" w:hAnsi="Arial"/>
                <w:sz w:val="14"/>
                <w:szCs w:val="14"/>
                <w:b w:val="1"/>
                <w:bCs w:val="1"/>
                <w:color w:val="auto"/>
              </w:rPr>
              <w:t>granted during</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awards granted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during the year of</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during the year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awards that had</w:t>
            </w:r>
          </w:p>
        </w:tc>
      </w:tr>
      <w:tr>
        <w:trPr>
          <w:trHeight w:val="162"/>
        </w:trPr>
        <w:tc>
          <w:tcPr>
            <w:tcW w:w="1220" w:type="dxa"/>
            <w:vAlign w:val="bottom"/>
          </w:tcPr>
          <w:p>
            <w:pPr>
              <w:spacing w:after="0"/>
              <w:rPr>
                <w:sz w:val="14"/>
                <w:szCs w:val="14"/>
                <w:color w:val="auto"/>
              </w:rPr>
            </w:pPr>
          </w:p>
        </w:tc>
        <w:tc>
          <w:tcPr>
            <w:tcW w:w="2160" w:type="dxa"/>
            <w:vAlign w:val="bottom"/>
          </w:tcPr>
          <w:p>
            <w:pPr>
              <w:jc w:val="center"/>
              <w:ind w:left="588"/>
              <w:spacing w:after="0"/>
              <w:rPr>
                <w:sz w:val="20"/>
                <w:szCs w:val="20"/>
                <w:color w:val="auto"/>
              </w:rPr>
            </w:pPr>
            <w:r>
              <w:rPr>
                <w:rFonts w:ascii="Arial" w:cs="Arial" w:eastAsia="Arial" w:hAnsi="Arial"/>
                <w:sz w:val="14"/>
                <w:szCs w:val="14"/>
                <w:b w:val="1"/>
                <w:bCs w:val="1"/>
                <w:color w:val="auto"/>
              </w:rPr>
              <w:t>the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and vested in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outstanding equity</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outstanding equity awards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value on 1/1 that</w:t>
            </w:r>
          </w:p>
        </w:tc>
      </w:tr>
      <w:tr>
        <w:trPr>
          <w:trHeight w:val="162"/>
        </w:trPr>
        <w:tc>
          <w:tcPr>
            <w:tcW w:w="1220" w:type="dxa"/>
            <w:vAlign w:val="bottom"/>
          </w:tcPr>
          <w:p>
            <w:pPr>
              <w:spacing w:after="0"/>
              <w:rPr>
                <w:sz w:val="14"/>
                <w:szCs w:val="14"/>
                <w:color w:val="auto"/>
              </w:rPr>
            </w:pPr>
          </w:p>
        </w:tc>
        <w:tc>
          <w:tcPr>
            <w:tcW w:w="2160" w:type="dxa"/>
            <w:vAlign w:val="bottom"/>
          </w:tcPr>
          <w:p>
            <w:pPr>
              <w:jc w:val="center"/>
              <w:ind w:left="628"/>
              <w:spacing w:after="0"/>
              <w:rPr>
                <w:sz w:val="20"/>
                <w:szCs w:val="20"/>
                <w:color w:val="auto"/>
              </w:rPr>
            </w:pPr>
            <w:r>
              <w:rPr>
                <w:rFonts w:ascii="Arial" w:cs="Arial" w:eastAsia="Arial" w:hAnsi="Arial"/>
                <w:sz w:val="14"/>
                <w:szCs w:val="14"/>
                <w:b w:val="1"/>
                <w:bCs w:val="1"/>
                <w:color w:val="auto"/>
              </w:rPr>
              <w:t>year and unvested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the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awards both on 1/1</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on 1/1 that vested during</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failed to vest during</w:t>
            </w:r>
          </w:p>
        </w:tc>
      </w:tr>
      <w:tr>
        <w:trPr>
          <w:trHeight w:val="196"/>
        </w:trPr>
        <w:tc>
          <w:tcPr>
            <w:tcW w:w="1220" w:type="dxa"/>
            <w:vAlign w:val="bottom"/>
          </w:tcPr>
          <w:p>
            <w:pPr>
              <w:ind w:left="100"/>
              <w:spacing w:after="0"/>
              <w:rPr>
                <w:sz w:val="20"/>
                <w:szCs w:val="20"/>
                <w:color w:val="auto"/>
              </w:rPr>
            </w:pPr>
            <w:r>
              <w:rPr>
                <w:rFonts w:ascii="Arial" w:cs="Arial" w:eastAsia="Arial" w:hAnsi="Arial"/>
                <w:sz w:val="14"/>
                <w:szCs w:val="14"/>
                <w:b w:val="1"/>
                <w:bCs w:val="1"/>
                <w:color w:val="auto"/>
              </w:rPr>
              <w:t>Year</w:t>
            </w:r>
          </w:p>
        </w:tc>
        <w:tc>
          <w:tcPr>
            <w:tcW w:w="2160" w:type="dxa"/>
            <w:vAlign w:val="bottom"/>
          </w:tcPr>
          <w:p>
            <w:pPr>
              <w:jc w:val="center"/>
              <w:ind w:left="628"/>
              <w:spacing w:after="0"/>
              <w:rPr>
                <w:sz w:val="20"/>
                <w:szCs w:val="20"/>
                <w:color w:val="auto"/>
              </w:rPr>
            </w:pPr>
            <w:r>
              <w:rPr>
                <w:rFonts w:ascii="Arial" w:cs="Arial" w:eastAsia="Arial" w:hAnsi="Arial"/>
                <w:sz w:val="14"/>
                <w:szCs w:val="14"/>
                <w:b w:val="1"/>
                <w:bCs w:val="1"/>
                <w:color w:val="auto"/>
              </w:rPr>
              <w:t>at 12/31 ($)</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year ($)</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and 12/31 ($)</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the year ($)</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the year ($)</w:t>
            </w:r>
          </w:p>
        </w:tc>
      </w:tr>
      <w:tr>
        <w:trPr>
          <w:trHeight w:val="43"/>
        </w:trPr>
        <w:tc>
          <w:tcPr>
            <w:tcW w:w="12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57"/>
        </w:trPr>
        <w:tc>
          <w:tcPr>
            <w:tcW w:w="122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2022</w:t>
            </w:r>
          </w:p>
        </w:tc>
        <w:tc>
          <w:tcPr>
            <w:tcW w:w="2160" w:type="dxa"/>
            <w:vAlign w:val="bottom"/>
            <w:tcBorders>
              <w:bottom w:val="single" w:sz="8" w:color="CCCCCC"/>
            </w:tcBorders>
            <w:shd w:val="clear" w:color="auto" w:fill="CCCCCC"/>
          </w:tcPr>
          <w:p>
            <w:pPr>
              <w:jc w:val="right"/>
              <w:ind w:right="308"/>
              <w:spacing w:after="0"/>
              <w:rPr>
                <w:sz w:val="20"/>
                <w:szCs w:val="20"/>
                <w:color w:val="auto"/>
              </w:rPr>
            </w:pPr>
            <w:r>
              <w:rPr>
                <w:rFonts w:ascii="Arial" w:cs="Arial" w:eastAsia="Arial" w:hAnsi="Arial"/>
                <w:sz w:val="14"/>
                <w:szCs w:val="14"/>
                <w:color w:val="auto"/>
              </w:rPr>
              <w:t>8,197,914</w:t>
            </w:r>
          </w:p>
        </w:tc>
        <w:tc>
          <w:tcPr>
            <w:tcW w:w="1360" w:type="dxa"/>
            <w:vAlign w:val="bottom"/>
            <w:tcBorders>
              <w:bottom w:val="single" w:sz="8" w:color="CCCCCC"/>
            </w:tcBorders>
            <w:shd w:val="clear" w:color="auto" w:fill="CCCCCC"/>
          </w:tcPr>
          <w:p>
            <w:pPr>
              <w:jc w:val="right"/>
              <w:ind w:right="368"/>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CCCCCC"/>
            </w:tcBorders>
            <w:shd w:val="clear" w:color="auto" w:fill="CCCCCC"/>
          </w:tcPr>
          <w:p>
            <w:pPr>
              <w:jc w:val="right"/>
              <w:ind w:right="268"/>
              <w:spacing w:after="0"/>
              <w:rPr>
                <w:sz w:val="20"/>
                <w:szCs w:val="20"/>
                <w:color w:val="auto"/>
              </w:rPr>
            </w:pPr>
            <w:r>
              <w:rPr>
                <w:rFonts w:ascii="Arial" w:cs="Arial" w:eastAsia="Arial" w:hAnsi="Arial"/>
                <w:sz w:val="14"/>
                <w:szCs w:val="14"/>
                <w:color w:val="auto"/>
              </w:rPr>
              <w:t>(8,584,873)</w:t>
            </w:r>
          </w:p>
        </w:tc>
        <w:tc>
          <w:tcPr>
            <w:tcW w:w="2040" w:type="dxa"/>
            <w:vAlign w:val="bottom"/>
            <w:tcBorders>
              <w:bottom w:val="single" w:sz="8" w:color="CCCCCC"/>
            </w:tcBorders>
            <w:shd w:val="clear" w:color="auto" w:fill="CCCCCC"/>
          </w:tcPr>
          <w:p>
            <w:pPr>
              <w:jc w:val="right"/>
              <w:ind w:right="628"/>
              <w:spacing w:after="0"/>
              <w:rPr>
                <w:sz w:val="20"/>
                <w:szCs w:val="20"/>
                <w:color w:val="auto"/>
              </w:rPr>
            </w:pPr>
            <w:r>
              <w:rPr>
                <w:rFonts w:ascii="Arial" w:cs="Arial" w:eastAsia="Arial" w:hAnsi="Arial"/>
                <w:sz w:val="14"/>
                <w:szCs w:val="14"/>
                <w:color w:val="auto"/>
              </w:rPr>
              <w:t>850,627</w:t>
            </w:r>
          </w:p>
        </w:tc>
        <w:tc>
          <w:tcPr>
            <w:tcW w:w="15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0</w:t>
            </w:r>
          </w:p>
        </w:tc>
      </w:tr>
      <w:tr>
        <w:trPr>
          <w:trHeight w:val="235"/>
        </w:trPr>
        <w:tc>
          <w:tcPr>
            <w:tcW w:w="1220" w:type="dxa"/>
            <w:vAlign w:val="bottom"/>
          </w:tcPr>
          <w:p>
            <w:pPr>
              <w:ind w:left="100"/>
              <w:spacing w:after="0"/>
              <w:rPr>
                <w:sz w:val="20"/>
                <w:szCs w:val="20"/>
                <w:color w:val="auto"/>
              </w:rPr>
            </w:pPr>
            <w:r>
              <w:rPr>
                <w:rFonts w:ascii="Arial" w:cs="Arial" w:eastAsia="Arial" w:hAnsi="Arial"/>
                <w:sz w:val="14"/>
                <w:szCs w:val="14"/>
                <w:color w:val="auto"/>
              </w:rPr>
              <w:t>2021</w:t>
            </w:r>
          </w:p>
        </w:tc>
        <w:tc>
          <w:tcPr>
            <w:tcW w:w="2160" w:type="dxa"/>
            <w:vAlign w:val="bottom"/>
          </w:tcPr>
          <w:p>
            <w:pPr>
              <w:jc w:val="center"/>
              <w:ind w:left="608"/>
              <w:spacing w:after="0"/>
              <w:rPr>
                <w:sz w:val="20"/>
                <w:szCs w:val="20"/>
                <w:color w:val="auto"/>
              </w:rPr>
            </w:pPr>
            <w:r>
              <w:rPr>
                <w:rFonts w:ascii="Arial" w:cs="Arial" w:eastAsia="Arial" w:hAnsi="Arial"/>
                <w:sz w:val="14"/>
                <w:szCs w:val="14"/>
                <w:color w:val="auto"/>
              </w:rPr>
              <w:t>20,813,727</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0</w:t>
            </w:r>
          </w:p>
        </w:tc>
        <w:tc>
          <w:tcPr>
            <w:tcW w:w="1520" w:type="dxa"/>
            <w:vAlign w:val="bottom"/>
          </w:tcPr>
          <w:p>
            <w:pPr>
              <w:jc w:val="right"/>
              <w:ind w:right="308"/>
              <w:spacing w:after="0"/>
              <w:rPr>
                <w:sz w:val="20"/>
                <w:szCs w:val="20"/>
                <w:color w:val="auto"/>
              </w:rPr>
            </w:pPr>
            <w:r>
              <w:rPr>
                <w:rFonts w:ascii="Arial" w:cs="Arial" w:eastAsia="Arial" w:hAnsi="Arial"/>
                <w:sz w:val="14"/>
                <w:szCs w:val="14"/>
                <w:color w:val="auto"/>
              </w:rPr>
              <w:t>35,195,582</w:t>
            </w:r>
          </w:p>
        </w:tc>
        <w:tc>
          <w:tcPr>
            <w:tcW w:w="2040" w:type="dxa"/>
            <w:vAlign w:val="bottom"/>
          </w:tcPr>
          <w:p>
            <w:pPr>
              <w:jc w:val="right"/>
              <w:ind w:right="628"/>
              <w:spacing w:after="0"/>
              <w:rPr>
                <w:sz w:val="20"/>
                <w:szCs w:val="20"/>
                <w:color w:val="auto"/>
              </w:rPr>
            </w:pPr>
            <w:r>
              <w:rPr>
                <w:rFonts w:ascii="Arial" w:cs="Arial" w:eastAsia="Arial" w:hAnsi="Arial"/>
                <w:sz w:val="14"/>
                <w:szCs w:val="14"/>
                <w:color w:val="auto"/>
              </w:rPr>
              <w:t>5,211,225</w:t>
            </w:r>
          </w:p>
        </w:tc>
        <w:tc>
          <w:tcPr>
            <w:tcW w:w="1540" w:type="dxa"/>
            <w:vAlign w:val="bottom"/>
          </w:tcPr>
          <w:p>
            <w:pPr>
              <w:jc w:val="center"/>
              <w:spacing w:after="0"/>
              <w:rPr>
                <w:sz w:val="20"/>
                <w:szCs w:val="20"/>
                <w:color w:val="auto"/>
              </w:rPr>
            </w:pPr>
            <w:r>
              <w:rPr>
                <w:rFonts w:ascii="Arial" w:cs="Arial" w:eastAsia="Arial" w:hAnsi="Arial"/>
                <w:sz w:val="14"/>
                <w:szCs w:val="14"/>
                <w:color w:val="auto"/>
              </w:rPr>
              <w:t>0</w:t>
            </w:r>
          </w:p>
        </w:tc>
      </w:tr>
      <w:tr>
        <w:trPr>
          <w:trHeight w:val="35"/>
        </w:trPr>
        <w:tc>
          <w:tcPr>
            <w:tcW w:w="12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39"/>
        </w:trPr>
        <w:tc>
          <w:tcPr>
            <w:tcW w:w="12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2020</w:t>
            </w:r>
          </w:p>
        </w:tc>
        <w:tc>
          <w:tcPr>
            <w:tcW w:w="2160" w:type="dxa"/>
            <w:vAlign w:val="bottom"/>
            <w:tcBorders>
              <w:bottom w:val="single" w:sz="8" w:color="auto"/>
            </w:tcBorders>
            <w:shd w:val="clear" w:color="auto" w:fill="CCCCCC"/>
          </w:tcPr>
          <w:p>
            <w:pPr>
              <w:jc w:val="right"/>
              <w:ind w:right="308"/>
              <w:spacing w:after="0"/>
              <w:rPr>
                <w:sz w:val="20"/>
                <w:szCs w:val="20"/>
                <w:color w:val="auto"/>
              </w:rPr>
            </w:pPr>
            <w:r>
              <w:rPr>
                <w:rFonts w:ascii="Arial" w:cs="Arial" w:eastAsia="Arial" w:hAnsi="Arial"/>
                <w:sz w:val="14"/>
                <w:szCs w:val="14"/>
                <w:color w:val="auto"/>
              </w:rPr>
              <w:t>2,608,091</w:t>
            </w:r>
          </w:p>
        </w:tc>
        <w:tc>
          <w:tcPr>
            <w:tcW w:w="13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699,225</w:t>
            </w:r>
          </w:p>
        </w:tc>
        <w:tc>
          <w:tcPr>
            <w:tcW w:w="1520" w:type="dxa"/>
            <w:vAlign w:val="bottom"/>
            <w:tcBorders>
              <w:bottom w:val="single" w:sz="8" w:color="auto"/>
            </w:tcBorders>
            <w:shd w:val="clear" w:color="auto" w:fill="CCCCCC"/>
          </w:tcPr>
          <w:p>
            <w:pPr>
              <w:jc w:val="right"/>
              <w:ind w:right="268"/>
              <w:spacing w:after="0"/>
              <w:rPr>
                <w:sz w:val="20"/>
                <w:szCs w:val="20"/>
                <w:color w:val="auto"/>
              </w:rPr>
            </w:pPr>
            <w:r>
              <w:rPr>
                <w:rFonts w:ascii="Arial" w:cs="Arial" w:eastAsia="Arial" w:hAnsi="Arial"/>
                <w:sz w:val="14"/>
                <w:szCs w:val="14"/>
                <w:color w:val="auto"/>
              </w:rPr>
              <w:t>(770,708)</w:t>
            </w:r>
          </w:p>
        </w:tc>
        <w:tc>
          <w:tcPr>
            <w:tcW w:w="2040" w:type="dxa"/>
            <w:vAlign w:val="bottom"/>
            <w:tcBorders>
              <w:bottom w:val="single" w:sz="8" w:color="auto"/>
            </w:tcBorders>
            <w:shd w:val="clear" w:color="auto" w:fill="CCCCCC"/>
          </w:tcPr>
          <w:p>
            <w:pPr>
              <w:jc w:val="right"/>
              <w:ind w:right="588"/>
              <w:spacing w:after="0"/>
              <w:rPr>
                <w:sz w:val="20"/>
                <w:szCs w:val="20"/>
                <w:color w:val="auto"/>
              </w:rPr>
            </w:pPr>
            <w:r>
              <w:rPr>
                <w:rFonts w:ascii="Arial" w:cs="Arial" w:eastAsia="Arial" w:hAnsi="Arial"/>
                <w:sz w:val="14"/>
                <w:szCs w:val="14"/>
                <w:color w:val="auto"/>
              </w:rPr>
              <w:t>(159,758)</w:t>
            </w:r>
          </w:p>
        </w:tc>
        <w:tc>
          <w:tcPr>
            <w:tcW w:w="15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0</w:t>
            </w:r>
          </w:p>
        </w:tc>
      </w:tr>
    </w:tbl>
    <w:p>
      <w:pPr>
        <w:spacing w:after="0" w:line="153" w:lineRule="exact"/>
        <w:rPr>
          <w:sz w:val="20"/>
          <w:szCs w:val="20"/>
          <w:color w:val="auto"/>
        </w:rPr>
      </w:pPr>
    </w:p>
    <w:p>
      <w:pPr>
        <w:jc w:val="both"/>
        <w:ind w:left="1060" w:hanging="350"/>
        <w:spacing w:after="0" w:line="263" w:lineRule="auto"/>
        <w:tabs>
          <w:tab w:leader="none" w:pos="10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addition, for 2020, $81,463 of pension earnings in the Summary Compensation has been removed when calculating CAP, and no additional pension values have been included for any years as there are no service costs because the Avis Rent A Car System, LLC Pension Plan was frozen as of December 31, 1998.</w:t>
      </w:r>
    </w:p>
    <w:p>
      <w:pPr>
        <w:spacing w:after="0" w:line="24" w:lineRule="exact"/>
        <w:rPr>
          <w:rFonts w:ascii="Arial" w:cs="Arial" w:eastAsia="Arial" w:hAnsi="Arial"/>
          <w:sz w:val="14"/>
          <w:szCs w:val="14"/>
          <w:color w:val="auto"/>
        </w:rPr>
      </w:pPr>
    </w:p>
    <w:p>
      <w:pPr>
        <w:ind w:left="1060" w:hanging="350"/>
        <w:spacing w:after="0" w:line="285" w:lineRule="auto"/>
        <w:tabs>
          <w:tab w:leader="none" w:pos="10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Included NEOs for 2022 are Messrs. Choi, Hees and Simhambhatla and Ms. Martins. Included NEOs for 2021 are Messrs. Choi, Hees, Sita, and Rankin. Included NEOs for 2020 are Messrs. Choi, Hees, Rankin, North, and Tucker and Ms. Martins.</w:t>
      </w:r>
    </w:p>
    <w:p>
      <w:pPr>
        <w:spacing w:after="0" w:line="22" w:lineRule="exact"/>
        <w:rPr>
          <w:rFonts w:ascii="Arial" w:cs="Arial" w:eastAsia="Arial" w:hAnsi="Arial"/>
          <w:sz w:val="14"/>
          <w:szCs w:val="14"/>
          <w:color w:val="auto"/>
        </w:rPr>
      </w:pPr>
    </w:p>
    <w:p>
      <w:pPr>
        <w:ind w:left="1060" w:hanging="350"/>
        <w:spacing w:after="0"/>
        <w:tabs>
          <w:tab w:leader="none" w:pos="10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Values reflect the average total compensation as shown in the Summary Compensation Table for the included NEOs for each year shown.</w:t>
      </w:r>
    </w:p>
    <w:p>
      <w:pPr>
        <w:spacing w:after="0" w:line="68" w:lineRule="exact"/>
        <w:rPr>
          <w:rFonts w:ascii="Arial" w:cs="Arial" w:eastAsia="Arial" w:hAnsi="Arial"/>
          <w:sz w:val="14"/>
          <w:szCs w:val="14"/>
          <w:color w:val="auto"/>
        </w:rPr>
      </w:pPr>
    </w:p>
    <w:p>
      <w:pPr>
        <w:jc w:val="both"/>
        <w:ind w:left="1060" w:hanging="350"/>
        <w:spacing w:after="0" w:line="263" w:lineRule="auto"/>
        <w:tabs>
          <w:tab w:leader="none" w:pos="10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accordance with Item 402(v) of Regulation S-K, CAP is calculated first by subtracting the average of the amounts shown in the Stock Awards column of the Summary Compensation Total (as shown elsewhere in this proxy or the proxy for the applicable prior year) for each applicable year. Then the following adjustments are made to the calculation:</w:t>
      </w:r>
    </w:p>
    <w:p>
      <w:pPr>
        <w:spacing w:after="0" w:line="78"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2160" w:type="dxa"/>
            <w:vAlign w:val="bottom"/>
          </w:tcPr>
          <w:p>
            <w:pPr>
              <w:jc w:val="center"/>
              <w:ind w:left="608"/>
              <w:spacing w:after="0"/>
              <w:rPr>
                <w:sz w:val="20"/>
                <w:szCs w:val="20"/>
                <w:color w:val="auto"/>
              </w:rPr>
            </w:pPr>
            <w:r>
              <w:rPr>
                <w:rFonts w:ascii="Arial" w:cs="Arial" w:eastAsia="Arial" w:hAnsi="Arial"/>
                <w:sz w:val="14"/>
                <w:szCs w:val="14"/>
                <w:b w:val="1"/>
                <w:bCs w:val="1"/>
                <w:color w:val="auto"/>
              </w:rPr>
              <w:t>Fair Value at 12/31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Fair Value at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Change in fair</w:t>
            </w:r>
          </w:p>
        </w:tc>
        <w:tc>
          <w:tcPr>
            <w:tcW w:w="2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2160" w:type="dxa"/>
            <w:vAlign w:val="bottom"/>
          </w:tcPr>
          <w:p>
            <w:pPr>
              <w:jc w:val="center"/>
              <w:ind w:left="588"/>
              <w:spacing w:after="0"/>
              <w:rPr>
                <w:sz w:val="20"/>
                <w:szCs w:val="20"/>
                <w:color w:val="auto"/>
              </w:rPr>
            </w:pPr>
            <w:r>
              <w:rPr>
                <w:rFonts w:ascii="Arial" w:cs="Arial" w:eastAsia="Arial" w:hAnsi="Arial"/>
                <w:sz w:val="14"/>
                <w:szCs w:val="14"/>
                <w:b w:val="1"/>
                <w:bCs w:val="1"/>
                <w:color w:val="auto"/>
              </w:rPr>
              <w:t>of equity awards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vesting of equity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Change in fair value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Forfeitures of equity</w:t>
            </w:r>
          </w:p>
        </w:tc>
      </w:tr>
      <w:tr>
        <w:trPr>
          <w:trHeight w:val="162"/>
        </w:trPr>
        <w:tc>
          <w:tcPr>
            <w:tcW w:w="1220" w:type="dxa"/>
            <w:vAlign w:val="bottom"/>
          </w:tcPr>
          <w:p>
            <w:pPr>
              <w:spacing w:after="0"/>
              <w:rPr>
                <w:sz w:val="14"/>
                <w:szCs w:val="14"/>
                <w:color w:val="auto"/>
              </w:rPr>
            </w:pPr>
          </w:p>
        </w:tc>
        <w:tc>
          <w:tcPr>
            <w:tcW w:w="2160" w:type="dxa"/>
            <w:vAlign w:val="bottom"/>
          </w:tcPr>
          <w:p>
            <w:pPr>
              <w:jc w:val="center"/>
              <w:ind w:left="628"/>
              <w:spacing w:after="0"/>
              <w:rPr>
                <w:sz w:val="20"/>
                <w:szCs w:val="20"/>
                <w:color w:val="auto"/>
              </w:rPr>
            </w:pPr>
            <w:r>
              <w:rPr>
                <w:rFonts w:ascii="Arial" w:cs="Arial" w:eastAsia="Arial" w:hAnsi="Arial"/>
                <w:sz w:val="14"/>
                <w:szCs w:val="14"/>
                <w:b w:val="1"/>
                <w:bCs w:val="1"/>
                <w:color w:val="auto"/>
              </w:rPr>
              <w:t>granted during</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awards granted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during the year of</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during the year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awards that had</w:t>
            </w:r>
          </w:p>
        </w:tc>
      </w:tr>
      <w:tr>
        <w:trPr>
          <w:trHeight w:val="162"/>
        </w:trPr>
        <w:tc>
          <w:tcPr>
            <w:tcW w:w="1220" w:type="dxa"/>
            <w:vAlign w:val="bottom"/>
          </w:tcPr>
          <w:p>
            <w:pPr>
              <w:spacing w:after="0"/>
              <w:rPr>
                <w:sz w:val="14"/>
                <w:szCs w:val="14"/>
                <w:color w:val="auto"/>
              </w:rPr>
            </w:pPr>
          </w:p>
        </w:tc>
        <w:tc>
          <w:tcPr>
            <w:tcW w:w="2160" w:type="dxa"/>
            <w:vAlign w:val="bottom"/>
          </w:tcPr>
          <w:p>
            <w:pPr>
              <w:jc w:val="center"/>
              <w:ind w:left="588"/>
              <w:spacing w:after="0"/>
              <w:rPr>
                <w:sz w:val="20"/>
                <w:szCs w:val="20"/>
                <w:color w:val="auto"/>
              </w:rPr>
            </w:pPr>
            <w:r>
              <w:rPr>
                <w:rFonts w:ascii="Arial" w:cs="Arial" w:eastAsia="Arial" w:hAnsi="Arial"/>
                <w:sz w:val="14"/>
                <w:szCs w:val="14"/>
                <w:b w:val="1"/>
                <w:bCs w:val="1"/>
                <w:color w:val="auto"/>
              </w:rPr>
              <w:t>the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and vested in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outstanding equity</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outstanding equity awards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value on 1/1 that</w:t>
            </w:r>
          </w:p>
        </w:tc>
      </w:tr>
      <w:tr>
        <w:trPr>
          <w:trHeight w:val="162"/>
        </w:trPr>
        <w:tc>
          <w:tcPr>
            <w:tcW w:w="1220" w:type="dxa"/>
            <w:vAlign w:val="bottom"/>
          </w:tcPr>
          <w:p>
            <w:pPr>
              <w:spacing w:after="0"/>
              <w:rPr>
                <w:sz w:val="14"/>
                <w:szCs w:val="14"/>
                <w:color w:val="auto"/>
              </w:rPr>
            </w:pPr>
          </w:p>
        </w:tc>
        <w:tc>
          <w:tcPr>
            <w:tcW w:w="2160" w:type="dxa"/>
            <w:vAlign w:val="bottom"/>
          </w:tcPr>
          <w:p>
            <w:pPr>
              <w:jc w:val="center"/>
              <w:ind w:left="628"/>
              <w:spacing w:after="0"/>
              <w:rPr>
                <w:sz w:val="20"/>
                <w:szCs w:val="20"/>
                <w:color w:val="auto"/>
              </w:rPr>
            </w:pPr>
            <w:r>
              <w:rPr>
                <w:rFonts w:ascii="Arial" w:cs="Arial" w:eastAsia="Arial" w:hAnsi="Arial"/>
                <w:sz w:val="14"/>
                <w:szCs w:val="14"/>
                <w:b w:val="1"/>
                <w:bCs w:val="1"/>
                <w:color w:val="auto"/>
              </w:rPr>
              <w:t>year and unvested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the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awards both on 1/1</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on 1/1 that vested during</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failed to vest during</w:t>
            </w:r>
          </w:p>
        </w:tc>
      </w:tr>
      <w:tr>
        <w:trPr>
          <w:trHeight w:val="196"/>
        </w:trPr>
        <w:tc>
          <w:tcPr>
            <w:tcW w:w="1220" w:type="dxa"/>
            <w:vAlign w:val="bottom"/>
          </w:tcPr>
          <w:p>
            <w:pPr>
              <w:ind w:left="100"/>
              <w:spacing w:after="0"/>
              <w:rPr>
                <w:sz w:val="20"/>
                <w:szCs w:val="20"/>
                <w:color w:val="auto"/>
              </w:rPr>
            </w:pPr>
            <w:r>
              <w:rPr>
                <w:rFonts w:ascii="Arial" w:cs="Arial" w:eastAsia="Arial" w:hAnsi="Arial"/>
                <w:sz w:val="14"/>
                <w:szCs w:val="14"/>
                <w:b w:val="1"/>
                <w:bCs w:val="1"/>
                <w:color w:val="auto"/>
              </w:rPr>
              <w:t>Year</w:t>
            </w:r>
          </w:p>
        </w:tc>
        <w:tc>
          <w:tcPr>
            <w:tcW w:w="2160" w:type="dxa"/>
            <w:vAlign w:val="bottom"/>
          </w:tcPr>
          <w:p>
            <w:pPr>
              <w:jc w:val="center"/>
              <w:ind w:left="628"/>
              <w:spacing w:after="0"/>
              <w:rPr>
                <w:sz w:val="20"/>
                <w:szCs w:val="20"/>
                <w:color w:val="auto"/>
              </w:rPr>
            </w:pPr>
            <w:r>
              <w:rPr>
                <w:rFonts w:ascii="Arial" w:cs="Arial" w:eastAsia="Arial" w:hAnsi="Arial"/>
                <w:sz w:val="14"/>
                <w:szCs w:val="14"/>
                <w:b w:val="1"/>
                <w:bCs w:val="1"/>
                <w:color w:val="auto"/>
              </w:rPr>
              <w:t>at 12/31 ($)</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year ($)</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and 12/31 ($)</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the year ($)</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the year ($)</w:t>
            </w:r>
          </w:p>
        </w:tc>
      </w:tr>
      <w:tr>
        <w:trPr>
          <w:trHeight w:val="42"/>
        </w:trPr>
        <w:tc>
          <w:tcPr>
            <w:tcW w:w="12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57"/>
        </w:trPr>
        <w:tc>
          <w:tcPr>
            <w:tcW w:w="122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2022</w:t>
            </w:r>
          </w:p>
        </w:tc>
        <w:tc>
          <w:tcPr>
            <w:tcW w:w="2160" w:type="dxa"/>
            <w:vAlign w:val="bottom"/>
            <w:tcBorders>
              <w:bottom w:val="single" w:sz="8" w:color="CCCCCC"/>
            </w:tcBorders>
            <w:shd w:val="clear" w:color="auto" w:fill="CCCCCC"/>
          </w:tcPr>
          <w:p>
            <w:pPr>
              <w:ind w:left="1100"/>
              <w:spacing w:after="0"/>
              <w:rPr>
                <w:sz w:val="20"/>
                <w:szCs w:val="20"/>
                <w:color w:val="auto"/>
              </w:rPr>
            </w:pPr>
            <w:r>
              <w:rPr>
                <w:rFonts w:ascii="Arial" w:cs="Arial" w:eastAsia="Arial" w:hAnsi="Arial"/>
                <w:sz w:val="14"/>
                <w:szCs w:val="14"/>
                <w:color w:val="auto"/>
              </w:rPr>
              <w:t>3,955,662</w:t>
            </w:r>
          </w:p>
        </w:tc>
        <w:tc>
          <w:tcPr>
            <w:tcW w:w="1360" w:type="dxa"/>
            <w:vAlign w:val="bottom"/>
            <w:tcBorders>
              <w:bottom w:val="single" w:sz="8" w:color="CCCCCC"/>
            </w:tcBorders>
            <w:shd w:val="clear" w:color="auto" w:fill="CCCCCC"/>
          </w:tcPr>
          <w:p>
            <w:pPr>
              <w:jc w:val="right"/>
              <w:ind w:right="408"/>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CCCCCC"/>
            </w:tcBorders>
            <w:shd w:val="clear" w:color="auto" w:fill="CCCCCC"/>
          </w:tcPr>
          <w:p>
            <w:pPr>
              <w:jc w:val="right"/>
              <w:ind w:right="288"/>
              <w:spacing w:after="0"/>
              <w:rPr>
                <w:sz w:val="20"/>
                <w:szCs w:val="20"/>
                <w:color w:val="auto"/>
              </w:rPr>
            </w:pPr>
            <w:r>
              <w:rPr>
                <w:rFonts w:ascii="Arial" w:cs="Arial" w:eastAsia="Arial" w:hAnsi="Arial"/>
                <w:sz w:val="14"/>
                <w:szCs w:val="14"/>
                <w:color w:val="auto"/>
              </w:rPr>
              <w:t>(1,719,420)</w:t>
            </w:r>
          </w:p>
        </w:tc>
        <w:tc>
          <w:tcPr>
            <w:tcW w:w="2040" w:type="dxa"/>
            <w:vAlign w:val="bottom"/>
            <w:tcBorders>
              <w:bottom w:val="single" w:sz="8" w:color="CCCCCC"/>
            </w:tcBorders>
            <w:shd w:val="clear" w:color="auto" w:fill="CCCCCC"/>
          </w:tcPr>
          <w:p>
            <w:pPr>
              <w:jc w:val="right"/>
              <w:ind w:right="568"/>
              <w:spacing w:after="0"/>
              <w:rPr>
                <w:sz w:val="20"/>
                <w:szCs w:val="20"/>
                <w:color w:val="auto"/>
              </w:rPr>
            </w:pPr>
            <w:r>
              <w:rPr>
                <w:rFonts w:ascii="Arial" w:cs="Arial" w:eastAsia="Arial" w:hAnsi="Arial"/>
                <w:sz w:val="14"/>
                <w:szCs w:val="14"/>
                <w:color w:val="auto"/>
              </w:rPr>
              <w:t>(980,296)</w:t>
            </w:r>
          </w:p>
        </w:tc>
        <w:tc>
          <w:tcPr>
            <w:tcW w:w="1540" w:type="dxa"/>
            <w:vAlign w:val="bottom"/>
            <w:tcBorders>
              <w:bottom w:val="single" w:sz="8" w:color="CCCCCC"/>
            </w:tcBorders>
            <w:shd w:val="clear" w:color="auto" w:fill="CCCCCC"/>
          </w:tcPr>
          <w:p>
            <w:pPr>
              <w:jc w:val="right"/>
              <w:ind w:right="428"/>
              <w:spacing w:after="0"/>
              <w:rPr>
                <w:sz w:val="20"/>
                <w:szCs w:val="20"/>
                <w:color w:val="auto"/>
              </w:rPr>
            </w:pPr>
            <w:r>
              <w:rPr>
                <w:rFonts w:ascii="Arial" w:cs="Arial" w:eastAsia="Arial" w:hAnsi="Arial"/>
                <w:sz w:val="14"/>
                <w:szCs w:val="14"/>
                <w:color w:val="auto"/>
              </w:rPr>
              <w:t>0</w:t>
            </w:r>
          </w:p>
        </w:tc>
      </w:tr>
      <w:tr>
        <w:trPr>
          <w:trHeight w:val="235"/>
        </w:trPr>
        <w:tc>
          <w:tcPr>
            <w:tcW w:w="1220" w:type="dxa"/>
            <w:vAlign w:val="bottom"/>
          </w:tcPr>
          <w:p>
            <w:pPr>
              <w:ind w:left="100"/>
              <w:spacing w:after="0"/>
              <w:rPr>
                <w:sz w:val="20"/>
                <w:szCs w:val="20"/>
                <w:color w:val="auto"/>
              </w:rPr>
            </w:pPr>
            <w:r>
              <w:rPr>
                <w:rFonts w:ascii="Arial" w:cs="Arial" w:eastAsia="Arial" w:hAnsi="Arial"/>
                <w:sz w:val="14"/>
                <w:szCs w:val="14"/>
                <w:color w:val="auto"/>
              </w:rPr>
              <w:t>2021</w:t>
            </w:r>
          </w:p>
        </w:tc>
        <w:tc>
          <w:tcPr>
            <w:tcW w:w="2160" w:type="dxa"/>
            <w:vAlign w:val="bottom"/>
          </w:tcPr>
          <w:p>
            <w:pPr>
              <w:ind w:left="1100"/>
              <w:spacing w:after="0"/>
              <w:rPr>
                <w:sz w:val="20"/>
                <w:szCs w:val="20"/>
                <w:color w:val="auto"/>
              </w:rPr>
            </w:pPr>
            <w:r>
              <w:rPr>
                <w:rFonts w:ascii="Arial" w:cs="Arial" w:eastAsia="Arial" w:hAnsi="Arial"/>
                <w:sz w:val="14"/>
                <w:szCs w:val="14"/>
                <w:color w:val="auto"/>
              </w:rPr>
              <w:t>6,595,092</w:t>
            </w:r>
          </w:p>
        </w:tc>
        <w:tc>
          <w:tcPr>
            <w:tcW w:w="1360" w:type="dxa"/>
            <w:vAlign w:val="bottom"/>
          </w:tcPr>
          <w:p>
            <w:pPr>
              <w:jc w:val="right"/>
              <w:ind w:right="408"/>
              <w:spacing w:after="0"/>
              <w:rPr>
                <w:sz w:val="20"/>
                <w:szCs w:val="20"/>
                <w:color w:val="auto"/>
              </w:rPr>
            </w:pPr>
            <w:r>
              <w:rPr>
                <w:rFonts w:ascii="Arial" w:cs="Arial" w:eastAsia="Arial" w:hAnsi="Arial"/>
                <w:sz w:val="14"/>
                <w:szCs w:val="14"/>
                <w:color w:val="auto"/>
              </w:rPr>
              <w:t>0</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11,794,300</w:t>
            </w:r>
          </w:p>
        </w:tc>
        <w:tc>
          <w:tcPr>
            <w:tcW w:w="2040" w:type="dxa"/>
            <w:vAlign w:val="bottom"/>
          </w:tcPr>
          <w:p>
            <w:pPr>
              <w:jc w:val="right"/>
              <w:ind w:right="608"/>
              <w:spacing w:after="0"/>
              <w:rPr>
                <w:sz w:val="20"/>
                <w:szCs w:val="20"/>
                <w:color w:val="auto"/>
              </w:rPr>
            </w:pPr>
            <w:r>
              <w:rPr>
                <w:rFonts w:ascii="Arial" w:cs="Arial" w:eastAsia="Arial" w:hAnsi="Arial"/>
                <w:sz w:val="14"/>
                <w:szCs w:val="14"/>
                <w:color w:val="auto"/>
              </w:rPr>
              <w:t>1,534,325</w:t>
            </w:r>
          </w:p>
        </w:tc>
        <w:tc>
          <w:tcPr>
            <w:tcW w:w="1540" w:type="dxa"/>
            <w:vAlign w:val="bottom"/>
          </w:tcPr>
          <w:p>
            <w:pPr>
              <w:jc w:val="right"/>
              <w:ind w:right="428"/>
              <w:spacing w:after="0"/>
              <w:rPr>
                <w:sz w:val="20"/>
                <w:szCs w:val="20"/>
                <w:color w:val="auto"/>
              </w:rPr>
            </w:pPr>
            <w:r>
              <w:rPr>
                <w:rFonts w:ascii="Arial" w:cs="Arial" w:eastAsia="Arial" w:hAnsi="Arial"/>
                <w:sz w:val="14"/>
                <w:szCs w:val="14"/>
                <w:color w:val="auto"/>
              </w:rPr>
              <w:t>0</w:t>
            </w:r>
          </w:p>
        </w:tc>
      </w:tr>
      <w:tr>
        <w:trPr>
          <w:trHeight w:val="35"/>
        </w:trPr>
        <w:tc>
          <w:tcPr>
            <w:tcW w:w="12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39"/>
        </w:trPr>
        <w:tc>
          <w:tcPr>
            <w:tcW w:w="12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2020</w:t>
            </w:r>
          </w:p>
        </w:tc>
        <w:tc>
          <w:tcPr>
            <w:tcW w:w="2160" w:type="dxa"/>
            <w:vAlign w:val="bottom"/>
            <w:tcBorders>
              <w:bottom w:val="single" w:sz="8" w:color="auto"/>
            </w:tcBorders>
            <w:shd w:val="clear" w:color="auto" w:fill="CCCCCC"/>
          </w:tcPr>
          <w:p>
            <w:pPr>
              <w:ind w:left="1100"/>
              <w:spacing w:after="0"/>
              <w:rPr>
                <w:sz w:val="20"/>
                <w:szCs w:val="20"/>
                <w:color w:val="auto"/>
              </w:rPr>
            </w:pPr>
            <w:r>
              <w:rPr>
                <w:rFonts w:ascii="Arial" w:cs="Arial" w:eastAsia="Arial" w:hAnsi="Arial"/>
                <w:sz w:val="14"/>
                <w:szCs w:val="14"/>
                <w:color w:val="auto"/>
              </w:rPr>
              <w:t>1,481,115</w:t>
            </w:r>
          </w:p>
        </w:tc>
        <w:tc>
          <w:tcPr>
            <w:tcW w:w="13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27,969</w:t>
            </w:r>
          </w:p>
        </w:tc>
        <w:tc>
          <w:tcPr>
            <w:tcW w:w="1520" w:type="dxa"/>
            <w:vAlign w:val="bottom"/>
            <w:tcBorders>
              <w:bottom w:val="single" w:sz="8" w:color="auto"/>
            </w:tcBorders>
            <w:shd w:val="clear" w:color="auto" w:fill="CCCCCC"/>
          </w:tcPr>
          <w:p>
            <w:pPr>
              <w:jc w:val="right"/>
              <w:ind w:right="288"/>
              <w:spacing w:after="0"/>
              <w:rPr>
                <w:sz w:val="20"/>
                <w:szCs w:val="20"/>
                <w:color w:val="auto"/>
              </w:rPr>
            </w:pPr>
            <w:r>
              <w:rPr>
                <w:rFonts w:ascii="Arial" w:cs="Arial" w:eastAsia="Arial" w:hAnsi="Arial"/>
                <w:sz w:val="14"/>
                <w:szCs w:val="14"/>
                <w:color w:val="auto"/>
              </w:rPr>
              <w:t>(172,866)</w:t>
            </w:r>
          </w:p>
        </w:tc>
        <w:tc>
          <w:tcPr>
            <w:tcW w:w="2040" w:type="dxa"/>
            <w:vAlign w:val="bottom"/>
            <w:tcBorders>
              <w:bottom w:val="single" w:sz="8" w:color="auto"/>
            </w:tcBorders>
            <w:shd w:val="clear" w:color="auto" w:fill="CCCCCC"/>
          </w:tcPr>
          <w:p>
            <w:pPr>
              <w:jc w:val="right"/>
              <w:ind w:right="568"/>
              <w:spacing w:after="0"/>
              <w:rPr>
                <w:sz w:val="20"/>
                <w:szCs w:val="20"/>
                <w:color w:val="auto"/>
              </w:rPr>
            </w:pPr>
            <w:r>
              <w:rPr>
                <w:rFonts w:ascii="Arial" w:cs="Arial" w:eastAsia="Arial" w:hAnsi="Arial"/>
                <w:sz w:val="14"/>
                <w:szCs w:val="14"/>
                <w:color w:val="auto"/>
              </w:rPr>
              <w:t>(91,304)</w:t>
            </w:r>
          </w:p>
        </w:tc>
        <w:tc>
          <w:tcPr>
            <w:tcW w:w="1540" w:type="dxa"/>
            <w:vAlign w:val="bottom"/>
            <w:tcBorders>
              <w:bottom w:val="single" w:sz="8" w:color="auto"/>
            </w:tcBorders>
            <w:shd w:val="clear" w:color="auto" w:fill="CCCCCC"/>
          </w:tcPr>
          <w:p>
            <w:pPr>
              <w:jc w:val="right"/>
              <w:ind w:right="388"/>
              <w:spacing w:after="0"/>
              <w:rPr>
                <w:sz w:val="20"/>
                <w:szCs w:val="20"/>
                <w:color w:val="auto"/>
              </w:rPr>
            </w:pPr>
            <w:r>
              <w:rPr>
                <w:rFonts w:ascii="Arial" w:cs="Arial" w:eastAsia="Arial" w:hAnsi="Arial"/>
                <w:sz w:val="14"/>
                <w:szCs w:val="14"/>
                <w:color w:val="auto"/>
              </w:rPr>
              <w:t>(89,236)</w:t>
            </w:r>
          </w:p>
        </w:tc>
      </w:tr>
    </w:tbl>
    <w:p>
      <w:pPr>
        <w:spacing w:after="0" w:line="153" w:lineRule="exact"/>
        <w:rPr>
          <w:sz w:val="20"/>
          <w:szCs w:val="20"/>
          <w:color w:val="auto"/>
        </w:rPr>
      </w:pPr>
    </w:p>
    <w:p>
      <w:pPr>
        <w:ind w:left="1060" w:hanging="350"/>
        <w:spacing w:after="0" w:line="285" w:lineRule="auto"/>
        <w:tabs>
          <w:tab w:leader="none" w:pos="10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Total Shareholder Return (“TSR”) is determined based on the value of an initial fixed investment of $100 on December 31, 2019. The peer group TSR reflects the Dow Jones US Transportation Average Index.</w:t>
      </w:r>
    </w:p>
    <w:p>
      <w:pPr>
        <w:spacing w:after="0" w:line="22" w:lineRule="exact"/>
        <w:rPr>
          <w:rFonts w:ascii="Arial" w:cs="Arial" w:eastAsia="Arial" w:hAnsi="Arial"/>
          <w:sz w:val="14"/>
          <w:szCs w:val="14"/>
          <w:color w:val="auto"/>
        </w:rPr>
      </w:pPr>
    </w:p>
    <w:p>
      <w:pPr>
        <w:ind w:left="1060" w:hanging="350"/>
        <w:spacing w:after="0" w:line="285" w:lineRule="auto"/>
        <w:tabs>
          <w:tab w:leader="none" w:pos="10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Company-selected measure is Adjusted EBITDA, which is a non-GAAP financial metric further described in the Compensation Discussion and Analysis section above.</w:t>
      </w:r>
    </w:p>
    <w:p>
      <w:pPr>
        <w:spacing w:after="0" w:line="25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154940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540"/>
          </w:cols>
          <w:pgMar w:left="320" w:top="122" w:right="10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Most Important Financial Measures</w:t>
      </w:r>
    </w:p>
    <w:p>
      <w:pPr>
        <w:spacing w:after="0" w:line="14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financial measures determined to be most important by the Committee under our incentive compensation programs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4078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40780" cy="179705"/>
                    </a:xfrm>
                    <a:prstGeom prst="rect">
                      <a:avLst/>
                    </a:prstGeom>
                    <a:noFill/>
                  </pic:spPr>
                </pic:pic>
              </a:graphicData>
            </a:graphic>
          </wp:anchor>
        </w:drawing>
      </w:r>
    </w:p>
    <w:p>
      <w:pPr>
        <w:spacing w:after="0" w:line="39" w:lineRule="exact"/>
        <w:rPr>
          <w:sz w:val="20"/>
          <w:szCs w:val="20"/>
          <w:color w:val="auto"/>
        </w:rPr>
      </w:pPr>
    </w:p>
    <w:p>
      <w:pPr>
        <w:ind w:left="80"/>
        <w:spacing w:after="0"/>
        <w:tabs>
          <w:tab w:leader="none" w:pos="2500" w:val="left"/>
          <w:tab w:leader="none" w:pos="5000" w:val="left"/>
          <w:tab w:leader="none" w:pos="748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8"/>
          <w:szCs w:val="18"/>
          <w:color w:val="auto"/>
        </w:rPr>
        <w:t>Fixed Cost</w:t>
      </w:r>
      <w:r>
        <w:rPr>
          <w:sz w:val="20"/>
          <w:szCs w:val="20"/>
          <w:color w:val="auto"/>
        </w:rPr>
        <w:tab/>
      </w:r>
      <w:r>
        <w:rPr>
          <w:rFonts w:ascii="Arial" w:cs="Arial" w:eastAsia="Arial" w:hAnsi="Arial"/>
          <w:sz w:val="18"/>
          <w:szCs w:val="18"/>
          <w:color w:val="auto"/>
        </w:rPr>
        <w:t>Variable Cost</w:t>
      </w:r>
      <w:r>
        <w:rPr>
          <w:sz w:val="20"/>
          <w:szCs w:val="20"/>
          <w:color w:val="auto"/>
        </w:rPr>
        <w:tab/>
      </w:r>
      <w:r>
        <w:rPr>
          <w:rFonts w:ascii="Arial" w:cs="Arial" w:eastAsia="Arial" w:hAnsi="Arial"/>
          <w:sz w:val="17"/>
          <w:szCs w:val="17"/>
          <w:color w:val="auto"/>
        </w:rPr>
        <w:t>Net Promoter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407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the Information Presented in the Pay Versus Performance Table</w:t>
      </w:r>
    </w:p>
    <w:p>
      <w:pPr>
        <w:spacing w:after="0" w:line="14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required by Item 402(v) of Regulation S-K, the Company is providing the following descriptions of the relationships between CAP and the metrics presented in the Pay Versus Performance table.</w:t>
      </w:r>
    </w:p>
    <w:p>
      <w:pPr>
        <w:spacing w:after="0" w:line="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three-year period shown in the table above, the amount of CAP is aligned with the Company’s TSR. For this same three-year period, our TSR has exceeded that of the peer group TSR presented in the table. The alignment of CAP with the Company’s TSR over the period presented is because a significant portion of the CAP is in the form of equity awards the value of which varies year to year depending on the stock price. For example, given the significant change in the Company’s 2020 TSR of $115.69 compared to the Company’s 2021 TSR of $643.21, the amount of 2021 CAP significantly exceeds 2020. Since the Company’s 2022 TSR of $508.47 was lower than the Company’s 2021 TSR of $643.21, the amount of 2022 CAP declined.</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shown in the table above, the amount of CAP is generally aligned with the Company’s net income over the three years presented in the table. While the Company does not use net income as a performance measure in its executive compensation program, the measure of net income is correlated with the measure Adjusted EBITDA, which is a performance goal under both the annual and long-term incentive compensation programs. CAP declined in 2022 although Adjusted EBITDA increased, primarily as a result of the impact of stock price on the calculation of CAP.</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Compensation</w:t>
      </w:r>
    </w:p>
    <w:p>
      <w:pPr>
        <w:spacing w:after="0" w:line="172"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For 2022, our non-employee directors were eligible to receive an annual director retainer of $250,000. To reflect their additional responsibilities, the chairs and members of the Audit, Compensation and Corporate Governance Committees were also eligible to receive additional annual retainers in 2022. The current rates of these retainers are set forth below and reflect increases that were approved in December 2021. The increases were comprised of a $25,000 increase to the annual director retainer as well as increases to the additional annual retainers for the chairs and members of the above-referenced Committees as reflected below.</w:t>
      </w:r>
    </w:p>
    <w:p>
      <w:pPr>
        <w:spacing w:after="0" w:line="98"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changes in non-employee director compensation for 2022 were determined following a review of market practice conducted by the Company with input from Pay Governance, which was discussed and reviewed by the Corporate Governance Committee and approved by the Board based on the Corporate Governance Committee’s recommendation. Consideration was also given to the fact that individual directors’ responsibilities had increased since the size of the Board was decreased in 2020, while there had been no increase in retainers since before that time.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17"/>
                <w:szCs w:val="17"/>
                <w:color w:val="auto"/>
              </w:rPr>
            </w:pPr>
          </w:p>
        </w:tc>
        <w:tc>
          <w:tcPr>
            <w:tcW w:w="21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Annual Retainers ($)</w:t>
            </w:r>
          </w:p>
        </w:tc>
      </w:tr>
      <w:tr>
        <w:trPr>
          <w:trHeight w:val="43"/>
        </w:trPr>
        <w:tc>
          <w:tcPr>
            <w:tcW w:w="77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8"/>
        </w:trPr>
        <w:tc>
          <w:tcPr>
            <w:tcW w:w="77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2021</w:t>
            </w:r>
          </w:p>
        </w:tc>
      </w:tr>
      <w:tr>
        <w:trPr>
          <w:trHeight w:val="43"/>
        </w:trPr>
        <w:tc>
          <w:tcPr>
            <w:tcW w:w="77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96"/>
        </w:trPr>
        <w:tc>
          <w:tcPr>
            <w:tcW w:w="770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Audit Committee Chair</w:t>
            </w:r>
          </w:p>
        </w:tc>
        <w:tc>
          <w:tcPr>
            <w:tcW w:w="11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35,000</w:t>
            </w:r>
          </w:p>
        </w:tc>
        <w:tc>
          <w:tcPr>
            <w:tcW w:w="960" w:type="dxa"/>
            <w:vAlign w:val="bottom"/>
            <w:tcBorders>
              <w:bottom w:val="single" w:sz="8" w:color="CCCCCC"/>
            </w:tcBorders>
            <w:shd w:val="clear" w:color="auto" w:fill="CCCCCC"/>
          </w:tcPr>
          <w:p>
            <w:pPr>
              <w:jc w:val="right"/>
              <w:ind w:right="68"/>
              <w:spacing w:after="0"/>
              <w:rPr>
                <w:sz w:val="20"/>
                <w:szCs w:val="20"/>
                <w:color w:val="auto"/>
              </w:rPr>
            </w:pPr>
            <w:r>
              <w:rPr>
                <w:rFonts w:ascii="Arial" w:cs="Arial" w:eastAsia="Arial" w:hAnsi="Arial"/>
                <w:sz w:val="14"/>
                <w:szCs w:val="14"/>
                <w:color w:val="auto"/>
              </w:rPr>
              <w:t>25,000</w:t>
            </w:r>
          </w:p>
        </w:tc>
      </w:tr>
      <w:tr>
        <w:trPr>
          <w:trHeight w:val="242"/>
        </w:trPr>
        <w:tc>
          <w:tcPr>
            <w:tcW w:w="770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Audit Committee Member</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15,000</w:t>
            </w:r>
          </w:p>
        </w:tc>
        <w:tc>
          <w:tcPr>
            <w:tcW w:w="9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12,500</w:t>
            </w:r>
          </w:p>
        </w:tc>
      </w:tr>
      <w:tr>
        <w:trPr>
          <w:trHeight w:val="49"/>
        </w:trPr>
        <w:tc>
          <w:tcPr>
            <w:tcW w:w="77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95"/>
        </w:trPr>
        <w:tc>
          <w:tcPr>
            <w:tcW w:w="770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Compensation Committee Chair</w:t>
            </w:r>
          </w:p>
        </w:tc>
        <w:tc>
          <w:tcPr>
            <w:tcW w:w="11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30,000</w:t>
            </w:r>
          </w:p>
        </w:tc>
        <w:tc>
          <w:tcPr>
            <w:tcW w:w="960" w:type="dxa"/>
            <w:vAlign w:val="bottom"/>
            <w:tcBorders>
              <w:bottom w:val="single" w:sz="8" w:color="CCCCCC"/>
            </w:tcBorders>
            <w:shd w:val="clear" w:color="auto" w:fill="CCCCCC"/>
          </w:tcPr>
          <w:p>
            <w:pPr>
              <w:jc w:val="right"/>
              <w:ind w:right="68"/>
              <w:spacing w:after="0"/>
              <w:rPr>
                <w:sz w:val="20"/>
                <w:szCs w:val="20"/>
                <w:color w:val="auto"/>
              </w:rPr>
            </w:pPr>
            <w:r>
              <w:rPr>
                <w:rFonts w:ascii="Arial" w:cs="Arial" w:eastAsia="Arial" w:hAnsi="Arial"/>
                <w:sz w:val="14"/>
                <w:szCs w:val="14"/>
                <w:color w:val="auto"/>
              </w:rPr>
              <w:t>25,000</w:t>
            </w:r>
          </w:p>
        </w:tc>
      </w:tr>
      <w:tr>
        <w:trPr>
          <w:trHeight w:val="242"/>
        </w:trPr>
        <w:tc>
          <w:tcPr>
            <w:tcW w:w="770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Compensation Committee Member</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15,000</w:t>
            </w:r>
          </w:p>
        </w:tc>
        <w:tc>
          <w:tcPr>
            <w:tcW w:w="9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12,500</w:t>
            </w:r>
          </w:p>
        </w:tc>
      </w:tr>
      <w:tr>
        <w:trPr>
          <w:trHeight w:val="49"/>
        </w:trPr>
        <w:tc>
          <w:tcPr>
            <w:tcW w:w="77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95"/>
        </w:trPr>
        <w:tc>
          <w:tcPr>
            <w:tcW w:w="770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Corporate Governance Committee Chair</w:t>
            </w:r>
          </w:p>
        </w:tc>
        <w:tc>
          <w:tcPr>
            <w:tcW w:w="11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30,000</w:t>
            </w:r>
          </w:p>
        </w:tc>
        <w:tc>
          <w:tcPr>
            <w:tcW w:w="960" w:type="dxa"/>
            <w:vAlign w:val="bottom"/>
            <w:tcBorders>
              <w:bottom w:val="single" w:sz="8" w:color="CCCCCC"/>
            </w:tcBorders>
            <w:shd w:val="clear" w:color="auto" w:fill="CCCCCC"/>
          </w:tcPr>
          <w:p>
            <w:pPr>
              <w:jc w:val="right"/>
              <w:ind w:right="68"/>
              <w:spacing w:after="0"/>
              <w:rPr>
                <w:sz w:val="20"/>
                <w:szCs w:val="20"/>
                <w:color w:val="auto"/>
              </w:rPr>
            </w:pPr>
            <w:r>
              <w:rPr>
                <w:rFonts w:ascii="Arial" w:cs="Arial" w:eastAsia="Arial" w:hAnsi="Arial"/>
                <w:sz w:val="14"/>
                <w:szCs w:val="14"/>
                <w:color w:val="auto"/>
              </w:rPr>
              <w:t>18,000</w:t>
            </w:r>
          </w:p>
        </w:tc>
      </w:tr>
      <w:tr>
        <w:trPr>
          <w:trHeight w:val="246"/>
        </w:trPr>
        <w:tc>
          <w:tcPr>
            <w:tcW w:w="7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Corporate Governance Committee Member</w:t>
            </w: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12,000</w:t>
            </w: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9,000</w:t>
            </w:r>
          </w:p>
        </w:tc>
      </w:tr>
    </w:tbl>
    <w:p>
      <w:pPr>
        <w:spacing w:after="0" w:line="197"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Annual retainers described above (collectively, “Director Fees”) are paid (i) 50% in cash on a quarterly basis and (ii) 50% in the form of an annual RSU award with vesting scheduled on the one-year anniversary of the grant date, subject to an annual cap of 30,000 units.</w:t>
      </w:r>
    </w:p>
    <w:p>
      <w:pPr>
        <w:spacing w:after="0" w:line="88"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Under the Company’s deferred compensation plan applicable to non-employee directors (the “NED Plan”), directors may elect to defer all or a portion of their Director Fees. Directors who elect to defer cash fees may choose from various investment choices similar to those available to the NEOs under our executive deferred compensation plan or may elect to receive an increased RSU award in lieu of some or all of such cash fees. Under the NED Plan, settlement of RSUs is automatically deferred. Such units convert on a one-on-one basis into the Company’s Common Stock upon termination of service, a change in control, or at a different time based on a director’s election. Directors can also elect settlement to occur on the scheduled vesting date.</w:t>
      </w:r>
    </w:p>
    <w:p>
      <w:pPr>
        <w:spacing w:after="0" w:line="117"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Directors do not receive any meeting fees or any benefits such as life or medical insurance. Any member of the Board who is also an officer or employee of our Company does not receive compensation for serving as a director. Directors are eligible for limited matching of charitable contributions through the Avis Budget Group Charitable Foundation, and are also eligible to purchase vehicles through the auto lease program we make available to our employees; however, such purchases do not result in an associated incremental cost to the Company.</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Stock Ownership Guidelines</w:t>
      </w:r>
    </w:p>
    <w:p>
      <w:pPr>
        <w:spacing w:after="0" w:line="150"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Minimum stock ownership guidelines require each non-employee director to acquire and hold designated levels of our Company’s Common Stock. Under these guidelines, our non-employee directors are required to retain a minimum of 50% of the net shares (net of taxes) awarded in connection with their director compensation, until reaching an ownership threshold of five times the annual cash retainer. Given the mandatory hold provision until the threshold is obtained, there is no specified deadline for achieving designated thresholds. Under these guidelines, stock ownership is defined to include stock owned by the director directly or indirectly, including any vested award deferred under the NED Plan. As of March 15, 2023, all current directors subject to these guidelines had exceeded such minimum ownership threshold other than Ms. Hariharan, who joined the Board effective January 1, 2022. SRS’s policies do not allow Mr. Pahwa to directly own any shares of the Company’s Common Stock, and he is therefore not subject to the Company’s stock ownership guidelines.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2022 Director Compensation Table</w:t>
      </w:r>
    </w:p>
    <w:p>
      <w:pPr>
        <w:spacing w:after="0" w:line="164"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following table sets forth compensation paid to our directors during 2022, except for our Executive Chairman, who did not receive separate compensation for his service as a director during 2022 and whose compensation is set forth above in the Summary Compensation Table.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80" w:type="dxa"/>
            <w:vAlign w:val="bottom"/>
          </w:tcPr>
          <w:p>
            <w:pPr>
              <w:jc w:val="center"/>
              <w:ind w:left="28"/>
              <w:spacing w:after="0"/>
              <w:rPr>
                <w:sz w:val="20"/>
                <w:szCs w:val="20"/>
                <w:color w:val="auto"/>
              </w:rPr>
            </w:pPr>
            <w:r>
              <w:rPr>
                <w:rFonts w:ascii="Arial" w:cs="Arial" w:eastAsia="Arial" w:hAnsi="Arial"/>
                <w:sz w:val="14"/>
                <w:szCs w:val="14"/>
                <w:b w:val="1"/>
                <w:bCs w:val="1"/>
                <w:color w:val="auto"/>
              </w:rPr>
              <w:t>Change in Pension</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Value and</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2120" w:type="dxa"/>
            <w:vAlign w:val="bottom"/>
          </w:tcPr>
          <w:p>
            <w:pPr>
              <w:jc w:val="center"/>
              <w:ind w:left="468"/>
              <w:spacing w:after="0"/>
              <w:rPr>
                <w:sz w:val="20"/>
                <w:szCs w:val="20"/>
                <w:color w:val="auto"/>
              </w:rPr>
            </w:pPr>
            <w:r>
              <w:rPr>
                <w:rFonts w:ascii="Arial" w:cs="Arial" w:eastAsia="Arial" w:hAnsi="Arial"/>
                <w:sz w:val="14"/>
                <w:szCs w:val="14"/>
                <w:b w:val="1"/>
                <w:bCs w:val="1"/>
                <w:color w:val="auto"/>
              </w:rPr>
              <w:t>Fees Earned</w:t>
            </w:r>
          </w:p>
        </w:tc>
        <w:tc>
          <w:tcPr>
            <w:tcW w:w="12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2120" w:type="dxa"/>
            <w:vAlign w:val="bottom"/>
          </w:tcPr>
          <w:p>
            <w:pPr>
              <w:jc w:val="center"/>
              <w:ind w:left="428"/>
              <w:spacing w:after="0"/>
              <w:rPr>
                <w:sz w:val="20"/>
                <w:szCs w:val="20"/>
                <w:color w:val="auto"/>
              </w:rPr>
            </w:pPr>
            <w:r>
              <w:rPr>
                <w:rFonts w:ascii="Arial" w:cs="Arial" w:eastAsia="Arial" w:hAnsi="Arial"/>
                <w:sz w:val="14"/>
                <w:szCs w:val="14"/>
                <w:b w:val="1"/>
                <w:bCs w:val="1"/>
                <w:color w:val="auto"/>
                <w:w w:val="99"/>
              </w:rPr>
              <w:t>or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2120" w:type="dxa"/>
            <w:vAlign w:val="bottom"/>
          </w:tcPr>
          <w:p>
            <w:pPr>
              <w:jc w:val="center"/>
              <w:ind w:left="468"/>
              <w:spacing w:after="0"/>
              <w:rPr>
                <w:sz w:val="20"/>
                <w:szCs w:val="20"/>
                <w:color w:val="auto"/>
              </w:rPr>
            </w:pPr>
            <w:r>
              <w:rPr>
                <w:rFonts w:ascii="Arial" w:cs="Arial" w:eastAsia="Arial" w:hAnsi="Arial"/>
                <w:sz w:val="14"/>
                <w:szCs w:val="14"/>
                <w:b w:val="1"/>
                <w:bCs w:val="1"/>
                <w:color w:val="auto"/>
              </w:rPr>
              <w:t>Paid In Cash</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rPr>
              <w:t>Total</w:t>
            </w:r>
          </w:p>
        </w:tc>
      </w:tr>
      <w:tr>
        <w:trPr>
          <w:trHeight w:val="196"/>
        </w:trPr>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Name of Director</w:t>
            </w:r>
          </w:p>
        </w:tc>
        <w:tc>
          <w:tcPr>
            <w:tcW w:w="2120" w:type="dxa"/>
            <w:vAlign w:val="bottom"/>
          </w:tcPr>
          <w:p>
            <w:pPr>
              <w:jc w:val="center"/>
              <w:ind w:left="488"/>
              <w:spacing w:after="0"/>
              <w:rPr>
                <w:sz w:val="20"/>
                <w:szCs w:val="20"/>
                <w:color w:val="auto"/>
              </w:rPr>
            </w:pPr>
            <w:r>
              <w:rPr>
                <w:rFonts w:ascii="Arial" w:cs="Arial" w:eastAsia="Arial" w:hAnsi="Arial"/>
                <w:sz w:val="14"/>
                <w:szCs w:val="14"/>
                <w:b w:val="1"/>
                <w:bCs w:val="1"/>
                <w:color w:val="auto"/>
              </w:rPr>
              <w:t>($)(a)</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880" w:type="dxa"/>
            <w:vAlign w:val="bottom"/>
          </w:tcPr>
          <w:p>
            <w:pPr>
              <w:jc w:val="center"/>
              <w:ind w:left="28"/>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82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w:t>
            </w:r>
          </w:p>
        </w:tc>
      </w:tr>
      <w:tr>
        <w:trPr>
          <w:trHeight w:val="69"/>
        </w:trPr>
        <w:tc>
          <w:tcPr>
            <w:tcW w:w="228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69"/>
        </w:trPr>
        <w:tc>
          <w:tcPr>
            <w:tcW w:w="2280" w:type="dxa"/>
            <w:vAlign w:val="bottom"/>
            <w:shd w:val="clear" w:color="auto" w:fill="CCCCCC"/>
          </w:tcPr>
          <w:p>
            <w:pPr>
              <w:ind w:left="100"/>
              <w:spacing w:after="0"/>
              <w:rPr>
                <w:sz w:val="20"/>
                <w:szCs w:val="20"/>
                <w:color w:val="auto"/>
              </w:rPr>
            </w:pPr>
            <w:r>
              <w:rPr>
                <w:rFonts w:ascii="Arial" w:cs="Arial" w:eastAsia="Arial" w:hAnsi="Arial"/>
                <w:sz w:val="14"/>
                <w:szCs w:val="14"/>
                <w:color w:val="auto"/>
              </w:rPr>
              <w:t>Pahwa, Jagdeep (d)</w:t>
            </w:r>
          </w:p>
        </w:tc>
        <w:tc>
          <w:tcPr>
            <w:tcW w:w="2120" w:type="dxa"/>
            <w:vAlign w:val="bottom"/>
            <w:shd w:val="clear" w:color="auto" w:fill="CCCCCC"/>
          </w:tcPr>
          <w:p>
            <w:pPr>
              <w:ind w:left="14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CCCC"/>
          </w:tcPr>
          <w:p>
            <w:pPr>
              <w:ind w:left="740"/>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CCCC"/>
          </w:tcPr>
          <w:p>
            <w:pPr>
              <w:jc w:val="center"/>
              <w:ind w:left="28"/>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CCCCCC"/>
          </w:tcPr>
          <w:p>
            <w:pPr>
              <w:jc w:val="right"/>
              <w:ind w:right="5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CCCC"/>
          </w:tcPr>
          <w:p>
            <w:pPr>
              <w:ind w:left="600"/>
              <w:spacing w:after="0"/>
              <w:rPr>
                <w:sz w:val="20"/>
                <w:szCs w:val="20"/>
                <w:color w:val="auto"/>
              </w:rPr>
            </w:pPr>
            <w:r>
              <w:rPr>
                <w:rFonts w:ascii="Arial" w:cs="Arial" w:eastAsia="Arial" w:hAnsi="Arial"/>
                <w:sz w:val="14"/>
                <w:szCs w:val="14"/>
                <w:color w:val="auto"/>
              </w:rPr>
              <w:t>—</w:t>
            </w:r>
          </w:p>
        </w:tc>
      </w:tr>
      <w:tr>
        <w:trPr>
          <w:trHeight w:val="76"/>
        </w:trPr>
        <w:tc>
          <w:tcPr>
            <w:tcW w:w="2280" w:type="dxa"/>
            <w:vAlign w:val="bottom"/>
            <w:tcBorders>
              <w:bottom w:val="single" w:sz="8" w:color="auto"/>
            </w:tcBorders>
            <w:shd w:val="clear" w:color="auto" w:fill="CCCCCC"/>
          </w:tcPr>
          <w:p>
            <w:pPr>
              <w:spacing w:after="0"/>
              <w:rPr>
                <w:sz w:val="6"/>
                <w:szCs w:val="6"/>
                <w:color w:val="auto"/>
              </w:rPr>
            </w:pPr>
          </w:p>
        </w:tc>
        <w:tc>
          <w:tcPr>
            <w:tcW w:w="2120" w:type="dxa"/>
            <w:vAlign w:val="bottom"/>
            <w:tcBorders>
              <w:bottom w:val="single" w:sz="8" w:color="auto"/>
            </w:tcBorders>
            <w:shd w:val="clear" w:color="auto" w:fill="CCCCCC"/>
          </w:tcPr>
          <w:p>
            <w:pPr>
              <w:spacing w:after="0"/>
              <w:rPr>
                <w:sz w:val="6"/>
                <w:szCs w:val="6"/>
                <w:color w:val="auto"/>
              </w:rPr>
            </w:pPr>
          </w:p>
        </w:tc>
        <w:tc>
          <w:tcPr>
            <w:tcW w:w="1240" w:type="dxa"/>
            <w:vAlign w:val="bottom"/>
            <w:tcBorders>
              <w:bottom w:val="single" w:sz="8" w:color="auto"/>
            </w:tcBorders>
            <w:shd w:val="clear" w:color="auto" w:fill="CCCCCC"/>
          </w:tcPr>
          <w:p>
            <w:pPr>
              <w:spacing w:after="0"/>
              <w:rPr>
                <w:sz w:val="6"/>
                <w:szCs w:val="6"/>
                <w:color w:val="auto"/>
              </w:rPr>
            </w:pPr>
          </w:p>
        </w:tc>
        <w:tc>
          <w:tcPr>
            <w:tcW w:w="1880" w:type="dxa"/>
            <w:vAlign w:val="bottom"/>
            <w:tcBorders>
              <w:bottom w:val="single" w:sz="8" w:color="auto"/>
            </w:tcBorders>
            <w:shd w:val="clear" w:color="auto" w:fill="CCCCCC"/>
          </w:tcPr>
          <w:p>
            <w:pPr>
              <w:spacing w:after="0"/>
              <w:rPr>
                <w:sz w:val="6"/>
                <w:szCs w:val="6"/>
                <w:color w:val="auto"/>
              </w:rPr>
            </w:pPr>
          </w:p>
        </w:tc>
        <w:tc>
          <w:tcPr>
            <w:tcW w:w="1500" w:type="dxa"/>
            <w:vAlign w:val="bottom"/>
            <w:tcBorders>
              <w:bottom w:val="single" w:sz="8" w:color="auto"/>
            </w:tcBorders>
            <w:shd w:val="clear" w:color="auto" w:fill="CCCCCC"/>
          </w:tcPr>
          <w:p>
            <w:pPr>
              <w:spacing w:after="0"/>
              <w:rPr>
                <w:sz w:val="6"/>
                <w:szCs w:val="6"/>
                <w:color w:val="auto"/>
              </w:rPr>
            </w:pPr>
          </w:p>
        </w:tc>
        <w:tc>
          <w:tcPr>
            <w:tcW w:w="820" w:type="dxa"/>
            <w:vAlign w:val="bottom"/>
            <w:tcBorders>
              <w:bottom w:val="single" w:sz="8" w:color="auto"/>
            </w:tcBorders>
            <w:shd w:val="clear" w:color="auto" w:fill="CCCCCC"/>
          </w:tcPr>
          <w:p>
            <w:pPr>
              <w:spacing w:after="0"/>
              <w:rPr>
                <w:sz w:val="6"/>
                <w:szCs w:val="6"/>
                <w:color w:val="auto"/>
              </w:rPr>
            </w:pPr>
          </w:p>
        </w:tc>
      </w:tr>
      <w:tr>
        <w:trPr>
          <w:trHeight w:val="269"/>
        </w:trPr>
        <w:tc>
          <w:tcPr>
            <w:tcW w:w="2280" w:type="dxa"/>
            <w:vAlign w:val="bottom"/>
          </w:tcPr>
          <w:p>
            <w:pPr>
              <w:ind w:left="100"/>
              <w:spacing w:after="0"/>
              <w:rPr>
                <w:sz w:val="20"/>
                <w:szCs w:val="20"/>
                <w:color w:val="auto"/>
              </w:rPr>
            </w:pPr>
            <w:r>
              <w:rPr>
                <w:rFonts w:ascii="Arial" w:cs="Arial" w:eastAsia="Arial" w:hAnsi="Arial"/>
                <w:sz w:val="14"/>
                <w:szCs w:val="14"/>
                <w:color w:val="auto"/>
              </w:rPr>
              <w:t>Hariharan, Anu</w:t>
            </w:r>
          </w:p>
        </w:tc>
        <w:tc>
          <w:tcPr>
            <w:tcW w:w="2120" w:type="dxa"/>
            <w:vAlign w:val="bottom"/>
          </w:tcPr>
          <w:p>
            <w:pPr>
              <w:jc w:val="center"/>
              <w:ind w:left="488"/>
              <w:spacing w:after="0"/>
              <w:rPr>
                <w:sz w:val="20"/>
                <w:szCs w:val="20"/>
                <w:color w:val="auto"/>
              </w:rPr>
            </w:pPr>
            <w:r>
              <w:rPr>
                <w:rFonts w:ascii="Arial" w:cs="Arial" w:eastAsia="Arial" w:hAnsi="Arial"/>
                <w:sz w:val="14"/>
                <w:szCs w:val="14"/>
                <w:color w:val="auto"/>
              </w:rPr>
              <w:t>132,500</w:t>
            </w:r>
          </w:p>
        </w:tc>
        <w:tc>
          <w:tcPr>
            <w:tcW w:w="1240" w:type="dxa"/>
            <w:vAlign w:val="bottom"/>
          </w:tcPr>
          <w:p>
            <w:pPr>
              <w:jc w:val="center"/>
              <w:spacing w:after="0"/>
              <w:rPr>
                <w:sz w:val="20"/>
                <w:szCs w:val="20"/>
                <w:color w:val="auto"/>
              </w:rPr>
            </w:pPr>
            <w:r>
              <w:rPr>
                <w:rFonts w:ascii="Arial" w:cs="Arial" w:eastAsia="Arial" w:hAnsi="Arial"/>
                <w:sz w:val="14"/>
                <w:szCs w:val="14"/>
                <w:color w:val="auto"/>
              </w:rPr>
              <w:t>132,498</w:t>
            </w:r>
          </w:p>
        </w:tc>
        <w:tc>
          <w:tcPr>
            <w:tcW w:w="188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500" w:type="dxa"/>
            <w:vAlign w:val="bottom"/>
          </w:tcPr>
          <w:p>
            <w:pPr>
              <w:jc w:val="right"/>
              <w:ind w:right="508"/>
              <w:spacing w:after="0"/>
              <w:rPr>
                <w:sz w:val="20"/>
                <w:szCs w:val="20"/>
                <w:color w:val="auto"/>
              </w:rPr>
            </w:pPr>
            <w:r>
              <w:rPr>
                <w:rFonts w:ascii="Arial" w:cs="Arial" w:eastAsia="Arial" w:hAnsi="Arial"/>
                <w:sz w:val="14"/>
                <w:szCs w:val="14"/>
                <w:color w:val="auto"/>
              </w:rPr>
              <w:t>5,000</w:t>
            </w:r>
          </w:p>
        </w:tc>
        <w:tc>
          <w:tcPr>
            <w:tcW w:w="820" w:type="dxa"/>
            <w:vAlign w:val="bottom"/>
          </w:tcPr>
          <w:p>
            <w:pPr>
              <w:jc w:val="center"/>
              <w:ind w:left="108"/>
              <w:spacing w:after="0"/>
              <w:rPr>
                <w:sz w:val="20"/>
                <w:szCs w:val="20"/>
                <w:color w:val="auto"/>
              </w:rPr>
            </w:pPr>
            <w:r>
              <w:rPr>
                <w:rFonts w:ascii="Arial" w:cs="Arial" w:eastAsia="Arial" w:hAnsi="Arial"/>
                <w:sz w:val="14"/>
                <w:szCs w:val="14"/>
                <w:color w:val="auto"/>
              </w:rPr>
              <w:t>269,998</w:t>
            </w:r>
          </w:p>
        </w:tc>
      </w:tr>
      <w:tr>
        <w:trPr>
          <w:trHeight w:val="76"/>
        </w:trPr>
        <w:tc>
          <w:tcPr>
            <w:tcW w:w="228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69"/>
        </w:trPr>
        <w:tc>
          <w:tcPr>
            <w:tcW w:w="2280" w:type="dxa"/>
            <w:vAlign w:val="bottom"/>
            <w:shd w:val="clear" w:color="auto" w:fill="CCCCCC"/>
          </w:tcPr>
          <w:p>
            <w:pPr>
              <w:ind w:left="100"/>
              <w:spacing w:after="0"/>
              <w:rPr>
                <w:sz w:val="20"/>
                <w:szCs w:val="20"/>
                <w:color w:val="auto"/>
              </w:rPr>
            </w:pPr>
            <w:r>
              <w:rPr>
                <w:rFonts w:ascii="Arial" w:cs="Arial" w:eastAsia="Arial" w:hAnsi="Arial"/>
                <w:sz w:val="14"/>
                <w:szCs w:val="14"/>
                <w:color w:val="auto"/>
              </w:rPr>
              <w:t>Krominga, Lynn</w:t>
            </w:r>
          </w:p>
        </w:tc>
        <w:tc>
          <w:tcPr>
            <w:tcW w:w="2120" w:type="dxa"/>
            <w:vAlign w:val="bottom"/>
            <w:shd w:val="clear" w:color="auto" w:fill="CCCCCC"/>
          </w:tcPr>
          <w:p>
            <w:pPr>
              <w:jc w:val="center"/>
              <w:ind w:left="488"/>
              <w:spacing w:after="0"/>
              <w:rPr>
                <w:sz w:val="20"/>
                <w:szCs w:val="20"/>
                <w:color w:val="auto"/>
              </w:rPr>
            </w:pPr>
            <w:r>
              <w:rPr>
                <w:rFonts w:ascii="Arial" w:cs="Arial" w:eastAsia="Arial" w:hAnsi="Arial"/>
                <w:sz w:val="14"/>
                <w:szCs w:val="14"/>
                <w:color w:val="auto"/>
              </w:rPr>
              <w:t>155,000</w:t>
            </w:r>
          </w:p>
        </w:tc>
        <w:tc>
          <w:tcPr>
            <w:tcW w:w="12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155,048</w:t>
            </w:r>
          </w:p>
        </w:tc>
        <w:tc>
          <w:tcPr>
            <w:tcW w:w="1880" w:type="dxa"/>
            <w:vAlign w:val="bottom"/>
            <w:shd w:val="clear" w:color="auto" w:fill="CCCCCC"/>
          </w:tcPr>
          <w:p>
            <w:pPr>
              <w:jc w:val="center"/>
              <w:ind w:left="28"/>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CCCCCC"/>
          </w:tcPr>
          <w:p>
            <w:pPr>
              <w:jc w:val="right"/>
              <w:ind w:right="508"/>
              <w:spacing w:after="0"/>
              <w:rPr>
                <w:sz w:val="20"/>
                <w:szCs w:val="20"/>
                <w:color w:val="auto"/>
              </w:rPr>
            </w:pPr>
            <w:r>
              <w:rPr>
                <w:rFonts w:ascii="Arial" w:cs="Arial" w:eastAsia="Arial" w:hAnsi="Arial"/>
                <w:sz w:val="14"/>
                <w:szCs w:val="14"/>
                <w:color w:val="auto"/>
              </w:rPr>
              <w:t>5,000</w:t>
            </w:r>
          </w:p>
        </w:tc>
        <w:tc>
          <w:tcPr>
            <w:tcW w:w="820" w:type="dxa"/>
            <w:vAlign w:val="bottom"/>
            <w:shd w:val="clear" w:color="auto" w:fill="CCCCCC"/>
          </w:tcPr>
          <w:p>
            <w:pPr>
              <w:jc w:val="center"/>
              <w:ind w:left="108"/>
              <w:spacing w:after="0"/>
              <w:rPr>
                <w:sz w:val="20"/>
                <w:szCs w:val="20"/>
                <w:color w:val="auto"/>
              </w:rPr>
            </w:pPr>
            <w:r>
              <w:rPr>
                <w:rFonts w:ascii="Arial" w:cs="Arial" w:eastAsia="Arial" w:hAnsi="Arial"/>
                <w:sz w:val="14"/>
                <w:szCs w:val="14"/>
                <w:color w:val="auto"/>
              </w:rPr>
              <w:t>315,048</w:t>
            </w:r>
          </w:p>
        </w:tc>
      </w:tr>
      <w:tr>
        <w:trPr>
          <w:trHeight w:val="75"/>
        </w:trPr>
        <w:tc>
          <w:tcPr>
            <w:tcW w:w="2280" w:type="dxa"/>
            <w:vAlign w:val="bottom"/>
            <w:tcBorders>
              <w:bottom w:val="single" w:sz="8" w:color="auto"/>
            </w:tcBorders>
            <w:shd w:val="clear" w:color="auto" w:fill="CCCCCC"/>
          </w:tcPr>
          <w:p>
            <w:pPr>
              <w:spacing w:after="0"/>
              <w:rPr>
                <w:sz w:val="6"/>
                <w:szCs w:val="6"/>
                <w:color w:val="auto"/>
              </w:rPr>
            </w:pPr>
          </w:p>
        </w:tc>
        <w:tc>
          <w:tcPr>
            <w:tcW w:w="2120" w:type="dxa"/>
            <w:vAlign w:val="bottom"/>
            <w:tcBorders>
              <w:bottom w:val="single" w:sz="8" w:color="auto"/>
            </w:tcBorders>
            <w:shd w:val="clear" w:color="auto" w:fill="CCCCCC"/>
          </w:tcPr>
          <w:p>
            <w:pPr>
              <w:spacing w:after="0"/>
              <w:rPr>
                <w:sz w:val="6"/>
                <w:szCs w:val="6"/>
                <w:color w:val="auto"/>
              </w:rPr>
            </w:pPr>
          </w:p>
        </w:tc>
        <w:tc>
          <w:tcPr>
            <w:tcW w:w="1240" w:type="dxa"/>
            <w:vAlign w:val="bottom"/>
            <w:tcBorders>
              <w:bottom w:val="single" w:sz="8" w:color="auto"/>
            </w:tcBorders>
            <w:shd w:val="clear" w:color="auto" w:fill="CCCCCC"/>
          </w:tcPr>
          <w:p>
            <w:pPr>
              <w:spacing w:after="0"/>
              <w:rPr>
                <w:sz w:val="6"/>
                <w:szCs w:val="6"/>
                <w:color w:val="auto"/>
              </w:rPr>
            </w:pPr>
          </w:p>
        </w:tc>
        <w:tc>
          <w:tcPr>
            <w:tcW w:w="1880" w:type="dxa"/>
            <w:vAlign w:val="bottom"/>
            <w:tcBorders>
              <w:bottom w:val="single" w:sz="8" w:color="auto"/>
            </w:tcBorders>
            <w:shd w:val="clear" w:color="auto" w:fill="CCCCCC"/>
          </w:tcPr>
          <w:p>
            <w:pPr>
              <w:spacing w:after="0"/>
              <w:rPr>
                <w:sz w:val="6"/>
                <w:szCs w:val="6"/>
                <w:color w:val="auto"/>
              </w:rPr>
            </w:pPr>
          </w:p>
        </w:tc>
        <w:tc>
          <w:tcPr>
            <w:tcW w:w="1500" w:type="dxa"/>
            <w:vAlign w:val="bottom"/>
            <w:tcBorders>
              <w:bottom w:val="single" w:sz="8" w:color="auto"/>
            </w:tcBorders>
            <w:shd w:val="clear" w:color="auto" w:fill="CCCCCC"/>
          </w:tcPr>
          <w:p>
            <w:pPr>
              <w:spacing w:after="0"/>
              <w:rPr>
                <w:sz w:val="6"/>
                <w:szCs w:val="6"/>
                <w:color w:val="auto"/>
              </w:rPr>
            </w:pPr>
          </w:p>
        </w:tc>
        <w:tc>
          <w:tcPr>
            <w:tcW w:w="820" w:type="dxa"/>
            <w:vAlign w:val="bottom"/>
            <w:tcBorders>
              <w:bottom w:val="single" w:sz="8" w:color="auto"/>
            </w:tcBorders>
            <w:shd w:val="clear" w:color="auto" w:fill="CCCCCC"/>
          </w:tcPr>
          <w:p>
            <w:pPr>
              <w:spacing w:after="0"/>
              <w:rPr>
                <w:sz w:val="6"/>
                <w:szCs w:val="6"/>
                <w:color w:val="auto"/>
              </w:rPr>
            </w:pPr>
          </w:p>
        </w:tc>
      </w:tr>
      <w:tr>
        <w:trPr>
          <w:trHeight w:val="269"/>
        </w:trPr>
        <w:tc>
          <w:tcPr>
            <w:tcW w:w="2280" w:type="dxa"/>
            <w:vAlign w:val="bottom"/>
          </w:tcPr>
          <w:p>
            <w:pPr>
              <w:ind w:left="100"/>
              <w:spacing w:after="0"/>
              <w:rPr>
                <w:sz w:val="20"/>
                <w:szCs w:val="20"/>
                <w:color w:val="auto"/>
              </w:rPr>
            </w:pPr>
            <w:r>
              <w:rPr>
                <w:rFonts w:ascii="Arial" w:cs="Arial" w:eastAsia="Arial" w:hAnsi="Arial"/>
                <w:sz w:val="14"/>
                <w:szCs w:val="14"/>
                <w:color w:val="auto"/>
              </w:rPr>
              <w:t>Lurie, Glenn</w:t>
            </w:r>
          </w:p>
        </w:tc>
        <w:tc>
          <w:tcPr>
            <w:tcW w:w="2120" w:type="dxa"/>
            <w:vAlign w:val="bottom"/>
          </w:tcPr>
          <w:p>
            <w:pPr>
              <w:jc w:val="center"/>
              <w:ind w:left="488"/>
              <w:spacing w:after="0"/>
              <w:rPr>
                <w:sz w:val="20"/>
                <w:szCs w:val="20"/>
                <w:color w:val="auto"/>
              </w:rPr>
            </w:pPr>
            <w:r>
              <w:rPr>
                <w:rFonts w:ascii="Arial" w:cs="Arial" w:eastAsia="Arial" w:hAnsi="Arial"/>
                <w:sz w:val="14"/>
                <w:szCs w:val="14"/>
                <w:color w:val="auto"/>
              </w:rPr>
              <w:t>150,000</w:t>
            </w:r>
          </w:p>
        </w:tc>
        <w:tc>
          <w:tcPr>
            <w:tcW w:w="1240" w:type="dxa"/>
            <w:vAlign w:val="bottom"/>
          </w:tcPr>
          <w:p>
            <w:pPr>
              <w:jc w:val="center"/>
              <w:spacing w:after="0"/>
              <w:rPr>
                <w:sz w:val="20"/>
                <w:szCs w:val="20"/>
                <w:color w:val="auto"/>
              </w:rPr>
            </w:pPr>
            <w:r>
              <w:rPr>
                <w:rFonts w:ascii="Arial" w:cs="Arial" w:eastAsia="Arial" w:hAnsi="Arial"/>
                <w:sz w:val="14"/>
                <w:szCs w:val="14"/>
                <w:color w:val="auto"/>
              </w:rPr>
              <w:t>151,552</w:t>
            </w:r>
          </w:p>
        </w:tc>
        <w:tc>
          <w:tcPr>
            <w:tcW w:w="188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500" w:type="dxa"/>
            <w:vAlign w:val="bottom"/>
          </w:tcPr>
          <w:p>
            <w:pPr>
              <w:jc w:val="right"/>
              <w:ind w:right="508"/>
              <w:spacing w:after="0"/>
              <w:rPr>
                <w:sz w:val="20"/>
                <w:szCs w:val="20"/>
                <w:color w:val="auto"/>
              </w:rPr>
            </w:pPr>
            <w:r>
              <w:rPr>
                <w:rFonts w:ascii="Arial" w:cs="Arial" w:eastAsia="Arial" w:hAnsi="Arial"/>
                <w:sz w:val="14"/>
                <w:szCs w:val="14"/>
                <w:color w:val="auto"/>
              </w:rPr>
              <w:t>5,000</w:t>
            </w:r>
          </w:p>
        </w:tc>
        <w:tc>
          <w:tcPr>
            <w:tcW w:w="820" w:type="dxa"/>
            <w:vAlign w:val="bottom"/>
          </w:tcPr>
          <w:p>
            <w:pPr>
              <w:jc w:val="center"/>
              <w:ind w:left="108"/>
              <w:spacing w:after="0"/>
              <w:rPr>
                <w:sz w:val="20"/>
                <w:szCs w:val="20"/>
                <w:color w:val="auto"/>
              </w:rPr>
            </w:pPr>
            <w:r>
              <w:rPr>
                <w:rFonts w:ascii="Arial" w:cs="Arial" w:eastAsia="Arial" w:hAnsi="Arial"/>
                <w:sz w:val="14"/>
                <w:szCs w:val="14"/>
                <w:color w:val="auto"/>
              </w:rPr>
              <w:t>306,552</w:t>
            </w:r>
          </w:p>
        </w:tc>
      </w:tr>
      <w:tr>
        <w:trPr>
          <w:trHeight w:val="76"/>
        </w:trPr>
        <w:tc>
          <w:tcPr>
            <w:tcW w:w="228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73"/>
        </w:trPr>
        <w:tc>
          <w:tcPr>
            <w:tcW w:w="22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Sarma, Karthik (d)</w:t>
            </w:r>
          </w:p>
        </w:tc>
        <w:tc>
          <w:tcPr>
            <w:tcW w:w="2120" w:type="dxa"/>
            <w:vAlign w:val="bottom"/>
            <w:tcBorders>
              <w:bottom w:val="single" w:sz="8" w:color="auto"/>
            </w:tcBorders>
            <w:shd w:val="clear" w:color="auto" w:fill="CCCCCC"/>
          </w:tcPr>
          <w:p>
            <w:pPr>
              <w:ind w:left="14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CCCC"/>
          </w:tcPr>
          <w:p>
            <w:pPr>
              <w:ind w:left="74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CCCCCC"/>
          </w:tcPr>
          <w:p>
            <w:pPr>
              <w:jc w:val="center"/>
              <w:ind w:left="28"/>
              <w:spacing w:after="0"/>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tcBorders>
            <w:shd w:val="clear" w:color="auto" w:fill="CCCCCC"/>
          </w:tcPr>
          <w:p>
            <w:pPr>
              <w:jc w:val="right"/>
              <w:ind w:right="5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CCCC"/>
          </w:tcPr>
          <w:p>
            <w:pPr>
              <w:ind w:left="600"/>
              <w:spacing w:after="0"/>
              <w:rPr>
                <w:sz w:val="20"/>
                <w:szCs w:val="20"/>
                <w:color w:val="auto"/>
              </w:rPr>
            </w:pPr>
            <w:r>
              <w:rPr>
                <w:rFonts w:ascii="Arial" w:cs="Arial" w:eastAsia="Arial" w:hAnsi="Arial"/>
                <w:sz w:val="14"/>
                <w:szCs w:val="14"/>
                <w:color w:val="auto"/>
              </w:rPr>
              <w:t>—</w:t>
            </w:r>
          </w:p>
        </w:tc>
      </w:tr>
    </w:tbl>
    <w:p>
      <w:pPr>
        <w:spacing w:after="0" w:line="153" w:lineRule="exact"/>
        <w:rPr>
          <w:sz w:val="20"/>
          <w:szCs w:val="20"/>
          <w:color w:val="auto"/>
        </w:rPr>
      </w:pPr>
    </w:p>
    <w:p>
      <w:pPr>
        <w:ind w:left="360" w:hanging="350"/>
        <w:spacing w:after="0"/>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no more than 50% of non-employee director compensation as discussed above.</w:t>
      </w:r>
    </w:p>
    <w:p>
      <w:pPr>
        <w:spacing w:after="0" w:line="82" w:lineRule="exact"/>
        <w:rPr>
          <w:rFonts w:ascii="Arial" w:cs="Arial" w:eastAsia="Arial" w:hAnsi="Arial"/>
          <w:sz w:val="14"/>
          <w:szCs w:val="14"/>
          <w:color w:val="auto"/>
        </w:rPr>
      </w:pPr>
    </w:p>
    <w:p>
      <w:pPr>
        <w:jc w:val="both"/>
        <w:ind w:left="360" w:hanging="350"/>
        <w:spacing w:after="0" w:line="263" w:lineRule="auto"/>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Stock awards represent a minimum of 50% of non-employee director compensation in the form of RSU awards. Amounts represent the aggregate grant date fair value computed in accordance with FASB ASC Topic 718. The number of stock units are determined by dividing such value by the Company’s closing stock price on the date of grant.</w:t>
      </w:r>
    </w:p>
    <w:p>
      <w:pPr>
        <w:spacing w:after="0" w:line="24" w:lineRule="exact"/>
        <w:rPr>
          <w:rFonts w:ascii="Arial" w:cs="Arial" w:eastAsia="Arial" w:hAnsi="Arial"/>
          <w:sz w:val="14"/>
          <w:szCs w:val="14"/>
          <w:color w:val="auto"/>
        </w:rPr>
      </w:pPr>
    </w:p>
    <w:p>
      <w:pPr>
        <w:ind w:left="360"/>
        <w:spacing w:after="0" w:line="285" w:lineRule="auto"/>
        <w:rPr>
          <w:rFonts w:ascii="Arial" w:cs="Arial" w:eastAsia="Arial" w:hAnsi="Arial"/>
          <w:sz w:val="14"/>
          <w:szCs w:val="14"/>
          <w:color w:val="auto"/>
        </w:rPr>
      </w:pPr>
      <w:r>
        <w:rPr>
          <w:rFonts w:ascii="Arial" w:cs="Arial" w:eastAsia="Arial" w:hAnsi="Arial"/>
          <w:sz w:val="14"/>
          <w:szCs w:val="14"/>
          <w:color w:val="auto"/>
        </w:rPr>
        <w:t>Outstanding awards for the Company’s non-employee directors at fiscal year-end were as follows: for Ms. Hariharan, 758 RSUs; for Ms. Krominga, 26,953 RSUs; and for Mr. Lurie, 11,807 RSUs.</w:t>
      </w:r>
    </w:p>
    <w:p>
      <w:pPr>
        <w:spacing w:after="0" w:line="9" w:lineRule="exact"/>
        <w:rPr>
          <w:rFonts w:ascii="Arial" w:cs="Arial" w:eastAsia="Arial" w:hAnsi="Arial"/>
          <w:sz w:val="14"/>
          <w:szCs w:val="14"/>
          <w:color w:val="auto"/>
        </w:rPr>
      </w:pPr>
    </w:p>
    <w:p>
      <w:pPr>
        <w:ind w:left="360" w:hanging="350"/>
        <w:spacing w:after="0"/>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discretionary matching contributions available through The Avis Budget Group Charitable Foundation.</w:t>
      </w:r>
    </w:p>
    <w:p>
      <w:pPr>
        <w:spacing w:after="0" w:line="82" w:lineRule="exact"/>
        <w:rPr>
          <w:rFonts w:ascii="Arial" w:cs="Arial" w:eastAsia="Arial" w:hAnsi="Arial"/>
          <w:sz w:val="14"/>
          <w:szCs w:val="14"/>
          <w:color w:val="auto"/>
        </w:rPr>
      </w:pPr>
    </w:p>
    <w:p>
      <w:pPr>
        <w:ind w:left="360" w:hanging="350"/>
        <w:spacing w:after="0"/>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Pahwa and Mr. Sarma have waived compensation for Board service.</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15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Our Compensation Committee, which administers the Company’s executive compensation policies and programs, is comprised entirely of independent directors: Karthik Sarma (Chair), Lynn Krominga and Glenn Lurie. No member of the Compensation Committee is or was formerly an officer or employee of the Company or any of the Company’s subsidiaries. See “</w:t>
      </w:r>
      <w:r>
        <w:rPr>
          <w:rFonts w:ascii="Arial" w:cs="Arial" w:eastAsia="Arial" w:hAnsi="Arial"/>
          <w:sz w:val="18"/>
          <w:szCs w:val="18"/>
          <w:i w:val="1"/>
          <w:iCs w:val="1"/>
          <w:color w:val="auto"/>
        </w:rPr>
        <w:t>Corporate Governance—Related Person Transactions</w:t>
      </w:r>
      <w:r>
        <w:rPr>
          <w:rFonts w:ascii="Arial" w:cs="Arial" w:eastAsia="Arial" w:hAnsi="Arial"/>
          <w:sz w:val="18"/>
          <w:szCs w:val="18"/>
          <w:color w:val="auto"/>
        </w:rPr>
        <w:t>” above for certain transactions involving the Company in which Mr. Sarma, in his capacity as Managing Partner at SRS, may potentially be deemed to have an indirect interest. In addition, none of our executive officers serve on the compensation committee or board of directors of a company for which any of our directors serves as an executive officer.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Report of Audit Committee</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performing its oversight function, the Audit Committee reviewed and discussed the consolidated financial statements with management and the independent auditors. The Audit Committee also discussed with the independent auditors the matters required to be discussed by the applicable requirements of the PCAOB and the SEC.</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the Audit Committee discussed with the independent auditors the auditors’ independence from the Company and its management, and the Audit Committee has received the written disclosures and letter required from the independent auditors by applicable requirements of the PCAOB regarding the independent accountant’s communications with the Audit Committee concerning independence.</w:t>
      </w:r>
    </w:p>
    <w:p>
      <w:pPr>
        <w:spacing w:after="0" w:line="10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w:t>
      </w:r>
    </w:p>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Based on the reviews and discussions referred to above and subject to the limitations on the roles and responsibilities of the Audit Committee referred to above and in its Charter, the Audit Committee recommended to the Board of Directors that the audited consolidated financial statements be included in the Company’s Annual Report on Form 10-K for the year ended December 31, 2022 for filing with the SEC. The Audit Committee also has recommended the selection of the Company’s independent registered public accounting firm for fiscal year 2023.</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AUDIT COMMITTEE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Glenn Lurie, Chair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Lynn Krominga</w:t>
      </w:r>
    </w:p>
    <w:p>
      <w:pPr>
        <w:jc w:val="center"/>
        <w:spacing w:after="0"/>
        <w:rPr>
          <w:sz w:val="20"/>
          <w:szCs w:val="20"/>
          <w:color w:val="auto"/>
        </w:rPr>
      </w:pPr>
      <w:r>
        <w:rPr>
          <w:rFonts w:ascii="Arial" w:cs="Arial" w:eastAsia="Arial" w:hAnsi="Arial"/>
          <w:sz w:val="18"/>
          <w:szCs w:val="18"/>
          <w:i w:val="1"/>
          <w:iCs w:val="1"/>
          <w:color w:val="auto"/>
        </w:rPr>
        <w:t>Anu Hariharan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color w:val="auto"/>
        </w:rPr>
        <w:t>Proposal No. 2</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Ratification of Appointment of Auditors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Audit Committee’s Charter provides that the Audit Committee is responsible for:</w:t>
      </w:r>
    </w:p>
    <w:p>
      <w:pPr>
        <w:spacing w:after="0" w:line="131" w:lineRule="exact"/>
        <w:rPr>
          <w:sz w:val="20"/>
          <w:szCs w:val="20"/>
          <w:color w:val="auto"/>
        </w:rPr>
      </w:pPr>
    </w:p>
    <w:p>
      <w:pPr>
        <w:ind w:left="360" w:right="20" w:hanging="350"/>
        <w:spacing w:after="0" w:line="271" w:lineRule="auto"/>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appointing, compensating and overseeing the work performed by our independent auditors related to the audit of our annual consolidated financial statements and internal controls over financial reporting; and</w:t>
      </w:r>
    </w:p>
    <w:p>
      <w:pPr>
        <w:spacing w:after="0" w:line="86" w:lineRule="exact"/>
        <w:rPr>
          <w:rFonts w:ascii="Arial" w:cs="Arial" w:eastAsia="Arial" w:hAnsi="Arial"/>
          <w:sz w:val="18"/>
          <w:szCs w:val="18"/>
          <w:color w:val="auto"/>
        </w:rPr>
      </w:pPr>
    </w:p>
    <w:p>
      <w:pPr>
        <w:ind w:left="360" w:hanging="350"/>
        <w:spacing w:after="0" w:line="271" w:lineRule="auto"/>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auditors with the assistance of management.</w:t>
      </w:r>
    </w:p>
    <w:p>
      <w:pPr>
        <w:spacing w:after="0" w:line="86"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Audit Committee has appointed Deloitte &amp; Touche LLP (“Deloitte”) as the Company’s independent registered public accounting firm for the fiscal year ending December 31, 2023. Deloitte has served as our independent registered public accounting firm since 1997. Prior to appointing Deloitte for 2023, the Audit Committee considered Deloitte’s tenure, technical expertise, capabilities as independent auditors, industry knowledge and communication with the Audit Committee, and also considered the impact on the Company of changing independent auditors.</w:t>
      </w:r>
    </w:p>
    <w:p>
      <w:pPr>
        <w:spacing w:after="0" w:line="95"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The lead engagement partner from Deloitte is required to be rotated every five years. The process for selecting a new lead engagement partner includes a meeting between the Audit Committee Chair and the candidate for this role, as well as discussion by the full Audit Committee and with senior management. The lead engagement partner from Deloitte was last rotated in 2020.</w:t>
      </w:r>
    </w:p>
    <w:p>
      <w:pPr>
        <w:spacing w:after="0" w:line="10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A representative of Deloitte is expected to be present at the Meeting and will have the opportunity to make a statement if he or she desires to do so and will be available to respond to appropriate questions of shareholders.</w:t>
      </w:r>
    </w:p>
    <w:p>
      <w:pPr>
        <w:spacing w:after="0" w:line="8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i w:val="1"/>
          <w:iCs w:val="1"/>
          <w:color w:val="auto"/>
        </w:rPr>
        <w:t>Principal Accounting Firm Fees</w:t>
      </w:r>
      <w:r>
        <w:rPr>
          <w:rFonts w:ascii="Arial" w:cs="Arial" w:eastAsia="Arial" w:hAnsi="Arial"/>
          <w:sz w:val="18"/>
          <w:szCs w:val="18"/>
          <w:color w:val="auto"/>
        </w:rPr>
        <w:t>. Fees billed to the Company by Deloitte, the member firms of Deloitte Touche Tohmatsu,</w:t>
      </w:r>
      <w:r>
        <w:rPr>
          <w:rFonts w:ascii="Arial" w:cs="Arial" w:eastAsia="Arial" w:hAnsi="Arial"/>
          <w:sz w:val="18"/>
          <w:szCs w:val="18"/>
          <w:i w:val="1"/>
          <w:iCs w:val="1"/>
          <w:color w:val="auto"/>
        </w:rPr>
        <w:t xml:space="preserve"> </w:t>
      </w:r>
      <w:r>
        <w:rPr>
          <w:rFonts w:ascii="Arial" w:cs="Arial" w:eastAsia="Arial" w:hAnsi="Arial"/>
          <w:sz w:val="18"/>
          <w:szCs w:val="18"/>
          <w:color w:val="auto"/>
        </w:rPr>
        <w:t>and their respective affiliates (collectively, the “Deloitte Entities”) for the years ended December 31, 2022 and 2021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rPr>
              <w:t>Fee</w:t>
            </w:r>
          </w:p>
        </w:tc>
        <w:tc>
          <w:tcPr>
            <w:tcW w:w="500" w:type="dxa"/>
            <w:vAlign w:val="bottom"/>
          </w:tcPr>
          <w:p>
            <w:pPr>
              <w:spacing w:after="0"/>
              <w:rPr>
                <w:sz w:val="14"/>
                <w:szCs w:val="14"/>
                <w:color w:val="auto"/>
              </w:rPr>
            </w:pPr>
          </w:p>
        </w:tc>
      </w:tr>
      <w:tr>
        <w:trPr>
          <w:trHeight w:val="196"/>
        </w:trPr>
        <w:tc>
          <w:tcPr>
            <w:tcW w:w="48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8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(in thousands)</w:t>
            </w:r>
          </w:p>
        </w:tc>
      </w:tr>
      <w:tr>
        <w:trPr>
          <w:trHeight w:val="42"/>
        </w:trPr>
        <w:tc>
          <w:tcPr>
            <w:tcW w:w="486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48"/>
        </w:trPr>
        <w:tc>
          <w:tcPr>
            <w:tcW w:w="4860" w:type="dxa"/>
            <w:vAlign w:val="bottom"/>
          </w:tcPr>
          <w:p>
            <w:pPr>
              <w:ind w:left="100"/>
              <w:spacing w:after="0"/>
              <w:rPr>
                <w:sz w:val="20"/>
                <w:szCs w:val="20"/>
                <w:color w:val="auto"/>
              </w:rPr>
            </w:pPr>
            <w:r>
              <w:rPr>
                <w:rFonts w:ascii="Arial" w:cs="Arial" w:eastAsia="Arial" w:hAnsi="Arial"/>
                <w:sz w:val="14"/>
                <w:szCs w:val="14"/>
                <w:b w:val="1"/>
                <w:bCs w:val="1"/>
                <w:color w:val="auto"/>
              </w:rPr>
              <w:t>Type of Fees</w:t>
            </w:r>
          </w:p>
        </w:tc>
        <w:tc>
          <w:tcPr>
            <w:tcW w:w="3300" w:type="dxa"/>
            <w:vAlign w:val="bottom"/>
          </w:tcPr>
          <w:p>
            <w:pPr>
              <w:spacing w:after="0"/>
              <w:rPr>
                <w:sz w:val="21"/>
                <w:szCs w:val="21"/>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21"/>
                <w:szCs w:val="21"/>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2021</w:t>
            </w:r>
          </w:p>
        </w:tc>
      </w:tr>
      <w:tr>
        <w:trPr>
          <w:trHeight w:val="43"/>
        </w:trPr>
        <w:tc>
          <w:tcPr>
            <w:tcW w:w="486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336"/>
        </w:trPr>
        <w:tc>
          <w:tcPr>
            <w:tcW w:w="486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Audit Fees</w:t>
            </w:r>
          </w:p>
        </w:tc>
        <w:tc>
          <w:tcPr>
            <w:tcW w:w="33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CCCC"/>
            </w:tcBorders>
            <w:shd w:val="clear" w:color="auto" w:fill="CCCCCC"/>
          </w:tcPr>
          <w:p>
            <w:pPr>
              <w:jc w:val="right"/>
              <w:ind w:right="16"/>
              <w:spacing w:after="0"/>
              <w:rPr>
                <w:sz w:val="20"/>
                <w:szCs w:val="20"/>
                <w:color w:val="auto"/>
              </w:rPr>
            </w:pPr>
            <w:r>
              <w:rPr>
                <w:rFonts w:ascii="Arial" w:cs="Arial" w:eastAsia="Arial" w:hAnsi="Arial"/>
                <w:sz w:val="18"/>
                <w:szCs w:val="18"/>
                <w:color w:val="auto"/>
                <w:w w:val="93"/>
              </w:rPr>
              <w:t>8,510</w:t>
            </w:r>
          </w:p>
        </w:tc>
        <w:tc>
          <w:tcPr>
            <w:tcW w:w="6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w w:val="93"/>
              </w:rPr>
              <w:t>7,622</w:t>
            </w:r>
          </w:p>
        </w:tc>
      </w:tr>
      <w:tr>
        <w:trPr>
          <w:trHeight w:val="281"/>
        </w:trPr>
        <w:tc>
          <w:tcPr>
            <w:tcW w:w="4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Audit-Related Fees</w:t>
            </w:r>
          </w:p>
        </w:tc>
        <w:tc>
          <w:tcPr>
            <w:tcW w:w="3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50"/>
        </w:trPr>
        <w:tc>
          <w:tcPr>
            <w:tcW w:w="486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36"/>
        </w:trPr>
        <w:tc>
          <w:tcPr>
            <w:tcW w:w="486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Tax Fees</w:t>
            </w:r>
          </w:p>
        </w:tc>
        <w:tc>
          <w:tcPr>
            <w:tcW w:w="33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CCCC"/>
            </w:tcBorders>
            <w:shd w:val="clear" w:color="auto" w:fill="CCCCCC"/>
          </w:tcPr>
          <w:p>
            <w:pPr>
              <w:jc w:val="right"/>
              <w:ind w:right="16"/>
              <w:spacing w:after="0"/>
              <w:rPr>
                <w:sz w:val="20"/>
                <w:szCs w:val="20"/>
                <w:color w:val="auto"/>
              </w:rPr>
            </w:pPr>
            <w:r>
              <w:rPr>
                <w:rFonts w:ascii="Arial" w:cs="Arial" w:eastAsia="Arial" w:hAnsi="Arial"/>
                <w:sz w:val="18"/>
                <w:szCs w:val="18"/>
                <w:color w:val="auto"/>
                <w:w w:val="93"/>
              </w:rPr>
              <w:t>3,661</w:t>
            </w:r>
          </w:p>
        </w:tc>
        <w:tc>
          <w:tcPr>
            <w:tcW w:w="6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w w:val="93"/>
              </w:rPr>
              <w:t>5,334</w:t>
            </w:r>
          </w:p>
        </w:tc>
      </w:tr>
      <w:tr>
        <w:trPr>
          <w:trHeight w:val="286"/>
        </w:trPr>
        <w:tc>
          <w:tcPr>
            <w:tcW w:w="48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All Other Fees</w:t>
            </w:r>
          </w:p>
        </w:tc>
        <w:tc>
          <w:tcPr>
            <w:tcW w:w="3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audit fees primarily relate to the audit of the Company’s annual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for the fiscal years ended December 31, 2022 and 2021 and for the reviews of the consolidated condensed financial statements included in the Company’s Quarterly Reports on Form 10-Q and for other attest services, including services related to regulatory and statutory filings and financings.</w:t>
      </w:r>
    </w:p>
    <w:p>
      <w:pPr>
        <w:spacing w:after="0" w:line="10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audit-related fees for 2022 and 2021 primarily relate to services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transactions or investments and audits of employee benefit plans.</w:t>
      </w:r>
    </w:p>
    <w:p>
      <w:pPr>
        <w:spacing w:after="0" w:line="73"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for tax services for the fiscal years ended December 31, 2022 and 2021 relate to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tax advice and tax planning. For the fiscal year ended December 31, 2022, approximately $0.9 million of such fees related to U.S. and foreign tax return compliance and approximately $2.8 million related to tax advice and tax planning. For the fiscal year ended December 31, 2021, approximately $1.0 million of such fees related to tax compliance and approximately $4.3 million related to tax advice and tax planning.</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ll Other Fees.</w:t>
      </w:r>
      <w:r>
        <w:rPr>
          <w:rFonts w:ascii="Arial" w:cs="Arial" w:eastAsia="Arial" w:hAnsi="Arial"/>
          <w:sz w:val="18"/>
          <w:szCs w:val="18"/>
          <w:color w:val="auto"/>
        </w:rPr>
        <w:t xml:space="preserve"> There were no other fees for the fiscal year ended December 31, 2022 or December 31, 2021.</w:t>
      </w:r>
    </w:p>
    <w:p>
      <w:pPr>
        <w:spacing w:after="0" w:line="131"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The Audit Committee considered the non-audit services provided by the Deloitte Entities and determined that the provision of such services was compatible with maintaining the Deloitte Entities’ independence.</w:t>
      </w:r>
    </w:p>
    <w:p>
      <w:pPr>
        <w:spacing w:after="0" w:line="86"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The Audit Committee has established a policy for the pre-approval of all audit and permissible non-audit services to be provided by the independent registered public accounting firm, as described below.</w:t>
      </w:r>
    </w:p>
    <w:p>
      <w:pPr>
        <w:spacing w:after="0" w:line="8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All services performed by the independent registered public accounting firm in 2022 were pre-approved in accordance with the pre-approval policy and procedures adopted by the Audit Committee. This policy describes the permitted audit, audit-related,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263" w:right="10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tax and other services (collectively, the “Disclosure Categories”) that the independent registered public accounting firm may perform. Prior to the beginning of each fiscal year, a description of the services (the “Service List”) anticipated to be performed by the independent registered public accounting firm in each of the Disclosure Categories in the ensuing fiscal year is presented to the Audit Committee for approval.</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requests for audit, audit-related, tax and other services not contemplated by the Service List must be submitted to the Audit Committee for specific pre-approval, except for de minimis amounts under certain circumstances as described below, and the provision of such services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w:t>
      </w:r>
    </w:p>
    <w:p>
      <w:pPr>
        <w:spacing w:after="0" w:line="11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 a quarterly basis, the Audit Committee reviews the status of services and fees incurred year-to-date as compared to the original Service List and the forecast of remaining services for the fiscal year.</w:t>
      </w:r>
    </w:p>
    <w:p>
      <w:pPr>
        <w:spacing w:after="0" w:line="7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policy contains a de minimis provision that operates to provide retroactive approval for permissible non-audit services under certain circumstances.</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consolidated financial statements.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not required by the Company’s By-laws or otherwise, the Board of Directors is submitting for shareholder ratification the selection of Deloitte as the Company’s independent registered public accounting firm. If the selection is not ratified, the Audit Committee will consider whether it is appropriate to select another independent registered public accounting firm.</w:t>
      </w:r>
    </w:p>
    <w:p>
      <w:pPr>
        <w:spacing w:after="0" w:line="191" w:lineRule="exact"/>
        <w:rPr>
          <w:sz w:val="20"/>
          <w:szCs w:val="20"/>
          <w:color w:val="auto"/>
        </w:rPr>
      </w:pPr>
    </w:p>
    <w:p>
      <w:pPr>
        <w:jc w:val="center"/>
        <w:ind w:right="20"/>
        <w:spacing w:after="0" w:line="241" w:lineRule="auto"/>
        <w:rPr>
          <w:sz w:val="20"/>
          <w:szCs w:val="20"/>
          <w:color w:val="auto"/>
        </w:rPr>
      </w:pPr>
      <w:r>
        <w:rPr>
          <w:rFonts w:ascii="Arial" w:cs="Arial" w:eastAsia="Arial" w:hAnsi="Arial"/>
          <w:sz w:val="22"/>
          <w:szCs w:val="22"/>
          <w:b w:val="1"/>
          <w:bCs w:val="1"/>
          <w:color w:val="auto"/>
        </w:rPr>
        <w:t>THE BOARD OF DIRECTORS RECOMMENDS A VOTE “FOR” THE RATIFICATION OF DELOITTE &amp; TOUCHE LLP AS THE COMPANY’S INDEPENDENT REGISTERED PUBLIC ACCOUNTING FIRM FOR THE FISCAL YEAR ENDING DECEMBER 31, 2023.</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color w:val="auto"/>
        </w:rPr>
        <w:t>Proposal No. 3</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Advisory Approval of Executive Compensation</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required by Section 14A of the Exchange Act, the Company is asking its shareholders to approve an advisory resolution to approve the compensation of our named executive officers as follows:</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our named executive officers, as described in this Proxy Statement. We currently conduct an advisory vote on the approval of the compensation of our named executive officers each year, and expect the next such advisory vote will take place at our 2024 annual meeting of shareholders.</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vote is advisory and, therefore,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shareholders, and to the extent there is any significant vote against the named executive officer compensation as disclosed in this Proxy Statement, the Compensation Committee and our Board of Directors will consider shareholders’ concerns and the Compensation Committee will evaluate whether any actions are necessary to address those concerns.</w:t>
      </w:r>
    </w:p>
    <w:p>
      <w:pPr>
        <w:spacing w:after="0" w:line="210"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12"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auto"/>
        </w:rPr>
        <w:t>THE APPROVAL OF THE RESOLUTION SET FORTH ABOVE.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52" w:name="page53"/>
    <w:bookmarkEnd w:id="52"/>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10"/>
        <w:spacing w:after="0"/>
        <w:rPr>
          <w:sz w:val="20"/>
          <w:szCs w:val="20"/>
          <w:color w:val="auto"/>
        </w:rPr>
      </w:pPr>
      <w:r>
        <w:rPr>
          <w:rFonts w:ascii="Arial" w:cs="Arial" w:eastAsia="Arial" w:hAnsi="Arial"/>
          <w:sz w:val="36"/>
          <w:szCs w:val="36"/>
          <w:color w:val="auto"/>
        </w:rPr>
        <w:t>Proposal No. 4</w:t>
      </w:r>
    </w:p>
    <w:p>
      <w:pPr>
        <w:spacing w:after="0" w:line="193" w:lineRule="exact"/>
        <w:rPr>
          <w:sz w:val="20"/>
          <w:szCs w:val="20"/>
          <w:color w:val="auto"/>
        </w:rPr>
      </w:pPr>
    </w:p>
    <w:p>
      <w:pPr>
        <w:ind w:left="10" w:right="1780"/>
        <w:spacing w:after="0" w:line="298" w:lineRule="auto"/>
        <w:rPr>
          <w:sz w:val="20"/>
          <w:szCs w:val="20"/>
          <w:color w:val="auto"/>
        </w:rPr>
      </w:pPr>
      <w:r>
        <w:rPr>
          <w:rFonts w:ascii="Arial" w:cs="Arial" w:eastAsia="Arial" w:hAnsi="Arial"/>
          <w:sz w:val="25"/>
          <w:szCs w:val="25"/>
          <w:b w:val="1"/>
          <w:bCs w:val="1"/>
          <w:color w:val="auto"/>
        </w:rPr>
        <w:t>Advisory Vote on the Frequency of Shareholder Votes on Executive Compensation</w:t>
      </w:r>
    </w:p>
    <w:p>
      <w:pPr>
        <w:spacing w:after="0" w:line="34" w:lineRule="exact"/>
        <w:rPr>
          <w:sz w:val="20"/>
          <w:szCs w:val="20"/>
          <w:color w:val="auto"/>
        </w:rPr>
      </w:pPr>
    </w:p>
    <w:p>
      <w:pPr>
        <w:jc w:val="both"/>
        <w:ind w:left="10"/>
        <w:spacing w:after="0" w:line="248" w:lineRule="auto"/>
        <w:rPr>
          <w:sz w:val="20"/>
          <w:szCs w:val="20"/>
          <w:color w:val="auto"/>
        </w:rPr>
      </w:pPr>
      <w:r>
        <w:rPr>
          <w:rFonts w:ascii="Arial" w:cs="Arial" w:eastAsia="Arial" w:hAnsi="Arial"/>
          <w:sz w:val="18"/>
          <w:szCs w:val="18"/>
          <w:color w:val="auto"/>
        </w:rPr>
        <w:t>Pursuant to SEC rules, the Company is providing to its shareholders a separate non-binding advisory vote to recommend whether an advisory vote on named executive officer compensation should occur every one, two or three years. Our shareholders voted on a similar proposal in 2017, with the majority voting to hold such an advisory vote every one (1) year.</w:t>
      </w:r>
    </w:p>
    <w:p>
      <w:pPr>
        <w:spacing w:after="0" w:line="303" w:lineRule="exact"/>
        <w:rPr>
          <w:sz w:val="20"/>
          <w:szCs w:val="20"/>
          <w:color w:val="auto"/>
        </w:rPr>
      </w:pPr>
    </w:p>
    <w:p>
      <w:pPr>
        <w:jc w:val="both"/>
        <w:ind w:left="10" w:right="20"/>
        <w:spacing w:after="0" w:line="253" w:lineRule="auto"/>
        <w:rPr>
          <w:sz w:val="20"/>
          <w:szCs w:val="20"/>
          <w:color w:val="auto"/>
        </w:rPr>
      </w:pPr>
      <w:r>
        <w:rPr>
          <w:rFonts w:ascii="Arial" w:cs="Arial" w:eastAsia="Arial" w:hAnsi="Arial"/>
          <w:sz w:val="18"/>
          <w:szCs w:val="18"/>
          <w:color w:val="auto"/>
        </w:rPr>
        <w:t>After careful consideration of this proposal, our Board has determined that an advisory vote on executive compensation that occurs every one (1) year remains the most appropriate alternative for our Company at this time, and therefore our Board recommends an annual vote for the advisory vote on executive compensation.</w:t>
      </w:r>
    </w:p>
    <w:p>
      <w:pPr>
        <w:spacing w:after="0" w:line="101"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In formulating its recommendation, our Board considered that an annual advisory vote on executive compensation provides the highest level of communication with our shareholders by allowing our shareholders to provide us with their direct input on our named executive officer compensation, as disclosed in our annual proxy statement, every year. Additionally, an annual advisory vote on executive compensation is consistent with our belief that engagement with our shareholders is a component of our corporate governance and our practice of seeking input from, and engaging in discussions with, our shareholders on corporate governance matters.</w:t>
      </w:r>
    </w:p>
    <w:p>
      <w:pPr>
        <w:spacing w:after="0" w:line="111" w:lineRule="exact"/>
        <w:rPr>
          <w:sz w:val="20"/>
          <w:szCs w:val="20"/>
          <w:color w:val="auto"/>
        </w:rPr>
      </w:pPr>
    </w:p>
    <w:p>
      <w:pPr>
        <w:jc w:val="both"/>
        <w:ind w:left="10" w:right="20"/>
        <w:spacing w:after="0" w:line="271" w:lineRule="auto"/>
        <w:rPr>
          <w:sz w:val="20"/>
          <w:szCs w:val="20"/>
          <w:color w:val="auto"/>
        </w:rPr>
      </w:pPr>
      <w:r>
        <w:rPr>
          <w:rFonts w:ascii="Arial" w:cs="Arial" w:eastAsia="Arial" w:hAnsi="Arial"/>
          <w:sz w:val="18"/>
          <w:szCs w:val="18"/>
          <w:color w:val="auto"/>
        </w:rPr>
        <w:t>In the future, we may determine that a less frequent advisory vote is appropriate, either in response to the vote of our shareholders on this proposal or for other reasons.</w:t>
      </w:r>
    </w:p>
    <w:p>
      <w:pPr>
        <w:spacing w:after="0" w:line="73" w:lineRule="exact"/>
        <w:rPr>
          <w:sz w:val="20"/>
          <w:szCs w:val="20"/>
          <w:color w:val="auto"/>
        </w:rPr>
      </w:pPr>
    </w:p>
    <w:p>
      <w:pPr>
        <w:ind w:left="10"/>
        <w:spacing w:after="0"/>
        <w:rPr>
          <w:sz w:val="20"/>
          <w:szCs w:val="20"/>
          <w:color w:val="auto"/>
        </w:rPr>
      </w:pPr>
      <w:r>
        <w:rPr>
          <w:rFonts w:ascii="Arial" w:cs="Arial" w:eastAsia="Arial" w:hAnsi="Arial"/>
          <w:sz w:val="18"/>
          <w:szCs w:val="18"/>
          <w:color w:val="auto"/>
        </w:rPr>
        <w:t>Shareholders may cast their vote on the preferred voting frequency by choosing the option of every one (1) year, every two</w:t>
      </w:r>
    </w:p>
    <w:p>
      <w:pPr>
        <w:spacing w:after="0" w:line="14" w:lineRule="exact"/>
        <w:rPr>
          <w:sz w:val="20"/>
          <w:szCs w:val="20"/>
          <w:color w:val="auto"/>
        </w:rPr>
      </w:pPr>
    </w:p>
    <w:p>
      <w:pPr>
        <w:jc w:val="both"/>
        <w:ind w:left="10" w:hanging="10"/>
        <w:spacing w:after="0" w:line="237" w:lineRule="auto"/>
        <w:tabs>
          <w:tab w:leader="none" w:pos="2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years, every three (3) years or abstaining from voting when voting on this proposal. Under our By-laws, the holders of a majority of the voting power of the issued and outstanding Common Stock present in person or represented by proxy and entitled to vote must vote for approval. Because this proposal has three choices (every one, two or three years), if none of the frequency alternatives receives the vote of the holders of a majority of the voting power of the issued and outstanding Common Stock present in person or represented by proxy and entitled to vote required by the By-laws, then we will consider shareholders to have approved the frequency alternative selected by holders of a plurality of the voting power of the issued and outstanding Common Stock present in person or represented by proxy and entitled to vote at the meeting.</w:t>
      </w:r>
    </w:p>
    <w:p>
      <w:pPr>
        <w:spacing w:after="0" w:line="117"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This vote is advisory and not binding on our Board or the Company; therefore, our Board may decide that it is in the best interests of our shareholders and the Company to hold an advisory vote on executive compensation more or less frequently than the option approved by our shareholders.</w:t>
      </w:r>
    </w:p>
    <w:p>
      <w:pPr>
        <w:spacing w:after="0" w:line="159" w:lineRule="exact"/>
        <w:rPr>
          <w:sz w:val="20"/>
          <w:szCs w:val="20"/>
          <w:color w:val="auto"/>
        </w:rPr>
      </w:pPr>
    </w:p>
    <w:p>
      <w:pPr>
        <w:jc w:val="center"/>
        <w:ind w:right="10"/>
        <w:spacing w:after="0" w:line="251" w:lineRule="auto"/>
        <w:rPr>
          <w:sz w:val="20"/>
          <w:szCs w:val="20"/>
          <w:color w:val="auto"/>
        </w:rPr>
      </w:pPr>
      <w:r>
        <w:rPr>
          <w:rFonts w:ascii="Arial" w:cs="Arial" w:eastAsia="Arial" w:hAnsi="Arial"/>
          <w:sz w:val="22"/>
          <w:szCs w:val="22"/>
          <w:b w:val="1"/>
          <w:bCs w:val="1"/>
          <w:color w:val="auto"/>
        </w:rPr>
        <w:t>THE BOARD OF DIRECTORS RECOMMENDS A VOTE FOR THE OPTION OF “EVERY ONE (1) YEAR” (AS OPPOSED TO 2 YEARS OR 3 YEARS) AS THE RECOMMENDED FREQUENCY OF ADVISORY VOTES ON NAMED EXECUTIVE OFFICER COMPENSATION.</w:t>
      </w:r>
    </w:p>
    <w:p>
      <w:pPr>
        <w:spacing w:after="0" w:line="26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263" w:right="10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color w:val="auto"/>
        </w:rPr>
        <w:t>Shareholder Proposals for 2024 Annual Meeting</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Proposals received from shareholders are given careful consideration by the Company. Shareholder proposals submitted in accordance with Rule 14a-8 under the Exchange Act are eligible for consideration for inclusion in the Company’s proxy statement for the 2024 annual meeting of shareholders if they are received by the Company on or before December 7, 2023. Any proposal should be directed to the attention of the Corporate Secretary, Avis Budget Group, Inc., 6 Sylvan Way, Parsippany, N.J. 07054. In order for a shareholder proposal submitted outside of Rule 14a-8 to be considered at the 2024 annual meeting of shareholders, such proposal must be received by the Company not later than the last date for submission of shareholder proposals under the By-laws. In order for a proposal (other than nominations of directors) to be timely under the By-laws, it must be received not less than sixty days (i.e., March 25, 2024) nor more than ninety days (i.e., February 24, 2024) before the anniversary date of the immediately preceding annual meeting of shareholders. In order for a director nomination to be timely under the By-laws, it must be received not less than ninety days (i.e., February 24, 2024) before the anniversary date of the immediately preceding annual meeting of shareholders. However, in the event that the annual meeting of shareholders is called for a date that is not within twenty-five days before or after the anniversary date of the immediately preceding annual meeting of shareholders, notice of a shareholder proposal in order to be timely must be received not later than the close of business on the tenth day following the day on which notice of the date of the annual meeting of shareholders was mailed or public disclosure of the date of the annual meeting of shareholders was made, whichever occurs first. Shareholders who intend to solicit proxies in reliance on the SEC's universal proxy rule for director nominees submitted under the advance notice requirements of our By-laws must comply with the additional requirements of Rule 14a-19(b) no later than March 25, 2024.</w:t>
      </w:r>
    </w:p>
    <w:p>
      <w:pPr>
        <w:spacing w:after="0" w:line="163" w:lineRule="exact"/>
        <w:rPr>
          <w:sz w:val="20"/>
          <w:szCs w:val="20"/>
          <w:color w:val="auto"/>
        </w:rPr>
      </w:pPr>
    </w:p>
    <w:p>
      <w:pPr>
        <w:spacing w:after="0"/>
        <w:rPr>
          <w:sz w:val="20"/>
          <w:szCs w:val="20"/>
          <w:color w:val="auto"/>
        </w:rPr>
      </w:pPr>
      <w:r>
        <w:rPr>
          <w:rFonts w:ascii="Arial" w:cs="Arial" w:eastAsia="Arial" w:hAnsi="Arial"/>
          <w:sz w:val="36"/>
          <w:szCs w:val="36"/>
          <w:color w:val="auto"/>
        </w:rPr>
        <w:t>Additional Information</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Additional Copies. </w:t>
      </w:r>
      <w:r>
        <w:rPr>
          <w:rFonts w:ascii="Arial" w:cs="Arial" w:eastAsia="Arial" w:hAnsi="Arial"/>
          <w:sz w:val="18"/>
          <w:szCs w:val="18"/>
          <w:color w:val="auto"/>
        </w:rPr>
        <w:t>If you share an address with other shareholders of the Company, you may receive a single copy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materials (including a copy of the Proxy Statement and the 2022 Annual Report), unless your bank, broker or other intermediary that provides the notification receives contrary instructions from the affected shareholders. This practice, permitted under SEC rules and commonly referred to as “householding,” is designed to provide extra convenience for shareholders and potential cost savings for companies.</w:t>
      </w:r>
    </w:p>
    <w:p>
      <w:pPr>
        <w:spacing w:after="0" w:line="1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at any time, you no longer wish to participate in householding and would prefer to receive a separate set of proxy materials, please notify your broker if your shares of Common Stock are held in a brokerage account or the Company if you hold registered shares of Common Stock. We will promptly deliver a separate copy of the proxy materials upon request. You can notify the Company by sending a written request to Avis Budget Group, Inc., 6 Sylvan Way, Parsippany, N.J. 07054, Attention: Corporate Secretary, or by calling (973) 496-4700 and selecting the “Investor Relations” option. You should also follow these steps to notify your broker or us, as applicable, if you currently receive multiple copies of the proxy materials and wish to instead participate in householding.</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Solicitation of Proxies. </w:t>
      </w:r>
      <w:r>
        <w:rPr>
          <w:rFonts w:ascii="Arial" w:cs="Arial" w:eastAsia="Arial" w:hAnsi="Arial"/>
          <w:sz w:val="18"/>
          <w:szCs w:val="18"/>
          <w:color w:val="auto"/>
        </w:rPr>
        <w:t>The accompanying form of proxy is being solicited on behalf of the Board of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expenses of solicitation of proxies for the Meeting will be paid by the Company. In addition to the mailing of the proxy materials,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Common Stock. The Company has hired Innisfree M&amp;A Incorporated to aid in the solicitation of proxies. We estimate that the fee for Innisfree M&amp;A Incorporated will be up to $15,000 plus the reimbursement of reasonable out-of-pocket costs and expenses. Such fee will be paid by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4" w:lineRule="auto"/>
        <w:rPr>
          <w:sz w:val="20"/>
          <w:szCs w:val="20"/>
          <w:color w:val="auto"/>
        </w:rPr>
      </w:pPr>
      <w:r>
        <w:rPr>
          <w:rFonts w:ascii="Arial" w:cs="Arial" w:eastAsia="Arial" w:hAnsi="Arial"/>
          <w:sz w:val="18"/>
          <w:szCs w:val="18"/>
          <w:color w:val="auto"/>
        </w:rPr>
        <w:t>JEAN M. SERA</w:t>
      </w:r>
    </w:p>
    <w:p>
      <w:pPr>
        <w:spacing w:after="0" w:line="235" w:lineRule="auto"/>
        <w:rPr>
          <w:sz w:val="20"/>
          <w:szCs w:val="20"/>
          <w:color w:val="auto"/>
        </w:rPr>
      </w:pPr>
      <w:r>
        <w:rPr>
          <w:rFonts w:ascii="Arial" w:cs="Arial" w:eastAsia="Arial" w:hAnsi="Arial"/>
          <w:sz w:val="18"/>
          <w:szCs w:val="18"/>
          <w:color w:val="auto"/>
        </w:rPr>
        <w:t>Corporate Secretary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Dated: April 5, 2023</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263" w:right="10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lvl w:ilvl="1">
      <w:lvlJc w:val="left"/>
      <w:lvlText w:val="☐"/>
      <w:numFmt w:val="bullet"/>
      <w:start w:val="1"/>
    </w:lvl>
  </w:abstractNum>
  <w:abstractNum w:abstractNumId="1">
    <w:nsid w:val="71F32454"/>
    <w:multiLevelType w:val="hybridMultilevel"/>
    <w:lvl w:ilvl="0">
      <w:lvlJc w:val="left"/>
      <w:lvlText w:val="☒"/>
      <w:numFmt w:val="bullet"/>
      <w:start w:val="1"/>
    </w:lvl>
    <w:lvl w:ilvl="1">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lowerLetter"/>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6"/>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bullet"/>
      <w:start w:val="1"/>
    </w:lvl>
  </w:abstractNum>
  <w:abstractNum w:abstractNumId="30">
    <w:nsid w:val="70A64E2A"/>
    <w:multiLevelType w:val="hybridMultilevel"/>
    <w:lvl w:ilvl="0">
      <w:lvlJc w:val="left"/>
      <w:lvlText w:val="(%1)"/>
      <w:numFmt w:val="decimal"/>
      <w:start w:val="2"/>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lvl w:ilvl="1">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2"/>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4"/>
    </w:lvl>
  </w:abstractNum>
  <w:abstractNum w:abstractNumId="49">
    <w:nsid w:val="79A1DEAA"/>
    <w:multiLevelType w:val="hybridMultilevel"/>
    <w:lvl w:ilvl="0">
      <w:lvlJc w:val="left"/>
      <w:lvlText w:val="(%1)"/>
      <w:numFmt w:val="lowerLetter"/>
      <w:start w:val="8"/>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2023-04-05T15:27:19Z</dcterms:created>
  <dcterms:modified xsi:type="dcterms:W3CDTF">2023-04-05T15:27:19Z</dcterms:modified>
</cp:coreProperties>
</file>