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387923.xml.htm"/>
      <w:bookmarkStart w:id="1" w:name="kswkform4_17673879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Sera Jean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379 INTERPACE PARKWAY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 BUDGET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GC, CCO &amp; Corp.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12/30/2025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128.84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36,134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4,880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and dividend equivalent units which automatically convert to Common Stock upon the vesting and settlement of such units on a one-to-one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tax withholdings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Expiration date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dividend equivalent units ("DEUs") accrued on restricted stock units and performance-based restricted stock units which become exercisable proportionately, on a one-on-one basis, subject to the same terms and conditions, including vesting and settlement, as the restricted stock units to which they relate. Number of shares reported in Column 9 reflects the remaining aggregate DEUs associated with restricted stock units at target.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Jean M. Sera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284" TargetMode="External"/><Relationship Id="rId5" Type="http://schemas.openxmlformats.org/officeDocument/2006/relationships/hyperlink" Target="http://www.sec.gov/cgi-bin/browse-edgar?action=getcompany&amp;CIK=00007236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3862</Characters>
  <CharactersWithSpaces>4485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