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69233.xml.htm"/>
      <w:bookmarkStart w:id="1" w:name="kswkform4_17852692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Simhambhatla Ravi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379 INTERPACE PARKWAY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 BUDGET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CDIO -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17,791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31,667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8,155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159.48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16,878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and dividend equivalent units which automatically convert to Common Stock upon the vesting and settlement of such units on a one-to-one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tax withholdings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Units vest in two equal installments on July 26, 2024 and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dividend equivalent units accrued on restricted stock units and performance-based restricted stock units which become exercisable proportionately, on a one-on-one basis, subject to the same terms and conditions, including vesting and settlement, as the restricted stock units to which they relate.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EVP, Chief Digital &amp; Innovation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 M. Sera, by Power of Attorney for Ravi Simhambhatla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4960" TargetMode="External"/><Relationship Id="rId5" Type="http://schemas.openxmlformats.org/officeDocument/2006/relationships/hyperlink" Target="http://www.sec.gov/cgi-bin/browse-edgar?action=getcompany&amp;CIK=00007236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718</Words>
  <Characters>3896</Characters>
  <CharactersWithSpaces>4509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