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417830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443230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57785</wp:posOffset>
            </wp:positionV>
            <wp:extent cx="1448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75" w:lineRule="exact"/>
        <w:rPr>
          <w:sz w:val="24"/>
          <w:szCs w:val="24"/>
          <w:color w:val="auto"/>
        </w:rPr>
      </w:pPr>
    </w:p>
    <w:p>
      <w:pPr>
        <w:jc w:val="center"/>
        <w:ind w:right="-119"/>
        <w:spacing w:after="0"/>
        <w:tabs>
          <w:tab w:leader="none" w:pos="300" w:val="left"/>
        </w:tabs>
        <w:rPr>
          <w:sz w:val="20"/>
          <w:szCs w:val="20"/>
          <w:color w:val="auto"/>
        </w:rPr>
      </w:pPr>
      <w:r>
        <w:rPr>
          <w:rFonts w:ascii="Arial" w:cs="Arial" w:eastAsia="Arial" w:hAnsi="Arial"/>
          <w:sz w:val="32"/>
          <w:szCs w:val="32"/>
          <w:b w:val="1"/>
          <w:bCs w:val="1"/>
          <w:color w:val="auto"/>
        </w:rPr>
        <w:t>Form</w:t>
        <w:tab/>
        <w:t>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46355</wp:posOffset>
            </wp:positionV>
            <wp:extent cx="1448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83" w:lineRule="exact"/>
        <w:rPr>
          <w:sz w:val="24"/>
          <w:szCs w:val="24"/>
          <w:color w:val="auto"/>
        </w:rPr>
      </w:pPr>
    </w:p>
    <w:p>
      <w:pPr>
        <w:ind w:left="4100" w:right="3140" w:hanging="3842"/>
        <w:spacing w:after="0" w:line="425" w:lineRule="auto"/>
        <w:tabs>
          <w:tab w:leader="none" w:pos="696"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 For the quarterly period ended June-30-2020</w:t>
      </w:r>
    </w:p>
    <w:p>
      <w:pPr>
        <w:spacing w:after="0" w:line="60" w:lineRule="exact"/>
        <w:rPr>
          <w:sz w:val="24"/>
          <w:szCs w:val="24"/>
          <w:color w:val="auto"/>
        </w:rPr>
      </w:pPr>
    </w:p>
    <w:p>
      <w:pPr>
        <w:ind w:left="5520"/>
        <w:spacing w:after="0"/>
        <w:rPr>
          <w:sz w:val="20"/>
          <w:szCs w:val="20"/>
          <w:color w:val="auto"/>
        </w:rPr>
      </w:pPr>
      <w:r>
        <w:rPr>
          <w:rFonts w:ascii="Arial" w:cs="Arial" w:eastAsia="Arial" w:hAnsi="Arial"/>
          <w:sz w:val="14"/>
          <w:szCs w:val="14"/>
          <w:b w:val="1"/>
          <w:bCs w:val="1"/>
          <w:color w:val="auto"/>
        </w:rPr>
        <w:t>OR</w:t>
      </w:r>
    </w:p>
    <w:p>
      <w:pPr>
        <w:spacing w:after="0" w:line="29" w:lineRule="exact"/>
        <w:rPr>
          <w:sz w:val="24"/>
          <w:szCs w:val="24"/>
          <w:color w:val="auto"/>
        </w:rPr>
      </w:pPr>
    </w:p>
    <w:p>
      <w:pPr>
        <w:ind w:left="260"/>
        <w:spacing w:after="0" w:line="242" w:lineRule="exact"/>
        <w:tabs>
          <w:tab w:leader="none" w:pos="70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Arial" w:cs="Arial" w:eastAsia="Arial" w:hAnsi="Arial"/>
          <w:sz w:val="14"/>
          <w:szCs w:val="14"/>
          <w:b w:val="1"/>
          <w:bCs w:val="1"/>
          <w:color w:val="auto"/>
        </w:rPr>
        <w:t>TRANSITION REPORT PURSUANT TO SECTION 13 OR 15(d) OF THE SECURITIES EXCHANGE ACT OF 1934</w:t>
      </w:r>
    </w:p>
    <w:p>
      <w:pPr>
        <w:spacing w:after="0" w:line="176" w:lineRule="exact"/>
        <w:rPr>
          <w:sz w:val="24"/>
          <w:szCs w:val="24"/>
          <w:color w:val="auto"/>
        </w:rPr>
      </w:pPr>
    </w:p>
    <w:tbl>
      <w:tblPr>
        <w:tblLayout w:type="fixed"/>
        <w:tblInd w:w="58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8080" w:type="dxa"/>
            <w:vAlign w:val="bottom"/>
            <w:gridSpan w:val="4"/>
          </w:tcPr>
          <w:p>
            <w:pPr>
              <w:jc w:val="center"/>
              <w:ind w:right="1168"/>
              <w:spacing w:after="0"/>
              <w:rPr>
                <w:sz w:val="20"/>
                <w:szCs w:val="20"/>
                <w:color w:val="auto"/>
              </w:rPr>
            </w:pPr>
            <w:r>
              <w:rPr>
                <w:rFonts w:ascii="Arial" w:cs="Arial" w:eastAsia="Arial" w:hAnsi="Arial"/>
                <w:sz w:val="14"/>
                <w:szCs w:val="14"/>
                <w:b w:val="1"/>
                <w:bCs w:val="1"/>
                <w:color w:val="auto"/>
              </w:rPr>
              <w:t>For the transition period from _____ to _____</w:t>
            </w:r>
          </w:p>
        </w:tc>
      </w:tr>
      <w:tr>
        <w:trPr>
          <w:trHeight w:val="405"/>
        </w:trPr>
        <w:tc>
          <w:tcPr>
            <w:tcW w:w="1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0" w:type="dxa"/>
            <w:vAlign w:val="bottom"/>
            <w:gridSpan w:val="3"/>
          </w:tcPr>
          <w:p>
            <w:pPr>
              <w:jc w:val="center"/>
              <w:ind w:right="3448"/>
              <w:spacing w:after="0"/>
              <w:rPr>
                <w:sz w:val="20"/>
                <w:szCs w:val="20"/>
                <w:color w:val="auto"/>
              </w:rPr>
            </w:pPr>
            <w:r>
              <w:rPr>
                <w:rFonts w:ascii="Arial" w:cs="Arial" w:eastAsia="Arial" w:hAnsi="Arial"/>
                <w:sz w:val="14"/>
                <w:szCs w:val="14"/>
                <w:b w:val="1"/>
                <w:bCs w:val="1"/>
                <w:color w:val="auto"/>
              </w:rPr>
              <w:t>Commission File No. 001-10308</w:t>
            </w:r>
          </w:p>
        </w:tc>
      </w:tr>
      <w:tr>
        <w:trPr>
          <w:trHeight w:val="431"/>
        </w:trPr>
        <w:tc>
          <w:tcPr>
            <w:tcW w:w="1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300" w:type="dxa"/>
            <w:vAlign w:val="bottom"/>
            <w:tcBorders>
              <w:bottom w:val="single" w:sz="8" w:color="auto"/>
            </w:tcBorders>
            <w:gridSpan w:val="2"/>
          </w:tcPr>
          <w:p>
            <w:pPr>
              <w:spacing w:after="0"/>
              <w:rPr>
                <w:sz w:val="24"/>
                <w:szCs w:val="24"/>
                <w:color w:val="auto"/>
              </w:rPr>
            </w:pPr>
          </w:p>
        </w:tc>
        <w:tc>
          <w:tcPr>
            <w:tcW w:w="3500" w:type="dxa"/>
            <w:vAlign w:val="bottom"/>
          </w:tcPr>
          <w:p>
            <w:pPr>
              <w:spacing w:after="0"/>
              <w:rPr>
                <w:sz w:val="24"/>
                <w:szCs w:val="24"/>
                <w:color w:val="auto"/>
              </w:rPr>
            </w:pPr>
          </w:p>
        </w:tc>
      </w:tr>
      <w:tr>
        <w:trPr>
          <w:trHeight w:val="596"/>
        </w:trPr>
        <w:tc>
          <w:tcPr>
            <w:tcW w:w="1620" w:type="dxa"/>
            <w:vAlign w:val="bottom"/>
          </w:tcPr>
          <w:p>
            <w:pPr>
              <w:spacing w:after="0"/>
              <w:rPr>
                <w:sz w:val="24"/>
                <w:szCs w:val="24"/>
                <w:color w:val="auto"/>
              </w:rPr>
            </w:pPr>
          </w:p>
        </w:tc>
        <w:tc>
          <w:tcPr>
            <w:tcW w:w="8080" w:type="dxa"/>
            <w:vAlign w:val="bottom"/>
            <w:gridSpan w:val="4"/>
          </w:tcPr>
          <w:p>
            <w:pPr>
              <w:jc w:val="center"/>
              <w:ind w:right="1148"/>
              <w:spacing w:after="0"/>
              <w:rPr>
                <w:sz w:val="20"/>
                <w:szCs w:val="20"/>
                <w:color w:val="auto"/>
              </w:rPr>
            </w:pPr>
            <w:r>
              <w:rPr>
                <w:rFonts w:ascii="Arial" w:cs="Arial" w:eastAsia="Arial" w:hAnsi="Arial"/>
                <w:sz w:val="25"/>
                <w:szCs w:val="25"/>
                <w:b w:val="1"/>
                <w:bCs w:val="1"/>
                <w:color w:val="auto"/>
              </w:rPr>
              <w:t>Avis Budget Group, Inc.</w:t>
            </w:r>
          </w:p>
        </w:tc>
      </w:tr>
      <w:tr>
        <w:trPr>
          <w:trHeight w:val="344"/>
        </w:trPr>
        <w:tc>
          <w:tcPr>
            <w:tcW w:w="1620" w:type="dxa"/>
            <w:vAlign w:val="bottom"/>
          </w:tcPr>
          <w:p>
            <w:pPr>
              <w:spacing w:after="0"/>
              <w:rPr>
                <w:sz w:val="24"/>
                <w:szCs w:val="24"/>
                <w:color w:val="auto"/>
              </w:rPr>
            </w:pPr>
          </w:p>
        </w:tc>
        <w:tc>
          <w:tcPr>
            <w:tcW w:w="8080" w:type="dxa"/>
            <w:vAlign w:val="bottom"/>
            <w:gridSpan w:val="4"/>
          </w:tcPr>
          <w:p>
            <w:pPr>
              <w:jc w:val="center"/>
              <w:ind w:right="1188"/>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338"/>
        </w:trPr>
        <w:tc>
          <w:tcPr>
            <w:tcW w:w="1620" w:type="dxa"/>
            <w:vAlign w:val="bottom"/>
          </w:tcPr>
          <w:p>
            <w:pPr>
              <w:jc w:val="center"/>
              <w:ind w:left="608"/>
              <w:spacing w:after="0"/>
              <w:rPr>
                <w:sz w:val="20"/>
                <w:szCs w:val="20"/>
                <w:color w:val="auto"/>
              </w:rPr>
            </w:pPr>
            <w:r>
              <w:rPr>
                <w:rFonts w:ascii="Arial" w:cs="Arial" w:eastAsia="Arial" w:hAnsi="Arial"/>
                <w:sz w:val="14"/>
                <w:szCs w:val="14"/>
                <w:b w:val="1"/>
                <w:bCs w:val="1"/>
                <w:color w:val="auto"/>
              </w:rPr>
              <w:t>Delaware</w:t>
            </w:r>
          </w:p>
        </w:tc>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0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5000" w:type="dxa"/>
            <w:vAlign w:val="bottom"/>
            <w:gridSpan w:val="3"/>
          </w:tcPr>
          <w:p>
            <w:pPr>
              <w:jc w:val="center"/>
              <w:ind w:right="2488"/>
              <w:spacing w:after="0"/>
              <w:rPr>
                <w:sz w:val="20"/>
                <w:szCs w:val="20"/>
                <w:color w:val="auto"/>
              </w:rPr>
            </w:pPr>
            <w:r>
              <w:rPr>
                <w:rFonts w:ascii="Arial" w:cs="Arial" w:eastAsia="Arial" w:hAnsi="Arial"/>
                <w:sz w:val="14"/>
                <w:szCs w:val="14"/>
                <w:i w:val="1"/>
                <w:iCs w:val="1"/>
                <w:color w:val="auto"/>
              </w:rPr>
              <w:t>(State or other jurisdiction of</w:t>
            </w:r>
          </w:p>
        </w:tc>
        <w:tc>
          <w:tcPr>
            <w:tcW w:w="1200" w:type="dxa"/>
            <w:vAlign w:val="bottom"/>
          </w:tcPr>
          <w:p>
            <w:pPr>
              <w:spacing w:after="0"/>
              <w:rPr>
                <w:sz w:val="16"/>
                <w:szCs w:val="16"/>
                <w:color w:val="auto"/>
              </w:rPr>
            </w:pPr>
          </w:p>
        </w:tc>
        <w:tc>
          <w:tcPr>
            <w:tcW w:w="3500" w:type="dxa"/>
            <w:vAlign w:val="bottom"/>
          </w:tcPr>
          <w:p>
            <w:pPr>
              <w:jc w:val="center"/>
              <w:ind w:left="2008"/>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5000" w:type="dxa"/>
            <w:vAlign w:val="bottom"/>
            <w:gridSpan w:val="3"/>
          </w:tcPr>
          <w:p>
            <w:pPr>
              <w:jc w:val="center"/>
              <w:ind w:right="2488"/>
              <w:spacing w:after="0"/>
              <w:rPr>
                <w:sz w:val="20"/>
                <w:szCs w:val="20"/>
                <w:color w:val="auto"/>
              </w:rPr>
            </w:pPr>
            <w:r>
              <w:rPr>
                <w:rFonts w:ascii="Arial" w:cs="Arial" w:eastAsia="Arial" w:hAnsi="Arial"/>
                <w:sz w:val="14"/>
                <w:szCs w:val="14"/>
                <w:i w:val="1"/>
                <w:iCs w:val="1"/>
                <w:color w:val="auto"/>
              </w:rPr>
              <w:t>incorporation or organization)</w:t>
            </w:r>
          </w:p>
        </w:tc>
        <w:tc>
          <w:tcPr>
            <w:tcW w:w="1200" w:type="dxa"/>
            <w:vAlign w:val="bottom"/>
          </w:tcPr>
          <w:p>
            <w:pPr>
              <w:spacing w:after="0"/>
              <w:rPr>
                <w:sz w:val="16"/>
                <w:szCs w:val="16"/>
                <w:color w:val="auto"/>
              </w:rPr>
            </w:pPr>
          </w:p>
        </w:tc>
        <w:tc>
          <w:tcPr>
            <w:tcW w:w="3500" w:type="dxa"/>
            <w:vAlign w:val="bottom"/>
          </w:tcPr>
          <w:p>
            <w:pPr>
              <w:jc w:val="center"/>
              <w:ind w:left="2008"/>
              <w:spacing w:after="0"/>
              <w:rPr>
                <w:sz w:val="20"/>
                <w:szCs w:val="20"/>
                <w:color w:val="auto"/>
              </w:rPr>
            </w:pPr>
            <w:r>
              <w:rPr>
                <w:rFonts w:ascii="Arial" w:cs="Arial" w:eastAsia="Arial" w:hAnsi="Arial"/>
                <w:sz w:val="14"/>
                <w:szCs w:val="14"/>
                <w:i w:val="1"/>
                <w:iCs w:val="1"/>
                <w:color w:val="auto"/>
              </w:rPr>
              <w:t>Identification Number)</w:t>
            </w:r>
          </w:p>
        </w:tc>
      </w:tr>
      <w:tr>
        <w:trPr>
          <w:trHeight w:val="216"/>
        </w:trPr>
        <w:tc>
          <w:tcPr>
            <w:tcW w:w="1620" w:type="dxa"/>
            <w:vAlign w:val="bottom"/>
          </w:tcPr>
          <w:p>
            <w:pPr>
              <w:jc w:val="center"/>
              <w:ind w:left="608"/>
              <w:spacing w:after="0"/>
              <w:rPr>
                <w:sz w:val="20"/>
                <w:szCs w:val="20"/>
                <w:color w:val="auto"/>
              </w:rPr>
            </w:pPr>
            <w:r>
              <w:rPr>
                <w:rFonts w:ascii="Arial" w:cs="Arial" w:eastAsia="Arial" w:hAnsi="Arial"/>
                <w:sz w:val="14"/>
                <w:szCs w:val="14"/>
                <w:b w:val="1"/>
                <w:bCs w:val="1"/>
                <w:color w:val="auto"/>
              </w:rPr>
              <w:t>6 Sylvan Way</w:t>
            </w: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1620" w:type="dxa"/>
            <w:vAlign w:val="bottom"/>
          </w:tcPr>
          <w:p>
            <w:pPr>
              <w:ind w:left="540"/>
              <w:spacing w:after="0"/>
              <w:rPr>
                <w:sz w:val="20"/>
                <w:szCs w:val="20"/>
                <w:color w:val="auto"/>
              </w:rPr>
            </w:pPr>
            <w:r>
              <w:rPr>
                <w:rFonts w:ascii="Arial" w:cs="Arial" w:eastAsia="Arial" w:hAnsi="Arial"/>
                <w:sz w:val="14"/>
                <w:szCs w:val="14"/>
                <w:b w:val="1"/>
                <w:bCs w:val="1"/>
                <w:color w:val="auto"/>
              </w:rPr>
              <w:t>Parsippany,</w:t>
            </w:r>
          </w:p>
        </w:tc>
        <w:tc>
          <w:tcPr>
            <w:tcW w:w="3380" w:type="dxa"/>
            <w:vAlign w:val="bottom"/>
            <w:gridSpan w:val="2"/>
          </w:tcPr>
          <w:p>
            <w:pPr>
              <w:jc w:val="right"/>
              <w:ind w:right="3108"/>
              <w:spacing w:after="0"/>
              <w:rPr>
                <w:sz w:val="20"/>
                <w:szCs w:val="20"/>
                <w:color w:val="auto"/>
              </w:rPr>
            </w:pPr>
            <w:r>
              <w:rPr>
                <w:rFonts w:ascii="Arial" w:cs="Arial" w:eastAsia="Arial" w:hAnsi="Arial"/>
                <w:sz w:val="14"/>
                <w:szCs w:val="14"/>
                <w:b w:val="1"/>
                <w:bCs w:val="1"/>
                <w:color w:val="auto"/>
              </w:rPr>
              <w:t>NJ</w:t>
            </w:r>
          </w:p>
        </w:tc>
        <w:tc>
          <w:tcPr>
            <w:tcW w:w="470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07054</w:t>
            </w:r>
          </w:p>
        </w:tc>
      </w:tr>
      <w:tr>
        <w:trPr>
          <w:trHeight w:val="216"/>
        </w:trPr>
        <w:tc>
          <w:tcPr>
            <w:tcW w:w="5000" w:type="dxa"/>
            <w:vAlign w:val="bottom"/>
            <w:gridSpan w:val="3"/>
          </w:tcPr>
          <w:p>
            <w:pPr>
              <w:jc w:val="center"/>
              <w:ind w:right="2468"/>
              <w:spacing w:after="0"/>
              <w:rPr>
                <w:sz w:val="20"/>
                <w:szCs w:val="20"/>
                <w:color w:val="auto"/>
              </w:rPr>
            </w:pPr>
            <w:r>
              <w:rPr>
                <w:rFonts w:ascii="Arial" w:cs="Arial" w:eastAsia="Arial" w:hAnsi="Arial"/>
                <w:sz w:val="14"/>
                <w:szCs w:val="14"/>
                <w:i w:val="1"/>
                <w:iCs w:val="1"/>
                <w:color w:val="auto"/>
              </w:rPr>
              <w:t>(Address of principal executive offices)</w:t>
            </w:r>
          </w:p>
        </w:tc>
        <w:tc>
          <w:tcPr>
            <w:tcW w:w="1200" w:type="dxa"/>
            <w:vAlign w:val="bottom"/>
          </w:tcPr>
          <w:p>
            <w:pPr>
              <w:spacing w:after="0"/>
              <w:rPr>
                <w:sz w:val="18"/>
                <w:szCs w:val="18"/>
                <w:color w:val="auto"/>
              </w:rPr>
            </w:pPr>
          </w:p>
        </w:tc>
        <w:tc>
          <w:tcPr>
            <w:tcW w:w="3500" w:type="dxa"/>
            <w:vAlign w:val="bottom"/>
          </w:tcPr>
          <w:p>
            <w:pPr>
              <w:jc w:val="center"/>
              <w:ind w:left="2028"/>
              <w:spacing w:after="0"/>
              <w:rPr>
                <w:sz w:val="20"/>
                <w:szCs w:val="20"/>
                <w:color w:val="auto"/>
              </w:rPr>
            </w:pPr>
            <w:r>
              <w:rPr>
                <w:rFonts w:ascii="Arial" w:cs="Arial" w:eastAsia="Arial" w:hAnsi="Arial"/>
                <w:sz w:val="14"/>
                <w:szCs w:val="14"/>
                <w:i w:val="1"/>
                <w:iCs w:val="1"/>
                <w:color w:val="auto"/>
              </w:rPr>
              <w:t>(Zip Code)</w:t>
            </w:r>
          </w:p>
        </w:tc>
      </w:tr>
      <w:tr>
        <w:trPr>
          <w:trHeight w:val="216"/>
        </w:trPr>
        <w:tc>
          <w:tcPr>
            <w:tcW w:w="1620" w:type="dxa"/>
            <w:vAlign w:val="bottom"/>
          </w:tcPr>
          <w:p>
            <w:pPr>
              <w:spacing w:after="0"/>
              <w:rPr>
                <w:sz w:val="18"/>
                <w:szCs w:val="18"/>
                <w:color w:val="auto"/>
              </w:rPr>
            </w:pPr>
          </w:p>
        </w:tc>
        <w:tc>
          <w:tcPr>
            <w:tcW w:w="33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(973)</w:t>
            </w:r>
          </w:p>
        </w:tc>
        <w:tc>
          <w:tcPr>
            <w:tcW w:w="1200" w:type="dxa"/>
            <w:vAlign w:val="bottom"/>
          </w:tcPr>
          <w:p>
            <w:pPr>
              <w:jc w:val="right"/>
              <w:ind w:right="408"/>
              <w:spacing w:after="0"/>
              <w:rPr>
                <w:sz w:val="20"/>
                <w:szCs w:val="20"/>
                <w:color w:val="auto"/>
              </w:rPr>
            </w:pPr>
            <w:r>
              <w:rPr>
                <w:rFonts w:ascii="Arial" w:cs="Arial" w:eastAsia="Arial" w:hAnsi="Arial"/>
                <w:sz w:val="14"/>
                <w:szCs w:val="14"/>
                <w:b w:val="1"/>
                <w:bCs w:val="1"/>
                <w:color w:val="auto"/>
              </w:rPr>
              <w:t>496-4700</w:t>
            </w:r>
          </w:p>
        </w:tc>
        <w:tc>
          <w:tcPr>
            <w:tcW w:w="3500" w:type="dxa"/>
            <w:vAlign w:val="bottom"/>
          </w:tcPr>
          <w:p>
            <w:pPr>
              <w:spacing w:after="0"/>
              <w:rPr>
                <w:sz w:val="18"/>
                <w:szCs w:val="18"/>
                <w:color w:val="auto"/>
              </w:rPr>
            </w:pPr>
          </w:p>
        </w:tc>
      </w:tr>
    </w:tbl>
    <w:p>
      <w:pPr>
        <w:spacing w:after="0" w:line="44"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(Registrant’s telephone number, including area code)</w:t>
      </w:r>
    </w:p>
    <w:p>
      <w:pPr>
        <w:spacing w:after="0" w:line="136" w:lineRule="exact"/>
        <w:rPr>
          <w:sz w:val="24"/>
          <w:szCs w:val="24"/>
          <w:color w:val="auto"/>
        </w:rPr>
      </w:pPr>
    </w:p>
    <w:p>
      <w:pPr>
        <w:ind w:right="80"/>
        <w:spacing w:after="0" w:line="23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320" w:top="247" w:right="359" w:bottom="1440" w:gutter="0" w:footer="0" w:header="0"/>
        </w:sectPr>
      </w:pPr>
    </w:p>
    <w:p>
      <w:pPr>
        <w:spacing w:after="0" w:line="123" w:lineRule="exact"/>
        <w:rPr>
          <w:sz w:val="24"/>
          <w:szCs w:val="24"/>
          <w:color w:val="auto"/>
        </w:rPr>
      </w:pPr>
    </w:p>
    <w:p>
      <w:pPr>
        <w:ind w:left="1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5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MS PGothic" w:cs="MS PGothic" w:eastAsia="MS PGothic" w:hAnsi="MS PGothic"/>
          <w:sz w:val="18"/>
          <w:szCs w:val="18"/>
          <w:color w:val="auto"/>
        </w:rPr>
        <w:t>☐</w:t>
      </w:r>
    </w:p>
    <w:p>
      <w:pPr>
        <w:spacing w:after="0" w:line="128" w:lineRule="exact"/>
        <w:rPr>
          <w:sz w:val="24"/>
          <w:szCs w:val="24"/>
          <w:color w:val="auto"/>
        </w:rPr>
      </w:pPr>
    </w:p>
    <w:p>
      <w:pPr>
        <w:sectPr>
          <w:pgSz w:w="11900" w:h="16838" w:orient="portrait"/>
          <w:cols w:equalWidth="0" w:num="6">
            <w:col w:w="2840" w:space="720"/>
            <w:col w:w="160" w:space="120"/>
            <w:col w:w="2680" w:space="720"/>
            <w:col w:w="180" w:space="100"/>
            <w:col w:w="2660" w:space="720"/>
            <w:col w:w="320"/>
          </w:cols>
          <w:pgMar w:left="320" w:top="247" w:right="359" w:bottom="1440" w:gutter="0" w:footer="0" w:header="0"/>
          <w:type w:val="continuous"/>
        </w:sectPr>
      </w:pPr>
    </w:p>
    <w:p>
      <w:pPr>
        <w:spacing w:after="0" w:line="87" w:lineRule="exact"/>
        <w:rPr>
          <w:sz w:val="24"/>
          <w:szCs w:val="24"/>
          <w:color w:val="auto"/>
        </w:rPr>
      </w:pPr>
    </w:p>
    <w:p>
      <w:pPr>
        <w:ind w:left="1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3" w:lineRule="exact"/>
        <w:rPr>
          <w:sz w:val="24"/>
          <w:szCs w:val="24"/>
          <w:color w:val="auto"/>
        </w:rPr>
      </w:pPr>
    </w:p>
    <w:p>
      <w:pPr>
        <w:sectPr>
          <w:pgSz w:w="11900" w:h="16838" w:orient="portrait"/>
          <w:cols w:equalWidth="0" w:num="4">
            <w:col w:w="2840" w:space="720"/>
            <w:col w:w="160" w:space="120"/>
            <w:col w:w="2680" w:space="720"/>
            <w:col w:w="3980"/>
          </w:cols>
          <w:pgMar w:left="320" w:top="247" w:right="359" w:bottom="1440" w:gutter="0" w:footer="0" w:header="0"/>
          <w:type w:val="continuous"/>
        </w:sectPr>
      </w:pPr>
    </w:p>
    <w:p>
      <w:pPr>
        <w:ind w:right="28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tabs>
          <w:tab w:leader="none" w:pos="79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9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20"/>
          </w:cols>
          <w:pgMar w:left="320" w:top="247" w:right="359" w:bottom="1440" w:gutter="0" w:footer="0" w:header="0"/>
          <w:type w:val="continuous"/>
        </w:sectPr>
      </w:pPr>
    </w:p>
    <w:p>
      <w:pPr>
        <w:spacing w:after="0" w:line="37" w:lineRule="exact"/>
        <w:rPr>
          <w:sz w:val="24"/>
          <w:szCs w:val="24"/>
          <w:color w:val="auto"/>
        </w:rPr>
      </w:pPr>
    </w:p>
    <w:p>
      <w:pPr>
        <w:ind w:left="12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3" w:lineRule="exact"/>
        <w:rPr>
          <w:sz w:val="24"/>
          <w:szCs w:val="24"/>
          <w:color w:val="auto"/>
        </w:rPr>
      </w:pPr>
    </w:p>
    <w:p>
      <w:pPr>
        <w:sectPr>
          <w:pgSz w:w="11900" w:h="16838" w:orient="portrait"/>
          <w:cols w:equalWidth="0" w:num="3">
            <w:col w:w="4300" w:space="720"/>
            <w:col w:w="2120" w:space="720"/>
            <w:col w:w="3360"/>
          </w:cols>
          <w:pgMar w:left="320" w:top="247" w:right="359" w:bottom="1440" w:gutter="0" w:footer="0" w:header="0"/>
          <w:type w:val="continuous"/>
        </w:sectPr>
      </w:pPr>
    </w:p>
    <w:p>
      <w:pPr>
        <w:ind w:left="840"/>
        <w:spacing w:after="0"/>
        <w:rPr>
          <w:sz w:val="20"/>
          <w:szCs w:val="20"/>
          <w:color w:val="auto"/>
        </w:rPr>
      </w:pPr>
      <w:r>
        <w:rPr>
          <w:rFonts w:ascii="Arial" w:cs="Arial" w:eastAsia="Arial" w:hAnsi="Arial"/>
          <w:sz w:val="14"/>
          <w:szCs w:val="14"/>
          <w:color w:val="auto"/>
        </w:rPr>
        <w:t>Common Stock, Par Value $0.01</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4"/>
          <w:szCs w:val="14"/>
          <w:color w:val="auto"/>
        </w:rPr>
        <w:t>CAR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Global Select Market</w:t>
      </w:r>
    </w:p>
    <w:p>
      <w:pPr>
        <w:spacing w:after="0" w:line="136" w:lineRule="exact"/>
        <w:rPr>
          <w:sz w:val="24"/>
          <w:szCs w:val="24"/>
          <w:color w:val="auto"/>
        </w:rPr>
      </w:pPr>
    </w:p>
    <w:p>
      <w:pPr>
        <w:sectPr>
          <w:pgSz w:w="11900" w:h="16838" w:orient="portrait"/>
          <w:cols w:equalWidth="0" w:num="3">
            <w:col w:w="4780" w:space="720"/>
            <w:col w:w="2020" w:space="720"/>
            <w:col w:w="2980"/>
          </w:cols>
          <w:pgMar w:left="320" w:top="247" w:right="359" w:bottom="1440" w:gutter="0" w:footer="0" w:header="0"/>
          <w:type w:val="continuous"/>
        </w:sectPr>
      </w:pPr>
    </w:p>
    <w:p>
      <w:pPr>
        <w:spacing w:after="0"/>
        <w:rPr>
          <w:sz w:val="20"/>
          <w:szCs w:val="20"/>
          <w:color w:val="auto"/>
        </w:rPr>
      </w:pPr>
      <w:r>
        <w:rPr>
          <w:rFonts w:ascii="Arial" w:cs="Arial" w:eastAsia="Arial" w:hAnsi="Arial"/>
          <w:sz w:val="14"/>
          <w:szCs w:val="14"/>
          <w:color w:val="auto"/>
        </w:rPr>
        <w:t>The number of shares outstanding of the issuer’s common stock was 69,668,363 shares as of July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089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089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73" w:lineRule="exact"/>
        <w:rPr>
          <w:sz w:val="20"/>
          <w:szCs w:val="20"/>
          <w:color w:val="auto"/>
        </w:rPr>
      </w:pPr>
    </w:p>
    <w:p>
      <w:pPr>
        <w:jc w:val="right"/>
        <w:ind w:right="360"/>
        <w:spacing w:after="0"/>
        <w:rPr>
          <w:sz w:val="20"/>
          <w:szCs w:val="20"/>
          <w:color w:val="auto"/>
        </w:rPr>
      </w:pPr>
      <w:r>
        <w:rPr>
          <w:rFonts w:ascii="Arial" w:cs="Arial" w:eastAsia="Arial" w:hAnsi="Arial"/>
          <w:sz w:val="14"/>
          <w:szCs w:val="14"/>
          <w:b w:val="1"/>
          <w:bCs w:val="1"/>
          <w:u w:val="single" w:color="auto"/>
          <w:color w:val="auto"/>
        </w:rPr>
        <w:t>Page</w:t>
      </w:r>
    </w:p>
    <w:p>
      <w:pPr>
        <w:sectPr>
          <w:pgSz w:w="11900" w:h="16838" w:orient="portrait"/>
          <w:cols w:equalWidth="0" w:num="1">
            <w:col w:w="11180"/>
          </w:cols>
          <w:pgMar w:left="320" w:top="140" w:right="39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PART I</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9420" w:type="dxa"/>
            <w:vAlign w:val="bottom"/>
            <w:gridSpan w:val="5"/>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Information</w:t>
              </w:r>
            </w:hyperlink>
          </w:p>
        </w:tc>
        <w:tc>
          <w:tcPr>
            <w:tcW w:w="700" w:type="dxa"/>
            <w:vAlign w:val="bottom"/>
          </w:tcPr>
          <w:p>
            <w:pPr>
              <w:spacing w:after="0"/>
              <w:rPr>
                <w:sz w:val="18"/>
                <w:szCs w:val="18"/>
                <w:color w:val="auto"/>
              </w:rPr>
            </w:pPr>
          </w:p>
        </w:tc>
      </w:tr>
      <w:tr>
        <w:trPr>
          <w:trHeight w:val="216"/>
        </w:trPr>
        <w:tc>
          <w:tcPr>
            <w:tcW w:w="1680" w:type="dxa"/>
            <w:vAlign w:val="bottom"/>
            <w:tcBorders>
              <w:bottom w:val="single" w:sz="8" w:color="0000FF"/>
            </w:tcBorders>
          </w:tcPr>
          <w:p>
            <w:pPr>
              <w:spacing w:after="0"/>
              <w:rPr>
                <w:rFonts w:ascii="Arial" w:cs="Arial" w:eastAsia="Arial" w:hAnsi="Arial"/>
                <w:sz w:val="18"/>
                <w:szCs w:val="18"/>
                <w:color w:val="0000FF"/>
                <w:w w:val="98"/>
              </w:rPr>
            </w:pPr>
            <w:hyperlink w:anchor="page6">
              <w:r>
                <w:rPr>
                  <w:rFonts w:ascii="Arial" w:cs="Arial" w:eastAsia="Arial" w:hAnsi="Arial"/>
                  <w:sz w:val="18"/>
                  <w:szCs w:val="18"/>
                  <w:color w:val="0000FF"/>
                  <w:w w:val="98"/>
                </w:rPr>
                <w:t>Financial Statements</w:t>
              </w:r>
            </w:hyperlink>
          </w:p>
        </w:tc>
        <w:tc>
          <w:tcPr>
            <w:tcW w:w="7740" w:type="dxa"/>
            <w:vAlign w:val="bottom"/>
            <w:gridSpan w:val="4"/>
          </w:tcPr>
          <w:p>
            <w:pPr>
              <w:spacing w:after="0"/>
              <w:rPr>
                <w:sz w:val="18"/>
                <w:szCs w:val="18"/>
                <w:color w:val="auto"/>
              </w:rPr>
            </w:pPr>
          </w:p>
        </w:tc>
        <w:tc>
          <w:tcPr>
            <w:tcW w:w="700" w:type="dxa"/>
            <w:vAlign w:val="bottom"/>
          </w:tcPr>
          <w:p>
            <w:pPr>
              <w:spacing w:after="0"/>
              <w:rPr>
                <w:sz w:val="18"/>
                <w:szCs w:val="18"/>
                <w:color w:val="auto"/>
              </w:rPr>
            </w:pPr>
          </w:p>
        </w:tc>
      </w:tr>
      <w:tr>
        <w:trPr>
          <w:trHeight w:val="250"/>
        </w:trPr>
        <w:tc>
          <w:tcPr>
            <w:tcW w:w="9420" w:type="dxa"/>
            <w:vAlign w:val="bottom"/>
            <w:gridSpan w:val="5"/>
          </w:tcPr>
          <w:p>
            <w:pPr>
              <w:spacing w:after="0"/>
              <w:rPr>
                <w:rFonts w:ascii="Arial" w:cs="Arial" w:eastAsia="Arial" w:hAnsi="Arial"/>
                <w:sz w:val="18"/>
                <w:szCs w:val="18"/>
                <w:color w:val="0000FF"/>
              </w:rPr>
            </w:pPr>
            <w:hyperlink w:anchor="page6">
              <w:r>
                <w:rPr>
                  <w:rFonts w:ascii="Arial" w:cs="Arial" w:eastAsia="Arial" w:hAnsi="Arial"/>
                  <w:sz w:val="18"/>
                  <w:szCs w:val="18"/>
                  <w:u w:val="single" w:color="auto"/>
                  <w:color w:val="0000FF"/>
                </w:rPr>
                <w:t>Consolidated Condensed Statements of Comprehensive Income for the Three</w:t>
              </w:r>
              <w:r>
                <w:rPr>
                  <w:rFonts w:ascii="Arial" w:cs="Arial" w:eastAsia="Arial" w:hAnsi="Arial"/>
                  <w:sz w:val="18"/>
                  <w:szCs w:val="18"/>
                  <w:color w:val="0000FF"/>
                </w:rPr>
                <w:t xml:space="preserve"> and Six Months Ended June 30,</w:t>
              </w:r>
            </w:hyperlink>
          </w:p>
        </w:tc>
        <w:tc>
          <w:tcPr>
            <w:tcW w:w="70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r>
      <w:tr>
        <w:trPr>
          <w:trHeight w:val="196"/>
        </w:trPr>
        <w:tc>
          <w:tcPr>
            <w:tcW w:w="6260" w:type="dxa"/>
            <w:vAlign w:val="bottom"/>
            <w:gridSpan w:val="3"/>
          </w:tcPr>
          <w:p>
            <w:pPr>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2020 and 2019 (Unaudited)</w:t>
              </w:r>
            </w:hyperlink>
          </w:p>
        </w:tc>
        <w:tc>
          <w:tcPr>
            <w:tcW w:w="254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1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50" w:lineRule="exact"/>
        <w:rPr>
          <w:sz w:val="20"/>
          <w:szCs w:val="20"/>
          <w:color w:val="auto"/>
        </w:rPr>
      </w:pPr>
    </w:p>
    <w:p>
      <w:pPr>
        <w:sectPr>
          <w:pgSz w:w="11900" w:h="16838" w:orient="portrait"/>
          <w:cols w:equalWidth="0" w:num="2">
            <w:col w:w="600" w:space="460"/>
            <w:col w:w="10120"/>
          </w:cols>
          <w:pgMar w:left="320" w:top="140" w:right="399" w:bottom="1440" w:gutter="0" w:footer="0" w:header="0"/>
          <w:type w:val="continuous"/>
        </w:sectPr>
      </w:pPr>
    </w:p>
    <w:tbl>
      <w:tblPr>
        <w:tblLayout w:type="fixed"/>
        <w:tblInd w:w="1060" w:type="dxa"/>
        <w:tblCellMar>
          <w:top w:w="0" w:type="dxa"/>
          <w:left w:w="0" w:type="dxa"/>
          <w:bottom w:w="0" w:type="dxa"/>
          <w:right w:w="0" w:type="dxa"/>
        </w:tblCellMar>
      </w:tblPr>
      <w:tr>
        <w:trPr>
          <w:trHeight w:val="207"/>
        </w:trPr>
        <w:tc>
          <w:tcPr>
            <w:tcW w:w="9500" w:type="dxa"/>
            <w:vAlign w:val="bottom"/>
            <w:gridSpan w:val="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Consolidated Condensed Balance Sheets as of June </w:t>
              </w:r>
            </w:hyperlink>
            <w:r>
              <w:rPr>
                <w:rFonts w:ascii="Arial" w:cs="Arial" w:eastAsia="Arial" w:hAnsi="Arial"/>
                <w:sz w:val="18"/>
                <w:szCs w:val="18"/>
                <w:color w:val="0000FF"/>
              </w:rPr>
              <w:t>30</w:t>
            </w:r>
            <w:hyperlink w:anchor="page6">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December 31, 2019 (Unaudited)</w:t>
              </w:r>
            </w:hyperlink>
          </w:p>
        </w:tc>
        <w:tc>
          <w:tcPr>
            <w:tcW w:w="6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vMerge w:val="restart"/>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c>
          <w:tcPr>
            <w:tcW w:w="0" w:type="dxa"/>
            <w:vAlign w:val="bottom"/>
          </w:tcPr>
          <w:p>
            <w:pPr>
              <w:spacing w:after="0" w:line="20" w:lineRule="exact"/>
              <w:rPr>
                <w:sz w:val="1"/>
                <w:szCs w:val="1"/>
                <w:color w:val="auto"/>
              </w:rPr>
            </w:pPr>
          </w:p>
        </w:tc>
      </w:tr>
      <w:tr>
        <w:trPr>
          <w:trHeight w:val="250"/>
        </w:trPr>
        <w:tc>
          <w:tcPr>
            <w:tcW w:w="9500" w:type="dxa"/>
            <w:vAlign w:val="bottom"/>
            <w:gridSpan w:val="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Condensed Statements of Cash Flows for the Six Months Ended June 30, 2020 and 2019</w:t>
              </w:r>
            </w:hyperlink>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7"/>
              </w:rPr>
            </w:pPr>
            <w:hyperlink w:anchor="page7">
              <w:r>
                <w:rPr>
                  <w:rFonts w:ascii="Arial" w:cs="Arial" w:eastAsia="Arial" w:hAnsi="Arial"/>
                  <w:sz w:val="18"/>
                  <w:szCs w:val="18"/>
                  <w:color w:val="0000FF"/>
                  <w:w w:val="97"/>
                </w:rPr>
                <w:t>(Unaudited)</w:t>
              </w:r>
            </w:hyperlink>
          </w:p>
        </w:tc>
        <w:tc>
          <w:tcPr>
            <w:tcW w:w="7280" w:type="dxa"/>
            <w:vAlign w:val="bottom"/>
            <w:tcBorders>
              <w:top w:val="single" w:sz="8" w:color="0000FF"/>
            </w:tcBorders>
            <w:gridSpan w:val="4"/>
          </w:tcPr>
          <w:p>
            <w:pPr>
              <w:spacing w:after="0"/>
              <w:rPr>
                <w:sz w:val="17"/>
                <w:szCs w:val="17"/>
                <w:color w:val="auto"/>
              </w:rPr>
            </w:pPr>
          </w:p>
        </w:tc>
        <w:tc>
          <w:tcPr>
            <w:tcW w:w="128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500" w:type="dxa"/>
            <w:vAlign w:val="bottom"/>
            <w:gridSpan w:val="7"/>
          </w:tcPr>
          <w:p>
            <w:pPr>
              <w:spacing w:after="0"/>
              <w:rPr>
                <w:rFonts w:ascii="Arial" w:cs="Arial" w:eastAsia="Arial" w:hAnsi="Arial"/>
                <w:sz w:val="18"/>
                <w:szCs w:val="18"/>
                <w:color w:val="0000FF"/>
              </w:rPr>
            </w:pPr>
            <w:hyperlink w:anchor="page9">
              <w:r>
                <w:rPr>
                  <w:rFonts w:ascii="Arial" w:cs="Arial" w:eastAsia="Arial" w:hAnsi="Arial"/>
                  <w:sz w:val="18"/>
                  <w:szCs w:val="18"/>
                  <w:u w:val="single" w:color="auto"/>
                  <w:color w:val="0000FF"/>
                </w:rPr>
                <w:t>Consolidated Condensed Statements of Stockholders’ Equity for the Three</w:t>
              </w:r>
              <w:r>
                <w:rPr>
                  <w:rFonts w:ascii="Arial" w:cs="Arial" w:eastAsia="Arial" w:hAnsi="Arial"/>
                  <w:sz w:val="18"/>
                  <w:szCs w:val="18"/>
                  <w:color w:val="0000FF"/>
                </w:rPr>
                <w:t xml:space="preserve"> and Six Months Ended June 30, 2020</w:t>
              </w:r>
            </w:hyperlink>
          </w:p>
        </w:tc>
        <w:tc>
          <w:tcPr>
            <w:tcW w:w="62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8</w:t>
              </w:r>
            </w:hyperlink>
          </w:p>
        </w:tc>
        <w:tc>
          <w:tcPr>
            <w:tcW w:w="0" w:type="dxa"/>
            <w:vAlign w:val="bottom"/>
          </w:tcPr>
          <w:p>
            <w:pPr>
              <w:spacing w:after="0"/>
              <w:rPr>
                <w:sz w:val="1"/>
                <w:szCs w:val="1"/>
                <w:color w:val="auto"/>
              </w:rPr>
            </w:pPr>
          </w:p>
        </w:tc>
      </w:tr>
      <w:tr>
        <w:trPr>
          <w:trHeight w:val="196"/>
        </w:trPr>
        <w:tc>
          <w:tcPr>
            <w:tcW w:w="1740" w:type="dxa"/>
            <w:vAlign w:val="bottom"/>
            <w:tcBorders>
              <w:bottom w:val="single" w:sz="8" w:color="0000FF"/>
            </w:tcBorders>
            <w:gridSpan w:val="2"/>
          </w:tcPr>
          <w:p>
            <w:pPr>
              <w:spacing w:after="0" w:line="196" w:lineRule="exact"/>
              <w:rPr>
                <w:rFonts w:ascii="Arial" w:cs="Arial" w:eastAsia="Arial" w:hAnsi="Arial"/>
                <w:sz w:val="18"/>
                <w:szCs w:val="18"/>
                <w:color w:val="0000FF"/>
                <w:w w:val="98"/>
              </w:rPr>
            </w:pPr>
            <w:hyperlink w:anchor="page9">
              <w:r>
                <w:rPr>
                  <w:rFonts w:ascii="Arial" w:cs="Arial" w:eastAsia="Arial" w:hAnsi="Arial"/>
                  <w:sz w:val="18"/>
                  <w:szCs w:val="18"/>
                  <w:color w:val="0000FF"/>
                  <w:w w:val="98"/>
                </w:rPr>
                <w:t>and 2019 (Unaudited)</w:t>
              </w:r>
            </w:hyperlink>
          </w:p>
        </w:tc>
        <w:tc>
          <w:tcPr>
            <w:tcW w:w="4240" w:type="dxa"/>
            <w:vAlign w:val="bottom"/>
            <w:gridSpan w:val="2"/>
          </w:tcPr>
          <w:p>
            <w:pPr>
              <w:spacing w:after="0"/>
              <w:rPr>
                <w:sz w:val="17"/>
                <w:szCs w:val="17"/>
                <w:color w:val="auto"/>
              </w:rPr>
            </w:pPr>
          </w:p>
        </w:tc>
        <w:tc>
          <w:tcPr>
            <w:tcW w:w="3000" w:type="dxa"/>
            <w:vAlign w:val="bottom"/>
            <w:tcBorders>
              <w:top w:val="single" w:sz="8" w:color="0000FF"/>
            </w:tcBorders>
            <w:gridSpan w:val="2"/>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1180"/>
          </w:cols>
          <w:pgMar w:left="320" w:top="140" w:right="399" w:bottom="1440" w:gutter="0" w:footer="0" w:header="0"/>
          <w:type w:val="continuous"/>
        </w:sectPr>
      </w:pPr>
    </w:p>
    <w:p>
      <w:pPr>
        <w:spacing w:after="0" w:line="243" w:lineRule="exact"/>
        <w:rPr>
          <w:sz w:val="20"/>
          <w:szCs w:val="20"/>
          <w:color w:val="auto"/>
        </w:rPr>
      </w:pPr>
    </w:p>
    <w:p>
      <w:pPr>
        <w:ind w:left="20"/>
        <w:spacing w:after="0" w:line="299" w:lineRule="auto"/>
        <w:rPr>
          <w:sz w:val="20"/>
          <w:szCs w:val="20"/>
          <w:color w:val="auto"/>
        </w:rPr>
      </w:pPr>
      <w:r>
        <w:rPr>
          <w:rFonts w:ascii="Arial" w:cs="Arial" w:eastAsia="Arial" w:hAnsi="Arial"/>
          <w:sz w:val="18"/>
          <w:szCs w:val="18"/>
          <w:color w:val="auto"/>
        </w:rPr>
        <w:t xml:space="preserve">Item 2. Item 3. Item 4. </w:t>
      </w:r>
      <w:r>
        <w:rPr>
          <w:rFonts w:ascii="Arial" w:cs="Arial" w:eastAsia="Arial" w:hAnsi="Arial"/>
          <w:sz w:val="18"/>
          <w:szCs w:val="18"/>
          <w:b w:val="1"/>
          <w:bCs w:val="1"/>
          <w:color w:val="auto"/>
        </w:rPr>
        <w:t xml:space="preserve">PART II </w:t>
      </w:r>
      <w:r>
        <w:rPr>
          <w:rFonts w:ascii="Arial" w:cs="Arial" w:eastAsia="Arial" w:hAnsi="Arial"/>
          <w:sz w:val="18"/>
          <w:szCs w:val="18"/>
          <w:color w:val="auto"/>
        </w:rPr>
        <w:t>Item 1. Item 1A. Item 2. Item 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8500" w:type="dxa"/>
            <w:vAlign w:val="bottom"/>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Consolidated Condensed Financial Statements (Unaudited)</w:t>
              </w:r>
            </w:hyperlink>
          </w:p>
        </w:tc>
        <w:tc>
          <w:tcPr>
            <w:tcW w:w="162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9</w:t>
              </w:r>
            </w:hyperlink>
          </w:p>
        </w:tc>
      </w:tr>
      <w:tr>
        <w:trPr>
          <w:trHeight w:val="229"/>
        </w:trPr>
        <w:tc>
          <w:tcPr>
            <w:tcW w:w="850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162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tc>
      </w:tr>
      <w:tr>
        <w:trPr>
          <w:trHeight w:val="257"/>
        </w:trPr>
        <w:tc>
          <w:tcPr>
            <w:tcW w:w="8500" w:type="dxa"/>
            <w:vAlign w:val="bottom"/>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Quantitative and Qualitative Disclosures about Market Risk</w:t>
              </w:r>
            </w:hyperlink>
          </w:p>
        </w:tc>
        <w:tc>
          <w:tcPr>
            <w:tcW w:w="162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41</w:t>
              </w:r>
            </w:hyperlink>
          </w:p>
        </w:tc>
      </w:tr>
      <w:tr>
        <w:trPr>
          <w:trHeight w:val="257"/>
        </w:trPr>
        <w:tc>
          <w:tcPr>
            <w:tcW w:w="8500" w:type="dxa"/>
            <w:vAlign w:val="bottom"/>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Controls and Procedures</w:t>
              </w:r>
            </w:hyperlink>
          </w:p>
        </w:tc>
        <w:tc>
          <w:tcPr>
            <w:tcW w:w="162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41</w:t>
              </w:r>
            </w:hyperlink>
          </w:p>
        </w:tc>
      </w:tr>
      <w:tr>
        <w:trPr>
          <w:trHeight w:val="256"/>
        </w:trPr>
        <w:tc>
          <w:tcPr>
            <w:tcW w:w="8500" w:type="dxa"/>
            <w:vAlign w:val="bottom"/>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Other Information</w:t>
              </w:r>
            </w:hyperlink>
          </w:p>
        </w:tc>
        <w:tc>
          <w:tcPr>
            <w:tcW w:w="1620" w:type="dxa"/>
            <w:vAlign w:val="bottom"/>
          </w:tcPr>
          <w:p>
            <w:pPr>
              <w:spacing w:after="0"/>
              <w:rPr>
                <w:sz w:val="22"/>
                <w:szCs w:val="22"/>
                <w:color w:val="auto"/>
              </w:rPr>
            </w:pPr>
          </w:p>
        </w:tc>
      </w:tr>
      <w:tr>
        <w:trPr>
          <w:trHeight w:val="257"/>
        </w:trPr>
        <w:tc>
          <w:tcPr>
            <w:tcW w:w="8500" w:type="dxa"/>
            <w:vAlign w:val="bottom"/>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Legal Proceedings</w:t>
              </w:r>
            </w:hyperlink>
          </w:p>
        </w:tc>
        <w:tc>
          <w:tcPr>
            <w:tcW w:w="162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42</w:t>
              </w:r>
            </w:hyperlink>
          </w:p>
        </w:tc>
      </w:tr>
      <w:tr>
        <w:trPr>
          <w:trHeight w:val="257"/>
        </w:trPr>
        <w:tc>
          <w:tcPr>
            <w:tcW w:w="8500" w:type="dxa"/>
            <w:vAlign w:val="bottom"/>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Risk Factors</w:t>
              </w:r>
            </w:hyperlink>
          </w:p>
        </w:tc>
        <w:tc>
          <w:tcPr>
            <w:tcW w:w="162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42</w:t>
              </w:r>
            </w:hyperlink>
          </w:p>
        </w:tc>
      </w:tr>
      <w:tr>
        <w:trPr>
          <w:trHeight w:val="257"/>
        </w:trPr>
        <w:tc>
          <w:tcPr>
            <w:tcW w:w="8500" w:type="dxa"/>
            <w:vAlign w:val="bottom"/>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Unregistered Sales of Equity Securities and Use of Proceeds</w:t>
              </w:r>
            </w:hyperlink>
          </w:p>
        </w:tc>
        <w:tc>
          <w:tcPr>
            <w:tcW w:w="162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44</w:t>
              </w:r>
            </w:hyperlink>
          </w:p>
        </w:tc>
      </w:tr>
      <w:tr>
        <w:trPr>
          <w:trHeight w:val="256"/>
        </w:trPr>
        <w:tc>
          <w:tcPr>
            <w:tcW w:w="8500" w:type="dxa"/>
            <w:vAlign w:val="bottom"/>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Exhibits</w:t>
              </w:r>
            </w:hyperlink>
          </w:p>
        </w:tc>
        <w:tc>
          <w:tcPr>
            <w:tcW w:w="162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44</w:t>
              </w:r>
            </w:hyperlink>
          </w:p>
        </w:tc>
      </w:tr>
      <w:tr>
        <w:trPr>
          <w:trHeight w:val="257"/>
        </w:trPr>
        <w:tc>
          <w:tcPr>
            <w:tcW w:w="8500" w:type="dxa"/>
            <w:vAlign w:val="bottom"/>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Signatures</w:t>
              </w:r>
            </w:hyperlink>
          </w:p>
        </w:tc>
        <w:tc>
          <w:tcPr>
            <w:tcW w:w="162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651510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00" w:space="360"/>
            <w:col w:w="10120"/>
          </w:cols>
          <w:pgMar w:left="320" w:top="140" w:right="39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 Additionally, many of these risks and uncertainties are currently amplified by and will continue to be amplified by, or in the future may be amplified by, the Coronavirus (“COVID-19”) outbreak, and the continued restrictions that have been placed on travel in many countries as a result of the outbreak and the adverse impact on the global economy from the outbreak. These factors include, but are not limited to:</w:t>
      </w:r>
    </w:p>
    <w:p>
      <w:pPr>
        <w:spacing w:after="0" w:line="227" w:lineRule="exact"/>
        <w:rPr>
          <w:sz w:val="20"/>
          <w:szCs w:val="20"/>
          <w:color w:val="auto"/>
        </w:rPr>
      </w:pPr>
    </w:p>
    <w:p>
      <w:pPr>
        <w:ind w:left="660" w:right="100" w:hanging="328"/>
        <w:spacing w:after="0" w:line="25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COVID-19 outbreak and resulting economic conditions, which had, and is expected to continue to have, a significant impact on our operations, including an unprecedented decline in demand, as well as its current, and uncertain future impact, including, but not limited to, its effect on the ability or desire of people to travel due to travel restrictions, and other restrictions and orders, which is expected to continue to impact our results, operations, outlooks, plans, goals, growth, cash flows, liquidity, and stock price;</w:t>
      </w:r>
    </w:p>
    <w:p>
      <w:pPr>
        <w:spacing w:after="0" w:line="230"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28"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realize our estimated cost savings on a timely basis, or at all, and the amount of cash expenditures made in connection with such cost saving efforts;</w:t>
      </w:r>
    </w:p>
    <w:p>
      <w:pPr>
        <w:spacing w:after="0" w:line="224"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224"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 particularly when COVID-19 related restrictions are lifted and travel demand increases;</w:t>
      </w:r>
    </w:p>
    <w:p>
      <w:pPr>
        <w:spacing w:after="0" w:line="230"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significant decline in travel demand as a result of COVID-19, including the current and any future disruptions in airline passenger traffic;</w:t>
      </w:r>
    </w:p>
    <w:p>
      <w:pPr>
        <w:spacing w:after="0" w:line="224"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absence of an improvement in, or further deterioration of, economic conditions, particularly during our peak season or in key market segments;</w:t>
      </w:r>
    </w:p>
    <w:p>
      <w:pPr>
        <w:spacing w:after="0" w:line="224"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occurrence or threat of terrorism, the current and any future pandemic diseases, natural disasters, military conflict, civil unrest or political instability in the locations in which we operate;</w:t>
      </w:r>
    </w:p>
    <w:p>
      <w:pPr>
        <w:spacing w:after="0" w:line="224"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the current and any future impacts as a result of COVID-19;</w:t>
      </w:r>
    </w:p>
    <w:p>
      <w:pPr>
        <w:spacing w:after="0" w:line="224"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performance and retention of our senior management and key employees;</w:t>
      </w:r>
    </w:p>
    <w:p>
      <w:pPr>
        <w:spacing w:after="0" w:line="252" w:lineRule="exact"/>
        <w:rPr>
          <w:rFonts w:ascii="Arial" w:cs="Arial" w:eastAsia="Arial" w:hAnsi="Arial"/>
          <w:sz w:val="18"/>
          <w:szCs w:val="18"/>
          <w:color w:val="auto"/>
        </w:rPr>
      </w:pPr>
    </w:p>
    <w:p>
      <w:pPr>
        <w:jc w:val="both"/>
        <w:ind w:left="660" w:right="7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22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224"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224"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228" w:lineRule="exact"/>
        <w:rPr>
          <w:rFonts w:ascii="Arial" w:cs="Arial" w:eastAsia="Arial" w:hAnsi="Arial"/>
          <w:sz w:val="18"/>
          <w:szCs w:val="18"/>
          <w:color w:val="auto"/>
        </w:rPr>
      </w:pPr>
    </w:p>
    <w:p>
      <w:pPr>
        <w:jc w:val="both"/>
        <w:ind w:left="660" w:right="40" w:hanging="328"/>
        <w:spacing w:after="0" w:line="27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protecting the integrity of, and preventing unauthorized access to, our information technology systems or those of our third-party vendors, and protecting the confidential information of our employees and customers against security breaches, including physical or cybersecurity breaches, attacks, or other disruptions, and compliance with privacy and data protection regulation;</w:t>
      </w:r>
    </w:p>
    <w:p>
      <w:pPr>
        <w:spacing w:after="0" w:line="211" w:lineRule="exact"/>
        <w:rPr>
          <w:rFonts w:ascii="Arial" w:cs="Arial" w:eastAsia="Arial" w:hAnsi="Arial"/>
          <w:sz w:val="17"/>
          <w:szCs w:val="17"/>
          <w:color w:val="auto"/>
        </w:rPr>
      </w:pPr>
    </w:p>
    <w:p>
      <w:pPr>
        <w:ind w:left="660" w:right="6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third-party vendors and independent operators and independent contractors and/or disputes that may arise out of our agreements with such parties;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potential interest rate increases, recent and potential further downgrades by rating agencies and our ability to incur substantially more debt;</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the global lending markets;</w:t>
      </w:r>
    </w:p>
    <w:p>
      <w:pPr>
        <w:spacing w:after="0" w:line="224"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52"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further deterioration in general economic conditions due to COVID-19, which could be an indicator that our goodwill or other intangible assets are impaired and could result in a future impairment charge to earnings;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actions by activist stockholders and responses from our Board of Directors and senior management; and</w:t>
      </w:r>
    </w:p>
    <w:p>
      <w:pPr>
        <w:spacing w:after="0" w:line="252"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herein, including but not limited to, “Management’s Discussion and Analysis of Financial Condition and Results of Operations,” in Item 2 and “Risk Factors” in Item 1A and in similarly titled sections set forth in Item 7 and in Item 1A and in other portions of our 2019 Annual Report on Form 10-K filed with the Securities and Exchange Commission on February 20, 2020 (the “2019 Form 10-K”), may contain forward- looking statements and involve uncertainties that could cause actual results to differ materially from those projected in any forward-looking statements. Such statements are based upon assumptions and known risks and uncertainties.</w:t>
      </w:r>
    </w:p>
    <w:p>
      <w:pPr>
        <w:spacing w:after="0" w:line="2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5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392"/>
        </w:trPr>
        <w:tc>
          <w:tcPr>
            <w:tcW w:w="53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57"/>
        </w:trPr>
        <w:tc>
          <w:tcPr>
            <w:tcW w:w="5340" w:type="dxa"/>
            <w:vAlign w:val="bottom"/>
          </w:tcPr>
          <w:p>
            <w:pPr>
              <w:ind w:left="1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57"/>
        </w:trPr>
        <w:tc>
          <w:tcPr>
            <w:tcW w:w="53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56"/>
        </w:trPr>
        <w:tc>
          <w:tcPr>
            <w:tcW w:w="5340" w:type="dxa"/>
            <w:vAlign w:val="bottom"/>
          </w:tcPr>
          <w:p>
            <w:pPr>
              <w:ind w:left="120"/>
              <w:spacing w:after="0"/>
              <w:rPr>
                <w:sz w:val="20"/>
                <w:szCs w:val="20"/>
                <w:color w:val="auto"/>
              </w:rPr>
            </w:pPr>
            <w:r>
              <w:rPr>
                <w:rFonts w:ascii="Arial" w:cs="Arial" w:eastAsia="Arial" w:hAnsi="Arial"/>
                <w:sz w:val="18"/>
                <w:szCs w:val="18"/>
                <w:color w:val="auto"/>
              </w:rPr>
              <w:t>Vehicle interest, net</w:t>
            </w:r>
          </w:p>
        </w:tc>
        <w:tc>
          <w:tcPr>
            <w:tcW w:w="3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57"/>
        </w:trPr>
        <w:tc>
          <w:tcPr>
            <w:tcW w:w="5340" w:type="dxa"/>
            <w:vAlign w:val="bottom"/>
          </w:tcPr>
          <w:p>
            <w:pPr>
              <w:ind w:left="12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7"/>
        </w:trPr>
        <w:tc>
          <w:tcPr>
            <w:tcW w:w="5340" w:type="dxa"/>
            <w:vAlign w:val="bottom"/>
          </w:tcPr>
          <w:p>
            <w:pPr>
              <w:ind w:left="12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4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7"/>
        </w:trPr>
        <w:tc>
          <w:tcPr>
            <w:tcW w:w="5340" w:type="dxa"/>
            <w:vAlign w:val="bottom"/>
          </w:tcPr>
          <w:p>
            <w:pPr>
              <w:ind w:left="32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340" w:type="dxa"/>
            <w:vAlign w:val="bottom"/>
          </w:tcPr>
          <w:p>
            <w:pPr>
              <w:ind w:left="120"/>
              <w:spacing w:after="0"/>
              <w:rPr>
                <w:sz w:val="20"/>
                <w:szCs w:val="20"/>
                <w:color w:val="auto"/>
              </w:rPr>
            </w:pPr>
            <w:r>
              <w:rPr>
                <w:rFonts w:ascii="Arial" w:cs="Arial" w:eastAsia="Arial" w:hAnsi="Arial"/>
                <w:sz w:val="18"/>
                <w:szCs w:val="18"/>
                <w:color w:val="auto"/>
              </w:rPr>
              <w:t>Restructuring and other related charges</w:t>
            </w:r>
          </w:p>
        </w:tc>
        <w:tc>
          <w:tcPr>
            <w:tcW w:w="3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63"/>
        </w:trPr>
        <w:tc>
          <w:tcPr>
            <w:tcW w:w="5340" w:type="dxa"/>
            <w:vAlign w:val="bottom"/>
          </w:tcPr>
          <w:p>
            <w:pPr>
              <w:ind w:left="120"/>
              <w:spacing w:after="0"/>
              <w:rPr>
                <w:sz w:val="20"/>
                <w:szCs w:val="20"/>
                <w:color w:val="auto"/>
              </w:rPr>
            </w:pPr>
            <w:r>
              <w:rPr>
                <w:rFonts w:ascii="Arial" w:cs="Arial" w:eastAsia="Arial" w:hAnsi="Arial"/>
                <w:sz w:val="18"/>
                <w:szCs w:val="18"/>
                <w:color w:val="auto"/>
              </w:rPr>
              <w:t>Transaction-related costs, net</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3,387</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392"/>
        </w:trPr>
        <w:tc>
          <w:tcPr>
            <w:tcW w:w="53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99"/>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9"/>
        </w:trPr>
        <w:tc>
          <w:tcPr>
            <w:tcW w:w="5340" w:type="dxa"/>
            <w:vAlign w:val="bottom"/>
            <w:vMerge w:val="continue"/>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92"/>
        </w:trPr>
        <w:tc>
          <w:tcPr>
            <w:tcW w:w="534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34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57"/>
        </w:trPr>
        <w:tc>
          <w:tcPr>
            <w:tcW w:w="53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December 31, 2019</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1"/>
                <w:szCs w:val="21"/>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56"/>
        </w:trPr>
        <w:tc>
          <w:tcPr>
            <w:tcW w:w="774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24"/>
        </w:trPr>
        <w:tc>
          <w:tcPr>
            <w:tcW w:w="7740" w:type="dxa"/>
            <w:vAlign w:val="bottom"/>
          </w:tcPr>
          <w:p>
            <w:pPr>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2,240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391"/>
        </w:trPr>
        <w:tc>
          <w:tcPr>
            <w:tcW w:w="77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24"/>
                <w:szCs w:val="24"/>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21"/>
                <w:szCs w:val="21"/>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2,714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2,596</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1"/>
                <w:szCs w:val="21"/>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1,737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1"/>
                <w:szCs w:val="21"/>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6"/>
                <w:szCs w:val="16"/>
                <w:color w:val="auto"/>
              </w:rPr>
              <w:t>Other intangibles, net</w:t>
            </w:r>
          </w:p>
        </w:tc>
        <w:tc>
          <w:tcPr>
            <w:tcW w:w="300" w:type="dxa"/>
            <w:vAlign w:val="bottom"/>
          </w:tcPr>
          <w:p>
            <w:pPr>
              <w:spacing w:after="0"/>
              <w:rPr>
                <w:sz w:val="21"/>
                <w:szCs w:val="21"/>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56"/>
        </w:trPr>
        <w:tc>
          <w:tcPr>
            <w:tcW w:w="774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9,514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9,311</w:t>
            </w:r>
          </w:p>
        </w:tc>
        <w:tc>
          <w:tcPr>
            <w:tcW w:w="0" w:type="dxa"/>
            <w:vAlign w:val="bottom"/>
          </w:tcPr>
          <w:p>
            <w:pPr>
              <w:spacing w:after="0"/>
              <w:rPr>
                <w:sz w:val="1"/>
                <w:szCs w:val="1"/>
                <w:color w:val="auto"/>
              </w:rPr>
            </w:pPr>
          </w:p>
        </w:tc>
      </w:tr>
      <w:tr>
        <w:trPr>
          <w:trHeight w:val="359"/>
        </w:trPr>
        <w:tc>
          <w:tcPr>
            <w:tcW w:w="774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6"/>
                <w:szCs w:val="16"/>
                <w:color w:val="auto"/>
              </w:rPr>
              <w:t>Program cash</w:t>
            </w:r>
          </w:p>
        </w:tc>
        <w:tc>
          <w:tcPr>
            <w:tcW w:w="300" w:type="dxa"/>
            <w:vAlign w:val="bottom"/>
          </w:tcPr>
          <w:p>
            <w:pPr>
              <w:spacing w:after="0"/>
              <w:rPr>
                <w:sz w:val="21"/>
                <w:szCs w:val="21"/>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6"/>
                <w:szCs w:val="16"/>
                <w:color w:val="auto"/>
              </w:rPr>
              <w:t>Vehicles, net</w:t>
            </w:r>
          </w:p>
        </w:tc>
        <w:tc>
          <w:tcPr>
            <w:tcW w:w="300" w:type="dxa"/>
            <w:vAlign w:val="bottom"/>
          </w:tcPr>
          <w:p>
            <w:pPr>
              <w:spacing w:after="0"/>
              <w:rPr>
                <w:sz w:val="21"/>
                <w:szCs w:val="21"/>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10,810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12,177</w:t>
            </w: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6"/>
                <w:szCs w:val="16"/>
                <w:color w:val="auto"/>
              </w:rPr>
              <w:t>Receivables from vehicle manufacturers and other</w:t>
            </w:r>
          </w:p>
        </w:tc>
        <w:tc>
          <w:tcPr>
            <w:tcW w:w="300" w:type="dxa"/>
            <w:vAlign w:val="bottom"/>
          </w:tcPr>
          <w:p>
            <w:pPr>
              <w:spacing w:after="0"/>
              <w:rPr>
                <w:sz w:val="21"/>
                <w:szCs w:val="21"/>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56"/>
        </w:trPr>
        <w:tc>
          <w:tcPr>
            <w:tcW w:w="7740" w:type="dxa"/>
            <w:vAlign w:val="bottom"/>
          </w:tcPr>
          <w:p>
            <w:pPr>
              <w:ind w:left="220"/>
              <w:spacing w:after="0"/>
              <w:rPr>
                <w:sz w:val="20"/>
                <w:szCs w:val="20"/>
                <w:color w:val="auto"/>
              </w:rPr>
            </w:pPr>
            <w:r>
              <w:rPr>
                <w:rFonts w:ascii="Arial" w:cs="Arial" w:eastAsia="Arial" w:hAnsi="Arial"/>
                <w:sz w:val="16"/>
                <w:szCs w:val="16"/>
                <w:color w:val="auto"/>
              </w:rPr>
              <w:t>Investment in Avis Budget Rental Car Funding (AESOP) LLC—related party</w:t>
            </w: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36"/>
        </w:trPr>
        <w:tc>
          <w:tcPr>
            <w:tcW w:w="7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12,176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13,815</w:t>
            </w:r>
          </w:p>
        </w:tc>
        <w:tc>
          <w:tcPr>
            <w:tcW w:w="0" w:type="dxa"/>
            <w:vAlign w:val="bottom"/>
          </w:tcPr>
          <w:p>
            <w:pPr>
              <w:spacing w:after="0"/>
              <w:rPr>
                <w:sz w:val="1"/>
                <w:szCs w:val="1"/>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21,690</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23,126</w:t>
            </w:r>
          </w:p>
        </w:tc>
        <w:tc>
          <w:tcPr>
            <w:tcW w:w="0" w:type="dxa"/>
            <w:vAlign w:val="bottom"/>
          </w:tcPr>
          <w:p>
            <w:pPr>
              <w:spacing w:after="0"/>
              <w:rPr>
                <w:sz w:val="1"/>
                <w:szCs w:val="1"/>
                <w:color w:val="auto"/>
              </w:rPr>
            </w:pPr>
          </w:p>
        </w:tc>
      </w:tr>
      <w:tr>
        <w:trPr>
          <w:trHeight w:val="27"/>
        </w:trPr>
        <w:tc>
          <w:tcPr>
            <w:tcW w:w="77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9"/>
        </w:trPr>
        <w:tc>
          <w:tcPr>
            <w:tcW w:w="7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6"/>
                <w:szCs w:val="16"/>
                <w:color w:val="auto"/>
              </w:rPr>
              <w:t>Accounts payable and other 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2,084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2,206</w:t>
            </w:r>
          </w:p>
        </w:tc>
        <w:tc>
          <w:tcPr>
            <w:tcW w:w="0" w:type="dxa"/>
            <w:vAlign w:val="bottom"/>
          </w:tcPr>
          <w:p>
            <w:pPr>
              <w:spacing w:after="0"/>
              <w:rPr>
                <w:sz w:val="1"/>
                <w:szCs w:val="1"/>
                <w:color w:val="auto"/>
              </w:rPr>
            </w:pPr>
          </w:p>
        </w:tc>
      </w:tr>
      <w:tr>
        <w:trPr>
          <w:trHeight w:val="256"/>
        </w:trPr>
        <w:tc>
          <w:tcPr>
            <w:tcW w:w="7740" w:type="dxa"/>
            <w:vAlign w:val="bottom"/>
          </w:tcPr>
          <w:p>
            <w:pPr>
              <w:ind w:left="220"/>
              <w:spacing w:after="0"/>
              <w:rPr>
                <w:sz w:val="20"/>
                <w:szCs w:val="20"/>
                <w:color w:val="auto"/>
              </w:rPr>
            </w:pPr>
            <w:r>
              <w:rPr>
                <w:rFonts w:ascii="Arial" w:cs="Arial" w:eastAsia="Arial" w:hAnsi="Arial"/>
                <w:sz w:val="16"/>
                <w:szCs w:val="16"/>
                <w:color w:val="auto"/>
              </w:rPr>
              <w:t>Short-term debt and current portion of long-term debt</w:t>
            </w: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774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2,103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2,225</w:t>
            </w:r>
          </w:p>
        </w:tc>
        <w:tc>
          <w:tcPr>
            <w:tcW w:w="0" w:type="dxa"/>
            <w:vAlign w:val="bottom"/>
          </w:tcPr>
          <w:p>
            <w:pPr>
              <w:spacing w:after="0"/>
              <w:rPr>
                <w:sz w:val="1"/>
                <w:szCs w:val="1"/>
                <w:color w:val="auto"/>
              </w:rPr>
            </w:pPr>
          </w:p>
        </w:tc>
      </w:tr>
      <w:tr>
        <w:trPr>
          <w:trHeight w:val="391"/>
        </w:trPr>
        <w:tc>
          <w:tcPr>
            <w:tcW w:w="7740" w:type="dxa"/>
            <w:vAlign w:val="bottom"/>
          </w:tcPr>
          <w:p>
            <w:pPr>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24"/>
                <w:szCs w:val="24"/>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3,884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tcPr>
          <w:p>
            <w:pPr>
              <w:spacing w:after="0"/>
              <w:rPr>
                <w:sz w:val="21"/>
                <w:szCs w:val="21"/>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2,226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256"/>
        </w:trPr>
        <w:tc>
          <w:tcPr>
            <w:tcW w:w="774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735</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36"/>
        </w:trPr>
        <w:tc>
          <w:tcPr>
            <w:tcW w:w="774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8,948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8,538</w:t>
            </w:r>
          </w:p>
        </w:tc>
        <w:tc>
          <w:tcPr>
            <w:tcW w:w="0" w:type="dxa"/>
            <w:vAlign w:val="bottom"/>
          </w:tcPr>
          <w:p>
            <w:pPr>
              <w:spacing w:after="0"/>
              <w:rPr>
                <w:sz w:val="1"/>
                <w:szCs w:val="1"/>
                <w:color w:val="auto"/>
              </w:rPr>
            </w:pPr>
          </w:p>
        </w:tc>
      </w:tr>
      <w:tr>
        <w:trPr>
          <w:trHeight w:val="358"/>
        </w:trPr>
        <w:tc>
          <w:tcPr>
            <w:tcW w:w="774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6"/>
                <w:szCs w:val="16"/>
                <w:color w:val="auto"/>
              </w:rPr>
              <w:t>Debt</w:t>
            </w:r>
          </w:p>
        </w:tc>
        <w:tc>
          <w:tcPr>
            <w:tcW w:w="300" w:type="dxa"/>
            <w:vAlign w:val="bottom"/>
          </w:tcPr>
          <w:p>
            <w:pPr>
              <w:spacing w:after="0"/>
              <w:rPr>
                <w:sz w:val="21"/>
                <w:szCs w:val="21"/>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2,483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3,132</w:t>
            </w: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6"/>
                <w:szCs w:val="16"/>
                <w:color w:val="auto"/>
              </w:rPr>
              <w:t>Debt due to Avis Budget Rental Car Funding (AESOP) LLC—related party</w:t>
            </w:r>
          </w:p>
        </w:tc>
        <w:tc>
          <w:tcPr>
            <w:tcW w:w="300" w:type="dxa"/>
            <w:vAlign w:val="bottom"/>
          </w:tcPr>
          <w:p>
            <w:pPr>
              <w:spacing w:after="0"/>
              <w:rPr>
                <w:sz w:val="21"/>
                <w:szCs w:val="21"/>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8,057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7,936</w:t>
            </w: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1"/>
                <w:szCs w:val="21"/>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2,189</w:t>
            </w:r>
          </w:p>
        </w:tc>
        <w:tc>
          <w:tcPr>
            <w:tcW w:w="0" w:type="dxa"/>
            <w:vAlign w:val="bottom"/>
          </w:tcPr>
          <w:p>
            <w:pPr>
              <w:spacing w:after="0"/>
              <w:rPr>
                <w:sz w:val="1"/>
                <w:szCs w:val="1"/>
                <w:color w:val="auto"/>
              </w:rPr>
            </w:pPr>
          </w:p>
        </w:tc>
      </w:tr>
      <w:tr>
        <w:trPr>
          <w:trHeight w:val="256"/>
        </w:trPr>
        <w:tc>
          <w:tcPr>
            <w:tcW w:w="774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36"/>
        </w:trPr>
        <w:tc>
          <w:tcPr>
            <w:tcW w:w="7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12,895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13,932</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Arial" w:cs="Arial" w:eastAsia="Arial" w:hAnsi="Arial"/>
                <w:sz w:val="16"/>
                <w:szCs w:val="16"/>
                <w:color w:val="auto"/>
              </w:rPr>
              <w:t>Commitments and contingencies (Note 13)</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740" w:type="dxa"/>
            <w:vAlign w:val="bottom"/>
          </w:tcPr>
          <w:p>
            <w:pPr>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6"/>
                <w:szCs w:val="16"/>
                <w:color w:val="auto"/>
              </w:rPr>
              <w:t>Preferred stock, $0.01 par value—authorized 10 shares; none issued and outstanding, respectively</w:t>
            </w:r>
          </w:p>
        </w:tc>
        <w:tc>
          <w:tcPr>
            <w:tcW w:w="30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6"/>
                <w:szCs w:val="16"/>
                <w:color w:val="auto"/>
              </w:rPr>
              <w:t>Common stock, $0.01 par value—authorized 250 shares; issued 137 shares, respectively</w:t>
            </w:r>
          </w:p>
        </w:tc>
        <w:tc>
          <w:tcPr>
            <w:tcW w:w="300" w:type="dxa"/>
            <w:vAlign w:val="bottom"/>
          </w:tcPr>
          <w:p>
            <w:pPr>
              <w:spacing w:after="0"/>
              <w:rPr>
                <w:sz w:val="21"/>
                <w:szCs w:val="21"/>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21"/>
                <w:szCs w:val="21"/>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6,670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6,741</w:t>
            </w: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43"/>
        </w:trPr>
        <w:tc>
          <w:tcPr>
            <w:tcW w:w="774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56"/>
        </w:trPr>
        <w:tc>
          <w:tcPr>
            <w:tcW w:w="7740" w:type="dxa"/>
            <w:vAlign w:val="bottom"/>
          </w:tcPr>
          <w:p>
            <w:pPr>
              <w:ind w:left="220"/>
              <w:spacing w:after="0"/>
              <w:rPr>
                <w:sz w:val="20"/>
                <w:szCs w:val="20"/>
                <w:color w:val="auto"/>
              </w:rPr>
            </w:pPr>
            <w:r>
              <w:rPr>
                <w:rFonts w:ascii="Arial" w:cs="Arial" w:eastAsia="Arial" w:hAnsi="Arial"/>
                <w:sz w:val="16"/>
                <w:szCs w:val="16"/>
                <w:color w:val="auto"/>
              </w:rPr>
              <w:t>Treasury stock, at cost—67 and 63 shares, respectively</w:t>
            </w: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(5,176)</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(5,144)</w:t>
            </w:r>
          </w:p>
        </w:tc>
        <w:tc>
          <w:tcPr>
            <w:tcW w:w="0" w:type="dxa"/>
            <w:vAlign w:val="bottom"/>
          </w:tcPr>
          <w:p>
            <w:pPr>
              <w:spacing w:after="0"/>
              <w:rPr>
                <w:sz w:val="1"/>
                <w:szCs w:val="1"/>
                <w:color w:val="auto"/>
              </w:rPr>
            </w:pPr>
          </w:p>
        </w:tc>
      </w:tr>
      <w:tr>
        <w:trPr>
          <w:trHeight w:val="236"/>
        </w:trPr>
        <w:tc>
          <w:tcPr>
            <w:tcW w:w="774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21,690</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23,126</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40" w:right="339" w:bottom="6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617"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26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787"/>
        </w:trPr>
        <w:tc>
          <w:tcPr>
            <w:tcW w:w="8260" w:type="dxa"/>
            <w:vAlign w:val="bottom"/>
          </w:tcPr>
          <w:p>
            <w:pPr>
              <w:ind w:left="4920"/>
              <w:spacing w:after="0"/>
              <w:rPr>
                <w:sz w:val="20"/>
                <w:szCs w:val="20"/>
                <w:color w:val="auto"/>
              </w:rPr>
            </w:pPr>
            <w:r>
              <w:rPr>
                <w:rFonts w:ascii="Arial" w:cs="Arial" w:eastAsia="Arial" w:hAnsi="Arial"/>
                <w:sz w:val="18"/>
                <w:szCs w:val="18"/>
                <w:b w:val="1"/>
                <w:bCs w:val="1"/>
                <w:color w:val="auto"/>
              </w:rPr>
              <w:t>Avis Budget Group,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8580" w:type="dxa"/>
            <w:vAlign w:val="bottom"/>
            <w:gridSpan w:val="2"/>
          </w:tcPr>
          <w:p>
            <w:pPr>
              <w:jc w:val="center"/>
              <w:ind w:left="259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260" w:type="dxa"/>
            <w:vAlign w:val="bottom"/>
          </w:tcPr>
          <w:p>
            <w:pPr>
              <w:jc w:val="center"/>
              <w:ind w:left="289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9"/>
        </w:trPr>
        <w:tc>
          <w:tcPr>
            <w:tcW w:w="8260" w:type="dxa"/>
            <w:vAlign w:val="bottom"/>
          </w:tcPr>
          <w:p>
            <w:pPr>
              <w:jc w:val="center"/>
              <w:ind w:left="285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4"/>
        </w:trPr>
        <w:tc>
          <w:tcPr>
            <w:tcW w:w="8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9"/>
              </w:rPr>
              <w:t>Six Months Ended</w:t>
            </w:r>
          </w:p>
        </w:tc>
      </w:tr>
      <w:tr>
        <w:trPr>
          <w:trHeight w:val="246"/>
        </w:trPr>
        <w:tc>
          <w:tcPr>
            <w:tcW w:w="8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June 30,</w:t>
            </w:r>
          </w:p>
        </w:tc>
        <w:tc>
          <w:tcPr>
            <w:tcW w:w="1020" w:type="dxa"/>
            <w:vAlign w:val="bottom"/>
            <w:tcBorders>
              <w:bottom w:val="single" w:sz="8" w:color="auto"/>
            </w:tcBorders>
          </w:tcPr>
          <w:p>
            <w:pPr>
              <w:spacing w:after="0"/>
              <w:rPr>
                <w:sz w:val="21"/>
                <w:szCs w:val="21"/>
                <w:color w:val="auto"/>
              </w:rPr>
            </w:pPr>
          </w:p>
        </w:tc>
      </w:tr>
      <w:tr>
        <w:trPr>
          <w:trHeight w:val="250"/>
        </w:trPr>
        <w:tc>
          <w:tcPr>
            <w:tcW w:w="8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7"/>
        </w:trPr>
        <w:tc>
          <w:tcPr>
            <w:tcW w:w="8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6"/>
                <w:szCs w:val="16"/>
                <w:color w:val="auto"/>
              </w:rPr>
              <w:t>(29)</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8260" w:type="dxa"/>
            <w:vAlign w:val="bottom"/>
          </w:tcPr>
          <w:p>
            <w:pPr>
              <w:ind w:left="180"/>
              <w:spacing w:after="0"/>
              <w:rPr>
                <w:sz w:val="20"/>
                <w:szCs w:val="20"/>
                <w:color w:val="auto"/>
              </w:rPr>
            </w:pPr>
            <w:r>
              <w:rPr>
                <w:rFonts w:ascii="Arial" w:cs="Arial" w:eastAsia="Arial" w:hAnsi="Arial"/>
                <w:sz w:val="18"/>
                <w:szCs w:val="18"/>
                <w:color w:val="auto"/>
              </w:rPr>
              <w:t>Vehicle depreciation</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941</w:t>
            </w:r>
          </w:p>
        </w:tc>
      </w:tr>
      <w:tr>
        <w:trPr>
          <w:trHeight w:val="257"/>
        </w:trPr>
        <w:tc>
          <w:tcPr>
            <w:tcW w:w="8260" w:type="dxa"/>
            <w:vAlign w:val="bottom"/>
          </w:tcPr>
          <w:p>
            <w:pPr>
              <w:ind w:left="180"/>
              <w:spacing w:after="0"/>
              <w:rPr>
                <w:sz w:val="20"/>
                <w:szCs w:val="20"/>
                <w:color w:val="auto"/>
              </w:rPr>
            </w:pPr>
            <w:r>
              <w:rPr>
                <w:rFonts w:ascii="Arial" w:cs="Arial" w:eastAsia="Arial" w:hAnsi="Arial"/>
                <w:sz w:val="18"/>
                <w:szCs w:val="18"/>
                <w:color w:val="auto"/>
              </w:rPr>
              <w:t>Amortization of right-of-use assets</w:t>
            </w:r>
          </w:p>
        </w:tc>
        <w:tc>
          <w:tcPr>
            <w:tcW w:w="3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486</w:t>
            </w:r>
          </w:p>
        </w:tc>
      </w:tr>
      <w:tr>
        <w:trPr>
          <w:trHeight w:val="257"/>
        </w:trPr>
        <w:tc>
          <w:tcPr>
            <w:tcW w:w="8260" w:type="dxa"/>
            <w:vAlign w:val="bottom"/>
          </w:tcPr>
          <w:p>
            <w:pPr>
              <w:ind w:left="180"/>
              <w:spacing w:after="0"/>
              <w:rPr>
                <w:sz w:val="20"/>
                <w:szCs w:val="20"/>
                <w:color w:val="auto"/>
              </w:rPr>
            </w:pPr>
            <w:r>
              <w:rPr>
                <w:rFonts w:ascii="Arial" w:cs="Arial" w:eastAsia="Arial" w:hAnsi="Arial"/>
                <w:sz w:val="18"/>
                <w:szCs w:val="18"/>
                <w:color w:val="auto"/>
              </w:rPr>
              <w:t>(Gain) loss on sale of vehicles, net</w:t>
            </w:r>
          </w:p>
        </w:tc>
        <w:tc>
          <w:tcPr>
            <w:tcW w:w="3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56"/>
        </w:trPr>
        <w:tc>
          <w:tcPr>
            <w:tcW w:w="8260" w:type="dxa"/>
            <w:vAlign w:val="bottom"/>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133</w:t>
            </w:r>
          </w:p>
        </w:tc>
      </w:tr>
      <w:tr>
        <w:trPr>
          <w:trHeight w:val="257"/>
        </w:trPr>
        <w:tc>
          <w:tcPr>
            <w:tcW w:w="82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w:t>
            </w:r>
          </w:p>
        </w:tc>
      </w:tr>
      <w:tr>
        <w:trPr>
          <w:trHeight w:val="257"/>
        </w:trPr>
        <w:tc>
          <w:tcPr>
            <w:tcW w:w="8260" w:type="dxa"/>
            <w:vAlign w:val="bottom"/>
          </w:tcPr>
          <w:p>
            <w:pPr>
              <w:ind w:left="180"/>
              <w:spacing w:after="0"/>
              <w:rPr>
                <w:sz w:val="20"/>
                <w:szCs w:val="20"/>
                <w:color w:val="auto"/>
              </w:rPr>
            </w:pPr>
            <w:r>
              <w:rPr>
                <w:rFonts w:ascii="Arial" w:cs="Arial" w:eastAsia="Arial" w:hAnsi="Arial"/>
                <w:sz w:val="18"/>
                <w:szCs w:val="18"/>
                <w:color w:val="auto"/>
              </w:rPr>
              <w:t>Amortization of debt financing fees</w:t>
            </w:r>
          </w:p>
        </w:tc>
        <w:tc>
          <w:tcPr>
            <w:tcW w:w="3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57"/>
        </w:trPr>
        <w:tc>
          <w:tcPr>
            <w:tcW w:w="8260" w:type="dxa"/>
            <w:vAlign w:val="bottom"/>
          </w:tcPr>
          <w:p>
            <w:pPr>
              <w:ind w:left="180"/>
              <w:spacing w:after="0"/>
              <w:rPr>
                <w:sz w:val="20"/>
                <w:szCs w:val="20"/>
                <w:color w:val="auto"/>
              </w:rPr>
            </w:pPr>
            <w:r>
              <w:rPr>
                <w:rFonts w:ascii="Arial" w:cs="Arial" w:eastAsia="Arial" w:hAnsi="Arial"/>
                <w:sz w:val="18"/>
                <w:szCs w:val="18"/>
                <w:color w:val="auto"/>
              </w:rPr>
              <w:t>Early extinguishment of debt costs</w:t>
            </w:r>
          </w:p>
        </w:tc>
        <w:tc>
          <w:tcPr>
            <w:tcW w:w="3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180"/>
              <w:spacing w:after="0"/>
              <w:rPr>
                <w:sz w:val="20"/>
                <w:szCs w:val="20"/>
                <w:color w:val="auto"/>
              </w:rPr>
            </w:pPr>
            <w:r>
              <w:rPr>
                <w:rFonts w:ascii="Arial" w:cs="Arial" w:eastAsia="Arial" w:hAnsi="Arial"/>
                <w:sz w:val="18"/>
                <w:szCs w:val="18"/>
                <w:color w:val="auto"/>
              </w:rPr>
              <w:t>Net change in assets and liabilities: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(77)</w:t>
            </w:r>
          </w:p>
        </w:tc>
      </w:tr>
      <w:tr>
        <w:trPr>
          <w:trHeight w:val="257"/>
        </w:trPr>
        <w:tc>
          <w:tcPr>
            <w:tcW w:w="8260" w:type="dxa"/>
            <w:vAlign w:val="bottom"/>
          </w:tcPr>
          <w:p>
            <w:pPr>
              <w:ind w:left="340"/>
              <w:spacing w:after="0"/>
              <w:rPr>
                <w:sz w:val="20"/>
                <w:szCs w:val="20"/>
                <w:color w:val="auto"/>
              </w:rPr>
            </w:pPr>
            <w:r>
              <w:rPr>
                <w:rFonts w:ascii="Arial" w:cs="Arial" w:eastAsia="Arial" w:hAnsi="Arial"/>
                <w:sz w:val="18"/>
                <w:szCs w:val="18"/>
                <w:color w:val="auto"/>
              </w:rPr>
              <w:t>Income taxes and deferred income taxes</w:t>
            </w:r>
          </w:p>
        </w:tc>
        <w:tc>
          <w:tcPr>
            <w:tcW w:w="3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(77)</w:t>
            </w:r>
          </w:p>
        </w:tc>
      </w:tr>
      <w:tr>
        <w:trPr>
          <w:trHeight w:val="256"/>
        </w:trPr>
        <w:tc>
          <w:tcPr>
            <w:tcW w:w="8260" w:type="dxa"/>
            <w:vAlign w:val="bottom"/>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72</w:t>
            </w:r>
          </w:p>
        </w:tc>
      </w:tr>
      <w:tr>
        <w:trPr>
          <w:trHeight w:val="257"/>
        </w:trPr>
        <w:tc>
          <w:tcPr>
            <w:tcW w:w="826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(483)</w:t>
            </w:r>
          </w:p>
        </w:tc>
      </w:tr>
      <w:tr>
        <w:trPr>
          <w:trHeight w:val="263"/>
        </w:trPr>
        <w:tc>
          <w:tcPr>
            <w:tcW w:w="826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r>
      <w:tr>
        <w:trPr>
          <w:trHeight w:val="25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965</w:t>
            </w:r>
          </w:p>
        </w:tc>
      </w:tr>
      <w:tr>
        <w:trPr>
          <w:trHeight w:val="446"/>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8260" w:type="dxa"/>
            <w:vAlign w:val="bottom"/>
          </w:tcPr>
          <w:p>
            <w:pPr>
              <w:ind w:left="20"/>
              <w:spacing w:after="0"/>
              <w:rPr>
                <w:sz w:val="20"/>
                <w:szCs w:val="20"/>
                <w:color w:val="auto"/>
              </w:rPr>
            </w:pPr>
            <w:r>
              <w:rPr>
                <w:rFonts w:ascii="Arial" w:cs="Arial" w:eastAsia="Arial" w:hAnsi="Arial"/>
                <w:sz w:val="18"/>
                <w:szCs w:val="18"/>
                <w:color w:val="auto"/>
              </w:rPr>
              <w:t>Property and equipment additions</w:t>
            </w:r>
          </w:p>
        </w:tc>
        <w:tc>
          <w:tcPr>
            <w:tcW w:w="3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(117)</w:t>
            </w:r>
          </w:p>
        </w:tc>
      </w:tr>
      <w:tr>
        <w:trPr>
          <w:trHeight w:val="257"/>
        </w:trPr>
        <w:tc>
          <w:tcPr>
            <w:tcW w:w="8260" w:type="dxa"/>
            <w:vAlign w:val="bottom"/>
          </w:tcPr>
          <w:p>
            <w:pPr>
              <w:ind w:left="20"/>
              <w:spacing w:after="0"/>
              <w:rPr>
                <w:sz w:val="20"/>
                <w:szCs w:val="20"/>
                <w:color w:val="auto"/>
              </w:rPr>
            </w:pPr>
            <w:r>
              <w:rPr>
                <w:rFonts w:ascii="Arial" w:cs="Arial" w:eastAsia="Arial" w:hAnsi="Arial"/>
                <w:sz w:val="18"/>
                <w:szCs w:val="18"/>
                <w:color w:val="auto"/>
              </w:rPr>
              <w:t>Proceeds received on asset sales</w:t>
            </w:r>
          </w:p>
        </w:tc>
        <w:tc>
          <w:tcPr>
            <w:tcW w:w="3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256"/>
        </w:trPr>
        <w:tc>
          <w:tcPr>
            <w:tcW w:w="8260" w:type="dxa"/>
            <w:vAlign w:val="bottom"/>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3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63"/>
        </w:trPr>
        <w:tc>
          <w:tcPr>
            <w:tcW w:w="82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2"/>
                <w:szCs w:val="22"/>
                <w:color w:val="auto"/>
              </w:rPr>
            </w:pPr>
          </w:p>
        </w:tc>
        <w:tc>
          <w:tcPr>
            <w:tcW w:w="16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81</w:t>
            </w:r>
          </w:p>
        </w:tc>
      </w:tr>
      <w:tr>
        <w:trPr>
          <w:trHeight w:val="25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r>
      <w:tr>
        <w:trPr>
          <w:trHeight w:val="446"/>
        </w:trPr>
        <w:tc>
          <w:tcPr>
            <w:tcW w:w="8260" w:type="dxa"/>
            <w:vAlign w:val="bottom"/>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8260" w:type="dxa"/>
            <w:vAlign w:val="bottom"/>
          </w:tcPr>
          <w:p>
            <w:pPr>
              <w:ind w:left="180"/>
              <w:spacing w:after="0"/>
              <w:rPr>
                <w:sz w:val="20"/>
                <w:szCs w:val="20"/>
                <w:color w:val="auto"/>
              </w:rPr>
            </w:pPr>
            <w:r>
              <w:rPr>
                <w:rFonts w:ascii="Arial" w:cs="Arial" w:eastAsia="Arial" w:hAnsi="Arial"/>
                <w:sz w:val="18"/>
                <w:szCs w:val="18"/>
                <w:color w:val="auto"/>
              </w:rPr>
              <w:t>Investment in vehicles</w:t>
            </w:r>
          </w:p>
        </w:tc>
        <w:tc>
          <w:tcPr>
            <w:tcW w:w="3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(4,196)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(8,715)</w:t>
            </w:r>
          </w:p>
        </w:tc>
      </w:tr>
      <w:tr>
        <w:trPr>
          <w:trHeight w:val="257"/>
        </w:trPr>
        <w:tc>
          <w:tcPr>
            <w:tcW w:w="8260" w:type="dxa"/>
            <w:vAlign w:val="bottom"/>
          </w:tcPr>
          <w:p>
            <w:pPr>
              <w:ind w:left="180"/>
              <w:spacing w:after="0"/>
              <w:rPr>
                <w:sz w:val="20"/>
                <w:szCs w:val="20"/>
                <w:color w:val="auto"/>
              </w:rPr>
            </w:pPr>
            <w:r>
              <w:rPr>
                <w:rFonts w:ascii="Arial" w:cs="Arial" w:eastAsia="Arial" w:hAnsi="Arial"/>
                <w:sz w:val="18"/>
                <w:szCs w:val="18"/>
                <w:color w:val="auto"/>
              </w:rPr>
              <w:t>Proceeds received on disposition of vehicles</w:t>
            </w:r>
          </w:p>
        </w:tc>
        <w:tc>
          <w:tcPr>
            <w:tcW w:w="3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4,709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5,773</w:t>
            </w:r>
          </w:p>
        </w:tc>
      </w:tr>
      <w:tr>
        <w:trPr>
          <w:trHeight w:val="256"/>
        </w:trPr>
        <w:tc>
          <w:tcPr>
            <w:tcW w:w="8260" w:type="dxa"/>
            <w:vAlign w:val="bottom"/>
          </w:tcPr>
          <w:p>
            <w:pPr>
              <w:ind w:left="18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(167)</w:t>
            </w:r>
          </w:p>
        </w:tc>
      </w:tr>
      <w:tr>
        <w:trPr>
          <w:trHeight w:val="263"/>
        </w:trPr>
        <w:tc>
          <w:tcPr>
            <w:tcW w:w="8260" w:type="dxa"/>
            <w:vAlign w:val="bottom"/>
          </w:tcPr>
          <w:p>
            <w:pPr>
              <w:ind w:left="18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w:t>
            </w:r>
          </w:p>
        </w:tc>
      </w:tr>
      <w:tr>
        <w:trPr>
          <w:trHeight w:val="250"/>
        </w:trPr>
        <w:tc>
          <w:tcPr>
            <w:tcW w:w="8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(3,062)</w:t>
            </w:r>
          </w:p>
        </w:tc>
      </w:tr>
      <w:tr>
        <w:trPr>
          <w:trHeight w:val="25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787"/>
        </w:trPr>
        <w:tc>
          <w:tcPr>
            <w:tcW w:w="8240" w:type="dxa"/>
            <w:vAlign w:val="bottom"/>
          </w:tcPr>
          <w:p>
            <w:pPr>
              <w:jc w:val="center"/>
              <w:ind w:left="2910"/>
              <w:spacing w:after="0"/>
              <w:rPr>
                <w:sz w:val="20"/>
                <w:szCs w:val="20"/>
                <w:color w:val="auto"/>
              </w:rPr>
            </w:pPr>
            <w:r>
              <w:rPr>
                <w:rFonts w:ascii="Arial" w:cs="Arial" w:eastAsia="Arial" w:hAnsi="Arial"/>
                <w:sz w:val="18"/>
                <w:szCs w:val="18"/>
                <w:b w:val="1"/>
                <w:bCs w:val="1"/>
                <w:color w:val="auto"/>
                <w:w w:val="99"/>
              </w:rPr>
              <w:t>Avis Budget Group,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9780" w:type="dxa"/>
            <w:vAlign w:val="bottom"/>
            <w:gridSpan w:val="4"/>
          </w:tcPr>
          <w:p>
            <w:pPr>
              <w:jc w:val="center"/>
              <w:ind w:left="1370"/>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240" w:type="dxa"/>
            <w:vAlign w:val="bottom"/>
          </w:tcPr>
          <w:p>
            <w:pPr>
              <w:jc w:val="center"/>
              <w:ind w:left="291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9"/>
        </w:trPr>
        <w:tc>
          <w:tcPr>
            <w:tcW w:w="8240" w:type="dxa"/>
            <w:vAlign w:val="bottom"/>
          </w:tcPr>
          <w:p>
            <w:pPr>
              <w:jc w:val="center"/>
              <w:ind w:left="291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4"/>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9"/>
              </w:rPr>
              <w:t>Six Months Ended</w:t>
            </w:r>
          </w:p>
        </w:tc>
      </w:tr>
      <w:tr>
        <w:trPr>
          <w:trHeight w:val="246"/>
        </w:trPr>
        <w:tc>
          <w:tcPr>
            <w:tcW w:w="8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9"/>
              </w:rPr>
              <w:t>June 30,</w:t>
            </w:r>
          </w:p>
        </w:tc>
        <w:tc>
          <w:tcPr>
            <w:tcW w:w="1020" w:type="dxa"/>
            <w:vAlign w:val="bottom"/>
            <w:tcBorders>
              <w:bottom w:val="single" w:sz="8" w:color="auto"/>
            </w:tcBorders>
          </w:tcPr>
          <w:p>
            <w:pPr>
              <w:spacing w:after="0"/>
              <w:rPr>
                <w:sz w:val="21"/>
                <w:szCs w:val="21"/>
                <w:color w:val="auto"/>
              </w:rPr>
            </w:pPr>
          </w:p>
        </w:tc>
      </w:tr>
      <w:tr>
        <w:trPr>
          <w:trHeight w:val="250"/>
        </w:trPr>
        <w:tc>
          <w:tcPr>
            <w:tcW w:w="8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7"/>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long-term borrowings</w:t>
            </w:r>
          </w:p>
        </w:tc>
        <w:tc>
          <w:tcPr>
            <w:tcW w:w="3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w:t>
            </w:r>
          </w:p>
        </w:tc>
      </w:tr>
      <w:tr>
        <w:trPr>
          <w:trHeight w:val="257"/>
        </w:trPr>
        <w:tc>
          <w:tcPr>
            <w:tcW w:w="8240" w:type="dxa"/>
            <w:vAlign w:val="bottom"/>
          </w:tcPr>
          <w:p>
            <w:pPr>
              <w:ind w:left="20"/>
              <w:spacing w:after="0"/>
              <w:rPr>
                <w:sz w:val="20"/>
                <w:szCs w:val="20"/>
                <w:color w:val="auto"/>
              </w:rPr>
            </w:pPr>
            <w:r>
              <w:rPr>
                <w:rFonts w:ascii="Arial" w:cs="Arial" w:eastAsia="Arial" w:hAnsi="Arial"/>
                <w:sz w:val="18"/>
                <w:szCs w:val="18"/>
                <w:color w:val="auto"/>
              </w:rPr>
              <w:t>Payments on long-term borrowings</w:t>
            </w:r>
          </w:p>
        </w:tc>
        <w:tc>
          <w:tcPr>
            <w:tcW w:w="32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56"/>
        </w:trPr>
        <w:tc>
          <w:tcPr>
            <w:tcW w:w="824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3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824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57"/>
        </w:trPr>
        <w:tc>
          <w:tcPr>
            <w:tcW w:w="8240" w:type="dxa"/>
            <w:vAlign w:val="bottom"/>
          </w:tcPr>
          <w:p>
            <w:pPr>
              <w:ind w:left="20"/>
              <w:spacing w:after="0"/>
              <w:rPr>
                <w:sz w:val="20"/>
                <w:szCs w:val="20"/>
                <w:color w:val="auto"/>
              </w:rPr>
            </w:pPr>
            <w:r>
              <w:rPr>
                <w:rFonts w:ascii="Arial" w:cs="Arial" w:eastAsia="Arial" w:hAnsi="Arial"/>
                <w:sz w:val="18"/>
                <w:szCs w:val="18"/>
                <w:color w:val="auto"/>
              </w:rPr>
              <w:t>Debt financing fees</w:t>
            </w:r>
          </w:p>
        </w:tc>
        <w:tc>
          <w:tcPr>
            <w:tcW w:w="32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82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5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 exclusive of vehicle programs</w:t>
            </w: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r>
      <w:tr>
        <w:trPr>
          <w:trHeight w:val="446"/>
        </w:trPr>
        <w:tc>
          <w:tcPr>
            <w:tcW w:w="8240" w:type="dxa"/>
            <w:vAlign w:val="bottom"/>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824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3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9,042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11,758</w:t>
            </w:r>
          </w:p>
        </w:tc>
      </w:tr>
      <w:tr>
        <w:trPr>
          <w:trHeight w:val="257"/>
        </w:trPr>
        <w:tc>
          <w:tcPr>
            <w:tcW w:w="8240" w:type="dxa"/>
            <w:vAlign w:val="bottom"/>
          </w:tcPr>
          <w:p>
            <w:pPr>
              <w:ind w:left="180"/>
              <w:spacing w:after="0"/>
              <w:rPr>
                <w:sz w:val="20"/>
                <w:szCs w:val="20"/>
                <w:color w:val="auto"/>
              </w:rPr>
            </w:pPr>
            <w:r>
              <w:rPr>
                <w:rFonts w:ascii="Arial" w:cs="Arial" w:eastAsia="Arial" w:hAnsi="Arial"/>
                <w:sz w:val="18"/>
                <w:szCs w:val="18"/>
                <w:color w:val="auto"/>
              </w:rPr>
              <w:t>Payments on borrowings</w:t>
            </w:r>
          </w:p>
        </w:tc>
        <w:tc>
          <w:tcPr>
            <w:tcW w:w="32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(9,610)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(9,688)</w:t>
            </w:r>
          </w:p>
        </w:tc>
      </w:tr>
      <w:tr>
        <w:trPr>
          <w:trHeight w:val="263"/>
        </w:trPr>
        <w:tc>
          <w:tcPr>
            <w:tcW w:w="8240" w:type="dxa"/>
            <w:vAlign w:val="bottom"/>
          </w:tcPr>
          <w:p>
            <w:pPr>
              <w:ind w:left="180"/>
              <w:spacing w:after="0"/>
              <w:rPr>
                <w:sz w:val="20"/>
                <w:szCs w:val="20"/>
                <w:color w:val="auto"/>
              </w:rPr>
            </w:pPr>
            <w:r>
              <w:rPr>
                <w:rFonts w:ascii="Arial" w:cs="Arial" w:eastAsia="Arial" w:hAnsi="Arial"/>
                <w:sz w:val="18"/>
                <w:szCs w:val="18"/>
                <w:color w:val="auto"/>
              </w:rPr>
              <w:t>Debt financing fees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r>
      <w:tr>
        <w:trPr>
          <w:trHeight w:val="250"/>
        </w:trPr>
        <w:tc>
          <w:tcPr>
            <w:tcW w:w="8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2,058</w:t>
            </w:r>
          </w:p>
        </w:tc>
      </w:tr>
      <w:tr>
        <w:trPr>
          <w:trHeight w:val="25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2,027</w:t>
            </w:r>
          </w:p>
        </w:tc>
      </w:tr>
      <w:tr>
        <w:trPr>
          <w:trHeight w:val="453"/>
        </w:trPr>
        <w:tc>
          <w:tcPr>
            <w:tcW w:w="8240" w:type="dxa"/>
            <w:vAlign w:val="bottom"/>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r>
      <w:tr>
        <w:trPr>
          <w:trHeight w:val="446"/>
        </w:trPr>
        <w:tc>
          <w:tcPr>
            <w:tcW w:w="82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 program and restricted cash</w:t>
            </w:r>
          </w:p>
        </w:tc>
        <w:tc>
          <w:tcPr>
            <w:tcW w:w="32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(150)</w:t>
            </w:r>
          </w:p>
        </w:tc>
      </w:tr>
      <w:tr>
        <w:trPr>
          <w:trHeight w:val="26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735</w:t>
            </w:r>
          </w:p>
        </w:tc>
      </w:tr>
      <w:tr>
        <w:trPr>
          <w:trHeight w:val="25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585</w:t>
            </w: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gridSpan w:val="8"/>
          </w:tcPr>
          <w:p>
            <w:pPr>
              <w:ind w:left="380"/>
              <w:spacing w:after="0"/>
              <w:rPr>
                <w:sz w:val="20"/>
                <w:szCs w:val="20"/>
                <w:color w:val="auto"/>
              </w:rPr>
            </w:pPr>
            <w:r>
              <w:rPr>
                <w:rFonts w:ascii="Arial" w:cs="Arial" w:eastAsia="Arial" w:hAnsi="Arial"/>
                <w:sz w:val="11"/>
                <w:szCs w:val="11"/>
                <w:b w:val="1"/>
                <w:bCs w:val="1"/>
                <w:color w:val="auto"/>
              </w:rPr>
              <w:t>Common Stock</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8"/>
              </w:rPr>
              <w:t>Accumulated Other</w:t>
            </w:r>
          </w:p>
        </w:tc>
        <w:tc>
          <w:tcPr>
            <w:tcW w:w="40" w:type="dxa"/>
            <w:vAlign w:val="bottom"/>
          </w:tcPr>
          <w:p>
            <w:pPr>
              <w:spacing w:after="0"/>
              <w:rPr>
                <w:sz w:val="10"/>
                <w:szCs w:val="10"/>
                <w:color w:val="auto"/>
              </w:rPr>
            </w:pPr>
          </w:p>
        </w:tc>
        <w:tc>
          <w:tcPr>
            <w:tcW w:w="1700" w:type="dxa"/>
            <w:vAlign w:val="bottom"/>
            <w:gridSpan w:val="8"/>
          </w:tcPr>
          <w:p>
            <w:pPr>
              <w:ind w:left="380"/>
              <w:spacing w:after="0"/>
              <w:rPr>
                <w:sz w:val="20"/>
                <w:szCs w:val="20"/>
                <w:color w:val="auto"/>
              </w:rPr>
            </w:pPr>
            <w:r>
              <w:rPr>
                <w:rFonts w:ascii="Arial" w:cs="Arial" w:eastAsia="Arial" w:hAnsi="Arial"/>
                <w:sz w:val="11"/>
                <w:szCs w:val="11"/>
                <w:b w:val="1"/>
                <w:bCs w:val="1"/>
                <w:color w:val="auto"/>
              </w:rPr>
              <w:t>Treasury Stock</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3"/>
            <w:vMerge w:val="restart"/>
          </w:tcPr>
          <w:p>
            <w:pPr>
              <w:jc w:val="center"/>
              <w:ind w:right="200"/>
              <w:spacing w:after="0" w:line="120" w:lineRule="exact"/>
              <w:rPr>
                <w:sz w:val="20"/>
                <w:szCs w:val="20"/>
                <w:color w:val="auto"/>
              </w:rPr>
            </w:pPr>
            <w:r>
              <w:rPr>
                <w:rFonts w:ascii="Arial" w:cs="Arial" w:eastAsia="Arial" w:hAnsi="Arial"/>
                <w:sz w:val="11"/>
                <w:szCs w:val="11"/>
                <w:b w:val="1"/>
                <w:bCs w:val="1"/>
                <w:color w:val="auto"/>
                <w:w w:val="98"/>
              </w:rPr>
              <w:t>Additional Paid-in</w:t>
            </w: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138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Comprehensive Income</w:t>
            </w: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vMerge w:val="restart"/>
          </w:tcPr>
          <w:p>
            <w:pPr>
              <w:jc w:val="right"/>
              <w:ind w:right="46"/>
              <w:spacing w:after="0" w:line="120" w:lineRule="exact"/>
              <w:rPr>
                <w:sz w:val="20"/>
                <w:szCs w:val="20"/>
                <w:color w:val="auto"/>
              </w:rPr>
            </w:pPr>
            <w:r>
              <w:rPr>
                <w:rFonts w:ascii="Arial" w:cs="Arial" w:eastAsia="Arial" w:hAnsi="Arial"/>
                <w:sz w:val="11"/>
                <w:szCs w:val="11"/>
                <w:b w:val="1"/>
                <w:bCs w:val="1"/>
                <w:color w:val="auto"/>
                <w:w w:val="95"/>
              </w:rPr>
              <w:t>Total Stockholders’</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38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ind w:left="1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40" w:type="dxa"/>
            <w:vAlign w:val="bottom"/>
          </w:tcPr>
          <w:p>
            <w:pPr>
              <w:spacing w:after="0"/>
              <w:rPr>
                <w:sz w:val="12"/>
                <w:szCs w:val="12"/>
                <w:color w:val="auto"/>
              </w:rPr>
            </w:pPr>
          </w:p>
        </w:tc>
        <w:tc>
          <w:tcPr>
            <w:tcW w:w="1240" w:type="dxa"/>
            <w:vAlign w:val="bottom"/>
            <w:gridSpan w:val="4"/>
          </w:tcPr>
          <w:p>
            <w:pPr>
              <w:ind w:left="40"/>
              <w:spacing w:after="0"/>
              <w:rPr>
                <w:sz w:val="20"/>
                <w:szCs w:val="20"/>
                <w:color w:val="auto"/>
              </w:rPr>
            </w:pPr>
            <w:r>
              <w:rPr>
                <w:rFonts w:ascii="Arial" w:cs="Arial" w:eastAsia="Arial" w:hAnsi="Arial"/>
                <w:sz w:val="11"/>
                <w:szCs w:val="11"/>
                <w:b w:val="1"/>
                <w:bCs w:val="1"/>
                <w:color w:val="auto"/>
              </w:rPr>
              <w:t>Accumulated Deficit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6"/>
              </w:rPr>
              <w:t>(Loss)</w:t>
            </w:r>
          </w:p>
        </w:tc>
        <w:tc>
          <w:tcPr>
            <w:tcW w:w="40" w:type="dxa"/>
            <w:vAlign w:val="bottom"/>
          </w:tcPr>
          <w:p>
            <w:pPr>
              <w:spacing w:after="0"/>
              <w:rPr>
                <w:sz w:val="12"/>
                <w:szCs w:val="12"/>
                <w:color w:val="auto"/>
              </w:rPr>
            </w:pPr>
          </w:p>
        </w:tc>
        <w:tc>
          <w:tcPr>
            <w:tcW w:w="780" w:type="dxa"/>
            <w:vAlign w:val="bottom"/>
            <w:gridSpan w:val="3"/>
          </w:tcPr>
          <w:p>
            <w:pPr>
              <w:ind w:left="1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ind w:right="366"/>
              <w:spacing w:after="0"/>
              <w:rPr>
                <w:sz w:val="20"/>
                <w:szCs w:val="20"/>
                <w:color w:val="auto"/>
              </w:rPr>
            </w:pPr>
            <w:r>
              <w:rPr>
                <w:rFonts w:ascii="Arial" w:cs="Arial" w:eastAsia="Arial" w:hAnsi="Arial"/>
                <w:sz w:val="11"/>
                <w:szCs w:val="11"/>
                <w:b w:val="1"/>
                <w:bCs w:val="1"/>
                <w:color w:val="auto"/>
              </w:rPr>
              <w:t>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00" w:type="dxa"/>
            <w:vAlign w:val="bottom"/>
            <w:vMerge w:val="restart"/>
          </w:tcPr>
          <w:p>
            <w:pPr>
              <w:spacing w:after="0"/>
              <w:rPr>
                <w:sz w:val="20"/>
                <w:szCs w:val="20"/>
                <w:color w:val="auto"/>
              </w:rPr>
            </w:pPr>
            <w:r>
              <w:rPr>
                <w:rFonts w:ascii="Arial" w:cs="Arial" w:eastAsia="Arial" w:hAnsi="Arial"/>
                <w:sz w:val="11"/>
                <w:szCs w:val="11"/>
                <w:b w:val="1"/>
                <w:bCs w:val="1"/>
                <w:color w:val="auto"/>
              </w:rPr>
              <w:t>Balance at March 31, 2020</w:t>
            </w: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600" w:type="dxa"/>
            <w:vAlign w:val="bottom"/>
            <w:vMerge w:val="continue"/>
          </w:tcPr>
          <w:p>
            <w:pPr>
              <w:spacing w:after="0"/>
              <w:rPr>
                <w:sz w:val="12"/>
                <w:szCs w:val="12"/>
                <w:color w:val="auto"/>
              </w:rPr>
            </w:pPr>
          </w:p>
        </w:tc>
        <w:tc>
          <w:tcPr>
            <w:tcW w:w="700" w:type="dxa"/>
            <w:vAlign w:val="bottom"/>
            <w:gridSpan w:val="2"/>
          </w:tcPr>
          <w:p>
            <w:pPr>
              <w:jc w:val="right"/>
              <w:ind w:right="66"/>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6,677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88"/>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(944)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(256)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6"/>
              <w:spacing w:after="0"/>
              <w:rPr>
                <w:sz w:val="20"/>
                <w:szCs w:val="20"/>
                <w:color w:val="auto"/>
              </w:rPr>
            </w:pPr>
            <w:r>
              <w:rPr>
                <w:rFonts w:ascii="Arial" w:cs="Arial" w:eastAsia="Arial" w:hAnsi="Arial"/>
                <w:sz w:val="11"/>
                <w:szCs w:val="11"/>
                <w:color w:val="auto"/>
              </w:rPr>
              <w:t>(67.5)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(5,186)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600" w:type="dxa"/>
            <w:vAlign w:val="bottom"/>
          </w:tcPr>
          <w:p>
            <w:pPr>
              <w:spacing w:after="0"/>
              <w:rPr>
                <w:sz w:val="20"/>
                <w:szCs w:val="20"/>
                <w:color w:val="auto"/>
              </w:rPr>
            </w:pPr>
            <w:r>
              <w:rPr>
                <w:rFonts w:ascii="Arial" w:cs="Arial" w:eastAsia="Arial" w:hAnsi="Arial"/>
                <w:sz w:val="11"/>
                <w:szCs w:val="11"/>
                <w:b w:val="1"/>
                <w:bCs w:val="1"/>
                <w:color w:val="auto"/>
              </w:rPr>
              <w:t>Comprehensive loss: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(481)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86"/>
              <w:spacing w:after="0"/>
              <w:rPr>
                <w:sz w:val="20"/>
                <w:szCs w:val="20"/>
                <w:color w:val="auto"/>
              </w:rPr>
            </w:pPr>
            <w:r>
              <w:rPr>
                <w:rFonts w:ascii="Arial" w:cs="Arial" w:eastAsia="Arial" w:hAnsi="Arial"/>
                <w:sz w:val="11"/>
                <w:szCs w:val="11"/>
                <w:color w:val="auto"/>
              </w:rPr>
              <w:t>33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1"/>
                <w:szCs w:val="11"/>
                <w:b w:val="1"/>
                <w:bCs w:val="1"/>
                <w:color w:val="auto"/>
              </w:rPr>
              <w:t>Total comprehensive loss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spacing w:after="0"/>
              <w:rPr>
                <w:sz w:val="20"/>
                <w:szCs w:val="20"/>
                <w:color w:val="auto"/>
              </w:rPr>
            </w:pPr>
            <w:r>
              <w:rPr>
                <w:rFonts w:ascii="Arial" w:cs="Arial" w:eastAsia="Arial" w:hAnsi="Arial"/>
                <w:sz w:val="11"/>
                <w:szCs w:val="11"/>
                <w:color w:val="auto"/>
              </w:rPr>
              <w:t>Non-controlling interest</w:t>
            </w:r>
          </w:p>
        </w:tc>
        <w:tc>
          <w:tcPr>
            <w:tcW w:w="4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9"/>
                <w:szCs w:val="19"/>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4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86"/>
              <w:spacing w:after="0"/>
              <w:rPr>
                <w:sz w:val="20"/>
                <w:szCs w:val="20"/>
                <w:color w:val="auto"/>
              </w:rPr>
            </w:pPr>
            <w:r>
              <w:rPr>
                <w:rFonts w:ascii="Arial" w:cs="Arial" w:eastAsia="Arial" w:hAnsi="Arial"/>
                <w:sz w:val="11"/>
                <w:szCs w:val="11"/>
                <w:color w:val="auto"/>
              </w:rPr>
              <w:t>0.1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6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600" w:type="dxa"/>
            <w:vAlign w:val="bottom"/>
          </w:tcPr>
          <w:p>
            <w:pPr>
              <w:spacing w:after="0"/>
              <w:rPr>
                <w:sz w:val="20"/>
                <w:szCs w:val="20"/>
                <w:color w:val="auto"/>
              </w:rPr>
            </w:pPr>
            <w:r>
              <w:rPr>
                <w:rFonts w:ascii="Arial" w:cs="Arial" w:eastAsia="Arial" w:hAnsi="Arial"/>
                <w:sz w:val="11"/>
                <w:szCs w:val="11"/>
                <w:b w:val="1"/>
                <w:bCs w:val="1"/>
                <w:color w:val="auto"/>
              </w:rPr>
              <w:t>Balance at June 30, 2020</w:t>
            </w:r>
          </w:p>
        </w:tc>
        <w:tc>
          <w:tcPr>
            <w:tcW w:w="70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6,670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(1,425)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1"/>
                <w:szCs w:val="11"/>
                <w:color w:val="auto"/>
              </w:rPr>
              <w:t>(67.4)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(5,176)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600" w:type="dxa"/>
            <w:vAlign w:val="bottom"/>
            <w:vMerge w:val="restart"/>
          </w:tcPr>
          <w:p>
            <w:pPr>
              <w:spacing w:after="0"/>
              <w:rPr>
                <w:sz w:val="20"/>
                <w:szCs w:val="20"/>
                <w:color w:val="auto"/>
              </w:rPr>
            </w:pPr>
            <w:r>
              <w:rPr>
                <w:rFonts w:ascii="Arial" w:cs="Arial" w:eastAsia="Arial" w:hAnsi="Arial"/>
                <w:sz w:val="11"/>
                <w:szCs w:val="11"/>
                <w:b w:val="1"/>
                <w:bCs w:val="1"/>
                <w:color w:val="auto"/>
              </w:rPr>
              <w:t>Balance at March 31, 2019</w:t>
            </w: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2600" w:type="dxa"/>
            <w:vAlign w:val="bottom"/>
            <w:vMerge w:val="continue"/>
          </w:tcPr>
          <w:p>
            <w:pPr>
              <w:spacing w:after="0"/>
              <w:rPr>
                <w:sz w:val="24"/>
                <w:szCs w:val="24"/>
                <w:color w:val="auto"/>
              </w:rPr>
            </w:pPr>
          </w:p>
        </w:tc>
        <w:tc>
          <w:tcPr>
            <w:tcW w:w="700" w:type="dxa"/>
            <w:vAlign w:val="bottom"/>
            <w:gridSpan w:val="2"/>
          </w:tcPr>
          <w:p>
            <w:pPr>
              <w:jc w:val="right"/>
              <w:ind w:right="66"/>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6,737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ind w:right="288"/>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(1,178)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(137)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6"/>
              <w:spacing w:after="0"/>
              <w:rPr>
                <w:sz w:val="20"/>
                <w:szCs w:val="20"/>
                <w:color w:val="auto"/>
              </w:rPr>
            </w:pPr>
            <w:r>
              <w:rPr>
                <w:rFonts w:ascii="Arial" w:cs="Arial" w:eastAsia="Arial" w:hAnsi="Arial"/>
                <w:sz w:val="11"/>
                <w:szCs w:val="11"/>
                <w:color w:val="auto"/>
              </w:rPr>
              <w:t>(61.1)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(5,099)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324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60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20"/>
                <w:szCs w:val="20"/>
                <w:color w:val="auto"/>
              </w:rPr>
            </w:pPr>
            <w:r>
              <w:rPr>
                <w:rFonts w:ascii="Arial" w:cs="Arial" w:eastAsia="Arial" w:hAnsi="Arial"/>
                <w:sz w:val="11"/>
                <w:szCs w:val="11"/>
                <w:color w:val="auto"/>
              </w:rPr>
              <w:t>Net income</w:t>
            </w:r>
          </w:p>
        </w:tc>
        <w:tc>
          <w:tcPr>
            <w:tcW w:w="4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86"/>
              <w:spacing w:after="0"/>
              <w:rPr>
                <w:sz w:val="20"/>
                <w:szCs w:val="20"/>
                <w:color w:val="auto"/>
              </w:rPr>
            </w:pPr>
            <w:r>
              <w:rPr>
                <w:rFonts w:ascii="Arial" w:cs="Arial" w:eastAsia="Arial" w:hAnsi="Arial"/>
                <w:sz w:val="11"/>
                <w:szCs w:val="11"/>
                <w:color w:val="auto"/>
              </w:rPr>
              <w:t>62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4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4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9"/>
                <w:szCs w:val="19"/>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20"/>
                <w:szCs w:val="20"/>
                <w:color w:val="auto"/>
              </w:rPr>
            </w:pPr>
            <w:r>
              <w:rPr>
                <w:rFonts w:ascii="Arial" w:cs="Arial" w:eastAsia="Arial" w:hAnsi="Arial"/>
                <w:sz w:val="11"/>
                <w:szCs w:val="11"/>
                <w:color w:val="auto"/>
              </w:rPr>
              <w:t>Option premiums paid</w:t>
            </w:r>
          </w:p>
        </w:tc>
        <w:tc>
          <w:tcPr>
            <w:tcW w:w="4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6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600" w:type="dxa"/>
            <w:vAlign w:val="bottom"/>
          </w:tcPr>
          <w:p>
            <w:pPr>
              <w:spacing w:after="0"/>
              <w:rPr>
                <w:sz w:val="20"/>
                <w:szCs w:val="20"/>
                <w:color w:val="auto"/>
              </w:rPr>
            </w:pPr>
            <w:r>
              <w:rPr>
                <w:rFonts w:ascii="Arial" w:cs="Arial" w:eastAsia="Arial" w:hAnsi="Arial"/>
                <w:sz w:val="11"/>
                <w:szCs w:val="11"/>
                <w:b w:val="1"/>
                <w:bCs w:val="1"/>
                <w:color w:val="auto"/>
              </w:rPr>
              <w:t>Balance at June 30, 2019</w:t>
            </w:r>
          </w:p>
        </w:tc>
        <w:tc>
          <w:tcPr>
            <w:tcW w:w="70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6,723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(1,116)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1"/>
                <w:szCs w:val="11"/>
                <w:color w:val="auto"/>
              </w:rPr>
              <w:t>(61.1)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(5,093)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gridSpan w:val="8"/>
          </w:tcPr>
          <w:p>
            <w:pPr>
              <w:ind w:left="400"/>
              <w:spacing w:after="0"/>
              <w:rPr>
                <w:sz w:val="20"/>
                <w:szCs w:val="20"/>
                <w:color w:val="auto"/>
              </w:rPr>
            </w:pPr>
            <w:r>
              <w:rPr>
                <w:rFonts w:ascii="Arial" w:cs="Arial" w:eastAsia="Arial" w:hAnsi="Arial"/>
                <w:sz w:val="11"/>
                <w:szCs w:val="11"/>
                <w:b w:val="1"/>
                <w:bCs w:val="1"/>
                <w:color w:val="auto"/>
              </w:rPr>
              <w:t>Common 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8"/>
              </w:rPr>
              <w:t>Accumulated Other</w:t>
            </w:r>
          </w:p>
        </w:tc>
        <w:tc>
          <w:tcPr>
            <w:tcW w:w="40" w:type="dxa"/>
            <w:vAlign w:val="bottom"/>
          </w:tcPr>
          <w:p>
            <w:pPr>
              <w:spacing w:after="0"/>
              <w:rPr>
                <w:sz w:val="13"/>
                <w:szCs w:val="13"/>
                <w:color w:val="auto"/>
              </w:rPr>
            </w:pPr>
          </w:p>
        </w:tc>
        <w:tc>
          <w:tcPr>
            <w:tcW w:w="1700" w:type="dxa"/>
            <w:vAlign w:val="bottom"/>
            <w:gridSpan w:val="8"/>
          </w:tcPr>
          <w:p>
            <w:pPr>
              <w:ind w:left="400"/>
              <w:spacing w:after="0"/>
              <w:rPr>
                <w:sz w:val="20"/>
                <w:szCs w:val="20"/>
                <w:color w:val="auto"/>
              </w:rPr>
            </w:pPr>
            <w:r>
              <w:rPr>
                <w:rFonts w:ascii="Arial" w:cs="Arial" w:eastAsia="Arial" w:hAnsi="Arial"/>
                <w:sz w:val="11"/>
                <w:szCs w:val="11"/>
                <w:b w:val="1"/>
                <w:bCs w:val="1"/>
                <w:color w:val="auto"/>
              </w:rPr>
              <w:t>Treasury Stock</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3"/>
            <w:vMerge w:val="restart"/>
          </w:tcPr>
          <w:p>
            <w:pPr>
              <w:jc w:val="center"/>
              <w:ind w:right="160"/>
              <w:spacing w:after="0" w:line="120" w:lineRule="exact"/>
              <w:rPr>
                <w:sz w:val="20"/>
                <w:szCs w:val="20"/>
                <w:color w:val="auto"/>
              </w:rPr>
            </w:pPr>
            <w:r>
              <w:rPr>
                <w:rFonts w:ascii="Arial" w:cs="Arial" w:eastAsia="Arial" w:hAnsi="Arial"/>
                <w:sz w:val="11"/>
                <w:szCs w:val="11"/>
                <w:b w:val="1"/>
                <w:bCs w:val="1"/>
                <w:color w:val="auto"/>
                <w:w w:val="98"/>
              </w:rPr>
              <w:t>Additional Paid-in</w:t>
            </w: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gridSpan w:val="4"/>
            <w:vMerge w:val="restart"/>
          </w:tcPr>
          <w:p>
            <w:pPr>
              <w:jc w:val="center"/>
              <w:ind w:right="80"/>
              <w:spacing w:after="0" w:line="120" w:lineRule="exact"/>
              <w:rPr>
                <w:sz w:val="20"/>
                <w:szCs w:val="20"/>
                <w:color w:val="auto"/>
              </w:rPr>
            </w:pPr>
            <w:r>
              <w:rPr>
                <w:rFonts w:ascii="Arial" w:cs="Arial" w:eastAsia="Arial" w:hAnsi="Arial"/>
                <w:sz w:val="11"/>
                <w:szCs w:val="11"/>
                <w:b w:val="1"/>
                <w:bCs w:val="1"/>
                <w:color w:val="auto"/>
                <w:w w:val="98"/>
              </w:rPr>
              <w:t>Comprehensive Income</w:t>
            </w:r>
          </w:p>
        </w:tc>
        <w:tc>
          <w:tcPr>
            <w:tcW w:w="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vMerge w:val="restart"/>
          </w:tcPr>
          <w:p>
            <w:pPr>
              <w:jc w:val="right"/>
              <w:ind w:right="26"/>
              <w:spacing w:after="0" w:line="120" w:lineRule="exact"/>
              <w:rPr>
                <w:sz w:val="20"/>
                <w:szCs w:val="20"/>
                <w:color w:val="auto"/>
              </w:rPr>
            </w:pPr>
            <w:r>
              <w:rPr>
                <w:rFonts w:ascii="Arial" w:cs="Arial" w:eastAsia="Arial" w:hAnsi="Arial"/>
                <w:sz w:val="11"/>
                <w:szCs w:val="11"/>
                <w:b w:val="1"/>
                <w:bCs w:val="1"/>
                <w:color w:val="auto"/>
                <w:w w:val="97"/>
              </w:rPr>
              <w:t>Total Stockholders’</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ind w:left="16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8"/>
              </w:rPr>
              <w:t>Capital</w:t>
            </w:r>
          </w:p>
        </w:tc>
        <w:tc>
          <w:tcPr>
            <w:tcW w:w="40" w:type="dxa"/>
            <w:vAlign w:val="bottom"/>
          </w:tcPr>
          <w:p>
            <w:pPr>
              <w:spacing w:after="0"/>
              <w:rPr>
                <w:sz w:val="12"/>
                <w:szCs w:val="12"/>
                <w:color w:val="auto"/>
              </w:rPr>
            </w:pP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Accumulated Deficit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6"/>
              </w:rPr>
              <w:t>(Loss)</w:t>
            </w:r>
          </w:p>
        </w:tc>
        <w:tc>
          <w:tcPr>
            <w:tcW w:w="40" w:type="dxa"/>
            <w:vAlign w:val="bottom"/>
          </w:tcPr>
          <w:p>
            <w:pPr>
              <w:spacing w:after="0"/>
              <w:rPr>
                <w:sz w:val="12"/>
                <w:szCs w:val="12"/>
                <w:color w:val="auto"/>
              </w:rPr>
            </w:pPr>
          </w:p>
        </w:tc>
        <w:tc>
          <w:tcPr>
            <w:tcW w:w="780" w:type="dxa"/>
            <w:vAlign w:val="bottom"/>
            <w:gridSpan w:val="3"/>
          </w:tcPr>
          <w:p>
            <w:pPr>
              <w:ind w:left="16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ind w:right="346"/>
              <w:spacing w:after="0"/>
              <w:rPr>
                <w:sz w:val="20"/>
                <w:szCs w:val="20"/>
                <w:color w:val="auto"/>
              </w:rPr>
            </w:pPr>
            <w:r>
              <w:rPr>
                <w:rFonts w:ascii="Arial" w:cs="Arial" w:eastAsia="Arial" w:hAnsi="Arial"/>
                <w:sz w:val="11"/>
                <w:szCs w:val="11"/>
                <w:b w:val="1"/>
                <w:bCs w:val="1"/>
                <w:color w:val="auto"/>
              </w:rPr>
              <w:t>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600" w:type="dxa"/>
            <w:vAlign w:val="bottom"/>
            <w:vMerge w:val="continue"/>
          </w:tcPr>
          <w:p>
            <w:pPr>
              <w:spacing w:after="0"/>
              <w:rPr>
                <w:sz w:val="12"/>
                <w:szCs w:val="12"/>
                <w:color w:val="auto"/>
              </w:rPr>
            </w:pPr>
          </w:p>
        </w:tc>
        <w:tc>
          <w:tcPr>
            <w:tcW w:w="700" w:type="dxa"/>
            <w:vAlign w:val="bottom"/>
            <w:gridSpan w:val="2"/>
          </w:tcPr>
          <w:p>
            <w:pPr>
              <w:jc w:val="right"/>
              <w:ind w:right="46"/>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6,741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68"/>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(785)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46"/>
              <w:spacing w:after="0"/>
              <w:rPr>
                <w:sz w:val="20"/>
                <w:szCs w:val="20"/>
                <w:color w:val="auto"/>
              </w:rPr>
            </w:pPr>
            <w:r>
              <w:rPr>
                <w:rFonts w:ascii="Arial" w:cs="Arial" w:eastAsia="Arial" w:hAnsi="Arial"/>
                <w:sz w:val="11"/>
                <w:szCs w:val="11"/>
                <w:color w:val="auto"/>
              </w:rPr>
              <w:t>(157)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
              <w:spacing w:after="0"/>
              <w:rPr>
                <w:sz w:val="20"/>
                <w:szCs w:val="20"/>
                <w:color w:val="auto"/>
              </w:rPr>
            </w:pPr>
            <w:r>
              <w:rPr>
                <w:rFonts w:ascii="Arial" w:cs="Arial" w:eastAsia="Arial" w:hAnsi="Arial"/>
                <w:sz w:val="11"/>
                <w:szCs w:val="11"/>
                <w:color w:val="auto"/>
              </w:rPr>
              <w:t>(63.2)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(5,144)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656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1"/>
                <w:szCs w:val="11"/>
                <w:color w:val="auto"/>
              </w:rPr>
              <w:t>Cumulative effect of accounting change</w:t>
            </w:r>
          </w:p>
        </w:tc>
        <w:tc>
          <w:tcPr>
            <w:tcW w:w="40" w:type="dxa"/>
            <w:vAlign w:val="bottom"/>
          </w:tcPr>
          <w:p>
            <w:pPr>
              <w:spacing w:after="0"/>
              <w:rPr>
                <w:sz w:val="19"/>
                <w:szCs w:val="19"/>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1"/>
                <w:szCs w:val="11"/>
                <w:b w:val="1"/>
                <w:bCs w:val="1"/>
                <w:color w:val="auto"/>
              </w:rPr>
              <w:t>Comprehensive loss: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(639)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1"/>
                <w:szCs w:val="11"/>
                <w:color w:val="auto"/>
              </w:rPr>
              <w:t>Other comprehensive loss</w:t>
            </w:r>
          </w:p>
        </w:tc>
        <w:tc>
          <w:tcPr>
            <w:tcW w:w="4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1"/>
                <w:szCs w:val="11"/>
                <w:b w:val="1"/>
                <w:bCs w:val="1"/>
                <w:color w:val="auto"/>
              </w:rPr>
              <w:t>Total comprehensive loss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1"/>
                <w:szCs w:val="11"/>
                <w:color w:val="auto"/>
              </w:rPr>
              <w:t>Non-controlling interest</w:t>
            </w:r>
          </w:p>
        </w:tc>
        <w:tc>
          <w:tcPr>
            <w:tcW w:w="40" w:type="dxa"/>
            <w:vAlign w:val="bottom"/>
          </w:tcPr>
          <w:p>
            <w:pPr>
              <w:spacing w:after="0"/>
              <w:rPr>
                <w:sz w:val="19"/>
                <w:szCs w:val="19"/>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1"/>
                <w:szCs w:val="11"/>
                <w:color w:val="auto"/>
              </w:rPr>
              <w:t>Net activity related to restricted stock units</w:t>
            </w:r>
          </w:p>
        </w:tc>
        <w:tc>
          <w:tcPr>
            <w:tcW w:w="4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6"/>
              <w:spacing w:after="0"/>
              <w:rPr>
                <w:sz w:val="20"/>
                <w:szCs w:val="20"/>
                <w:color w:val="auto"/>
              </w:rPr>
            </w:pPr>
            <w:r>
              <w:rPr>
                <w:rFonts w:ascii="Arial" w:cs="Arial" w:eastAsia="Arial" w:hAnsi="Arial"/>
                <w:sz w:val="11"/>
                <w:szCs w:val="11"/>
                <w:color w:val="auto"/>
              </w:rPr>
              <w:t>0.4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1"/>
                <w:szCs w:val="11"/>
                <w:color w:val="auto"/>
              </w:rPr>
              <w:t>Issuance of common stock</w:t>
            </w:r>
          </w:p>
        </w:tc>
        <w:tc>
          <w:tcPr>
            <w:tcW w:w="4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6"/>
              <w:spacing w:after="0"/>
              <w:rPr>
                <w:sz w:val="20"/>
                <w:szCs w:val="20"/>
                <w:color w:val="auto"/>
              </w:rPr>
            </w:pPr>
            <w:r>
              <w:rPr>
                <w:rFonts w:ascii="Arial" w:cs="Arial" w:eastAsia="Arial" w:hAnsi="Arial"/>
                <w:sz w:val="11"/>
                <w:szCs w:val="11"/>
                <w:color w:val="auto"/>
              </w:rPr>
              <w:t>0.4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4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6"/>
              <w:spacing w:after="0"/>
              <w:rPr>
                <w:sz w:val="20"/>
                <w:szCs w:val="20"/>
                <w:color w:val="auto"/>
              </w:rPr>
            </w:pPr>
            <w:r>
              <w:rPr>
                <w:rFonts w:ascii="Arial" w:cs="Arial" w:eastAsia="Arial" w:hAnsi="Arial"/>
                <w:sz w:val="11"/>
                <w:szCs w:val="11"/>
                <w:color w:val="auto"/>
              </w:rPr>
              <w:t>(5.0)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(113)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600" w:type="dxa"/>
            <w:vAlign w:val="bottom"/>
          </w:tcPr>
          <w:p>
            <w:pPr>
              <w:ind w:left="20"/>
              <w:spacing w:after="0"/>
              <w:rPr>
                <w:sz w:val="20"/>
                <w:szCs w:val="20"/>
                <w:color w:val="auto"/>
              </w:rPr>
            </w:pPr>
            <w:r>
              <w:rPr>
                <w:rFonts w:ascii="Arial" w:cs="Arial" w:eastAsia="Arial" w:hAnsi="Arial"/>
                <w:sz w:val="11"/>
                <w:szCs w:val="11"/>
                <w:b w:val="1"/>
                <w:bCs w:val="1"/>
                <w:color w:val="auto"/>
              </w:rPr>
              <w:t>Balance at June 30, 2020</w:t>
            </w:r>
          </w:p>
        </w:tc>
        <w:tc>
          <w:tcPr>
            <w:tcW w:w="40" w:type="dxa"/>
            <w:vAlign w:val="bottom"/>
          </w:tcPr>
          <w:p>
            <w:pPr>
              <w:spacing w:after="0"/>
              <w:rPr>
                <w:sz w:val="14"/>
                <w:szCs w:val="14"/>
                <w:color w:val="auto"/>
              </w:rPr>
            </w:pPr>
          </w:p>
        </w:tc>
        <w:tc>
          <w:tcPr>
            <w:tcW w:w="6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137.1</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6,670</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jc w:val="right"/>
              <w:ind w:right="26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(1,425)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(223)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(67.4)</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(5,176)</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(153)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6"/>
        </w:trPr>
        <w:tc>
          <w:tcPr>
            <w:tcW w:w="2600" w:type="dxa"/>
            <w:vAlign w:val="bottom"/>
            <w:vMerge w:val="continue"/>
          </w:tcPr>
          <w:p>
            <w:pPr>
              <w:spacing w:after="0"/>
              <w:rPr>
                <w:sz w:val="24"/>
                <w:szCs w:val="24"/>
                <w:color w:val="auto"/>
              </w:rPr>
            </w:pPr>
          </w:p>
        </w:tc>
        <w:tc>
          <w:tcPr>
            <w:tcW w:w="700" w:type="dxa"/>
            <w:vAlign w:val="bottom"/>
            <w:gridSpan w:val="2"/>
          </w:tcPr>
          <w:p>
            <w:pPr>
              <w:jc w:val="right"/>
              <w:ind w:right="46"/>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6,771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ind w:right="268"/>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(1,091)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46"/>
              <w:spacing w:after="0"/>
              <w:rPr>
                <w:sz w:val="20"/>
                <w:szCs w:val="20"/>
                <w:color w:val="auto"/>
              </w:rPr>
            </w:pPr>
            <w:r>
              <w:rPr>
                <w:rFonts w:ascii="Arial" w:cs="Arial" w:eastAsia="Arial" w:hAnsi="Arial"/>
                <w:sz w:val="11"/>
                <w:szCs w:val="11"/>
                <w:color w:val="auto"/>
              </w:rPr>
              <w:t>(133)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6"/>
              <w:spacing w:after="0"/>
              <w:rPr>
                <w:sz w:val="20"/>
                <w:szCs w:val="20"/>
                <w:color w:val="auto"/>
              </w:rPr>
            </w:pPr>
            <w:r>
              <w:rPr>
                <w:rFonts w:ascii="Arial" w:cs="Arial" w:eastAsia="Arial" w:hAnsi="Arial"/>
                <w:sz w:val="11"/>
                <w:szCs w:val="11"/>
                <w:color w:val="auto"/>
              </w:rPr>
              <w:t>(61.5)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(5,134)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414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1"/>
                <w:szCs w:val="11"/>
                <w:color w:val="auto"/>
              </w:rPr>
              <w:t>Cumulative effect of accounting change</w:t>
            </w:r>
          </w:p>
        </w:tc>
        <w:tc>
          <w:tcPr>
            <w:tcW w:w="40" w:type="dxa"/>
            <w:vAlign w:val="bottom"/>
          </w:tcPr>
          <w:p>
            <w:pPr>
              <w:spacing w:after="0"/>
              <w:rPr>
                <w:sz w:val="19"/>
                <w:szCs w:val="19"/>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1"/>
                <w:szCs w:val="11"/>
                <w:b w:val="1"/>
                <w:bCs w:val="1"/>
                <w:color w:val="auto"/>
              </w:rPr>
              <w:t>Comprehensive loss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1"/>
                <w:szCs w:val="11"/>
                <w:color w:val="auto"/>
              </w:rPr>
              <w:t>Other comprehensive loss</w:t>
            </w:r>
          </w:p>
        </w:tc>
        <w:tc>
          <w:tcPr>
            <w:tcW w:w="4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1"/>
                <w:szCs w:val="11"/>
                <w:b w:val="1"/>
                <w:bCs w:val="1"/>
                <w:color w:val="auto"/>
              </w:rPr>
              <w:t>Total comprehensive loss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1"/>
                <w:szCs w:val="11"/>
                <w:color w:val="auto"/>
              </w:rPr>
              <w:t>Net activity related to restricted stock units</w:t>
            </w:r>
          </w:p>
        </w:tc>
        <w:tc>
          <w:tcPr>
            <w:tcW w:w="40" w:type="dxa"/>
            <w:vAlign w:val="bottom"/>
          </w:tcPr>
          <w:p>
            <w:pPr>
              <w:spacing w:after="0"/>
              <w:rPr>
                <w:sz w:val="19"/>
                <w:szCs w:val="19"/>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6"/>
              <w:spacing w:after="0"/>
              <w:rPr>
                <w:sz w:val="20"/>
                <w:szCs w:val="20"/>
                <w:color w:val="auto"/>
              </w:rPr>
            </w:pPr>
            <w:r>
              <w:rPr>
                <w:rFonts w:ascii="Arial" w:cs="Arial" w:eastAsia="Arial" w:hAnsi="Arial"/>
                <w:sz w:val="11"/>
                <w:szCs w:val="11"/>
                <w:color w:val="auto"/>
              </w:rPr>
              <w:t>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4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6"/>
              <w:spacing w:after="0"/>
              <w:rPr>
                <w:sz w:val="20"/>
                <w:szCs w:val="20"/>
                <w:color w:val="auto"/>
              </w:rPr>
            </w:pPr>
            <w:r>
              <w:rPr>
                <w:rFonts w:ascii="Arial" w:cs="Arial" w:eastAsia="Arial" w:hAnsi="Arial"/>
                <w:sz w:val="11"/>
                <w:szCs w:val="11"/>
                <w:color w:val="auto"/>
              </w:rPr>
              <w:t>0.1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1"/>
                <w:szCs w:val="11"/>
                <w:color w:val="auto"/>
              </w:rPr>
              <w:t>Option premiums paid</w:t>
            </w:r>
          </w:p>
        </w:tc>
        <w:tc>
          <w:tcPr>
            <w:tcW w:w="4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600" w:type="dxa"/>
            <w:vAlign w:val="bottom"/>
          </w:tcPr>
          <w:p>
            <w:pPr>
              <w:ind w:left="20"/>
              <w:spacing w:after="0"/>
              <w:rPr>
                <w:sz w:val="20"/>
                <w:szCs w:val="20"/>
                <w:color w:val="auto"/>
              </w:rPr>
            </w:pPr>
            <w:r>
              <w:rPr>
                <w:rFonts w:ascii="Arial" w:cs="Arial" w:eastAsia="Arial" w:hAnsi="Arial"/>
                <w:sz w:val="11"/>
                <w:szCs w:val="11"/>
                <w:b w:val="1"/>
                <w:bCs w:val="1"/>
                <w:color w:val="auto"/>
              </w:rPr>
              <w:t>Balance at June 30, 2019</w:t>
            </w:r>
          </w:p>
        </w:tc>
        <w:tc>
          <w:tcPr>
            <w:tcW w:w="700" w:type="dxa"/>
            <w:vAlign w:val="bottom"/>
            <w:gridSpan w:val="2"/>
          </w:tcPr>
          <w:p>
            <w:pPr>
              <w:jc w:val="right"/>
              <w:ind w:right="46"/>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6,723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268"/>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(1,116)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46"/>
              <w:spacing w:after="0"/>
              <w:rPr>
                <w:sz w:val="20"/>
                <w:szCs w:val="20"/>
                <w:color w:val="auto"/>
              </w:rPr>
            </w:pPr>
            <w:r>
              <w:rPr>
                <w:rFonts w:ascii="Arial" w:cs="Arial" w:eastAsia="Arial" w:hAnsi="Arial"/>
                <w:sz w:val="11"/>
                <w:szCs w:val="11"/>
                <w:color w:val="auto"/>
              </w:rPr>
              <w:t>(139)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6"/>
              <w:spacing w:after="0"/>
              <w:rPr>
                <w:sz w:val="20"/>
                <w:szCs w:val="20"/>
                <w:color w:val="auto"/>
              </w:rPr>
            </w:pPr>
            <w:r>
              <w:rPr>
                <w:rFonts w:ascii="Arial" w:cs="Arial" w:eastAsia="Arial" w:hAnsi="Arial"/>
                <w:sz w:val="11"/>
                <w:szCs w:val="11"/>
                <w:color w:val="auto"/>
              </w:rPr>
              <w:t>(61.1)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(5,093)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376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74"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operates the following reportable business segments:</w:t>
      </w:r>
    </w:p>
    <w:p>
      <w:pPr>
        <w:spacing w:after="0" w:line="230" w:lineRule="exact"/>
        <w:rPr>
          <w:sz w:val="20"/>
          <w:szCs w:val="20"/>
          <w:color w:val="auto"/>
        </w:rPr>
      </w:pPr>
    </w:p>
    <w:p>
      <w:pPr>
        <w:ind w:left="1300" w:right="60" w:hanging="482"/>
        <w:spacing w:after="0" w:line="268"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197" w:lineRule="exact"/>
        <w:rPr>
          <w:rFonts w:ascii="Arial" w:cs="Arial" w:eastAsia="Arial" w:hAnsi="Arial"/>
          <w:sz w:val="18"/>
          <w:szCs w:val="18"/>
          <w:color w:val="auto"/>
        </w:rPr>
      </w:pPr>
    </w:p>
    <w:p>
      <w:pPr>
        <w:ind w:left="1300" w:right="20" w:hanging="482"/>
        <w:spacing w:after="0" w:line="268"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the Company does not operate directly.</w:t>
      </w:r>
    </w:p>
    <w:p>
      <w:pPr>
        <w:spacing w:after="0" w:line="220" w:lineRule="exact"/>
        <w:rPr>
          <w:sz w:val="20"/>
          <w:szCs w:val="20"/>
          <w:color w:val="auto"/>
        </w:rPr>
      </w:pPr>
    </w:p>
    <w:p>
      <w:pPr>
        <w:ind w:left="500" w:right="200"/>
        <w:spacing w:after="0" w:line="254"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The fair value of the assets acquired and liabilities assumed in connection with the Company’s 2019 acquisitions of various licensees has not yet been finalized; however, there have been no significant changes to the preliminary allocation of the purchase price during the six months ended June 30, 2020.</w:t>
      </w:r>
    </w:p>
    <w:p>
      <w:pPr>
        <w:spacing w:after="0" w:line="231"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2019 Form 10-K.</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Liquidity and Management’s Plans</w:t>
      </w:r>
    </w:p>
    <w:p>
      <w:pPr>
        <w:spacing w:after="0" w:line="274"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continuing cases of COVID-19 and the developments surrounding the global pandemic are having a material negative impact on all aspects of the Company’s business. Significant events affecting travel have historically had an impact on vehicle rental volumes, with the full extent of the impact generally determined by the length of time the event influences travel decisions. The COVID-19 outbreak and resulting economic conditions have had, and the Company believes will continue to have, a significant adverse impact on its operations and vehicle rental volumes, and on its financial results and liquidity, and such negative impact may continue well beyond the containment of the outbreak.</w:t>
      </w:r>
    </w:p>
    <w:p>
      <w:pPr>
        <w:spacing w:after="0" w:line="235"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cannot assure its assumptions used to estimate its liquidity requirements will be correct because it has never previously experienced such a decrease in demand, and as a consequence, its ability to be predictive is uncertain. In addition, the duration of the global pandemic is uncertain. Therefore, the Company has taken, and plans to take further actions to manage its liquidity, including reducing capital expenditures, operating expenses and the number of vehicles in its fleet. The Company has no meaningful corporate debt maturities until 2023. The Company plans to finance the routine Asset Backed Securities (“ABS”) maturities with program cash on hand, available revolving debt capacity and fleet sales. As a result, based on current operational assumptions, the Company believes it has adequate liquidity for the balance</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of 2020 and into 2021.</w:t>
      </w:r>
    </w:p>
    <w:p>
      <w:pPr>
        <w:spacing w:after="0" w:line="252"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In April 2020, the Company entered into an amendment (the “Amendment”) to its senior credit facilities, consisting of an approximately $1.2 billion term loan maturing in 2027 and a $1.8 billion revolving credit facility maturing in 2023, which remain in place after the Amendment. The Amendment provides for relief from the quarterly-tested leverage covenant contained in the credit agreement governing the senior credit facilities until the end of a specific relief period, including a holiday from such leverage covenant through June 30, 2021, during which time (i) certain negative covenant exceptions are not available to the Company, (ii) pricing on the senior credit facilities is increased, (iii) the Company must comply with a liquidity covenant and additional reporting requirements and (iv) the Company must meet additional conditions to borrow under the revolving credit facility.</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74" w:lineRule="exact"/>
        <w:rPr>
          <w:sz w:val="20"/>
          <w:szCs w:val="20"/>
          <w:color w:val="auto"/>
        </w:rPr>
      </w:pPr>
    </w:p>
    <w:p>
      <w:pPr>
        <w:ind w:left="500" w:right="120"/>
        <w:spacing w:after="0" w:line="261" w:lineRule="auto"/>
        <w:rPr>
          <w:sz w:val="20"/>
          <w:szCs w:val="20"/>
          <w:color w:val="auto"/>
        </w:rPr>
      </w:pPr>
      <w:r>
        <w:rPr>
          <w:rFonts w:ascii="Arial" w:cs="Arial" w:eastAsia="Arial" w:hAnsi="Arial"/>
          <w:sz w:val="18"/>
          <w:szCs w:val="18"/>
          <w:color w:val="auto"/>
        </w:rPr>
        <w:t>The Company’s significant accounting policies are fully described in Note 2, “Summary of Significant Accounting Policies,” in the 2019 Form 10-K.</w:t>
      </w:r>
    </w:p>
    <w:p>
      <w:pPr>
        <w:spacing w:after="0" w:line="207" w:lineRule="exact"/>
        <w:rPr>
          <w:sz w:val="20"/>
          <w:szCs w:val="20"/>
          <w:color w:val="auto"/>
        </w:rPr>
      </w:pPr>
    </w:p>
    <w:p>
      <w:pPr>
        <w:ind w:left="500" w:right="200"/>
        <w:spacing w:after="0" w:line="266"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10"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June 30,</w:t>
            </w:r>
          </w:p>
        </w:tc>
      </w:tr>
      <w:tr>
        <w:trPr>
          <w:trHeight w:val="250"/>
        </w:trPr>
        <w:tc>
          <w:tcPr>
            <w:tcW w:w="6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43"/>
        </w:trPr>
        <w:tc>
          <w:tcPr>
            <w:tcW w:w="6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534</w:t>
            </w:r>
          </w:p>
        </w:tc>
      </w:tr>
      <w:tr>
        <w:trPr>
          <w:trHeight w:val="257"/>
        </w:trPr>
        <w:tc>
          <w:tcPr>
            <w:tcW w:w="6620" w:type="dxa"/>
            <w:vAlign w:val="bottom"/>
          </w:tcPr>
          <w:p>
            <w:pPr>
              <w:spacing w:after="0"/>
              <w:rPr>
                <w:sz w:val="20"/>
                <w:szCs w:val="20"/>
                <w:color w:val="auto"/>
              </w:rPr>
            </w:pPr>
            <w:r>
              <w:rPr>
                <w:rFonts w:ascii="Arial" w:cs="Arial" w:eastAsia="Arial" w:hAnsi="Arial"/>
                <w:sz w:val="18"/>
                <w:szCs w:val="18"/>
                <w:color w:val="auto"/>
              </w:rPr>
              <w:t>Program cash</w:t>
            </w:r>
          </w:p>
        </w:tc>
        <w:tc>
          <w:tcPr>
            <w:tcW w:w="30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48</w:t>
            </w:r>
          </w:p>
        </w:tc>
      </w:tr>
      <w:tr>
        <w:trPr>
          <w:trHeight w:val="263"/>
        </w:trPr>
        <w:tc>
          <w:tcPr>
            <w:tcW w:w="662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color w:val="auto"/>
                <w:vertAlign w:val="superscript"/>
              </w:rPr>
              <w:t>(a)</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r>
      <w:tr>
        <w:trPr>
          <w:trHeight w:val="250"/>
        </w:trPr>
        <w:tc>
          <w:tcPr>
            <w:tcW w:w="662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585</w:t>
            </w:r>
          </w:p>
        </w:tc>
      </w:tr>
      <w:tr>
        <w:trPr>
          <w:trHeight w:val="27"/>
        </w:trPr>
        <w:tc>
          <w:tcPr>
            <w:tcW w:w="6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ind w:left="820" w:hanging="326"/>
        <w:spacing w:after="0" w:line="198" w:lineRule="auto"/>
        <w:tabs>
          <w:tab w:leader="none" w:pos="8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w:t>
      </w:r>
    </w:p>
    <w:p>
      <w:pPr>
        <w:spacing w:after="0" w:line="210"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214"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210" w:lineRule="exact"/>
        <w:rPr>
          <w:sz w:val="20"/>
          <w:szCs w:val="20"/>
          <w:color w:val="auto"/>
        </w:rPr>
      </w:pPr>
    </w:p>
    <w:p>
      <w:pPr>
        <w:ind w:left="500" w:right="80"/>
        <w:spacing w:after="0" w:line="258"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loss on intercompany loan hedges within interest expense related to corporate debt, net. During the three months ended June 30, 2020 and 2019, the Company recorded an immaterial amount, in each period, related to such items. During the six months ended June 30, 2020 and 2019, the Company recorded a loss of $6 million and a gain of $3 million in each period, related to such items.</w:t>
      </w:r>
    </w:p>
    <w:p>
      <w:pPr>
        <w:spacing w:after="0" w:line="210" w:lineRule="exact"/>
        <w:rPr>
          <w:sz w:val="20"/>
          <w:szCs w:val="20"/>
          <w:color w:val="auto"/>
        </w:rPr>
      </w:pPr>
    </w:p>
    <w:p>
      <w:pPr>
        <w:ind w:left="500" w:right="60"/>
        <w:spacing w:after="0" w:line="261"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2018, the Company entered into a definitive stock purchase agreement to sell its 50% equity method investment in Anji</w:t>
      </w:r>
      <w:r>
        <w:rPr>
          <w:rFonts w:ascii="Arial" w:cs="Arial" w:eastAsia="Arial" w:hAnsi="Arial"/>
          <w:sz w:val="18"/>
          <w:szCs w:val="18"/>
          <w:i w:val="1"/>
          <w:iCs w:val="1"/>
          <w:color w:val="auto"/>
        </w:rPr>
        <w:t xml:space="preserve"> </w:t>
      </w:r>
      <w:r>
        <w:rPr>
          <w:rFonts w:ascii="Arial" w:cs="Arial" w:eastAsia="Arial" w:hAnsi="Arial"/>
          <w:sz w:val="18"/>
          <w:szCs w:val="18"/>
          <w:color w:val="auto"/>
        </w:rPr>
        <w:t>Car Rental &amp; Leasing Company Limited (“China”), located in China, to Shanghai Automotive Industry Sales Company, Ltd., a 50% owner of China. In 2019, the Company completed the sale for $64 million, net of cross-border withholding taxes and recorded a $44 million gain within operating expenses. China’s operations were reported within the Company’s International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500" w:right="80"/>
        <w:spacing w:after="0" w:line="258"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June 30, 2020 and December 31, 2019, the Company had equity method investments with a carrying value of $53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$56 million respectively, which are recorded within other non-current assets. Earnings from the Company’s equity method investments are reported within operating expenses. For the three and six months ended June 30, 2020, the Company recorded income of $1 million and for the three and six months ended June 30, 2019, the Company recorded income of $4 million related to its equity method investments.</w:t>
      </w:r>
    </w:p>
    <w:p>
      <w:pPr>
        <w:spacing w:after="0" w:line="210" w:lineRule="exact"/>
        <w:rPr>
          <w:sz w:val="20"/>
          <w:szCs w:val="20"/>
          <w:color w:val="auto"/>
        </w:rPr>
      </w:pPr>
    </w:p>
    <w:p>
      <w:pPr>
        <w:ind w:left="500" w:right="180"/>
        <w:spacing w:after="0" w:line="258" w:lineRule="auto"/>
        <w:rPr>
          <w:sz w:val="20"/>
          <w:szCs w:val="20"/>
          <w:color w:val="auto"/>
        </w:rPr>
      </w:pPr>
      <w:r>
        <w:rPr>
          <w:rFonts w:ascii="Arial" w:cs="Arial" w:eastAsia="Arial" w:hAnsi="Arial"/>
          <w:sz w:val="18"/>
          <w:szCs w:val="18"/>
          <w:i w:val="1"/>
          <w:iCs w:val="1"/>
          <w:color w:val="auto"/>
        </w:rPr>
        <w:t xml:space="preserve">Nonmarketable Equity Securities. </w:t>
      </w:r>
      <w:r>
        <w:rPr>
          <w:rFonts w:ascii="Arial" w:cs="Arial" w:eastAsia="Arial" w:hAnsi="Arial"/>
          <w:sz w:val="18"/>
          <w:szCs w:val="18"/>
          <w:color w:val="auto"/>
        </w:rPr>
        <w:t>As of June 30, 2020 and December 31, 2019, the Company had nonmarketable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carrying value of $8 million in each period, which are recorded within other non-current assets. During the six months ended June 30, 2019 the Company realized a $12 million gain from the sale of a nonmarketable equity security which is recorded within operating expenses. No adjustments were made to the carrying amounts during the three and six months ended June 30, 2020, and during the three months ended June 30, 2019.</w:t>
      </w:r>
    </w:p>
    <w:p>
      <w:pPr>
        <w:spacing w:after="0" w:line="210" w:lineRule="exact"/>
        <w:rPr>
          <w:sz w:val="20"/>
          <w:szCs w:val="20"/>
          <w:color w:val="auto"/>
        </w:rPr>
      </w:pPr>
    </w:p>
    <w:p>
      <w:pPr>
        <w:ind w:left="500" w:right="40"/>
        <w:spacing w:after="0" w:line="261" w:lineRule="auto"/>
        <w:rPr>
          <w:sz w:val="20"/>
          <w:szCs w:val="20"/>
          <w:color w:val="auto"/>
        </w:rPr>
      </w:pPr>
      <w:r>
        <w:rPr>
          <w:rFonts w:ascii="Arial" w:cs="Arial" w:eastAsia="Arial" w:hAnsi="Arial"/>
          <w:sz w:val="18"/>
          <w:szCs w:val="18"/>
          <w:i w:val="1"/>
          <w:iCs w:val="1"/>
          <w:color w:val="auto"/>
        </w:rPr>
        <w:t>Revenues. R</w:t>
      </w:r>
      <w:r>
        <w:rPr>
          <w:rFonts w:ascii="Arial" w:cs="Arial" w:eastAsia="Arial" w:hAnsi="Arial"/>
          <w:sz w:val="18"/>
          <w:szCs w:val="18"/>
          <w:color w:val="auto"/>
        </w:rPr>
        <w:t>evenues are recognized under “Leases (Topic 842),” with the exception of royalty fee revenue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licensees and revenue related to the Company’s customer loyalty program, which were approximately $22 million and $33 million during the three months ended June 30, 2020 and 2019, respectively and $54 million and $63 million during the six months ended June 30, 2020 and 2019, respectively.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revenues disaggregated by geography.</w:t>
      </w:r>
    </w:p>
    <w:p>
      <w:pPr>
        <w:spacing w:after="0" w:line="3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3000" w:type="dxa"/>
            <w:vAlign w:val="bottom"/>
            <w:gridSpan w:val="6"/>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6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42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r>
      <w:tr>
        <w:trPr>
          <w:trHeight w:val="250"/>
        </w:trPr>
        <w:tc>
          <w:tcPr>
            <w:tcW w:w="424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Americas</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565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2,954</w:t>
            </w:r>
          </w:p>
        </w:tc>
      </w:tr>
      <w:tr>
        <w:trPr>
          <w:trHeight w:val="257"/>
        </w:trPr>
        <w:tc>
          <w:tcPr>
            <w:tcW w:w="42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920" w:type="dxa"/>
            <w:vAlign w:val="bottom"/>
          </w:tcPr>
          <w:p>
            <w:pPr>
              <w:spacing w:after="0"/>
              <w:rPr>
                <w:sz w:val="22"/>
                <w:szCs w:val="22"/>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159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1,005</w:t>
            </w:r>
          </w:p>
        </w:tc>
      </w:tr>
      <w:tr>
        <w:trPr>
          <w:trHeight w:val="263"/>
        </w:trPr>
        <w:tc>
          <w:tcPr>
            <w:tcW w:w="4240" w:type="dxa"/>
            <w:vAlign w:val="bottom"/>
          </w:tcPr>
          <w:p>
            <w:pPr>
              <w:spacing w:after="0"/>
              <w:rPr>
                <w:sz w:val="20"/>
                <w:szCs w:val="20"/>
                <w:color w:val="auto"/>
              </w:rPr>
            </w:pPr>
            <w:r>
              <w:rPr>
                <w:rFonts w:ascii="Arial" w:cs="Arial" w:eastAsia="Arial" w:hAnsi="Arial"/>
                <w:sz w:val="18"/>
                <w:szCs w:val="18"/>
                <w:color w:val="auto"/>
              </w:rPr>
              <w:t>Asia and Australasia</w:t>
            </w: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298</w:t>
            </w:r>
          </w:p>
        </w:tc>
      </w:tr>
      <w:tr>
        <w:trPr>
          <w:trHeight w:val="256"/>
        </w:trPr>
        <w:tc>
          <w:tcPr>
            <w:tcW w:w="4240" w:type="dxa"/>
            <w:vAlign w:val="bottom"/>
          </w:tcPr>
          <w:p>
            <w:pPr>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760</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2,337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2,513</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4,257</w:t>
            </w:r>
          </w:p>
        </w:tc>
      </w:tr>
      <w:tr>
        <w:trPr>
          <w:trHeight w:val="20"/>
        </w:trPr>
        <w:tc>
          <w:tcPr>
            <w:tcW w:w="4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revenues disaggregated by brand.</w:t>
      </w:r>
    </w:p>
    <w:p>
      <w:pPr>
        <w:spacing w:after="0" w:line="3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20" w:type="dxa"/>
            <w:vAlign w:val="bottom"/>
          </w:tcPr>
          <w:p>
            <w:pPr>
              <w:spacing w:after="0"/>
              <w:rPr>
                <w:sz w:val="18"/>
                <w:szCs w:val="18"/>
                <w:color w:val="auto"/>
              </w:rPr>
            </w:pPr>
          </w:p>
        </w:tc>
        <w:tc>
          <w:tcPr>
            <w:tcW w:w="2980" w:type="dxa"/>
            <w:vAlign w:val="bottom"/>
            <w:gridSpan w:val="6"/>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42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r>
      <w:tr>
        <w:trPr>
          <w:trHeight w:val="250"/>
        </w:trPr>
        <w:tc>
          <w:tcPr>
            <w:tcW w:w="422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Avis</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2,428</w:t>
            </w:r>
          </w:p>
        </w:tc>
      </w:tr>
      <w:tr>
        <w:trPr>
          <w:trHeight w:val="257"/>
        </w:trPr>
        <w:tc>
          <w:tcPr>
            <w:tcW w:w="4220" w:type="dxa"/>
            <w:vAlign w:val="bottom"/>
          </w:tcPr>
          <w:p>
            <w:pPr>
              <w:spacing w:after="0"/>
              <w:rPr>
                <w:sz w:val="20"/>
                <w:szCs w:val="20"/>
                <w:color w:val="auto"/>
              </w:rPr>
            </w:pPr>
            <w:r>
              <w:rPr>
                <w:rFonts w:ascii="Arial" w:cs="Arial" w:eastAsia="Arial" w:hAnsi="Arial"/>
                <w:sz w:val="18"/>
                <w:szCs w:val="18"/>
                <w:color w:val="auto"/>
              </w:rPr>
              <w:t>Budget</w:t>
            </w:r>
          </w:p>
        </w:tc>
        <w:tc>
          <w:tcPr>
            <w:tcW w:w="920" w:type="dxa"/>
            <w:vAlign w:val="bottom"/>
          </w:tcPr>
          <w:p>
            <w:pPr>
              <w:spacing w:after="0"/>
              <w:rPr>
                <w:sz w:val="22"/>
                <w:szCs w:val="22"/>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1,467</w:t>
            </w:r>
          </w:p>
        </w:tc>
      </w:tr>
      <w:tr>
        <w:trPr>
          <w:trHeight w:val="263"/>
        </w:trPr>
        <w:tc>
          <w:tcPr>
            <w:tcW w:w="422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362</w:t>
            </w:r>
          </w:p>
        </w:tc>
      </w:tr>
      <w:tr>
        <w:trPr>
          <w:trHeight w:val="256"/>
        </w:trPr>
        <w:tc>
          <w:tcPr>
            <w:tcW w:w="4220" w:type="dxa"/>
            <w:vAlign w:val="bottom"/>
          </w:tcPr>
          <w:p>
            <w:pPr>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2,513</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4,257</w:t>
            </w:r>
          </w:p>
        </w:tc>
      </w:tr>
      <w:tr>
        <w:trPr>
          <w:trHeight w:val="21"/>
        </w:trPr>
        <w:tc>
          <w:tcPr>
            <w:tcW w:w="4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Intangibles—Goodwill and Other—Internal-Use Software</w:t>
      </w:r>
    </w:p>
    <w:p>
      <w:pPr>
        <w:spacing w:after="0" w:line="270"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On January 1, 2020, as the result of a new accounting pronouncement, the Company adopted Accounting Standard Update (“ASU”) 2018-15 “Customer’s Accounting for Fees Paid in a Cloud Computing Arrangement That Is a Service Contract,” which provides guidance for determining when the arrangement includes a software license. The amendments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amendments in this Update also require the entity to expense the capitalized implementation costs of a hosting arrangement that is a service contract over the term of the hosting arrangement, to present the expense in the same line in its statement of income as the fees associated with the hosting element (service) of the arrangement and classify payments for capitalized implementation costs in its statement of cash flows in the same manner as payments made for fees</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160"/>
        <w:spacing w:after="0" w:line="256" w:lineRule="auto"/>
        <w:rPr>
          <w:sz w:val="20"/>
          <w:szCs w:val="20"/>
          <w:color w:val="auto"/>
        </w:rPr>
      </w:pPr>
      <w:r>
        <w:rPr>
          <w:rFonts w:ascii="Arial" w:cs="Arial" w:eastAsia="Arial" w:hAnsi="Arial"/>
          <w:sz w:val="18"/>
          <w:szCs w:val="18"/>
          <w:color w:val="auto"/>
        </w:rPr>
        <w:t>associated with the hosting element. The entity is also required to present the capitalized implementation costs in its balance sheet in the same line that a prepayment for the fees of the associated hosting arrangement would be presented. The adoption of this accounting pronouncement did not have a material impact on the Company's Consolidated Condensed Financial Statements.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Fair Value Measurement</w:t>
      </w:r>
    </w:p>
    <w:p>
      <w:pPr>
        <w:spacing w:after="0" w:line="270"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On January 1, 2020, as the result of a new accounting pronouncement, the Company adopted ASU 2018-13, “Disclosure Framework— Changes to the Disclosure Requirements for Fair Value Measurement,” which adds, removes, and modifies disclosure requirements related to fair value measurements. The adoption of this accounting pronouncement did not have a material impact on the Company's Consolidated Condensed Financial Statements.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270"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On January 1, 2020, as the result of a new accounting pronouncement, the Company adopted ASU 2016-13, “Financial Instruments— Credit Losses (Topic 326): Measurement of Credit Losses on Financial Instruments,” and related updates which sets forth a current expected credit loss impairment model for financial assets that replaces the current incurred loss model. This model requires a financial asset (or group of financial assets), including trade receivables, measured at amortized cost to be presented at the net amount expected to be collected with an allowance for credit losses deducted from the amortized cost basis. The allowance for credit losses should reflect management’s current estimate of credit losses that are expected to occur over the remaining life of a financial asset. The adoption of this accounting pronouncement did not have a material impact on the Company's Consolidated Condensed Financial Statements.</w:t>
      </w:r>
    </w:p>
    <w:p>
      <w:pPr>
        <w:spacing w:after="0" w:line="214" w:lineRule="exact"/>
        <w:rPr>
          <w:sz w:val="20"/>
          <w:szCs w:val="20"/>
          <w:color w:val="auto"/>
        </w:rPr>
      </w:pPr>
    </w:p>
    <w:p>
      <w:pPr>
        <w:ind w:left="500" w:right="840"/>
        <w:spacing w:after="0" w:line="282" w:lineRule="auto"/>
        <w:rPr>
          <w:sz w:val="20"/>
          <w:szCs w:val="20"/>
          <w:color w:val="auto"/>
        </w:rPr>
      </w:pPr>
      <w:r>
        <w:rPr>
          <w:rFonts w:ascii="Arial" w:cs="Arial" w:eastAsia="Arial" w:hAnsi="Arial"/>
          <w:sz w:val="18"/>
          <w:szCs w:val="18"/>
          <w:i w:val="1"/>
          <w:iCs w:val="1"/>
          <w:color w:val="auto"/>
        </w:rPr>
        <w:t>Financial Disclosures About Guarantors and Issuers of Guaranteed Securities and Affiliates Whose Securities Collateralize a Registrant’s Securities</w:t>
      </w:r>
    </w:p>
    <w:p>
      <w:pPr>
        <w:spacing w:after="0" w:line="20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During first quarter 2020, the Company early adopted the Securities Exchange Commission’s, “Financial Disclosures About Guarantors and Issuers of Guaranteed Securities and Affiliates Whose Securities Collateralize a Registrant’s Securities” rules, which simplify the disclosure requirements related to the Company’s registered securities under Rule 3-10 of Regulation S-X. The final rule also allows for the simplified disclosure to be included within Management’s Discussion and Analysis of Financial Condition and Results of Operations.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270"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In December 2019, the FASB issued 2019-12, “Simplifying the Accounting for Income Taxes,” which simplifies the accounting for income taxes by removing certain exceptions and improving the application of existing guidance. ASU 2019-12 becomes effective for the Company on January 1, 2021. Early adoption is permitted. The Company is currently evaluating the impact of this accounting pronouncement on its Consolidated Condensed Financial Statements.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Compensation—Retirement Benefits—Defined Benefit Plans</w:t>
      </w:r>
    </w:p>
    <w:p>
      <w:pPr>
        <w:spacing w:after="0" w:line="270"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In August 2018, the FASB issued ASU 2018-14, “Disclosure Framework—Changes to the Disclosure Requirements for Defined Benefit Plans,” which adds, removes, and clarifies disclosure requirements related to defined benefit pension and other postretirement plans. These changes are part of the FASB’s disclosure framework project, which the Board launched in 2014 to improve the effectiveness of disclosures in notes to financial statements. ASU 2018-14 becomes effective for the Company on January 1, 2021. Early adoption is permitted. The adoption of this accounting pronouncement is not expected to have a material impact on the Company's Consolidated Condensed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lease revenues disaggregated by geography.</w:t>
      </w:r>
    </w:p>
    <w:p>
      <w:pPr>
        <w:spacing w:after="0" w:line="37"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3000" w:type="dxa"/>
            <w:vAlign w:val="bottom"/>
            <w:gridSpan w:val="6"/>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6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40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r>
      <w:tr>
        <w:trPr>
          <w:trHeight w:val="250"/>
        </w:trPr>
        <w:tc>
          <w:tcPr>
            <w:tcW w:w="400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Americas</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552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2,936</w:t>
            </w:r>
          </w:p>
        </w:tc>
      </w:tr>
      <w:tr>
        <w:trPr>
          <w:trHeight w:val="256"/>
        </w:trPr>
        <w:tc>
          <w:tcPr>
            <w:tcW w:w="40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920" w:type="dxa"/>
            <w:vAlign w:val="bottom"/>
          </w:tcPr>
          <w:p>
            <w:pPr>
              <w:spacing w:after="0"/>
              <w:rPr>
                <w:sz w:val="22"/>
                <w:szCs w:val="22"/>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151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967</w:t>
            </w:r>
          </w:p>
        </w:tc>
      </w:tr>
      <w:tr>
        <w:trPr>
          <w:trHeight w:val="263"/>
        </w:trPr>
        <w:tc>
          <w:tcPr>
            <w:tcW w:w="4000" w:type="dxa"/>
            <w:vAlign w:val="bottom"/>
          </w:tcPr>
          <w:p>
            <w:pPr>
              <w:spacing w:after="0"/>
              <w:rPr>
                <w:sz w:val="20"/>
                <w:szCs w:val="20"/>
                <w:color w:val="auto"/>
              </w:rPr>
            </w:pPr>
            <w:r>
              <w:rPr>
                <w:rFonts w:ascii="Arial" w:cs="Arial" w:eastAsia="Arial" w:hAnsi="Arial"/>
                <w:sz w:val="18"/>
                <w:szCs w:val="18"/>
                <w:color w:val="auto"/>
              </w:rPr>
              <w:t>Asia and Australasia</w:t>
            </w: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291</w:t>
            </w: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Total lease revenues</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738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4,194</w:t>
            </w:r>
          </w:p>
        </w:tc>
      </w:tr>
      <w:tr>
        <w:trPr>
          <w:trHeight w:val="21"/>
        </w:trPr>
        <w:tc>
          <w:tcPr>
            <w:tcW w:w="4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lease revenues disaggregated by brand.</w:t>
      </w:r>
    </w:p>
    <w:p>
      <w:pPr>
        <w:spacing w:after="0" w:line="37"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3040" w:type="dxa"/>
            <w:vAlign w:val="bottom"/>
            <w:gridSpan w:val="6"/>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6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39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r>
      <w:tr>
        <w:trPr>
          <w:trHeight w:val="250"/>
        </w:trPr>
        <w:tc>
          <w:tcPr>
            <w:tcW w:w="398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Avis</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389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2,394</w:t>
            </w: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Budget</w:t>
            </w:r>
          </w:p>
        </w:tc>
        <w:tc>
          <w:tcPr>
            <w:tcW w:w="940" w:type="dxa"/>
            <w:vAlign w:val="bottom"/>
          </w:tcPr>
          <w:p>
            <w:pPr>
              <w:spacing w:after="0"/>
              <w:rPr>
                <w:sz w:val="22"/>
                <w:szCs w:val="22"/>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261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1,444</w:t>
            </w:r>
          </w:p>
        </w:tc>
      </w:tr>
      <w:tr>
        <w:trPr>
          <w:trHeight w:val="263"/>
        </w:trPr>
        <w:tc>
          <w:tcPr>
            <w:tcW w:w="398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356</w:t>
            </w:r>
          </w:p>
        </w:tc>
      </w:tr>
      <w:tr>
        <w:trPr>
          <w:trHeight w:val="256"/>
        </w:trPr>
        <w:tc>
          <w:tcPr>
            <w:tcW w:w="3980" w:type="dxa"/>
            <w:vAlign w:val="bottom"/>
          </w:tcPr>
          <w:p>
            <w:pPr>
              <w:spacing w:after="0"/>
              <w:rPr>
                <w:sz w:val="20"/>
                <w:szCs w:val="20"/>
                <w:color w:val="auto"/>
              </w:rPr>
            </w:pPr>
            <w:r>
              <w:rPr>
                <w:rFonts w:ascii="Arial" w:cs="Arial" w:eastAsia="Arial" w:hAnsi="Arial"/>
                <w:sz w:val="18"/>
                <w:szCs w:val="18"/>
                <w:color w:val="auto"/>
              </w:rPr>
              <w:t>Total lease revenues</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738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4,194</w:t>
            </w:r>
          </w:p>
        </w:tc>
      </w:tr>
      <w:tr>
        <w:trPr>
          <w:trHeight w:val="21"/>
        </w:trPr>
        <w:tc>
          <w:tcPr>
            <w:tcW w:w="3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274"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has operating and finance leases for rental locations, corporate offices, vehicle rental fleet and equipment. Many of the Company’s operating leases for rental locations contain concession agreements with various airport authorities that allow the Company to conduct its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ROU assets and operating lease liabilities, and are recorded as variable lease expense as incurred. The Company’s operating leases for rental locations often also require the Company to pay or reimburse operating expenses.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3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24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40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r>
      <w:tr>
        <w:trPr>
          <w:trHeight w:val="250"/>
        </w:trPr>
        <w:tc>
          <w:tcPr>
            <w:tcW w:w="400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42"/>
        </w:trPr>
        <w:tc>
          <w:tcPr>
            <w:tcW w:w="4000" w:type="dxa"/>
            <w:vAlign w:val="bottom"/>
          </w:tcPr>
          <w:p>
            <w:pPr>
              <w:spacing w:after="0" w:line="242" w:lineRule="exact"/>
              <w:rPr>
                <w:sz w:val="20"/>
                <w:szCs w:val="20"/>
                <w:color w:val="auto"/>
              </w:rPr>
            </w:pPr>
            <w:r>
              <w:rPr>
                <w:rFonts w:ascii="Arial" w:cs="Arial" w:eastAsia="Arial" w:hAnsi="Arial"/>
                <w:sz w:val="18"/>
                <w:szCs w:val="18"/>
                <w:b w:val="1"/>
                <w:bCs w:val="1"/>
                <w:color w:val="auto"/>
              </w:rPr>
              <w:t xml:space="preserve">Property leases </w:t>
            </w:r>
            <w:r>
              <w:rPr>
                <w:rFonts w:ascii="Arial" w:cs="Arial" w:eastAsia="Arial" w:hAnsi="Arial"/>
                <w:sz w:val="23"/>
                <w:szCs w:val="23"/>
                <w:b w:val="1"/>
                <w:bCs w:val="1"/>
                <w:color w:val="auto"/>
                <w:vertAlign w:val="superscript"/>
              </w:rPr>
              <w:t>(a)</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128</w:t>
            </w:r>
          </w:p>
        </w:tc>
        <w:tc>
          <w:tcPr>
            <w:tcW w:w="120" w:type="dxa"/>
            <w:vAlign w:val="bottom"/>
          </w:tcPr>
          <w:p>
            <w:pPr>
              <w:spacing w:after="0"/>
              <w:rPr>
                <w:sz w:val="18"/>
                <w:szCs w:val="18"/>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356</w:t>
            </w:r>
          </w:p>
        </w:tc>
      </w:tr>
      <w:tr>
        <w:trPr>
          <w:trHeight w:val="263"/>
        </w:trPr>
        <w:tc>
          <w:tcPr>
            <w:tcW w:w="4000" w:type="dxa"/>
            <w:vAlign w:val="bottom"/>
          </w:tcPr>
          <w:p>
            <w:pPr>
              <w:spacing w:after="0"/>
              <w:rPr>
                <w:sz w:val="20"/>
                <w:szCs w:val="20"/>
                <w:color w:val="auto"/>
              </w:rPr>
            </w:pPr>
            <w:r>
              <w:rPr>
                <w:rFonts w:ascii="Arial" w:cs="Arial" w:eastAsia="Arial" w:hAnsi="Arial"/>
                <w:sz w:val="18"/>
                <w:szCs w:val="18"/>
                <w:color w:val="auto"/>
              </w:rPr>
              <w:t>Variable lease expense</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w:t>
            </w:r>
          </w:p>
        </w:tc>
      </w:tr>
      <w:tr>
        <w:trPr>
          <w:trHeight w:val="257"/>
        </w:trPr>
        <w:tc>
          <w:tcPr>
            <w:tcW w:w="4000" w:type="dxa"/>
            <w:vAlign w:val="bottom"/>
          </w:tcPr>
          <w:p>
            <w:pPr>
              <w:spacing w:after="0"/>
              <w:rPr>
                <w:sz w:val="20"/>
                <w:szCs w:val="20"/>
                <w:color w:val="auto"/>
              </w:rPr>
            </w:pPr>
            <w:r>
              <w:rPr>
                <w:rFonts w:ascii="Arial" w:cs="Arial" w:eastAsia="Arial" w:hAnsi="Arial"/>
                <w:sz w:val="18"/>
                <w:szCs w:val="18"/>
                <w:b w:val="1"/>
                <w:bCs w:val="1"/>
                <w:color w:val="auto"/>
              </w:rPr>
              <w:t>Total property lease expense</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148</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482</w:t>
            </w:r>
          </w:p>
        </w:tc>
      </w:tr>
      <w:tr>
        <w:trPr>
          <w:trHeight w:val="20"/>
        </w:trPr>
        <w:tc>
          <w:tcPr>
            <w:tcW w:w="4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820" w:right="60" w:hanging="326"/>
        <w:spacing w:after="0" w:line="211" w:lineRule="auto"/>
        <w:tabs>
          <w:tab w:leader="none" w:pos="65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Primarily included in operating expense and includes $30 million of minimum annual guaranteed rent in excess of concession fees as defined in our rental concession agreement for the three and six months ended June 30, 2020.</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3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ind w:right="69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ind w:right="71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8"/>
                <w:szCs w:val="18"/>
                <w:color w:val="auto"/>
              </w:rPr>
            </w:pPr>
          </w:p>
        </w:tc>
      </w:tr>
      <w:tr>
        <w:trPr>
          <w:trHeight w:val="246"/>
        </w:trPr>
        <w:tc>
          <w:tcPr>
            <w:tcW w:w="5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June 30, 2020</w:t>
            </w: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tcBorders>
              <w:bottom w:val="single" w:sz="8" w:color="auto"/>
            </w:tcBorders>
          </w:tcPr>
          <w:p>
            <w:pPr>
              <w:spacing w:after="0"/>
              <w:rPr>
                <w:sz w:val="21"/>
                <w:szCs w:val="2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b w:val="1"/>
                <w:bCs w:val="1"/>
                <w:color w:val="auto"/>
              </w:rPr>
              <w:t>Property leases</w:t>
            </w:r>
          </w:p>
        </w:tc>
        <w:tc>
          <w:tcPr>
            <w:tcW w:w="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6"/>
        </w:trPr>
        <w:tc>
          <w:tcPr>
            <w:tcW w:w="5180" w:type="dxa"/>
            <w:vAlign w:val="bottom"/>
          </w:tcPr>
          <w:p>
            <w:pPr>
              <w:ind w:left="180"/>
              <w:spacing w:after="0"/>
              <w:rPr>
                <w:sz w:val="20"/>
                <w:szCs w:val="20"/>
                <w:color w:val="auto"/>
              </w:rPr>
            </w:pPr>
            <w:r>
              <w:rPr>
                <w:rFonts w:ascii="Arial" w:cs="Arial" w:eastAsia="Arial" w:hAnsi="Arial"/>
                <w:sz w:val="18"/>
                <w:szCs w:val="18"/>
                <w:color w:val="auto"/>
              </w:rPr>
              <w:t>Operating lease ROU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2,714</w:t>
            </w:r>
          </w:p>
        </w:tc>
        <w:tc>
          <w:tcPr>
            <w:tcW w:w="6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2,596</w:t>
            </w:r>
          </w:p>
        </w:tc>
        <w:tc>
          <w:tcPr>
            <w:tcW w:w="220" w:type="dxa"/>
            <w:vAlign w:val="bottom"/>
          </w:tcPr>
          <w:p>
            <w:pPr>
              <w:spacing w:after="0"/>
              <w:rPr>
                <w:sz w:val="22"/>
                <w:szCs w:val="22"/>
                <w:color w:val="auto"/>
              </w:rPr>
            </w:pPr>
          </w:p>
        </w:tc>
      </w:tr>
      <w:tr>
        <w:trPr>
          <w:trHeight w:val="398"/>
        </w:trPr>
        <w:tc>
          <w:tcPr>
            <w:tcW w:w="5180" w:type="dxa"/>
            <w:vAlign w:val="bottom"/>
          </w:tcPr>
          <w:p>
            <w:pPr>
              <w:ind w:left="20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18"/>
                <w:szCs w:val="18"/>
                <w:color w:val="auto"/>
                <w:vertAlign w:val="superscript"/>
              </w:rPr>
              <w:t>(a)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513</w:t>
            </w:r>
          </w:p>
        </w:tc>
        <w:tc>
          <w:tcPr>
            <w:tcW w:w="6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24"/>
                <w:szCs w:val="24"/>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3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220" w:type="dxa"/>
            <w:vAlign w:val="bottom"/>
            <w:tcBorders>
              <w:bottom w:val="single" w:sz="8" w:color="auto"/>
            </w:tcBorders>
          </w:tcPr>
          <w:p>
            <w:pPr>
              <w:spacing w:after="0"/>
              <w:rPr>
                <w:sz w:val="20"/>
                <w:szCs w:val="20"/>
                <w:color w:val="auto"/>
              </w:rPr>
            </w:pPr>
          </w:p>
        </w:tc>
      </w:tr>
      <w:tr>
        <w:trPr>
          <w:trHeight w:val="250"/>
        </w:trPr>
        <w:tc>
          <w:tcPr>
            <w:tcW w:w="518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220" w:type="dxa"/>
            <w:vAlign w:val="bottom"/>
            <w:tcBorders>
              <w:bottom w:val="single" w:sz="8" w:color="auto"/>
            </w:tcBorders>
          </w:tcPr>
          <w:p>
            <w:pPr>
              <w:spacing w:after="0"/>
              <w:rPr>
                <w:sz w:val="21"/>
                <w:szCs w:val="21"/>
                <w:color w:val="auto"/>
              </w:rPr>
            </w:pPr>
          </w:p>
        </w:tc>
      </w:tr>
      <w:tr>
        <w:trPr>
          <w:trHeight w:val="338"/>
        </w:trPr>
        <w:tc>
          <w:tcPr>
            <w:tcW w:w="5180" w:type="dxa"/>
            <w:vAlign w:val="bottom"/>
          </w:tcPr>
          <w:p>
            <w:pPr>
              <w:ind w:left="180"/>
              <w:spacing w:after="0"/>
              <w:rPr>
                <w:sz w:val="20"/>
                <w:szCs w:val="20"/>
                <w:color w:val="auto"/>
              </w:rPr>
            </w:pPr>
            <w:r>
              <w:rPr>
                <w:rFonts w:ascii="Arial" w:cs="Arial" w:eastAsia="Arial" w:hAnsi="Arial"/>
                <w:sz w:val="18"/>
                <w:szCs w:val="18"/>
                <w:color w:val="auto"/>
              </w:rPr>
              <w:t>Weighted average remaining lease term</w:t>
            </w:r>
          </w:p>
        </w:tc>
        <w:tc>
          <w:tcPr>
            <w:tcW w:w="380" w:type="dxa"/>
            <w:vAlign w:val="bottom"/>
          </w:tcPr>
          <w:p>
            <w:pPr>
              <w:spacing w:after="0"/>
              <w:rPr>
                <w:sz w:val="24"/>
                <w:szCs w:val="24"/>
                <w:color w:val="auto"/>
              </w:rPr>
            </w:pPr>
          </w:p>
        </w:tc>
        <w:tc>
          <w:tcPr>
            <w:tcW w:w="2420" w:type="dxa"/>
            <w:vAlign w:val="bottom"/>
            <w:gridSpan w:val="4"/>
          </w:tcPr>
          <w:p>
            <w:pPr>
              <w:jc w:val="right"/>
              <w:ind w:right="310"/>
              <w:spacing w:after="0"/>
              <w:rPr>
                <w:sz w:val="20"/>
                <w:szCs w:val="20"/>
                <w:color w:val="auto"/>
              </w:rPr>
            </w:pPr>
            <w:r>
              <w:rPr>
                <w:rFonts w:ascii="Arial" w:cs="Arial" w:eastAsia="Arial" w:hAnsi="Arial"/>
                <w:sz w:val="18"/>
                <w:szCs w:val="18"/>
                <w:color w:val="auto"/>
              </w:rPr>
              <w:t>8.8 years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8.9 years</w:t>
            </w:r>
          </w:p>
        </w:tc>
      </w:tr>
      <w:tr>
        <w:trPr>
          <w:trHeight w:val="256"/>
        </w:trPr>
        <w:tc>
          <w:tcPr>
            <w:tcW w:w="5180" w:type="dxa"/>
            <w:vAlign w:val="bottom"/>
          </w:tcPr>
          <w:p>
            <w:pPr>
              <w:ind w:left="180"/>
              <w:spacing w:after="0"/>
              <w:rPr>
                <w:sz w:val="20"/>
                <w:szCs w:val="20"/>
                <w:color w:val="auto"/>
              </w:rPr>
            </w:pPr>
            <w:r>
              <w:rPr>
                <w:rFonts w:ascii="Arial" w:cs="Arial" w:eastAsia="Arial" w:hAnsi="Arial"/>
                <w:sz w:val="18"/>
                <w:szCs w:val="18"/>
                <w:color w:val="auto"/>
              </w:rPr>
              <w:t>Weighted average discount rate</w:t>
            </w:r>
          </w:p>
        </w:tc>
        <w:tc>
          <w:tcPr>
            <w:tcW w:w="3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640" w:hanging="146"/>
        <w:spacing w:after="0" w:line="229" w:lineRule="auto"/>
        <w:tabs>
          <w:tab w:leader="none" w:pos="640"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Included in Accounts payable and other current liabilities.</w:t>
      </w:r>
    </w:p>
    <w:p>
      <w:pPr>
        <w:sectPr>
          <w:pgSz w:w="11900" w:h="16838" w:orient="portrait"/>
          <w:cols w:equalWidth="0" w:num="1">
            <w:col w:w="11240"/>
          </w:cols>
          <w:pgMar w:left="320" w:top="140" w:right="339" w:bottom="9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995"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41"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125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1"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8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Cash payments for lease liabilities within operating activities:</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6"/>
        </w:trPr>
        <w:tc>
          <w:tcPr>
            <w:tcW w:w="6800" w:type="dxa"/>
            <w:vAlign w:val="bottom"/>
          </w:tcPr>
          <w:p>
            <w:pPr>
              <w:ind w:left="180"/>
              <w:spacing w:after="0"/>
              <w:rPr>
                <w:sz w:val="20"/>
                <w:szCs w:val="20"/>
                <w:color w:val="auto"/>
              </w:rPr>
            </w:pPr>
            <w:r>
              <w:rPr>
                <w:rFonts w:ascii="Arial" w:cs="Arial" w:eastAsia="Arial" w:hAnsi="Arial"/>
                <w:sz w:val="18"/>
                <w:szCs w:val="18"/>
                <w:color w:val="auto"/>
              </w:rPr>
              <w:t>Property operating leases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378</w:t>
            </w:r>
          </w:p>
        </w:tc>
      </w:tr>
      <w:tr>
        <w:trPr>
          <w:trHeight w:val="202"/>
        </w:trPr>
        <w:tc>
          <w:tcPr>
            <w:tcW w:w="6800" w:type="dxa"/>
            <w:vAlign w:val="bottom"/>
          </w:tcPr>
          <w:p>
            <w:pPr>
              <w:spacing w:after="0" w:line="201" w:lineRule="exact"/>
              <w:rPr>
                <w:sz w:val="20"/>
                <w:szCs w:val="20"/>
                <w:color w:val="auto"/>
              </w:rPr>
            </w:pPr>
            <w:r>
              <w:rPr>
                <w:rFonts w:ascii="Arial" w:cs="Arial" w:eastAsia="Arial" w:hAnsi="Arial"/>
                <w:sz w:val="18"/>
                <w:szCs w:val="18"/>
                <w:color w:val="auto"/>
              </w:rPr>
              <w:t>Non-cash activities - increase (decrease) in ROU assets in exchange for lease</w:t>
            </w: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7"/>
        </w:trPr>
        <w:tc>
          <w:tcPr>
            <w:tcW w:w="680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7"/>
        </w:trPr>
        <w:tc>
          <w:tcPr>
            <w:tcW w:w="6800" w:type="dxa"/>
            <w:vAlign w:val="bottom"/>
          </w:tcPr>
          <w:p>
            <w:pPr>
              <w:ind w:left="200"/>
              <w:spacing w:after="0"/>
              <w:rPr>
                <w:sz w:val="20"/>
                <w:szCs w:val="20"/>
                <w:color w:val="auto"/>
              </w:rPr>
            </w:pPr>
            <w:r>
              <w:rPr>
                <w:rFonts w:ascii="Arial" w:cs="Arial" w:eastAsia="Arial" w:hAnsi="Arial"/>
                <w:sz w:val="18"/>
                <w:szCs w:val="18"/>
                <w:color w:val="auto"/>
              </w:rPr>
              <w:t xml:space="preserve">Property operating leases </w:t>
            </w:r>
            <w:r>
              <w:rPr>
                <w:rFonts w:ascii="Arial" w:cs="Arial" w:eastAsia="Arial" w:hAnsi="Arial"/>
                <w:sz w:val="18"/>
                <w:szCs w:val="18"/>
                <w:color w:val="auto"/>
                <w:vertAlign w:val="superscript"/>
              </w:rPr>
              <w:t>(a)</w:t>
            </w:r>
          </w:p>
        </w:tc>
        <w:tc>
          <w:tcPr>
            <w:tcW w:w="1080" w:type="dxa"/>
            <w:vAlign w:val="bottom"/>
          </w:tcPr>
          <w:p>
            <w:pPr>
              <w:spacing w:after="0"/>
              <w:rPr>
                <w:sz w:val="24"/>
                <w:szCs w:val="24"/>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w:t>
            </w:r>
          </w:p>
        </w:tc>
      </w:tr>
    </w:tbl>
    <w:p>
      <w:pPr>
        <w:spacing w:after="0" w:line="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820" w:hanging="326"/>
        <w:spacing w:after="0" w:line="205" w:lineRule="auto"/>
        <w:tabs>
          <w:tab w:leader="none" w:pos="820" w:val="left"/>
        </w:tabs>
        <w:numPr>
          <w:ilvl w:val="1"/>
          <w:numId w:val="8"/>
        </w:numPr>
        <w:rPr>
          <w:rFonts w:ascii="Arial" w:cs="Arial" w:eastAsia="Arial" w:hAnsi="Arial"/>
          <w:sz w:val="21"/>
          <w:szCs w:val="21"/>
          <w:color w:val="auto"/>
          <w:vertAlign w:val="superscript"/>
        </w:rPr>
      </w:pPr>
      <w:r>
        <w:rPr>
          <w:rFonts w:ascii="Arial" w:cs="Arial" w:eastAsia="Arial" w:hAnsi="Arial"/>
          <w:sz w:val="16"/>
          <w:szCs w:val="16"/>
          <w:color w:val="auto"/>
        </w:rPr>
        <w:t>For the six months ended June 2019, ROU assets obtained in exchange for lease liabilities from initial recognition</w:t>
      </w:r>
      <w:r>
        <w:rPr>
          <w:rFonts w:ascii="Arial" w:cs="Arial" w:eastAsia="Arial" w:hAnsi="Arial"/>
          <w:sz w:val="14"/>
          <w:szCs w:val="14"/>
          <w:color w:val="auto"/>
        </w:rPr>
        <w:t>.</w:t>
      </w:r>
    </w:p>
    <w:p>
      <w:pPr>
        <w:spacing w:after="0" w:line="212" w:lineRule="exact"/>
        <w:rPr>
          <w:rFonts w:ascii="Arial" w:cs="Arial" w:eastAsia="Arial" w:hAnsi="Arial"/>
          <w:sz w:val="21"/>
          <w:szCs w:val="21"/>
          <w:color w:val="auto"/>
          <w:vertAlign w:val="superscript"/>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Restructuring</w:t>
      </w:r>
    </w:p>
    <w:p>
      <w:pPr>
        <w:spacing w:after="0" w:line="274"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During first quarter 2020, the Company initiated a global restructuring plan to reduce operating costs, such as headcount and facilities, due to declining reservations and revenue resulting from the COVID-19 outbreak (“2020 Optimization Plan”). During the six months ended June 30, 2020, as part of this process, the Company formally communicated the termination of employment to approximately 2,400 employees. The Company expects further restructuring expense of approximately $20 million related to this initiative to be incurred in 2020.</w:t>
      </w:r>
    </w:p>
    <w:p>
      <w:pPr>
        <w:spacing w:after="0" w:line="232"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During third quarter 2019, the Company initiated a restructuring plan to exit its operations in Brazil by closing rental facilities, disposing of assets and terminating personnel (“Brazil”). During the six months ended June 30, 2020, as part of this initiative, the Company formally communicated the termination of employment to approximately 20 employees. The Company expects further restructuring expense of approximately $7 million to be incurred.</w:t>
      </w:r>
    </w:p>
    <w:p>
      <w:pPr>
        <w:spacing w:after="0" w:line="231"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During first quarter 2019, the Company initiated a restructuring plan to drive global efficiency by improving processes and consolidating functions, and to create new objectives and strategies for its U.S. truck rental operations by reducing headcount, large vehicles and rental locations (“T19”). This initiative is substantially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changes to our restructuring-related liabilities and identifies the amounts recorded within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Company’s reporting segments for restructuring charges and corresponding payments and utilizations:</w:t>
      </w:r>
    </w:p>
    <w:p>
      <w:pPr>
        <w:spacing w:after="0" w:line="46"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Americas</w:t>
            </w:r>
          </w:p>
        </w:tc>
        <w:tc>
          <w:tcPr>
            <w:tcW w:w="14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19"/>
                <w:szCs w:val="19"/>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Balance as of January 1, 2020</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w:t>
            </w:r>
          </w:p>
        </w:tc>
      </w:tr>
      <w:tr>
        <w:trPr>
          <w:trHeight w:val="257"/>
        </w:trPr>
        <w:tc>
          <w:tcPr>
            <w:tcW w:w="448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4480" w:type="dxa"/>
            <w:vAlign w:val="bottom"/>
          </w:tcPr>
          <w:p>
            <w:pPr>
              <w:ind w:left="280"/>
              <w:spacing w:after="0"/>
              <w:rPr>
                <w:sz w:val="20"/>
                <w:szCs w:val="20"/>
                <w:color w:val="auto"/>
              </w:rPr>
            </w:pPr>
            <w:r>
              <w:rPr>
                <w:rFonts w:ascii="Arial" w:cs="Arial" w:eastAsia="Arial" w:hAnsi="Arial"/>
                <w:sz w:val="18"/>
                <w:szCs w:val="18"/>
                <w:color w:val="auto"/>
              </w:rPr>
              <w:t>2020 Optimization Plan</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47</w:t>
            </w:r>
          </w:p>
        </w:tc>
      </w:tr>
      <w:tr>
        <w:trPr>
          <w:trHeight w:val="257"/>
        </w:trPr>
        <w:tc>
          <w:tcPr>
            <w:tcW w:w="4480" w:type="dxa"/>
            <w:vAlign w:val="bottom"/>
          </w:tcPr>
          <w:p>
            <w:pPr>
              <w:ind w:left="28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57"/>
        </w:trPr>
        <w:tc>
          <w:tcPr>
            <w:tcW w:w="4480" w:type="dxa"/>
            <w:vAlign w:val="bottom"/>
          </w:tcPr>
          <w:p>
            <w:pPr>
              <w:ind w:left="28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57"/>
        </w:trPr>
        <w:tc>
          <w:tcPr>
            <w:tcW w:w="4480" w:type="dxa"/>
            <w:vAlign w:val="bottom"/>
          </w:tcPr>
          <w:p>
            <w:pPr>
              <w:ind w:left="180"/>
              <w:spacing w:after="0"/>
              <w:rPr>
                <w:sz w:val="20"/>
                <w:szCs w:val="20"/>
                <w:color w:val="auto"/>
              </w:rPr>
            </w:pPr>
            <w:r>
              <w:rPr>
                <w:rFonts w:ascii="Arial" w:cs="Arial" w:eastAsia="Arial" w:hAnsi="Arial"/>
                <w:sz w:val="18"/>
                <w:szCs w:val="18"/>
                <w:color w:val="auto"/>
              </w:rPr>
              <w:t>Restructuring payment/utilization:</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4480" w:type="dxa"/>
            <w:vAlign w:val="bottom"/>
          </w:tcPr>
          <w:p>
            <w:pPr>
              <w:ind w:left="280"/>
              <w:spacing w:after="0"/>
              <w:rPr>
                <w:sz w:val="20"/>
                <w:szCs w:val="20"/>
                <w:color w:val="auto"/>
              </w:rPr>
            </w:pPr>
            <w:r>
              <w:rPr>
                <w:rFonts w:ascii="Arial" w:cs="Arial" w:eastAsia="Arial" w:hAnsi="Arial"/>
                <w:sz w:val="18"/>
                <w:szCs w:val="18"/>
                <w:color w:val="auto"/>
              </w:rPr>
              <w:t>2020 Optimization Plan</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57"/>
        </w:trPr>
        <w:tc>
          <w:tcPr>
            <w:tcW w:w="4480" w:type="dxa"/>
            <w:vAlign w:val="bottom"/>
          </w:tcPr>
          <w:p>
            <w:pPr>
              <w:ind w:left="28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63"/>
        </w:trPr>
        <w:tc>
          <w:tcPr>
            <w:tcW w:w="4480" w:type="dxa"/>
            <w:vAlign w:val="bottom"/>
          </w:tcPr>
          <w:p>
            <w:pPr>
              <w:ind w:left="28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r>
      <w:tr>
        <w:trPr>
          <w:trHeight w:val="257"/>
        </w:trPr>
        <w:tc>
          <w:tcPr>
            <w:tcW w:w="4480" w:type="dxa"/>
            <w:vAlign w:val="bottom"/>
          </w:tcPr>
          <w:p>
            <w:pPr>
              <w:spacing w:after="0"/>
              <w:rPr>
                <w:sz w:val="20"/>
                <w:szCs w:val="20"/>
                <w:color w:val="auto"/>
              </w:rPr>
            </w:pPr>
            <w:r>
              <w:rPr>
                <w:rFonts w:ascii="Arial" w:cs="Arial" w:eastAsia="Arial" w:hAnsi="Arial"/>
                <w:sz w:val="18"/>
                <w:szCs w:val="18"/>
                <w:color w:val="auto"/>
              </w:rPr>
              <w:t>Balance as of June 30, 2020</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w:t>
            </w:r>
          </w:p>
        </w:tc>
      </w:tr>
      <w:tr>
        <w:trPr>
          <w:trHeight w:val="21"/>
        </w:trPr>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26"/>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Facility</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Personnel</w:t>
            </w:r>
          </w:p>
        </w:tc>
        <w:tc>
          <w:tcPr>
            <w:tcW w:w="2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Related</w:t>
            </w:r>
          </w:p>
        </w:tc>
        <w:tc>
          <w:tcPr>
            <w:tcW w:w="140" w:type="dxa"/>
            <w:vAlign w:val="bottom"/>
          </w:tcPr>
          <w:p>
            <w:pPr>
              <w:spacing w:after="0"/>
              <w:rPr>
                <w:sz w:val="20"/>
                <w:szCs w:val="20"/>
                <w:color w:val="auto"/>
              </w:rPr>
            </w:pPr>
          </w:p>
        </w:tc>
        <w:tc>
          <w:tcPr>
            <w:tcW w:w="1300" w:type="dxa"/>
            <w:vAlign w:val="bottom"/>
            <w:gridSpan w:val="2"/>
          </w:tcPr>
          <w:p>
            <w:pPr>
              <w:jc w:val="center"/>
              <w:ind w:right="260"/>
              <w:spacing w:after="0" w:line="234" w:lineRule="exact"/>
              <w:rPr>
                <w:sz w:val="20"/>
                <w:szCs w:val="20"/>
                <w:color w:val="auto"/>
              </w:rPr>
            </w:pPr>
            <w:r>
              <w:rPr>
                <w:rFonts w:ascii="Arial" w:cs="Arial" w:eastAsia="Arial" w:hAnsi="Arial"/>
                <w:sz w:val="16"/>
                <w:szCs w:val="16"/>
                <w:b w:val="1"/>
                <w:bCs w:val="1"/>
                <w:color w:val="auto"/>
                <w:w w:val="93"/>
              </w:rPr>
              <w:t xml:space="preserve">Other </w:t>
            </w:r>
            <w:r>
              <w:rPr>
                <w:rFonts w:ascii="Arial" w:cs="Arial" w:eastAsia="Arial" w:hAnsi="Arial"/>
                <w:sz w:val="21"/>
                <w:szCs w:val="21"/>
                <w:b w:val="1"/>
                <w:bCs w:val="1"/>
                <w:color w:val="auto"/>
                <w:w w:val="93"/>
                <w:vertAlign w:val="superscript"/>
              </w:rPr>
              <w:t>(a)</w:t>
            </w:r>
          </w:p>
        </w:tc>
        <w:tc>
          <w:tcPr>
            <w:tcW w:w="300" w:type="dxa"/>
            <w:vAlign w:val="bottom"/>
          </w:tcPr>
          <w:p>
            <w:pPr>
              <w:spacing w:after="0"/>
              <w:rPr>
                <w:sz w:val="20"/>
                <w:szCs w:val="20"/>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37"/>
        </w:trPr>
        <w:tc>
          <w:tcPr>
            <w:tcW w:w="4480" w:type="dxa"/>
            <w:vAlign w:val="bottom"/>
          </w:tcPr>
          <w:p>
            <w:pPr>
              <w:spacing w:after="0"/>
              <w:rPr>
                <w:sz w:val="20"/>
                <w:szCs w:val="20"/>
                <w:color w:val="auto"/>
              </w:rPr>
            </w:pPr>
            <w:r>
              <w:rPr>
                <w:rFonts w:ascii="Arial" w:cs="Arial" w:eastAsia="Arial" w:hAnsi="Arial"/>
                <w:sz w:val="18"/>
                <w:szCs w:val="18"/>
                <w:color w:val="auto"/>
              </w:rPr>
              <w:t>Balance as of January 1, 2020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w:t>
            </w:r>
          </w:p>
        </w:tc>
      </w:tr>
      <w:tr>
        <w:trPr>
          <w:trHeight w:val="257"/>
        </w:trPr>
        <w:tc>
          <w:tcPr>
            <w:tcW w:w="448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4480" w:type="dxa"/>
            <w:vAlign w:val="bottom"/>
          </w:tcPr>
          <w:p>
            <w:pPr>
              <w:ind w:left="280"/>
              <w:spacing w:after="0"/>
              <w:rPr>
                <w:sz w:val="20"/>
                <w:szCs w:val="20"/>
                <w:color w:val="auto"/>
              </w:rPr>
            </w:pPr>
            <w:r>
              <w:rPr>
                <w:rFonts w:ascii="Arial" w:cs="Arial" w:eastAsia="Arial" w:hAnsi="Arial"/>
                <w:sz w:val="18"/>
                <w:szCs w:val="18"/>
                <w:color w:val="auto"/>
              </w:rPr>
              <w:t>2020 Optimization Plan</w:t>
            </w:r>
          </w:p>
        </w:tc>
        <w:tc>
          <w:tcPr>
            <w:tcW w:w="200" w:type="dxa"/>
            <w:vAlign w:val="bottom"/>
          </w:tcPr>
          <w:p>
            <w:pPr>
              <w:spacing w:after="0"/>
              <w:rPr>
                <w:sz w:val="22"/>
                <w:szCs w:val="22"/>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47</w:t>
            </w:r>
          </w:p>
        </w:tc>
      </w:tr>
      <w:tr>
        <w:trPr>
          <w:trHeight w:val="256"/>
        </w:trPr>
        <w:tc>
          <w:tcPr>
            <w:tcW w:w="4480" w:type="dxa"/>
            <w:vAlign w:val="bottom"/>
          </w:tcPr>
          <w:p>
            <w:pPr>
              <w:ind w:left="28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22"/>
                <w:szCs w:val="22"/>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57"/>
        </w:trPr>
        <w:tc>
          <w:tcPr>
            <w:tcW w:w="4480" w:type="dxa"/>
            <w:vAlign w:val="bottom"/>
          </w:tcPr>
          <w:p>
            <w:pPr>
              <w:ind w:left="28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57"/>
        </w:trPr>
        <w:tc>
          <w:tcPr>
            <w:tcW w:w="4480" w:type="dxa"/>
            <w:vAlign w:val="bottom"/>
          </w:tcPr>
          <w:p>
            <w:pPr>
              <w:ind w:left="180"/>
              <w:spacing w:after="0"/>
              <w:rPr>
                <w:sz w:val="20"/>
                <w:szCs w:val="20"/>
                <w:color w:val="auto"/>
              </w:rPr>
            </w:pPr>
            <w:r>
              <w:rPr>
                <w:rFonts w:ascii="Arial" w:cs="Arial" w:eastAsia="Arial" w:hAnsi="Arial"/>
                <w:sz w:val="18"/>
                <w:szCs w:val="18"/>
                <w:color w:val="auto"/>
              </w:rPr>
              <w:t>Restructuring payment/utilization:</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4480" w:type="dxa"/>
            <w:vAlign w:val="bottom"/>
          </w:tcPr>
          <w:p>
            <w:pPr>
              <w:ind w:left="280"/>
              <w:spacing w:after="0"/>
              <w:rPr>
                <w:sz w:val="20"/>
                <w:szCs w:val="20"/>
                <w:color w:val="auto"/>
              </w:rPr>
            </w:pPr>
            <w:r>
              <w:rPr>
                <w:rFonts w:ascii="Arial" w:cs="Arial" w:eastAsia="Arial" w:hAnsi="Arial"/>
                <w:sz w:val="18"/>
                <w:szCs w:val="18"/>
                <w:color w:val="auto"/>
              </w:rPr>
              <w:t>2020 Optimization Plan</w:t>
            </w:r>
          </w:p>
        </w:tc>
        <w:tc>
          <w:tcPr>
            <w:tcW w:w="20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56"/>
        </w:trPr>
        <w:tc>
          <w:tcPr>
            <w:tcW w:w="4480" w:type="dxa"/>
            <w:vAlign w:val="bottom"/>
          </w:tcPr>
          <w:p>
            <w:pPr>
              <w:ind w:left="28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63"/>
        </w:trPr>
        <w:tc>
          <w:tcPr>
            <w:tcW w:w="4480" w:type="dxa"/>
            <w:vAlign w:val="bottom"/>
          </w:tcPr>
          <w:p>
            <w:pPr>
              <w:ind w:left="28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57"/>
        </w:trPr>
        <w:tc>
          <w:tcPr>
            <w:tcW w:w="4480" w:type="dxa"/>
            <w:vAlign w:val="bottom"/>
          </w:tcPr>
          <w:p>
            <w:pPr>
              <w:spacing w:after="0"/>
              <w:rPr>
                <w:sz w:val="20"/>
                <w:szCs w:val="20"/>
                <w:color w:val="auto"/>
              </w:rPr>
            </w:pPr>
            <w:r>
              <w:rPr>
                <w:rFonts w:ascii="Arial" w:cs="Arial" w:eastAsia="Arial" w:hAnsi="Arial"/>
                <w:sz w:val="18"/>
                <w:szCs w:val="18"/>
                <w:color w:val="auto"/>
              </w:rPr>
              <w:t>Balance as of June 30, 2020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11</w:t>
            </w: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98" w:lineRule="auto"/>
        <w:tabs>
          <w:tab w:leader="none" w:pos="8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expenses primarily related to the disposition of vehicles.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 (“LVOP”)</w:t>
      </w:r>
    </w:p>
    <w:p>
      <w:pPr>
        <w:spacing w:after="0" w:line="270"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During 2020, the Company offered a voluntary termination program to certain employees in field operations, shared services, and general and administrative functions for a limited time. These employees, if qualified, elected resignation from employment in return for enhanced severance benefits to be settled in cash. During the six months ended June 30, 2020, the Company recorded other related charges of approximately $18 million in connection with the LVOP. As of June 30, 2020, approximately 400 qualified employees elected to participate in the plan and the employment of all participants had been terminated.</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70" w:lineRule="exact"/>
        <w:rPr>
          <w:sz w:val="20"/>
          <w:szCs w:val="20"/>
          <w:color w:val="auto"/>
        </w:rPr>
      </w:pPr>
    </w:p>
    <w:p>
      <w:pPr>
        <w:jc w:val="both"/>
        <w:ind w:left="500" w:right="180"/>
        <w:spacing w:after="0" w:line="256" w:lineRule="auto"/>
        <w:rPr>
          <w:sz w:val="20"/>
          <w:szCs w:val="20"/>
          <w:color w:val="auto"/>
        </w:rPr>
      </w:pPr>
      <w:r>
        <w:rPr>
          <w:rFonts w:ascii="Arial" w:cs="Arial" w:eastAsia="Arial" w:hAnsi="Arial"/>
          <w:sz w:val="18"/>
          <w:szCs w:val="18"/>
          <w:color w:val="auto"/>
        </w:rPr>
        <w:t>In March 2020, the Company announced the departure of Michael K. Tucker as Executive Vice President, General Counsel effective March 27, 2020. In connection with Mr. Tucker’s separation, the Company recorded other related charges of approximately $2 million for the six months ended June 30, 2020.</w:t>
      </w:r>
    </w:p>
    <w:p>
      <w:pPr>
        <w:spacing w:after="0" w:line="229"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In March 2019, the Company announced the resignation of Mark J. Servodidio as the Company’s President, International effective June 14, 2019. In connection with Mr. Servodidio’s departure, the Company recorded other related charges of approximately $3 million, inclusive of accelerated stock-based compensation expense for the six months ended June 30, 2019.</w:t>
      </w:r>
    </w:p>
    <w:p>
      <w:pPr>
        <w:spacing w:after="0" w:line="229" w:lineRule="exact"/>
        <w:rPr>
          <w:sz w:val="20"/>
          <w:szCs w:val="20"/>
          <w:color w:val="auto"/>
        </w:rPr>
      </w:pPr>
    </w:p>
    <w:p>
      <w:pPr>
        <w:ind w:left="500" w:right="220"/>
        <w:spacing w:after="0" w:line="254" w:lineRule="auto"/>
        <w:rPr>
          <w:sz w:val="20"/>
          <w:szCs w:val="20"/>
          <w:color w:val="auto"/>
        </w:rPr>
      </w:pPr>
      <w:r>
        <w:rPr>
          <w:rFonts w:ascii="Arial" w:cs="Arial" w:eastAsia="Arial" w:hAnsi="Arial"/>
          <w:sz w:val="18"/>
          <w:szCs w:val="18"/>
          <w:color w:val="auto"/>
        </w:rPr>
        <w:t>In May 2019, the Company announced the resignation of Larry D. De Shon as the Company’s President and Chief Executive Officer. Mr. De Shon continued to serve in his role until December 31, 2019. In connection with Mr. De Shon’s departure, the Company recorded other related charges of approximately $8 million, inclusive of accelerated stock-based compensation expense for the six months ended June 30, 2019.</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3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Net income (loss) for basic and diluted EPS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 xml:space="preserve">Options and non-vested stock </w:t>
            </w:r>
            <w:r>
              <w:rPr>
                <w:rFonts w:ascii="Arial" w:cs="Arial" w:eastAsia="Arial" w:hAnsi="Arial"/>
                <w:sz w:val="23"/>
                <w:szCs w:val="23"/>
                <w:color w:val="auto"/>
                <w:vertAlign w:val="superscript"/>
              </w:rPr>
              <w:t>(a)</w:t>
            </w:r>
          </w:p>
        </w:tc>
        <w:tc>
          <w:tcPr>
            <w:tcW w:w="20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
        </w:trPr>
        <w:tc>
          <w:tcPr>
            <w:tcW w:w="5540" w:type="dxa"/>
            <w:vAlign w:val="bottom"/>
            <w:vMerge w:val="restart"/>
          </w:tcPr>
          <w:p>
            <w:pPr>
              <w:spacing w:after="0"/>
              <w:rPr>
                <w:sz w:val="20"/>
                <w:szCs w:val="20"/>
                <w:color w:val="auto"/>
              </w:rPr>
            </w:pPr>
            <w:r>
              <w:rPr>
                <w:rFonts w:ascii="Arial" w:cs="Arial" w:eastAsia="Arial" w:hAnsi="Arial"/>
                <w:sz w:val="18"/>
                <w:szCs w:val="18"/>
                <w:i w:val="1"/>
                <w:iCs w:val="1"/>
                <w:color w:val="auto"/>
              </w:rPr>
              <w:t>Earnings (Loss) per share:</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40" w:type="dxa"/>
            <w:vAlign w:val="bottom"/>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57"/>
        </w:trPr>
        <w:tc>
          <w:tcPr>
            <w:tcW w:w="5540" w:type="dxa"/>
            <w:vAlign w:val="bottom"/>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2" w:lineRule="exact"/>
        <w:rPr>
          <w:sz w:val="20"/>
          <w:szCs w:val="20"/>
          <w:color w:val="auto"/>
        </w:rPr>
      </w:pPr>
    </w:p>
    <w:p>
      <w:pPr>
        <w:ind w:left="820" w:hanging="326"/>
        <w:spacing w:after="0" w:line="233" w:lineRule="auto"/>
        <w:tabs>
          <w:tab w:leader="none" w:pos="813" w:val="left"/>
        </w:tabs>
        <w:numPr>
          <w:ilvl w:val="1"/>
          <w:numId w:val="11"/>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June 30, 2020, 1.3 million, respectively non-vested stock awards, have an anti-dilutive effect and therefore are excluded from the computation of diluted weighted average shares outstanding. For the three months ended June 30, 2019, 0.5 million non-vested stock awards at June 30, 2019, have an anti-dilutive effect and therefore are excluded from the computation of diluted weighted average shares outstanding. As the Company incurred a net loss for the six months ended June 30, 2019, 1.2 million non-vested stock awards at June 30, 2019 have an anti-dilutive effect and therefore are excluded from the computation of diluted weighted average shares outstanding.</w:t>
      </w:r>
    </w:p>
    <w:p>
      <w:pPr>
        <w:spacing w:after="0" w:line="214" w:lineRule="exact"/>
        <w:rPr>
          <w:rFonts w:ascii="Arial" w:cs="Arial" w:eastAsia="Arial" w:hAnsi="Arial"/>
          <w:sz w:val="21"/>
          <w:szCs w:val="21"/>
          <w:color w:val="auto"/>
          <w:vertAlign w:val="superscript"/>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Avis and Budget Licensees</w:t>
      </w:r>
    </w:p>
    <w:p>
      <w:pPr>
        <w:spacing w:after="0" w:line="274"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During the six months ended June 30, 2020, the Company completed the acquisitions of various licensees in North America and Europe, for approximately $27 million, plus $21 million for acquired fleet. These investments were in-line with the Company’s strategy to re-acquire licensees when advantageous to expand its footprint of Company-operated locations. The acquired fleet was financed under the Company’s existing financing arrangements. In connection with these acquisitions, approximately $27 million was recorded in other intangibles related to license agreements. The license agreements are being amortized over a weighted average useful life of approximately two years. The fair value of the assets acquired and liabilities assumed has not yet been finalized and is therefore subject to change.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tcPr>
          <w:p>
            <w:pPr>
              <w:spacing w:after="0"/>
              <w:rPr>
                <w:sz w:val="20"/>
                <w:szCs w:val="20"/>
                <w:color w:val="auto"/>
              </w:rPr>
            </w:pPr>
            <w:r>
              <w:rPr>
                <w:rFonts w:ascii="Arial" w:cs="Arial" w:eastAsia="Arial" w:hAnsi="Arial"/>
                <w:sz w:val="18"/>
                <w:szCs w:val="18"/>
                <w:b w:val="1"/>
                <w:bCs w:val="1"/>
                <w:color w:val="auto"/>
              </w:rPr>
              <w:t>6. Other Current Assets</w:t>
            </w:r>
          </w:p>
        </w:tc>
        <w:tc>
          <w:tcPr>
            <w:tcW w:w="2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60" w:type="dxa"/>
            <w:vAlign w:val="bottom"/>
          </w:tcPr>
          <w:p>
            <w:pPr>
              <w:ind w:left="500"/>
              <w:spacing w:after="0"/>
              <w:rPr>
                <w:sz w:val="20"/>
                <w:szCs w:val="20"/>
                <w:color w:val="auto"/>
              </w:rPr>
            </w:pPr>
            <w:r>
              <w:rPr>
                <w:rFonts w:ascii="Arial" w:cs="Arial" w:eastAsia="Arial" w:hAnsi="Arial"/>
                <w:sz w:val="18"/>
                <w:szCs w:val="18"/>
                <w:color w:val="auto"/>
              </w:rPr>
              <w:t>Other current assets consisted of:</w:t>
            </w:r>
          </w:p>
        </w:tc>
        <w:tc>
          <w:tcPr>
            <w:tcW w:w="2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160" w:type="dxa"/>
            <w:vAlign w:val="bottom"/>
          </w:tcPr>
          <w:p>
            <w:pPr>
              <w:jc w:val="center"/>
              <w:ind w:left="310"/>
              <w:spacing w:after="0"/>
              <w:rPr>
                <w:sz w:val="20"/>
                <w:szCs w:val="20"/>
                <w:color w:val="auto"/>
              </w:rPr>
            </w:pPr>
            <w:r>
              <w:rPr>
                <w:rFonts w:ascii="Arial" w:cs="Arial" w:eastAsia="Arial" w:hAnsi="Arial"/>
                <w:sz w:val="18"/>
                <w:szCs w:val="18"/>
                <w:b w:val="1"/>
                <w:bCs w:val="1"/>
                <w:color w:val="auto"/>
                <w:w w:val="97"/>
              </w:rPr>
              <w:t>As of</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160" w:type="dxa"/>
            <w:vAlign w:val="bottom"/>
          </w:tcPr>
          <w:p>
            <w:pPr>
              <w:jc w:val="center"/>
              <w:ind w:left="310"/>
              <w:spacing w:after="0" w:line="202" w:lineRule="exact"/>
              <w:rPr>
                <w:sz w:val="20"/>
                <w:szCs w:val="20"/>
                <w:color w:val="auto"/>
              </w:rPr>
            </w:pPr>
            <w:r>
              <w:rPr>
                <w:rFonts w:ascii="Arial" w:cs="Arial" w:eastAsia="Arial" w:hAnsi="Arial"/>
                <w:sz w:val="18"/>
                <w:szCs w:val="18"/>
                <w:b w:val="1"/>
                <w:bCs w:val="1"/>
                <w:color w:val="auto"/>
                <w:w w:val="99"/>
              </w:rPr>
              <w:t>June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As of December</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16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9"/>
              </w:rPr>
              <w:t>2020</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31, 2019</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520"/>
              <w:spacing w:after="0"/>
              <w:rPr>
                <w:sz w:val="20"/>
                <w:szCs w:val="20"/>
                <w:color w:val="auto"/>
              </w:rPr>
            </w:pPr>
            <w:r>
              <w:rPr>
                <w:rFonts w:ascii="Arial" w:cs="Arial" w:eastAsia="Arial" w:hAnsi="Arial"/>
                <w:sz w:val="18"/>
                <w:szCs w:val="18"/>
                <w:color w:val="auto"/>
              </w:rPr>
              <w:t>Prepaid expenses</w:t>
            </w:r>
          </w:p>
        </w:tc>
        <w:tc>
          <w:tcPr>
            <w:tcW w:w="412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w w:val="93"/>
              </w:rPr>
              <w:t>165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234</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60" w:type="dxa"/>
            <w:vAlign w:val="bottom"/>
          </w:tcPr>
          <w:p>
            <w:pPr>
              <w:ind w:left="520"/>
              <w:spacing w:after="0"/>
              <w:rPr>
                <w:sz w:val="20"/>
                <w:szCs w:val="20"/>
                <w:color w:val="auto"/>
              </w:rPr>
            </w:pPr>
            <w:r>
              <w:rPr>
                <w:rFonts w:ascii="Arial" w:cs="Arial" w:eastAsia="Arial" w:hAnsi="Arial"/>
                <w:sz w:val="18"/>
                <w:szCs w:val="18"/>
                <w:color w:val="auto"/>
              </w:rPr>
              <w:t>Sales and use taxes</w:t>
            </w:r>
          </w:p>
        </w:tc>
        <w:tc>
          <w:tcPr>
            <w:tcW w:w="2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w w:val="93"/>
              </w:rPr>
              <w:t>134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173</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360" w:type="dxa"/>
            <w:vAlign w:val="bottom"/>
          </w:tcPr>
          <w:p>
            <w:pPr>
              <w:ind w:left="520"/>
              <w:spacing w:after="0"/>
              <w:rPr>
                <w:sz w:val="20"/>
                <w:szCs w:val="20"/>
                <w:color w:val="auto"/>
              </w:rPr>
            </w:pPr>
            <w:r>
              <w:rPr>
                <w:rFonts w:ascii="Arial" w:cs="Arial" w:eastAsia="Arial" w:hAnsi="Arial"/>
                <w:sz w:val="18"/>
                <w:szCs w:val="18"/>
                <w:color w:val="auto"/>
              </w:rPr>
              <w:t>Other</w:t>
            </w:r>
          </w:p>
        </w:tc>
        <w:tc>
          <w:tcPr>
            <w:tcW w:w="296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146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141</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520"/>
              <w:spacing w:after="0"/>
              <w:rPr>
                <w:sz w:val="20"/>
                <w:szCs w:val="20"/>
                <w:color w:val="auto"/>
              </w:rPr>
            </w:pPr>
            <w:r>
              <w:rPr>
                <w:rFonts w:ascii="Arial" w:cs="Arial" w:eastAsia="Arial" w:hAnsi="Arial"/>
                <w:sz w:val="18"/>
                <w:szCs w:val="18"/>
                <w:color w:val="auto"/>
              </w:rPr>
              <w:t>Other current assets</w:t>
            </w:r>
          </w:p>
        </w:tc>
        <w:tc>
          <w:tcPr>
            <w:tcW w:w="412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w w:val="93"/>
              </w:rPr>
              <w:t>445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548</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960" w:type="dxa"/>
            <w:vAlign w:val="bottom"/>
            <w:vMerge w:val="restart"/>
          </w:tcPr>
          <w:p>
            <w:pPr>
              <w:jc w:val="right"/>
              <w:ind w:right="1510"/>
              <w:spacing w:after="0"/>
              <w:rPr>
                <w:sz w:val="20"/>
                <w:szCs w:val="20"/>
                <w:color w:val="auto"/>
              </w:rPr>
            </w:pPr>
            <w:r>
              <w:rPr>
                <w:rFonts w:ascii="Arial" w:cs="Arial" w:eastAsia="Arial" w:hAnsi="Arial"/>
                <w:sz w:val="18"/>
                <w:szCs w:val="18"/>
                <w:color w:val="auto"/>
              </w:rPr>
              <w:t>16</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3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w:t>
      </w:r>
    </w:p>
    <w:p>
      <w:pPr>
        <w:spacing w:after="0" w:line="46"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2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6"/>
                <w:szCs w:val="16"/>
                <w:b w:val="1"/>
                <w:bCs w:val="1"/>
                <w:color w:val="auto"/>
              </w:rPr>
              <w:t>As of June 30, 2020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6"/>
                <w:szCs w:val="16"/>
                <w:b w:val="1"/>
                <w:bCs w:val="1"/>
                <w:color w:val="auto"/>
              </w:rPr>
              <w:t>As of December 31, 2019</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right="15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880" w:type="dxa"/>
            <w:vAlign w:val="bottom"/>
          </w:tcPr>
          <w:p>
            <w:pPr>
              <w:jc w:val="center"/>
              <w:ind w:right="15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266</w:t>
            </w:r>
          </w:p>
        </w:tc>
        <w:tc>
          <w:tcPr>
            <w:tcW w:w="3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56"/>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78"/>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76"/>
              <w:spacing w:after="0"/>
              <w:rPr>
                <w:sz w:val="20"/>
                <w:szCs w:val="20"/>
                <w:color w:val="auto"/>
              </w:rPr>
            </w:pPr>
            <w:r>
              <w:rPr>
                <w:rFonts w:ascii="Arial" w:cs="Arial" w:eastAsia="Arial" w:hAnsi="Arial"/>
                <w:sz w:val="18"/>
                <w:szCs w:val="18"/>
                <w:color w:val="auto"/>
              </w:rPr>
              <w:t>241</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56"/>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58"/>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63"/>
        </w:trPr>
        <w:tc>
          <w:tcPr>
            <w:tcW w:w="2560" w:type="dxa"/>
            <w:vAlign w:val="bottom"/>
          </w:tcPr>
          <w:p>
            <w:pPr>
              <w:spacing w:after="0"/>
              <w:rPr>
                <w:sz w:val="20"/>
                <w:szCs w:val="20"/>
                <w:color w:val="auto"/>
              </w:rPr>
            </w:pPr>
            <w:r>
              <w:rPr>
                <w:rFonts w:ascii="Arial" w:cs="Arial" w:eastAsia="Arial" w:hAnsi="Arial"/>
                <w:sz w:val="16"/>
                <w:szCs w:val="16"/>
                <w:color w:val="auto"/>
              </w:rPr>
              <w:t>License agreements</w:t>
            </w:r>
          </w:p>
        </w:tc>
        <w:tc>
          <w:tcPr>
            <w:tcW w:w="2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40" w:type="dxa"/>
            <w:vAlign w:val="bottom"/>
            <w:gridSpan w:val="3"/>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60" w:type="dxa"/>
            <w:vAlign w:val="bottom"/>
          </w:tcPr>
          <w:p>
            <w:pPr>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58"/>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63"/>
        </w:trPr>
        <w:tc>
          <w:tcPr>
            <w:tcW w:w="256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6"/>
        </w:trPr>
        <w:tc>
          <w:tcPr>
            <w:tcW w:w="2560" w:type="dxa"/>
            <w:vAlign w:val="bottom"/>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571</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546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8"/>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
        </w:trPr>
        <w:tc>
          <w:tcPr>
            <w:tcW w:w="256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9"/>
        </w:trPr>
        <w:tc>
          <w:tcPr>
            <w:tcW w:w="2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560" w:type="dxa"/>
            <w:vAlign w:val="bottom"/>
          </w:tcPr>
          <w:p>
            <w:pPr>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560" w:type="dxa"/>
            <w:vAlign w:val="bottom"/>
          </w:tcPr>
          <w:p>
            <w:pPr>
              <w:spacing w:after="0"/>
              <w:rPr>
                <w:sz w:val="20"/>
                <w:szCs w:val="20"/>
                <w:color w:val="auto"/>
              </w:rPr>
            </w:pPr>
            <w:r>
              <w:rPr>
                <w:rFonts w:ascii="Arial" w:cs="Arial" w:eastAsia="Arial" w:hAnsi="Arial"/>
                <w:sz w:val="16"/>
                <w:szCs w:val="16"/>
                <w:color w:val="auto"/>
              </w:rPr>
              <w:t>Trademarks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For the three months ended June 30, 2020 and 2019, amortization expense related to amortizable intangible assets was approximately $16 million and $14 million, respectively. For the six months ended June 30, 2020 and 2019, amortization expense related to amortizable intangible assets was approximately $29 million and $31 million, respectively. Based on the Company’s amortizable intangible assets at June 30, 2020, the Company expects amortization expense of approximately $ 35 million for the remainder of 2020, $63 million for 2021, $32 million for 2022, $24 million for 2023, $21 million for 2024 and $16 million for 2025, excluding effects of currency exchange rates.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Vehicle Rental Activities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vehicles, net within assets under vehicle programs were as follows:</w:t>
      </w:r>
    </w:p>
    <w:p>
      <w:pPr>
        <w:spacing w:after="0" w:line="41"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As of</w:t>
            </w:r>
          </w:p>
        </w:tc>
        <w:tc>
          <w:tcPr>
            <w:tcW w:w="18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56"/>
        </w:trPr>
        <w:tc>
          <w:tcPr>
            <w:tcW w:w="6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22"/>
                <w:szCs w:val="22"/>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63"/>
        </w:trPr>
        <w:tc>
          <w:tcPr>
            <w:tcW w:w="6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2019</w:t>
            </w: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Rental vehicles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11,964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13,461</w:t>
            </w:r>
          </w:p>
        </w:tc>
      </w:tr>
      <w:tr>
        <w:trPr>
          <w:trHeight w:val="263"/>
        </w:trPr>
        <w:tc>
          <w:tcPr>
            <w:tcW w:w="68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(1,621)</w:t>
            </w:r>
          </w:p>
        </w:tc>
      </w:tr>
      <w:tr>
        <w:trPr>
          <w:trHeight w:val="243"/>
        </w:trPr>
        <w:tc>
          <w:tcPr>
            <w:tcW w:w="6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11,840</w:t>
            </w:r>
          </w:p>
        </w:tc>
      </w:tr>
      <w:tr>
        <w:trPr>
          <w:trHeight w:val="263"/>
        </w:trPr>
        <w:tc>
          <w:tcPr>
            <w:tcW w:w="6800" w:type="dxa"/>
            <w:vAlign w:val="bottom"/>
          </w:tcPr>
          <w:p>
            <w:pPr>
              <w:spacing w:after="0"/>
              <w:rPr>
                <w:sz w:val="20"/>
                <w:szCs w:val="20"/>
                <w:color w:val="auto"/>
              </w:rPr>
            </w:pPr>
            <w:r>
              <w:rPr>
                <w:rFonts w:ascii="Arial" w:cs="Arial" w:eastAsia="Arial" w:hAnsi="Arial"/>
                <w:sz w:val="18"/>
                <w:szCs w:val="18"/>
                <w:color w:val="auto"/>
              </w:rPr>
              <w:t>Vehicles held for sale</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337</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Vehicles,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12,177</w:t>
            </w:r>
          </w:p>
        </w:tc>
      </w:tr>
      <w:tr>
        <w:trPr>
          <w:trHeight w:val="20"/>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3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24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8"/>
              </w:rPr>
              <w:t>Six Months Ended</w:t>
            </w:r>
          </w:p>
        </w:tc>
      </w:tr>
      <w:tr>
        <w:trPr>
          <w:trHeight w:val="246"/>
        </w:trPr>
        <w:tc>
          <w:tcPr>
            <w:tcW w:w="42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June 30,</w:t>
            </w:r>
          </w:p>
        </w:tc>
        <w:tc>
          <w:tcPr>
            <w:tcW w:w="1000" w:type="dxa"/>
            <w:vAlign w:val="bottom"/>
            <w:tcBorders>
              <w:bottom w:val="single" w:sz="8" w:color="auto"/>
            </w:tcBorders>
          </w:tcPr>
          <w:p>
            <w:pPr>
              <w:spacing w:after="0"/>
              <w:rPr>
                <w:sz w:val="21"/>
                <w:szCs w:val="21"/>
                <w:color w:val="auto"/>
              </w:rPr>
            </w:pPr>
          </w:p>
        </w:tc>
      </w:tr>
      <w:tr>
        <w:trPr>
          <w:trHeight w:val="250"/>
        </w:trPr>
        <w:tc>
          <w:tcPr>
            <w:tcW w:w="424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Depreciation expense</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334</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941</w:t>
            </w:r>
          </w:p>
        </w:tc>
      </w:tr>
      <w:tr>
        <w:trPr>
          <w:trHeight w:val="256"/>
        </w:trPr>
        <w:tc>
          <w:tcPr>
            <w:tcW w:w="4240" w:type="dxa"/>
            <w:vAlign w:val="bottom"/>
          </w:tcPr>
          <w:p>
            <w:pPr>
              <w:spacing w:after="0"/>
              <w:rPr>
                <w:sz w:val="20"/>
                <w:szCs w:val="20"/>
                <w:color w:val="auto"/>
              </w:rPr>
            </w:pPr>
            <w:r>
              <w:rPr>
                <w:rFonts w:ascii="Arial" w:cs="Arial" w:eastAsia="Arial" w:hAnsi="Arial"/>
                <w:sz w:val="18"/>
                <w:szCs w:val="18"/>
                <w:color w:val="auto"/>
              </w:rPr>
              <w:t>Lease charges</w:t>
            </w:r>
          </w:p>
        </w:tc>
        <w:tc>
          <w:tcPr>
            <w:tcW w:w="920" w:type="dxa"/>
            <w:vAlign w:val="bottom"/>
          </w:tcPr>
          <w:p>
            <w:pPr>
              <w:spacing w:after="0"/>
              <w:rPr>
                <w:sz w:val="22"/>
                <w:szCs w:val="22"/>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119</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(Gain) loss on sale of vehicles, net</w:t>
            </w:r>
          </w:p>
        </w:tc>
        <w:tc>
          <w:tcPr>
            <w:tcW w:w="9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374</w:t>
            </w:r>
          </w:p>
        </w:tc>
        <w:tc>
          <w:tcPr>
            <w:tcW w:w="80" w:type="dxa"/>
            <w:vAlign w:val="bottom"/>
          </w:tcPr>
          <w:p>
            <w:pPr>
              <w:spacing w:after="0"/>
              <w:rPr>
                <w:sz w:val="21"/>
                <w:szCs w:val="21"/>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1,028</w:t>
            </w:r>
          </w:p>
        </w:tc>
      </w:tr>
      <w:tr>
        <w:trPr>
          <w:trHeight w:val="27"/>
        </w:trPr>
        <w:tc>
          <w:tcPr>
            <w:tcW w:w="4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50" w:lineRule="exact"/>
        <w:rPr>
          <w:sz w:val="20"/>
          <w:szCs w:val="20"/>
          <w:color w:val="auto"/>
        </w:rPr>
      </w:pPr>
    </w:p>
    <w:p>
      <w:pPr>
        <w:ind w:left="500" w:right="60"/>
        <w:spacing w:after="0" w:line="265" w:lineRule="auto"/>
        <w:rPr>
          <w:sz w:val="20"/>
          <w:szCs w:val="20"/>
          <w:color w:val="auto"/>
        </w:rPr>
      </w:pPr>
      <w:r>
        <w:rPr>
          <w:rFonts w:ascii="Arial" w:cs="Arial" w:eastAsia="Arial" w:hAnsi="Arial"/>
          <w:sz w:val="17"/>
          <w:szCs w:val="17"/>
          <w:color w:val="auto"/>
        </w:rPr>
        <w:t>At June 30, 2020 and 2019, the Company had payables related to vehicle purchases included in liabilities under vehicle programs - other of $150 million and $782 million, respectively, and receivables related to vehicle sales included in assets under vehicle programs</w:t>
      </w:r>
    </w:p>
    <w:p>
      <w:pPr>
        <w:ind w:left="600" w:hanging="106"/>
        <w:spacing w:after="0"/>
        <w:tabs>
          <w:tab w:leader="none" w:pos="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receivables from vehicle manufacturers and other of $419 million and $214 million, respectively.</w:t>
      </w:r>
    </w:p>
    <w:p>
      <w:pPr>
        <w:spacing w:after="0" w:line="230" w:lineRule="exact"/>
        <w:rPr>
          <w:rFonts w:ascii="Arial" w:cs="Arial" w:eastAsia="Arial" w:hAnsi="Arial"/>
          <w:sz w:val="18"/>
          <w:szCs w:val="18"/>
          <w:color w:val="auto"/>
        </w:rPr>
      </w:pPr>
    </w:p>
    <w:p>
      <w:pPr>
        <w:ind w:left="200" w:hanging="192"/>
        <w:spacing w:after="0"/>
        <w:tabs>
          <w:tab w:leader="none" w:pos="2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4" w:lineRule="exact"/>
        <w:rPr>
          <w:sz w:val="20"/>
          <w:szCs w:val="20"/>
          <w:color w:val="auto"/>
        </w:rPr>
      </w:pPr>
    </w:p>
    <w:p>
      <w:pPr>
        <w:ind w:left="500" w:right="140"/>
        <w:spacing w:after="0" w:line="261" w:lineRule="auto"/>
        <w:rPr>
          <w:sz w:val="20"/>
          <w:szCs w:val="20"/>
          <w:color w:val="auto"/>
        </w:rPr>
      </w:pPr>
      <w:r>
        <w:rPr>
          <w:rFonts w:ascii="Arial" w:cs="Arial" w:eastAsia="Arial" w:hAnsi="Arial"/>
          <w:sz w:val="18"/>
          <w:szCs w:val="18"/>
          <w:color w:val="auto"/>
        </w:rPr>
        <w:t>The Company’s effective tax rate for the six months ended June 30, 2020 was a benefit of 26.9%. Such rate differed from the Federal Statutory rate of 21.0% primarily due to foreign taxes on our International operations and state taxes.</w:t>
      </w:r>
    </w:p>
    <w:p>
      <w:pPr>
        <w:spacing w:after="0" w:line="225" w:lineRule="exact"/>
        <w:rPr>
          <w:sz w:val="20"/>
          <w:szCs w:val="20"/>
          <w:color w:val="auto"/>
        </w:rPr>
      </w:pPr>
    </w:p>
    <w:p>
      <w:pPr>
        <w:ind w:left="500" w:right="140"/>
        <w:spacing w:after="0" w:line="261" w:lineRule="auto"/>
        <w:rPr>
          <w:sz w:val="20"/>
          <w:szCs w:val="20"/>
          <w:color w:val="auto"/>
        </w:rPr>
      </w:pPr>
      <w:r>
        <w:rPr>
          <w:rFonts w:ascii="Arial" w:cs="Arial" w:eastAsia="Arial" w:hAnsi="Arial"/>
          <w:sz w:val="18"/>
          <w:szCs w:val="18"/>
          <w:color w:val="auto"/>
        </w:rPr>
        <w:t>The Company’s effective tax rate for the six months ended June 30, 2019 was a benefit of 47.3%. Such rate differed from the Federal statutory rate of 21.0% primarily due to foreign taxes on our International</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operations, state taxes and a one-time net tax benefit from the sale of equity investment in China during the second quarter of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10. Accounts Payable and Other Current Liabilities</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140" w:type="dxa"/>
            <w:vAlign w:val="bottom"/>
            <w:gridSpan w:val="2"/>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As of</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center"/>
              <w:ind w:right="215"/>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57"/>
        </w:trPr>
        <w:tc>
          <w:tcPr>
            <w:tcW w:w="5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9"/>
              </w:rPr>
              <w:t>June 30,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center"/>
              <w:ind w:right="55"/>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355"/>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35"/>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43"/>
        </w:trPr>
        <w:tc>
          <w:tcPr>
            <w:tcW w:w="6140" w:type="dxa"/>
            <w:vAlign w:val="bottom"/>
            <w:gridSpan w:val="2"/>
          </w:tcPr>
          <w:p>
            <w:pPr>
              <w:ind w:left="520"/>
              <w:spacing w:after="0"/>
              <w:rPr>
                <w:sz w:val="20"/>
                <w:szCs w:val="20"/>
                <w:color w:val="auto"/>
              </w:rPr>
            </w:pPr>
            <w:r>
              <w:rPr>
                <w:rFonts w:ascii="Arial" w:cs="Arial" w:eastAsia="Arial" w:hAnsi="Arial"/>
                <w:sz w:val="18"/>
                <w:szCs w:val="18"/>
                <w:color w:val="auto"/>
              </w:rPr>
              <w:t>Short-term operating lease liabilities</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57"/>
        </w:trPr>
        <w:tc>
          <w:tcPr>
            <w:tcW w:w="6140" w:type="dxa"/>
            <w:vAlign w:val="bottom"/>
            <w:gridSpan w:val="2"/>
          </w:tcPr>
          <w:p>
            <w:pPr>
              <w:ind w:left="52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57"/>
        </w:trPr>
        <w:tc>
          <w:tcPr>
            <w:tcW w:w="6140" w:type="dxa"/>
            <w:vAlign w:val="bottom"/>
            <w:gridSpan w:val="2"/>
          </w:tcPr>
          <w:p>
            <w:pPr>
              <w:ind w:left="520"/>
              <w:spacing w:after="0"/>
              <w:rPr>
                <w:sz w:val="20"/>
                <w:szCs w:val="20"/>
                <w:color w:val="auto"/>
              </w:rPr>
            </w:pPr>
            <w:r>
              <w:rPr>
                <w:rFonts w:ascii="Arial" w:cs="Arial" w:eastAsia="Arial" w:hAnsi="Arial"/>
                <w:sz w:val="18"/>
                <w:szCs w:val="18"/>
                <w:color w:val="auto"/>
              </w:rPr>
              <w:t>Accrued sales and use taxes</w:t>
            </w: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56"/>
        </w:trPr>
        <w:tc>
          <w:tcPr>
            <w:tcW w:w="6140" w:type="dxa"/>
            <w:vAlign w:val="bottom"/>
            <w:gridSpan w:val="2"/>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57"/>
        </w:trPr>
        <w:tc>
          <w:tcPr>
            <w:tcW w:w="6140" w:type="dxa"/>
            <w:vAlign w:val="bottom"/>
            <w:gridSpan w:val="2"/>
          </w:tcPr>
          <w:p>
            <w:pPr>
              <w:ind w:left="520"/>
              <w:spacing w:after="0"/>
              <w:rPr>
                <w:sz w:val="20"/>
                <w:szCs w:val="20"/>
                <w:color w:val="auto"/>
              </w:rPr>
            </w:pPr>
            <w:r>
              <w:rPr>
                <w:rFonts w:ascii="Arial" w:cs="Arial" w:eastAsia="Arial" w:hAnsi="Arial"/>
                <w:sz w:val="18"/>
                <w:szCs w:val="18"/>
                <w:color w:val="auto"/>
              </w:rPr>
              <w:t>Accrued advertising and marketing</w:t>
            </w: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7"/>
        </w:trPr>
        <w:tc>
          <w:tcPr>
            <w:tcW w:w="6140" w:type="dxa"/>
            <w:vAlign w:val="bottom"/>
            <w:gridSpan w:val="2"/>
          </w:tcPr>
          <w:p>
            <w:pPr>
              <w:ind w:left="520"/>
              <w:spacing w:after="0"/>
              <w:rPr>
                <w:sz w:val="20"/>
                <w:szCs w:val="20"/>
                <w:color w:val="auto"/>
              </w:rPr>
            </w:pPr>
            <w:r>
              <w:rPr>
                <w:rFonts w:ascii="Arial" w:cs="Arial" w:eastAsia="Arial" w:hAnsi="Arial"/>
                <w:sz w:val="18"/>
                <w:szCs w:val="18"/>
                <w:color w:val="auto"/>
              </w:rPr>
              <w:t>Accrued payroll and related</w:t>
            </w: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7"/>
        </w:trPr>
        <w:tc>
          <w:tcPr>
            <w:tcW w:w="6140" w:type="dxa"/>
            <w:vAlign w:val="bottom"/>
            <w:gridSpan w:val="2"/>
          </w:tcPr>
          <w:p>
            <w:pPr>
              <w:ind w:left="520"/>
              <w:spacing w:after="0"/>
              <w:rPr>
                <w:sz w:val="20"/>
                <w:szCs w:val="20"/>
                <w:color w:val="auto"/>
              </w:rPr>
            </w:pPr>
            <w:r>
              <w:rPr>
                <w:rFonts w:ascii="Arial" w:cs="Arial" w:eastAsia="Arial" w:hAnsi="Arial"/>
                <w:sz w:val="18"/>
                <w:szCs w:val="18"/>
                <w:color w:val="auto"/>
              </w:rPr>
              <w:t>Deferred lease revenues – current</w:t>
            </w: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63"/>
        </w:trPr>
        <w:tc>
          <w:tcPr>
            <w:tcW w:w="614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56"/>
        </w:trPr>
        <w:tc>
          <w:tcPr>
            <w:tcW w:w="6140" w:type="dxa"/>
            <w:vAlign w:val="bottom"/>
            <w:gridSpan w:val="2"/>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2"/>
                <w:szCs w:val="22"/>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Long-term Corporate Debt and Borrowing Arrangements</w:t>
            </w:r>
          </w:p>
        </w:tc>
        <w:tc>
          <w:tcPr>
            <w:tcW w:w="1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614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140" w:type="dxa"/>
            <w:vAlign w:val="bottom"/>
            <w:gridSpan w:val="2"/>
          </w:tcPr>
          <w:p>
            <w:pPr>
              <w:ind w:left="500"/>
              <w:spacing w:after="0"/>
              <w:rPr>
                <w:sz w:val="20"/>
                <w:szCs w:val="20"/>
                <w:color w:val="auto"/>
              </w:rPr>
            </w:pPr>
            <w:r>
              <w:rPr>
                <w:rFonts w:ascii="Arial" w:cs="Arial" w:eastAsia="Arial" w:hAnsi="Arial"/>
                <w:sz w:val="18"/>
                <w:szCs w:val="18"/>
                <w:color w:val="auto"/>
              </w:rPr>
              <w:t>Long-term corporate debt and borrowing arrangements consisted of:</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As of</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75"/>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71"/>
        </w:trPr>
        <w:tc>
          <w:tcPr>
            <w:tcW w:w="5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gridSpan w:val="3"/>
          </w:tcPr>
          <w:p>
            <w:pPr>
              <w:ind w:left="200"/>
              <w:spacing w:after="0"/>
              <w:rPr>
                <w:sz w:val="20"/>
                <w:szCs w:val="20"/>
                <w:color w:val="auto"/>
              </w:rPr>
            </w:pPr>
            <w:r>
              <w:rPr>
                <w:rFonts w:ascii="Arial" w:cs="Arial" w:eastAsia="Arial" w:hAnsi="Arial"/>
                <w:sz w:val="16"/>
                <w:szCs w:val="16"/>
                <w:b w:val="1"/>
                <w:bCs w:val="1"/>
                <w:color w:val="auto"/>
              </w:rPr>
              <w:t>Maturity</w:t>
            </w:r>
          </w:p>
        </w:tc>
        <w:tc>
          <w:tcPr>
            <w:tcW w:w="140" w:type="dxa"/>
            <w:vAlign w:val="bottom"/>
          </w:tcPr>
          <w:p>
            <w:pPr>
              <w:spacing w:after="0"/>
              <w:rPr>
                <w:sz w:val="23"/>
                <w:szCs w:val="23"/>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June 30,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center"/>
              <w:ind w:right="55"/>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3"/>
        </w:trPr>
        <w:tc>
          <w:tcPr>
            <w:tcW w:w="6140" w:type="dxa"/>
            <w:vAlign w:val="bottom"/>
            <w:gridSpan w:val="2"/>
          </w:tcPr>
          <w:p>
            <w:pPr>
              <w:ind w:left="520"/>
              <w:spacing w:after="0"/>
              <w:rPr>
                <w:sz w:val="20"/>
                <w:szCs w:val="20"/>
                <w:color w:val="auto"/>
              </w:rPr>
            </w:pPr>
            <w:r>
              <w:rPr>
                <w:rFonts w:ascii="Arial" w:cs="Arial" w:eastAsia="Arial" w:hAnsi="Arial"/>
                <w:sz w:val="16"/>
                <w:szCs w:val="16"/>
                <w:color w:val="auto"/>
              </w:rPr>
              <w:t>5½% Senior Notes</w:t>
            </w: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April 2023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5"/>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43"/>
        </w:trPr>
        <w:tc>
          <w:tcPr>
            <w:tcW w:w="6140" w:type="dxa"/>
            <w:vAlign w:val="bottom"/>
            <w:gridSpan w:val="2"/>
          </w:tcPr>
          <w:p>
            <w:pPr>
              <w:ind w:left="520"/>
              <w:spacing w:after="0"/>
              <w:rPr>
                <w:sz w:val="20"/>
                <w:szCs w:val="20"/>
                <w:color w:val="auto"/>
              </w:rPr>
            </w:pPr>
            <w:r>
              <w:rPr>
                <w:rFonts w:ascii="Arial" w:cs="Arial" w:eastAsia="Arial" w:hAnsi="Arial"/>
                <w:sz w:val="16"/>
                <w:szCs w:val="16"/>
                <w:color w:val="auto"/>
              </w:rPr>
              <w:t>6⅜% Senior Notes</w:t>
            </w: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April 2024</w:t>
            </w:r>
          </w:p>
        </w:tc>
        <w:tc>
          <w:tcPr>
            <w:tcW w:w="1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350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43"/>
        </w:trPr>
        <w:tc>
          <w:tcPr>
            <w:tcW w:w="6140" w:type="dxa"/>
            <w:vAlign w:val="bottom"/>
            <w:gridSpan w:val="2"/>
          </w:tcPr>
          <w:p>
            <w:pPr>
              <w:ind w:left="520"/>
              <w:spacing w:after="0"/>
              <w:rPr>
                <w:sz w:val="20"/>
                <w:szCs w:val="20"/>
                <w:color w:val="auto"/>
              </w:rPr>
            </w:pPr>
            <w:r>
              <w:rPr>
                <w:rFonts w:ascii="Arial" w:cs="Arial" w:eastAsia="Arial" w:hAnsi="Arial"/>
                <w:sz w:val="16"/>
                <w:szCs w:val="16"/>
                <w:color w:val="auto"/>
              </w:rPr>
              <w:t>4⅛% euro-denominated Senior Notes</w:t>
            </w: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November 2024</w:t>
            </w:r>
          </w:p>
        </w:tc>
        <w:tc>
          <w:tcPr>
            <w:tcW w:w="1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337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43"/>
        </w:trPr>
        <w:tc>
          <w:tcPr>
            <w:tcW w:w="6140" w:type="dxa"/>
            <w:vAlign w:val="bottom"/>
            <w:gridSpan w:val="2"/>
          </w:tcPr>
          <w:p>
            <w:pPr>
              <w:ind w:left="520"/>
              <w:spacing w:after="0"/>
              <w:rPr>
                <w:sz w:val="20"/>
                <w:szCs w:val="20"/>
                <w:color w:val="auto"/>
              </w:rPr>
            </w:pPr>
            <w:r>
              <w:rPr>
                <w:rFonts w:ascii="Arial" w:cs="Arial" w:eastAsia="Arial" w:hAnsi="Arial"/>
                <w:sz w:val="16"/>
                <w:szCs w:val="16"/>
                <w:color w:val="auto"/>
              </w:rPr>
              <w:t>5¼% Senior Notes</w:t>
            </w: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March 2025</w:t>
            </w:r>
          </w:p>
        </w:tc>
        <w:tc>
          <w:tcPr>
            <w:tcW w:w="1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375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43"/>
        </w:trPr>
        <w:tc>
          <w:tcPr>
            <w:tcW w:w="6140" w:type="dxa"/>
            <w:vAlign w:val="bottom"/>
            <w:gridSpan w:val="2"/>
          </w:tcPr>
          <w:p>
            <w:pPr>
              <w:ind w:left="520"/>
              <w:spacing w:after="0"/>
              <w:rPr>
                <w:sz w:val="20"/>
                <w:szCs w:val="20"/>
                <w:color w:val="auto"/>
              </w:rPr>
            </w:pPr>
            <w:r>
              <w:rPr>
                <w:rFonts w:ascii="Arial" w:cs="Arial" w:eastAsia="Arial" w:hAnsi="Arial"/>
                <w:sz w:val="16"/>
                <w:szCs w:val="16"/>
                <w:color w:val="auto"/>
              </w:rPr>
              <w:t>4½% euro-denominated Senior Notes</w:t>
            </w: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May 2025</w:t>
            </w:r>
          </w:p>
        </w:tc>
        <w:tc>
          <w:tcPr>
            <w:tcW w:w="1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43"/>
        </w:trPr>
        <w:tc>
          <w:tcPr>
            <w:tcW w:w="6140" w:type="dxa"/>
            <w:vAlign w:val="bottom"/>
            <w:gridSpan w:val="2"/>
          </w:tcPr>
          <w:p>
            <w:pPr>
              <w:ind w:left="520"/>
              <w:spacing w:after="0"/>
              <w:rPr>
                <w:sz w:val="20"/>
                <w:szCs w:val="20"/>
                <w:color w:val="auto"/>
              </w:rPr>
            </w:pPr>
            <w:r>
              <w:rPr>
                <w:rFonts w:ascii="Arial" w:cs="Arial" w:eastAsia="Arial" w:hAnsi="Arial"/>
                <w:sz w:val="16"/>
                <w:szCs w:val="16"/>
                <w:color w:val="auto"/>
              </w:rPr>
              <w:t>10½% Senior Secured Notes</w:t>
            </w: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May 2025</w:t>
            </w:r>
          </w:p>
        </w:tc>
        <w:tc>
          <w:tcPr>
            <w:tcW w:w="1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485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140" w:type="dxa"/>
            <w:vAlign w:val="bottom"/>
            <w:gridSpan w:val="2"/>
          </w:tcPr>
          <w:p>
            <w:pPr>
              <w:ind w:left="520"/>
              <w:spacing w:after="0"/>
              <w:rPr>
                <w:sz w:val="20"/>
                <w:szCs w:val="20"/>
                <w:color w:val="auto"/>
              </w:rPr>
            </w:pPr>
            <w:r>
              <w:rPr>
                <w:rFonts w:ascii="Arial" w:cs="Arial" w:eastAsia="Arial" w:hAnsi="Arial"/>
                <w:sz w:val="16"/>
                <w:szCs w:val="16"/>
                <w:color w:val="auto"/>
              </w:rPr>
              <w:t>4¾% euro-denominated Senior Notes</w:t>
            </w: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January 2026</w:t>
            </w:r>
          </w:p>
        </w:tc>
        <w:tc>
          <w:tcPr>
            <w:tcW w:w="1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393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43"/>
        </w:trPr>
        <w:tc>
          <w:tcPr>
            <w:tcW w:w="6140" w:type="dxa"/>
            <w:vAlign w:val="bottom"/>
            <w:gridSpan w:val="2"/>
          </w:tcPr>
          <w:p>
            <w:pPr>
              <w:ind w:left="520"/>
              <w:spacing w:after="0"/>
              <w:rPr>
                <w:sz w:val="20"/>
                <w:szCs w:val="20"/>
                <w:color w:val="auto"/>
              </w:rPr>
            </w:pPr>
            <w:r>
              <w:rPr>
                <w:rFonts w:ascii="Arial" w:cs="Arial" w:eastAsia="Arial" w:hAnsi="Arial"/>
                <w:sz w:val="16"/>
                <w:szCs w:val="16"/>
                <w:color w:val="auto"/>
              </w:rPr>
              <w:t>5¾% Senior Notes</w:t>
            </w: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July 2027</w:t>
            </w:r>
          </w:p>
        </w:tc>
        <w:tc>
          <w:tcPr>
            <w:tcW w:w="1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400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91"/>
        </w:trPr>
        <w:tc>
          <w:tcPr>
            <w:tcW w:w="6140" w:type="dxa"/>
            <w:vAlign w:val="bottom"/>
            <w:gridSpan w:val="2"/>
          </w:tcPr>
          <w:p>
            <w:pPr>
              <w:ind w:left="5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August 2027</w:t>
            </w:r>
          </w:p>
        </w:tc>
        <w:tc>
          <w:tcPr>
            <w:tcW w:w="14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1,204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55"/>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43"/>
        </w:trPr>
        <w:tc>
          <w:tcPr>
            <w:tcW w:w="6140" w:type="dxa"/>
            <w:vAlign w:val="bottom"/>
            <w:gridSpan w:val="2"/>
          </w:tcPr>
          <w:p>
            <w:pPr>
              <w:ind w:left="5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8"/>
        </w:trPr>
        <w:tc>
          <w:tcPr>
            <w:tcW w:w="6140" w:type="dxa"/>
            <w:vAlign w:val="bottom"/>
            <w:gridSpan w:val="2"/>
          </w:tcPr>
          <w:p>
            <w:pPr>
              <w:ind w:left="520"/>
              <w:spacing w:after="0"/>
              <w:rPr>
                <w:sz w:val="20"/>
                <w:szCs w:val="20"/>
                <w:color w:val="auto"/>
              </w:rPr>
            </w:pPr>
            <w:r>
              <w:rPr>
                <w:rFonts w:ascii="Arial" w:cs="Arial" w:eastAsia="Arial" w:hAnsi="Arial"/>
                <w:sz w:val="16"/>
                <w:szCs w:val="16"/>
                <w:color w:val="auto"/>
              </w:rPr>
              <w:t>Deferred financing fees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(48)</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4"/>
        </w:trPr>
        <w:tc>
          <w:tcPr>
            <w:tcW w:w="6140" w:type="dxa"/>
            <w:vAlign w:val="bottom"/>
            <w:gridSpan w:val="2"/>
          </w:tcPr>
          <w:p>
            <w:pPr>
              <w:ind w:left="520"/>
              <w:spacing w:after="0"/>
              <w:rPr>
                <w:sz w:val="20"/>
                <w:szCs w:val="20"/>
                <w:color w:val="auto"/>
              </w:rPr>
            </w:pPr>
            <w:r>
              <w:rPr>
                <w:rFonts w:ascii="Arial" w:cs="Arial" w:eastAsia="Arial" w:hAnsi="Arial"/>
                <w:sz w:val="16"/>
                <w:szCs w:val="16"/>
                <w:color w:val="auto"/>
              </w:rPr>
              <w:t>Total</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3,903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56"/>
        </w:trPr>
        <w:tc>
          <w:tcPr>
            <w:tcW w:w="6140" w:type="dxa"/>
            <w:vAlign w:val="bottom"/>
            <w:gridSpan w:val="2"/>
          </w:tcPr>
          <w:p>
            <w:pPr>
              <w:ind w:left="520"/>
              <w:spacing w:after="0"/>
              <w:rPr>
                <w:sz w:val="20"/>
                <w:szCs w:val="20"/>
                <w:color w:val="auto"/>
              </w:rPr>
            </w:pPr>
            <w:r>
              <w:rPr>
                <w:rFonts w:ascii="Arial" w:cs="Arial" w:eastAsia="Arial" w:hAnsi="Arial"/>
                <w:sz w:val="16"/>
                <w:szCs w:val="16"/>
                <w:color w:val="auto"/>
              </w:rPr>
              <w:t>Less: Short-term debt and current portion of long-term debt</w:t>
            </w: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3"/>
        </w:trPr>
        <w:tc>
          <w:tcPr>
            <w:tcW w:w="6140" w:type="dxa"/>
            <w:vAlign w:val="bottom"/>
            <w:gridSpan w:val="2"/>
          </w:tcPr>
          <w:p>
            <w:pPr>
              <w:ind w:left="520"/>
              <w:spacing w:after="0"/>
              <w:rPr>
                <w:sz w:val="20"/>
                <w:szCs w:val="20"/>
                <w:color w:val="auto"/>
              </w:rPr>
            </w:pPr>
            <w:r>
              <w:rPr>
                <w:rFonts w:ascii="Arial" w:cs="Arial" w:eastAsia="Arial" w:hAnsi="Arial"/>
                <w:sz w:val="16"/>
                <w:szCs w:val="16"/>
                <w:color w:val="auto"/>
              </w:rPr>
              <w:t>Long-term debt</w:t>
            </w: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3,884</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820" w:right="200" w:hanging="326"/>
        <w:spacing w:after="0" w:line="221" w:lineRule="auto"/>
        <w:tabs>
          <w:tab w:leader="none" w:pos="813"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 As of June 30, 2020, the floating rate term loan due 2027 bears interest at one-month LIBOR plus 225 basis points, for an aggregate rate of 2.43%. The Company has entered into a swap to hedge $700 million of its interest rate exposure related to the floating rate term loan at an aggregate rate of 3.92%.</w:t>
      </w:r>
    </w:p>
    <w:p>
      <w:pPr>
        <w:spacing w:after="0" w:line="2" w:lineRule="exact"/>
        <w:rPr>
          <w:rFonts w:ascii="Arial" w:cs="Arial" w:eastAsia="Arial" w:hAnsi="Arial"/>
          <w:sz w:val="19"/>
          <w:szCs w:val="19"/>
          <w:color w:val="auto"/>
          <w:vertAlign w:val="superscript"/>
        </w:rPr>
      </w:pPr>
    </w:p>
    <w:p>
      <w:pPr>
        <w:ind w:left="820" w:hanging="326"/>
        <w:spacing w:after="0" w:line="189" w:lineRule="auto"/>
        <w:tabs>
          <w:tab w:leader="none" w:pos="8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27"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In February 2020, the Company amended its Floating Rate Term Loan due 2025 to extend its maturity term to 2027 and reduce its interest to one-month LIBOR plus 1.75%. The Company increased the outstanding borrowing principal amount of the Floating Rate Term Loan to $1.2 billion and on April 1, 2020 used the additional loan amount to redeem $100 million of its outstanding 5½% Senior Notes due 2023.</w:t>
      </w:r>
    </w:p>
    <w:p>
      <w:pPr>
        <w:spacing w:after="0" w:line="231"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In May 2020, the Company issued $500 million of 10½% Senior Secured Notes due May 2025, at 97% of face value. The notes are guaranteed on a senior unsecured basis by the Company and on a senior secured basis by certain of the Company’s subsidiaries. The Company used the proceeds from this offering for general corporate purposes.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2020, the committed corporate credit facilities available to the Company and/or its subsidiaries were as follows:</w:t>
      </w:r>
    </w:p>
    <w:p>
      <w:pPr>
        <w:spacing w:after="0" w:line="46"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6"/>
                <w:szCs w:val="16"/>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Outstanding</w:t>
            </w: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Letters of</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8"/>
              </w:rPr>
              <w:t>Capacity</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Credit Issued</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77"/>
        </w:trPr>
        <w:tc>
          <w:tcPr>
            <w:tcW w:w="424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2023 </w:t>
            </w:r>
            <w:r>
              <w:rPr>
                <w:rFonts w:ascii="Arial" w:cs="Arial" w:eastAsia="Arial" w:hAnsi="Arial"/>
                <w:sz w:val="18"/>
                <w:szCs w:val="18"/>
                <w:color w:val="auto"/>
                <w:vertAlign w:val="superscript"/>
              </w:rPr>
              <w:t>(a)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3"/>
          </w:tcPr>
          <w:p>
            <w:pPr>
              <w:ind w:left="940"/>
              <w:spacing w:after="0"/>
              <w:rPr>
                <w:sz w:val="20"/>
                <w:szCs w:val="20"/>
                <w:color w:val="auto"/>
              </w:rPr>
            </w:pPr>
            <w:r>
              <w:rPr>
                <w:rFonts w:ascii="Arial" w:cs="Arial" w:eastAsia="Arial" w:hAnsi="Arial"/>
                <w:sz w:val="16"/>
                <w:szCs w:val="16"/>
                <w:color w:val="auto"/>
              </w:rPr>
              <w:t>—   $</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1,581</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219</w:t>
            </w:r>
          </w:p>
        </w:tc>
      </w:tr>
      <w:tr>
        <w:trPr>
          <w:trHeight w:val="246"/>
        </w:trPr>
        <w:tc>
          <w:tcPr>
            <w:tcW w:w="4240" w:type="dxa"/>
            <w:vAlign w:val="bottom"/>
          </w:tcPr>
          <w:p>
            <w:pPr>
              <w:spacing w:after="0"/>
              <w:rPr>
                <w:sz w:val="20"/>
                <w:szCs w:val="20"/>
                <w:color w:val="auto"/>
              </w:rPr>
            </w:pPr>
            <w:r>
              <w:rPr>
                <w:rFonts w:ascii="Arial" w:cs="Arial" w:eastAsia="Arial" w:hAnsi="Arial"/>
                <w:sz w:val="16"/>
                <w:szCs w:val="16"/>
                <w:color w:val="auto"/>
              </w:rPr>
              <w:t>__________</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8" w:lineRule="exact"/>
        <w:rPr>
          <w:sz w:val="20"/>
          <w:szCs w:val="20"/>
          <w:color w:val="auto"/>
        </w:rPr>
      </w:pPr>
    </w:p>
    <w:p>
      <w:pPr>
        <w:ind w:left="820" w:right="200" w:hanging="326"/>
        <w:spacing w:after="0" w:line="196" w:lineRule="auto"/>
        <w:tabs>
          <w:tab w:leader="none" w:pos="813"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LIBOR plus 250 basis points and is part of the Company’s senior credit facilities, which include the floating rate term loan and the senior revolving credit facility, and which are secured by pledges of capital stock of certain subsidiaries of the Company, liens on substantially all of the Company’s intellectual property and certain other real and personal property.</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74"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 xml:space="preserve">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facilities also contain a consolidated first lien leverage ratio requirement which has been amended to provide a holiday from such leverage covenant through June 30, 2021 (See Note 1 </w:t>
      </w:r>
      <w:r>
        <w:rPr>
          <w:rFonts w:ascii="Arial" w:cs="Arial" w:eastAsia="Arial" w:hAnsi="Arial"/>
          <w:sz w:val="14"/>
          <w:szCs w:val="14"/>
          <w:color w:val="auto"/>
        </w:rPr>
        <w:t>–</w:t>
      </w:r>
      <w:r>
        <w:rPr>
          <w:rFonts w:ascii="Arial" w:cs="Arial" w:eastAsia="Arial" w:hAnsi="Arial"/>
          <w:sz w:val="18"/>
          <w:szCs w:val="18"/>
          <w:color w:val="auto"/>
        </w:rPr>
        <w:t xml:space="preserve"> Basis of Presentation). As of June 30, 2020, the Company was in compliance with the financial covenants governing its indebtedness.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 Under Vehicle Programs and Borrowing Arrangements</w:t>
      </w:r>
    </w:p>
    <w:p>
      <w:pPr>
        <w:spacing w:after="0" w:line="274" w:lineRule="exact"/>
        <w:rPr>
          <w:sz w:val="20"/>
          <w:szCs w:val="20"/>
          <w:color w:val="auto"/>
        </w:rPr>
      </w:pPr>
    </w:p>
    <w:p>
      <w:pPr>
        <w:ind w:left="500" w:right="120"/>
        <w:spacing w:after="0" w:line="261" w:lineRule="auto"/>
        <w:rPr>
          <w:sz w:val="20"/>
          <w:szCs w:val="20"/>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4"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As of</w:t>
            </w:r>
          </w:p>
        </w:tc>
        <w:tc>
          <w:tcPr>
            <w:tcW w:w="18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56"/>
        </w:trPr>
        <w:tc>
          <w:tcPr>
            <w:tcW w:w="6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22"/>
                <w:szCs w:val="22"/>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63"/>
        </w:trPr>
        <w:tc>
          <w:tcPr>
            <w:tcW w:w="6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2019</w:t>
            </w: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8,095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7,975</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280" w:type="dxa"/>
            <w:vAlign w:val="bottom"/>
          </w:tcPr>
          <w:p>
            <w:pPr>
              <w:spacing w:after="0"/>
              <w:rPr>
                <w:sz w:val="22"/>
                <w:szCs w:val="22"/>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827</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280" w:type="dxa"/>
            <w:vAlign w:val="bottom"/>
          </w:tcPr>
          <w:p>
            <w:pPr>
              <w:spacing w:after="0"/>
              <w:rPr>
                <w:sz w:val="22"/>
                <w:szCs w:val="22"/>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2,100</w:t>
            </w:r>
          </w:p>
        </w:tc>
      </w:tr>
      <w:tr>
        <w:trPr>
          <w:trHeight w:val="256"/>
        </w:trPr>
        <w:tc>
          <w:tcPr>
            <w:tcW w:w="680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280" w:type="dxa"/>
            <w:vAlign w:val="bottom"/>
          </w:tcPr>
          <w:p>
            <w:pPr>
              <w:spacing w:after="0"/>
              <w:rPr>
                <w:sz w:val="22"/>
                <w:szCs w:val="22"/>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215</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2"/>
                <w:szCs w:val="22"/>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r>
      <w:tr>
        <w:trPr>
          <w:trHeight w:val="250"/>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10,540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11,068</w:t>
            </w:r>
          </w:p>
        </w:tc>
      </w:tr>
      <w:tr>
        <w:trPr>
          <w:trHeight w:val="20"/>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820" w:right="440" w:hanging="326"/>
        <w:spacing w:after="0" w:line="211" w:lineRule="auto"/>
        <w:tabs>
          <w:tab w:leader="none" w:pos="813"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Deferred financing fees related to Debt due to Avis Budget Rental Car Funding as of June 30, 2020 and December 31, 2019 was $38 million and $40 million, respectively</w:t>
      </w:r>
    </w:p>
    <w:p>
      <w:pPr>
        <w:spacing w:after="0" w:line="228" w:lineRule="exact"/>
        <w:rPr>
          <w:sz w:val="20"/>
          <w:szCs w:val="20"/>
          <w:color w:val="auto"/>
        </w:rPr>
      </w:pPr>
    </w:p>
    <w:p>
      <w:pPr>
        <w:ind w:left="500" w:right="120"/>
        <w:spacing w:after="0" w:line="261" w:lineRule="auto"/>
        <w:rPr>
          <w:sz w:val="20"/>
          <w:szCs w:val="20"/>
          <w:color w:val="auto"/>
        </w:rPr>
      </w:pPr>
      <w:r>
        <w:rPr>
          <w:rFonts w:ascii="Arial" w:cs="Arial" w:eastAsia="Arial" w:hAnsi="Arial"/>
          <w:sz w:val="18"/>
          <w:szCs w:val="18"/>
          <w:color w:val="auto"/>
        </w:rPr>
        <w:t>In January 2020, the Company’s Avis Budget Rental Car Funding subsidiary issued approximately $700 million in asset-backed notes with an expected final payment date of August 2025 incurring interest at a weighted average rate of 2.42%.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74" w:lineRule="exact"/>
        <w:rPr>
          <w:sz w:val="20"/>
          <w:szCs w:val="20"/>
          <w:color w:val="auto"/>
        </w:rPr>
      </w:pPr>
    </w:p>
    <w:p>
      <w:pPr>
        <w:ind w:left="500" w:right="40"/>
        <w:spacing w:after="0" w:line="261"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June 30, 2020.</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3"/>
          <w:szCs w:val="23"/>
          <w:color w:val="auto"/>
          <w:vertAlign w:val="superscript"/>
        </w:rPr>
        <w:t>(b)</w:t>
      </w:r>
    </w:p>
    <w:p>
      <w:pPr>
        <w:ind w:left="520"/>
        <w:spacing w:after="0" w:line="220" w:lineRule="auto"/>
        <w:rPr>
          <w:sz w:val="20"/>
          <w:szCs w:val="20"/>
          <w:color w:val="auto"/>
        </w:rPr>
      </w:pPr>
      <w:r>
        <w:rPr>
          <w:rFonts w:ascii="Arial" w:cs="Arial" w:eastAsia="Arial" w:hAnsi="Arial"/>
          <w:sz w:val="18"/>
          <w:szCs w:val="18"/>
          <w:color w:val="auto"/>
        </w:rPr>
        <w:t xml:space="preserve">Between 1 and 2 years </w:t>
      </w:r>
      <w:r>
        <w:rPr>
          <w:rFonts w:ascii="Arial" w:cs="Arial" w:eastAsia="Arial" w:hAnsi="Arial"/>
          <w:sz w:val="23"/>
          <w:szCs w:val="23"/>
          <w:color w:val="auto"/>
          <w:vertAlign w:val="superscript"/>
        </w:rPr>
        <w:t>(c)</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2 and 3 years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3 and 4 years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4 and 5 years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Thereafter</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640" w:hanging="146"/>
        <w:spacing w:after="0" w:line="209" w:lineRule="auto"/>
        <w:tabs>
          <w:tab w:leader="none" w:pos="640"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Vehicle-backed debt primarily represents asset-backed securities.</w:t>
      </w:r>
    </w:p>
    <w:p>
      <w:pPr>
        <w:ind w:left="640" w:hanging="146"/>
        <w:spacing w:after="0" w:line="198" w:lineRule="auto"/>
        <w:tabs>
          <w:tab w:leader="none" w:pos="640"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Includes $1.3 billion of bank and bank-sponsored facilities.</w:t>
      </w:r>
    </w:p>
    <w:p>
      <w:pPr>
        <w:ind w:left="640" w:hanging="146"/>
        <w:spacing w:after="0" w:line="199" w:lineRule="auto"/>
        <w:tabs>
          <w:tab w:leader="none" w:pos="64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$2.5 billion of bank and bank-sponsored facilities.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Committed Credit Facilities and Available Funding Arrangements</w:t>
      </w:r>
    </w:p>
    <w:p>
      <w:pPr>
        <w:spacing w:after="0" w:line="20" w:lineRule="exact"/>
        <w:rPr>
          <w:sz w:val="20"/>
          <w:szCs w:val="20"/>
          <w:color w:val="auto"/>
        </w:rPr>
      </w:pPr>
      <w:r>
        <w:rPr>
          <w:sz w:val="20"/>
          <w:szCs w:val="20"/>
          <w:color w:val="auto"/>
        </w:rPr>
        <w:br w:type="column"/>
      </w:r>
    </w:p>
    <w:p>
      <w:pPr>
        <w:jc w:val="center"/>
        <w:ind w:right="577"/>
        <w:spacing w:after="0" w:line="229" w:lineRule="auto"/>
        <w:rPr>
          <w:sz w:val="20"/>
          <w:szCs w:val="20"/>
          <w:color w:val="auto"/>
        </w:rPr>
      </w:pPr>
      <w:r>
        <w:rPr>
          <w:rFonts w:ascii="Arial" w:cs="Arial" w:eastAsia="Arial" w:hAnsi="Arial"/>
          <w:sz w:val="18"/>
          <w:szCs w:val="18"/>
          <w:b w:val="1"/>
          <w:bCs w:val="1"/>
          <w:color w:val="auto"/>
        </w:rPr>
        <w:t>Debt under</w:t>
      </w:r>
    </w:p>
    <w:p>
      <w:pPr>
        <w:jc w:val="center"/>
        <w:ind w:right="577"/>
        <w:spacing w:after="0" w:line="219" w:lineRule="auto"/>
        <w:rPr>
          <w:sz w:val="20"/>
          <w:szCs w:val="20"/>
          <w:color w:val="auto"/>
        </w:rPr>
      </w:pPr>
      <w:r>
        <w:rPr>
          <w:rFonts w:ascii="Arial" w:cs="Arial" w:eastAsia="Arial" w:hAnsi="Arial"/>
          <w:sz w:val="17"/>
          <w:szCs w:val="17"/>
          <w:b w:val="1"/>
          <w:bCs w:val="1"/>
          <w:color w:val="auto"/>
        </w:rPr>
        <w:t>Vehicle Programs</w:t>
      </w:r>
    </w:p>
    <w:p>
      <w:pPr>
        <w:ind w:left="723"/>
        <w:spacing w:after="0"/>
        <w:rPr>
          <w:sz w:val="20"/>
          <w:szCs w:val="20"/>
          <w:color w:val="auto"/>
        </w:rPr>
      </w:pPr>
      <w:r>
        <w:rPr>
          <w:rFonts w:ascii="Arial" w:cs="Arial" w:eastAsia="Arial" w:hAnsi="Arial"/>
          <w:sz w:val="12"/>
          <w:szCs w:val="12"/>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wp:posOffset>
            </wp:positionV>
            <wp:extent cx="1028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8" w:lineRule="exact"/>
        <w:rPr>
          <w:sz w:val="20"/>
          <w:szCs w:val="20"/>
          <w:color w:val="auto"/>
        </w:rPr>
      </w:pPr>
    </w:p>
    <w:p>
      <w:pPr>
        <w:ind w:left="1003" w:hanging="1003"/>
        <w:spacing w:after="0"/>
        <w:tabs>
          <w:tab w:leader="none" w:pos="10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2,602</w:t>
      </w:r>
    </w:p>
    <w:p>
      <w:pPr>
        <w:spacing w:after="0" w:line="49" w:lineRule="exact"/>
        <w:rPr>
          <w:rFonts w:ascii="Arial" w:cs="Arial" w:eastAsia="Arial" w:hAnsi="Arial"/>
          <w:sz w:val="18"/>
          <w:szCs w:val="18"/>
          <w:color w:val="auto"/>
        </w:rPr>
      </w:pPr>
    </w:p>
    <w:p>
      <w:pPr>
        <w:ind w:left="1003"/>
        <w:spacing w:after="0"/>
        <w:rPr>
          <w:rFonts w:ascii="Arial" w:cs="Arial" w:eastAsia="Arial" w:hAnsi="Arial"/>
          <w:sz w:val="18"/>
          <w:szCs w:val="18"/>
          <w:color w:val="auto"/>
        </w:rPr>
      </w:pPr>
      <w:r>
        <w:rPr>
          <w:rFonts w:ascii="Arial" w:cs="Arial" w:eastAsia="Arial" w:hAnsi="Arial"/>
          <w:sz w:val="18"/>
          <w:szCs w:val="18"/>
          <w:color w:val="auto"/>
        </w:rPr>
        <w:t>3,907</w:t>
      </w:r>
    </w:p>
    <w:p>
      <w:pPr>
        <w:spacing w:after="0" w:line="49" w:lineRule="exact"/>
        <w:rPr>
          <w:rFonts w:ascii="Arial" w:cs="Arial" w:eastAsia="Arial" w:hAnsi="Arial"/>
          <w:sz w:val="18"/>
          <w:szCs w:val="18"/>
          <w:color w:val="auto"/>
        </w:rPr>
      </w:pPr>
    </w:p>
    <w:p>
      <w:pPr>
        <w:ind w:left="1003"/>
        <w:spacing w:after="0"/>
        <w:rPr>
          <w:rFonts w:ascii="Arial" w:cs="Arial" w:eastAsia="Arial" w:hAnsi="Arial"/>
          <w:sz w:val="18"/>
          <w:szCs w:val="18"/>
          <w:color w:val="auto"/>
        </w:rPr>
      </w:pPr>
      <w:r>
        <w:rPr>
          <w:rFonts w:ascii="Arial" w:cs="Arial" w:eastAsia="Arial" w:hAnsi="Arial"/>
          <w:sz w:val="18"/>
          <w:szCs w:val="18"/>
          <w:color w:val="auto"/>
        </w:rPr>
        <w:t>1,243</w:t>
      </w:r>
    </w:p>
    <w:p>
      <w:pPr>
        <w:spacing w:after="0" w:line="49" w:lineRule="exact"/>
        <w:rPr>
          <w:rFonts w:ascii="Arial" w:cs="Arial" w:eastAsia="Arial" w:hAnsi="Arial"/>
          <w:sz w:val="18"/>
          <w:szCs w:val="18"/>
          <w:color w:val="auto"/>
        </w:rPr>
      </w:pPr>
    </w:p>
    <w:p>
      <w:pPr>
        <w:ind w:left="1003"/>
        <w:spacing w:after="0"/>
        <w:rPr>
          <w:rFonts w:ascii="Arial" w:cs="Arial" w:eastAsia="Arial" w:hAnsi="Arial"/>
          <w:sz w:val="18"/>
          <w:szCs w:val="18"/>
          <w:color w:val="auto"/>
        </w:rPr>
      </w:pPr>
      <w:r>
        <w:rPr>
          <w:rFonts w:ascii="Arial" w:cs="Arial" w:eastAsia="Arial" w:hAnsi="Arial"/>
          <w:sz w:val="18"/>
          <w:szCs w:val="18"/>
          <w:color w:val="auto"/>
        </w:rPr>
        <w:t>1,279</w:t>
      </w:r>
    </w:p>
    <w:p>
      <w:pPr>
        <w:spacing w:after="0" w:line="49" w:lineRule="exact"/>
        <w:rPr>
          <w:rFonts w:ascii="Arial" w:cs="Arial" w:eastAsia="Arial" w:hAnsi="Arial"/>
          <w:sz w:val="18"/>
          <w:szCs w:val="18"/>
          <w:color w:val="auto"/>
        </w:rPr>
      </w:pPr>
    </w:p>
    <w:p>
      <w:pPr>
        <w:ind w:left="1003"/>
        <w:spacing w:after="0"/>
        <w:rPr>
          <w:rFonts w:ascii="Arial" w:cs="Arial" w:eastAsia="Arial" w:hAnsi="Arial"/>
          <w:sz w:val="18"/>
          <w:szCs w:val="18"/>
          <w:color w:val="auto"/>
        </w:rPr>
      </w:pPr>
      <w:r>
        <w:rPr>
          <w:rFonts w:ascii="Arial" w:cs="Arial" w:eastAsia="Arial" w:hAnsi="Arial"/>
          <w:sz w:val="18"/>
          <w:szCs w:val="18"/>
          <w:color w:val="auto"/>
        </w:rPr>
        <w:t>1,538</w:t>
      </w:r>
    </w:p>
    <w:p>
      <w:pPr>
        <w:spacing w:after="0" w:line="49" w:lineRule="exact"/>
        <w:rPr>
          <w:rFonts w:ascii="Arial" w:cs="Arial" w:eastAsia="Arial" w:hAnsi="Arial"/>
          <w:sz w:val="18"/>
          <w:szCs w:val="18"/>
          <w:color w:val="auto"/>
        </w:rPr>
      </w:pPr>
    </w:p>
    <w:p>
      <w:pPr>
        <w:ind w:left="1263"/>
        <w:spacing w:after="0"/>
        <w:rPr>
          <w:rFonts w:ascii="Arial" w:cs="Arial" w:eastAsia="Arial" w:hAnsi="Arial"/>
          <w:sz w:val="18"/>
          <w:szCs w:val="18"/>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28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3" w:lineRule="exact"/>
        <w:rPr>
          <w:sz w:val="20"/>
          <w:szCs w:val="20"/>
          <w:color w:val="auto"/>
        </w:rPr>
      </w:pPr>
    </w:p>
    <w:p>
      <w:pPr>
        <w:ind w:left="903" w:hanging="903"/>
        <w:spacing w:after="0"/>
        <w:tabs>
          <w:tab w:leader="none" w:pos="903"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10,585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28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1028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475" w:lineRule="exact"/>
        <w:rPr>
          <w:sz w:val="20"/>
          <w:szCs w:val="20"/>
          <w:color w:val="auto"/>
        </w:rPr>
      </w:pPr>
    </w:p>
    <w:p>
      <w:pPr>
        <w:sectPr>
          <w:pgSz w:w="11900" w:h="16838" w:orient="portrait"/>
          <w:cols w:equalWidth="0" w:num="2">
            <w:col w:w="8337" w:space="720"/>
            <w:col w:w="2163"/>
          </w:cols>
          <w:pgMar w:left="320" w:top="140" w:right="359" w:bottom="1440" w:gutter="0" w:footer="0" w:header="0"/>
          <w:type w:val="continuous"/>
        </w:sectPr>
      </w:pPr>
    </w:p>
    <w:p>
      <w:pPr>
        <w:spacing w:after="0" w:line="86" w:lineRule="exact"/>
        <w:rPr>
          <w:sz w:val="20"/>
          <w:szCs w:val="20"/>
          <w:color w:val="auto"/>
        </w:rPr>
      </w:pPr>
    </w:p>
    <w:p>
      <w:pPr>
        <w:ind w:left="500" w:right="100"/>
        <w:spacing w:after="0" w:line="261" w:lineRule="auto"/>
        <w:rPr>
          <w:sz w:val="20"/>
          <w:szCs w:val="20"/>
          <w:color w:val="auto"/>
        </w:rPr>
      </w:pPr>
      <w:r>
        <w:rPr>
          <w:rFonts w:ascii="Arial" w:cs="Arial" w:eastAsia="Arial" w:hAnsi="Arial"/>
          <w:sz w:val="18"/>
          <w:szCs w:val="18"/>
          <w:color w:val="auto"/>
        </w:rPr>
        <w:t>As of June 30, 2020, available funding under the Company’s vehicle programs, including related party debt due to Avis Budget Rental Car Funding, consisted of:</w:t>
      </w:r>
    </w:p>
    <w:p>
      <w:pPr>
        <w:spacing w:after="0" w:line="14" w:lineRule="exact"/>
        <w:rPr>
          <w:sz w:val="20"/>
          <w:szCs w:val="20"/>
          <w:color w:val="auto"/>
        </w:rPr>
      </w:pPr>
    </w:p>
    <w:tbl>
      <w:tblPr>
        <w:tblLayout w:type="fixed"/>
        <w:tblInd w:w="52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Outstanding</w:t>
            </w:r>
          </w:p>
        </w:tc>
        <w:tc>
          <w:tcPr>
            <w:tcW w:w="240" w:type="dxa"/>
            <w:vAlign w:val="bottom"/>
          </w:tcPr>
          <w:p>
            <w:pPr>
              <w:spacing w:after="0"/>
              <w:rPr>
                <w:sz w:val="19"/>
                <w:szCs w:val="19"/>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Available</w:t>
            </w:r>
          </w:p>
        </w:tc>
      </w:tr>
      <w:tr>
        <w:trPr>
          <w:trHeight w:val="230"/>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 xml:space="preserve">Capacity </w:t>
            </w:r>
            <w:r>
              <w:rPr>
                <w:rFonts w:ascii="Arial" w:cs="Arial" w:eastAsia="Arial" w:hAnsi="Arial"/>
                <w:sz w:val="18"/>
                <w:szCs w:val="18"/>
                <w:color w:val="auto"/>
                <w:w w:val="94"/>
                <w:vertAlign w:val="superscript"/>
              </w:rPr>
              <w:t>(a)</w:t>
            </w:r>
          </w:p>
        </w:tc>
        <w:tc>
          <w:tcPr>
            <w:tcW w:w="16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 xml:space="preserve">Borrowings </w:t>
            </w:r>
            <w:r>
              <w:rPr>
                <w:rFonts w:ascii="Arial" w:cs="Arial" w:eastAsia="Arial" w:hAnsi="Arial"/>
                <w:sz w:val="18"/>
                <w:szCs w:val="18"/>
                <w:color w:val="auto"/>
                <w:w w:val="96"/>
                <w:vertAlign w:val="superscript"/>
              </w:rPr>
              <w:t>(b)</w:t>
            </w:r>
          </w:p>
        </w:tc>
        <w:tc>
          <w:tcPr>
            <w:tcW w:w="240" w:type="dxa"/>
            <w:vAlign w:val="bottom"/>
          </w:tcPr>
          <w:p>
            <w:pPr>
              <w:spacing w:after="0"/>
              <w:rPr>
                <w:sz w:val="19"/>
                <w:szCs w:val="19"/>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Capacity</w:t>
            </w:r>
          </w:p>
        </w:tc>
      </w:tr>
      <w:tr>
        <w:trPr>
          <w:trHeight w:val="250"/>
        </w:trPr>
        <w:tc>
          <w:tcPr>
            <w:tcW w:w="5180" w:type="dxa"/>
            <w:vAlign w:val="bottom"/>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9,394</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8,095</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1,299</w:t>
            </w:r>
          </w:p>
        </w:tc>
      </w:tr>
      <w:tr>
        <w:trPr>
          <w:trHeight w:val="243"/>
        </w:trPr>
        <w:tc>
          <w:tcPr>
            <w:tcW w:w="518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2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117</w:t>
            </w:r>
          </w:p>
        </w:tc>
      </w:tr>
      <w:tr>
        <w:trPr>
          <w:trHeight w:val="257"/>
        </w:trPr>
        <w:tc>
          <w:tcPr>
            <w:tcW w:w="518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220" w:type="dxa"/>
            <w:vAlign w:val="bottom"/>
          </w:tcPr>
          <w:p>
            <w:pPr>
              <w:spacing w:after="0"/>
              <w:rPr>
                <w:sz w:val="22"/>
                <w:szCs w:val="22"/>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1,371</w:t>
            </w:r>
          </w:p>
        </w:tc>
      </w:tr>
      <w:tr>
        <w:trPr>
          <w:trHeight w:val="256"/>
        </w:trPr>
        <w:tc>
          <w:tcPr>
            <w:tcW w:w="518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220" w:type="dxa"/>
            <w:vAlign w:val="bottom"/>
          </w:tcPr>
          <w:p>
            <w:pPr>
              <w:spacing w:after="0"/>
              <w:rPr>
                <w:sz w:val="22"/>
                <w:szCs w:val="22"/>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57</w:t>
            </w:r>
          </w:p>
        </w:tc>
      </w:tr>
      <w:tr>
        <w:trPr>
          <w:trHeight w:val="263"/>
        </w:trPr>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57"/>
        </w:trPr>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13,429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10,585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2,844</w:t>
            </w: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640" w:hanging="146"/>
        <w:spacing w:after="0" w:line="209" w:lineRule="auto"/>
        <w:tabs>
          <w:tab w:leader="none" w:pos="640" w:val="left"/>
        </w:tabs>
        <w:numPr>
          <w:ilvl w:val="0"/>
          <w:numId w:val="20"/>
        </w:numPr>
        <w:rPr>
          <w:rFonts w:ascii="Arial" w:cs="Arial" w:eastAsia="Arial" w:hAnsi="Arial"/>
          <w:sz w:val="17"/>
          <w:szCs w:val="17"/>
          <w:color w:val="auto"/>
          <w:vertAlign w:val="superscript"/>
        </w:rPr>
      </w:pPr>
      <w:r>
        <w:rPr>
          <w:rFonts w:ascii="Arial" w:cs="Arial" w:eastAsia="Arial" w:hAnsi="Arial"/>
          <w:sz w:val="13"/>
          <w:szCs w:val="13"/>
          <w:color w:val="auto"/>
        </w:rPr>
        <w:t>Capacity is subject to maintaining sufficient assets to collateralize debt.</w:t>
      </w:r>
    </w:p>
    <w:p>
      <w:pPr>
        <w:ind w:left="820" w:right="560" w:hanging="326"/>
        <w:spacing w:after="0" w:line="217" w:lineRule="auto"/>
        <w:tabs>
          <w:tab w:leader="none" w:pos="647"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vehicles and related assets of $8.8 billion for Americas - Debt due to Avis Budget Rental Car Funding; $1.0 billion for Americas - Debt borrowings; $1.9 billion for International - Debt borrowings; and $0.2 billion for International - Finance leases.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74"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June 30, 2020, the Company is not aware of any instances of non-compliance with any of the financial covenants contained in the debt agreements under its vehicle-backed funding programs.</w:t>
      </w:r>
    </w:p>
    <w:p>
      <w:pPr>
        <w:spacing w:after="0" w:line="210" w:lineRule="exact"/>
        <w:rPr>
          <w:sz w:val="20"/>
          <w:szCs w:val="20"/>
          <w:color w:val="auto"/>
        </w:rPr>
      </w:pPr>
    </w:p>
    <w:p>
      <w:pPr>
        <w:ind w:left="500" w:right="8060" w:hanging="492"/>
        <w:spacing w:after="0" w:line="544" w:lineRule="auto"/>
        <w:tabs>
          <w:tab w:leader="none" w:pos="31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2" w:lineRule="exact"/>
        <w:rPr>
          <w:sz w:val="20"/>
          <w:szCs w:val="20"/>
          <w:color w:val="auto"/>
        </w:rPr>
      </w:pPr>
    </w:p>
    <w:p>
      <w:pPr>
        <w:ind w:left="500" w:right="180"/>
        <w:spacing w:after="0" w:line="252" w:lineRule="auto"/>
        <w:rPr>
          <w:sz w:val="20"/>
          <w:szCs w:val="20"/>
          <w:color w:val="auto"/>
        </w:rPr>
      </w:pPr>
      <w:r>
        <w:rPr>
          <w:rFonts w:ascii="Arial" w:cs="Arial" w:eastAsia="Arial" w:hAnsi="Arial"/>
          <w:sz w:val="18"/>
          <w:szCs w:val="18"/>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ectPr>
          <w:pgSz w:w="11900" w:h="16838" w:orient="portrait"/>
          <w:cols w:equalWidth="0" w:num="1">
            <w:col w:w="11220"/>
          </w:cols>
          <w:pgMar w:left="320" w:top="140" w:right="35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0" w:right="40"/>
        <w:spacing w:after="0" w:line="271" w:lineRule="auto"/>
        <w:rPr>
          <w:sz w:val="20"/>
          <w:szCs w:val="20"/>
          <w:color w:val="auto"/>
        </w:rPr>
      </w:pPr>
      <w:r>
        <w:rPr>
          <w:rFonts w:ascii="Arial" w:cs="Arial" w:eastAsia="Arial" w:hAnsi="Arial"/>
          <w:sz w:val="17"/>
          <w:szCs w:val="17"/>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In fourth quarter 2019, the Company appealed both verdicts resulting in a reversal of the opinions rendered. The plaintiffs filed a petition to have the Georgia Supreme Court review the state appellate court’s reversal of the opinion. The Company has recognized a liability related to these cases, net of recoverable insurance proceeds, of approximately $12 million.</w:t>
      </w:r>
    </w:p>
    <w:p>
      <w:pPr>
        <w:spacing w:after="0" w:line="219"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The Company is currently involved, and in the future may be involved, in claims, legal proceedings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current legal proceedings in which it is reasonably possible that a loss may be incurred could, in the aggregate, be up to approximately $35 million in excess of amounts accrued as of June 30, 2020. The Company does not believe that the impact should result in a material liability to the Company in relation to its consolidated financial condition or results of operations.</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74"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$1.4 billion of vehicles from manufacturers over the next 12 months, a $6.4 billion decrease compared to December 31, 2019,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74" w:lineRule="exact"/>
        <w:rPr>
          <w:sz w:val="20"/>
          <w:szCs w:val="20"/>
          <w:color w:val="auto"/>
        </w:rPr>
      </w:pPr>
    </w:p>
    <w:p>
      <w:pPr>
        <w:ind w:left="500" w:right="520"/>
        <w:spacing w:after="0" w:line="253" w:lineRule="auto"/>
        <w:rPr>
          <w:sz w:val="20"/>
          <w:szCs w:val="20"/>
          <w:color w:val="auto"/>
        </w:rPr>
      </w:pPr>
      <w:r>
        <w:rPr>
          <w:rFonts w:ascii="Arial" w:cs="Arial" w:eastAsia="Arial" w:hAnsi="Arial"/>
          <w:sz w:val="18"/>
          <w:szCs w:val="18"/>
          <w:color w:val="auto"/>
        </w:rPr>
        <w:t>Concentrations of credit risk at June 30, 2020 include (i) risks related to the Company’s repurchase and guaranteed depreciation agreements with domestic and foreign car manufacturers, primarily with respect to receivables for program cars that have been disposed but for which the Company has not yet received payment from the manufacturers and (ii) risks related to Realogy and Wyndham, including receivables of $24 million and $15 million, respectively, related to certain contingent, income tax and other corporate liabilities assumed by Realogy and Wyndham in connection with their disposition.</w:t>
      </w:r>
    </w:p>
    <w:p>
      <w:pPr>
        <w:spacing w:after="0" w:line="210" w:lineRule="exact"/>
        <w:rPr>
          <w:sz w:val="20"/>
          <w:szCs w:val="20"/>
          <w:color w:val="auto"/>
        </w:rPr>
      </w:pPr>
    </w:p>
    <w:p>
      <w:pPr>
        <w:ind w:left="500" w:right="9040" w:hanging="492"/>
        <w:spacing w:after="0" w:line="577" w:lineRule="auto"/>
        <w:tabs>
          <w:tab w:leader="none" w:pos="314"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ind w:left="500" w:right="200"/>
        <w:spacing w:after="0" w:line="253" w:lineRule="auto"/>
        <w:rPr>
          <w:sz w:val="20"/>
          <w:szCs w:val="20"/>
          <w:color w:val="auto"/>
        </w:rPr>
      </w:pPr>
      <w:r>
        <w:rPr>
          <w:rFonts w:ascii="Arial" w:cs="Arial" w:eastAsia="Arial" w:hAnsi="Arial"/>
          <w:sz w:val="18"/>
          <w:szCs w:val="18"/>
          <w:color w:val="auto"/>
        </w:rPr>
        <w:t>The Company’s Board of Directors has authorized the repurchase of up to $1.8 billion of its common stock under a plan originally approved in 2013 and subsequently expanded, most recently in August 2019. During the first quarter of 2020, the Company repurchased approximately 5.0 million shares of common stock at a cost of approximately $113 million at an average price of $22.49 under the program. As of June 30, 2020, approximately $76 million of authorization remains available to repurchase common stock under this plan.</w:t>
      </w:r>
    </w:p>
    <w:p>
      <w:pPr>
        <w:spacing w:after="0" w:line="232"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In June 2019 as part of its share repurchase program, the Company entered into a structured repurchase agreement involving the use of capped call options for the purchase of the Company’s common stock. The Company paid a fixed sum upon the execution of the agreement in exchange for the right to receive either a pre -determined amount of cash or stock. The Company paid net premiums of $16 million to enter into this agreement, which is recorded as a reduction of additional paid in capital. As of June 30, 2019, the Company had outstanding options for the purchase of 0.6 million shares that settled in September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 Issuances</w:t>
      </w:r>
    </w:p>
    <w:p>
      <w:pPr>
        <w:spacing w:after="0" w:line="274"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On February 10, 2020, the Company announced it had appointed a new Chairman of the Board of Directors and in connection with this appointment, the new Chairman purchased an aggregate $ 15 million of unregistered shares of the Company’s common stock at a price per share equal to the closing price of the Company’s common stock on February 7, 2020.</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Total Comprehensive Income (Loss)</w:t>
      </w:r>
    </w:p>
    <w:p>
      <w:pPr>
        <w:spacing w:after="0" w:line="274"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3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4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6"/>
        </w:trPr>
        <w:tc>
          <w:tcPr>
            <w:tcW w:w="43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340" w:type="dxa"/>
            <w:vAlign w:val="bottom"/>
          </w:tcPr>
          <w:p>
            <w:pPr>
              <w:ind w:left="160"/>
              <w:spacing w:after="0" w:line="201" w:lineRule="exact"/>
              <w:rPr>
                <w:sz w:val="20"/>
                <w:szCs w:val="20"/>
                <w:color w:val="auto"/>
              </w:rPr>
            </w:pPr>
            <w:r>
              <w:rPr>
                <w:rFonts w:ascii="Arial" w:cs="Arial" w:eastAsia="Arial" w:hAnsi="Arial"/>
                <w:sz w:val="18"/>
                <w:szCs w:val="18"/>
                <w:color w:val="auto"/>
              </w:rPr>
              <w:t>Currency translation adjustments (net of tax of $4,</w:t>
            </w:r>
          </w:p>
        </w:tc>
        <w:tc>
          <w:tcPr>
            <w:tcW w:w="300" w:type="dxa"/>
            <w:vAlign w:val="bottom"/>
          </w:tcPr>
          <w:p>
            <w:pPr>
              <w:spacing w:after="0"/>
              <w:rPr>
                <w:sz w:val="17"/>
                <w:szCs w:val="17"/>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4340" w:type="dxa"/>
            <w:vAlign w:val="bottom"/>
          </w:tcPr>
          <w:p>
            <w:pPr>
              <w:ind w:left="320"/>
              <w:spacing w:after="0"/>
              <w:rPr>
                <w:sz w:val="20"/>
                <w:szCs w:val="20"/>
                <w:color w:val="auto"/>
              </w:rPr>
            </w:pPr>
            <w:r>
              <w:rPr>
                <w:rFonts w:ascii="Arial" w:cs="Arial" w:eastAsia="Arial" w:hAnsi="Arial"/>
                <w:sz w:val="18"/>
                <w:szCs w:val="18"/>
                <w:color w:val="auto"/>
              </w:rPr>
              <w:t>$4, $0, and $(2) respectively)</w:t>
            </w: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40" w:type="dxa"/>
            <w:vAlign w:val="bottom"/>
          </w:tcPr>
          <w:p>
            <w:pPr>
              <w:ind w:left="160"/>
              <w:spacing w:after="0" w:line="189" w:lineRule="exact"/>
              <w:rPr>
                <w:sz w:val="20"/>
                <w:szCs w:val="20"/>
                <w:color w:val="auto"/>
              </w:rPr>
            </w:pPr>
            <w:r>
              <w:rPr>
                <w:rFonts w:ascii="Arial" w:cs="Arial" w:eastAsia="Arial" w:hAnsi="Arial"/>
                <w:sz w:val="18"/>
                <w:szCs w:val="18"/>
                <w:color w:val="auto"/>
              </w:rPr>
              <w:t>Net unrealized gain (loss) on cash flow hedges (net</w:t>
            </w:r>
          </w:p>
        </w:tc>
        <w:tc>
          <w:tcPr>
            <w:tcW w:w="3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4340" w:type="dxa"/>
            <w:vAlign w:val="bottom"/>
          </w:tcPr>
          <w:p>
            <w:pPr>
              <w:ind w:left="320"/>
              <w:spacing w:after="0"/>
              <w:rPr>
                <w:sz w:val="20"/>
                <w:szCs w:val="20"/>
                <w:color w:val="auto"/>
              </w:rPr>
            </w:pPr>
            <w:r>
              <w:rPr>
                <w:rFonts w:ascii="Arial" w:cs="Arial" w:eastAsia="Arial" w:hAnsi="Arial"/>
                <w:sz w:val="18"/>
                <w:szCs w:val="18"/>
                <w:color w:val="auto"/>
              </w:rPr>
              <w:t>of tax of $3, $4, $9, and $7 respectively)</w:t>
            </w: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40" w:type="dxa"/>
            <w:vAlign w:val="bottom"/>
          </w:tcPr>
          <w:p>
            <w:pPr>
              <w:ind w:left="160"/>
              <w:spacing w:after="0" w:line="189" w:lineRule="exact"/>
              <w:rPr>
                <w:sz w:val="20"/>
                <w:szCs w:val="20"/>
                <w:color w:val="auto"/>
              </w:rPr>
            </w:pPr>
            <w:r>
              <w:rPr>
                <w:rFonts w:ascii="Arial" w:cs="Arial" w:eastAsia="Arial" w:hAnsi="Arial"/>
                <w:sz w:val="18"/>
                <w:szCs w:val="18"/>
                <w:color w:val="auto"/>
              </w:rPr>
              <w:t>Minimum pension liability adjustment (net of tax of</w:t>
            </w:r>
          </w:p>
        </w:tc>
        <w:tc>
          <w:tcPr>
            <w:tcW w:w="300" w:type="dxa"/>
            <w:vAlign w:val="bottom"/>
          </w:tcPr>
          <w:p>
            <w:pPr>
              <w:spacing w:after="0"/>
              <w:rPr>
                <w:sz w:val="16"/>
                <w:szCs w:val="16"/>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4340" w:type="dxa"/>
            <w:vAlign w:val="bottom"/>
          </w:tcPr>
          <w:p>
            <w:pPr>
              <w:ind w:left="320"/>
              <w:spacing w:after="0"/>
              <w:rPr>
                <w:sz w:val="20"/>
                <w:szCs w:val="20"/>
                <w:color w:val="auto"/>
              </w:rPr>
            </w:pPr>
            <w:r>
              <w:rPr>
                <w:rFonts w:ascii="Arial" w:cs="Arial" w:eastAsia="Arial" w:hAnsi="Arial"/>
                <w:sz w:val="18"/>
                <w:szCs w:val="18"/>
                <w:color w:val="auto"/>
              </w:rPr>
              <w:t>$0, $0, $0, and $0, respectively)</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43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42"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300" w:type="dxa"/>
            <w:vAlign w:val="bottom"/>
            <w:vMerge w:val="restart"/>
          </w:tcPr>
          <w:p>
            <w:pPr>
              <w:jc w:val="center"/>
              <w:ind w:left="317"/>
              <w:spacing w:after="0"/>
              <w:rPr>
                <w:sz w:val="20"/>
                <w:szCs w:val="20"/>
                <w:color w:val="auto"/>
              </w:rPr>
            </w:pPr>
            <w:r>
              <w:rPr>
                <w:rFonts w:ascii="Arial" w:cs="Arial" w:eastAsia="Arial" w:hAnsi="Arial"/>
                <w:sz w:val="13"/>
                <w:szCs w:val="13"/>
                <w:b w:val="1"/>
                <w:bCs w:val="1"/>
                <w:color w:val="auto"/>
                <w:w w:val="98"/>
              </w:rPr>
              <w:t>Currency</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Net Unrealized</w:t>
            </w:r>
          </w:p>
        </w:tc>
        <w:tc>
          <w:tcPr>
            <w:tcW w:w="2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Minimum</w:t>
            </w:r>
          </w:p>
        </w:tc>
        <w:tc>
          <w:tcPr>
            <w:tcW w:w="240" w:type="dxa"/>
            <w:vAlign w:val="bottom"/>
          </w:tcPr>
          <w:p>
            <w:pPr>
              <w:spacing w:after="0"/>
              <w:rPr>
                <w:sz w:val="14"/>
                <w:szCs w:val="14"/>
                <w:color w:val="auto"/>
              </w:rPr>
            </w:pPr>
          </w:p>
        </w:tc>
        <w:tc>
          <w:tcPr>
            <w:tcW w:w="1480" w:type="dxa"/>
            <w:vAlign w:val="bottom"/>
          </w:tcPr>
          <w:p>
            <w:pPr>
              <w:jc w:val="center"/>
              <w:ind w:right="177"/>
              <w:spacing w:after="0"/>
              <w:rPr>
                <w:sz w:val="20"/>
                <w:szCs w:val="20"/>
                <w:color w:val="auto"/>
              </w:rPr>
            </w:pPr>
            <w:r>
              <w:rPr>
                <w:rFonts w:ascii="Arial" w:cs="Arial" w:eastAsia="Arial" w:hAnsi="Arial"/>
                <w:sz w:val="13"/>
                <w:szCs w:val="13"/>
                <w:b w:val="1"/>
                <w:bCs w:val="1"/>
                <w:color w:val="auto"/>
                <w:w w:val="97"/>
              </w:rPr>
              <w:t>Accumulated</w:t>
            </w: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6"/>
              </w:rPr>
              <w:t>Gains (Losses)</w:t>
            </w:r>
          </w:p>
        </w:tc>
        <w:tc>
          <w:tcPr>
            <w:tcW w:w="280" w:type="dxa"/>
            <w:vAlign w:val="bottom"/>
          </w:tcPr>
          <w:p>
            <w:pPr>
              <w:spacing w:after="0"/>
              <w:rPr>
                <w:sz w:val="10"/>
                <w:szCs w:val="10"/>
                <w:color w:val="auto"/>
              </w:rPr>
            </w:pPr>
          </w:p>
        </w:tc>
        <w:tc>
          <w:tcPr>
            <w:tcW w:w="1540" w:type="dxa"/>
            <w:vAlign w:val="bottom"/>
            <w:gridSpan w:val="2"/>
          </w:tcPr>
          <w:p>
            <w:pPr>
              <w:jc w:val="center"/>
              <w:ind w:right="380"/>
              <w:spacing w:after="0" w:line="122" w:lineRule="exact"/>
              <w:rPr>
                <w:sz w:val="20"/>
                <w:szCs w:val="20"/>
                <w:color w:val="auto"/>
              </w:rPr>
            </w:pPr>
            <w:r>
              <w:rPr>
                <w:rFonts w:ascii="Arial" w:cs="Arial" w:eastAsia="Arial" w:hAnsi="Arial"/>
                <w:sz w:val="13"/>
                <w:szCs w:val="13"/>
                <w:b w:val="1"/>
                <w:bCs w:val="1"/>
                <w:color w:val="auto"/>
                <w:w w:val="94"/>
              </w:rPr>
              <w:t>Pension</w:t>
            </w:r>
          </w:p>
        </w:tc>
        <w:tc>
          <w:tcPr>
            <w:tcW w:w="240" w:type="dxa"/>
            <w:vAlign w:val="bottom"/>
          </w:tcPr>
          <w:p>
            <w:pPr>
              <w:spacing w:after="0"/>
              <w:rPr>
                <w:sz w:val="10"/>
                <w:szCs w:val="10"/>
                <w:color w:val="auto"/>
              </w:rPr>
            </w:pPr>
          </w:p>
        </w:tc>
        <w:tc>
          <w:tcPr>
            <w:tcW w:w="1480" w:type="dxa"/>
            <w:vAlign w:val="bottom"/>
          </w:tcPr>
          <w:p>
            <w:pPr>
              <w:jc w:val="center"/>
              <w:ind w:right="177"/>
              <w:spacing w:after="0" w:line="122"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1300" w:type="dxa"/>
            <w:vAlign w:val="bottom"/>
          </w:tcPr>
          <w:p>
            <w:pPr>
              <w:jc w:val="center"/>
              <w:ind w:left="317"/>
              <w:spacing w:after="0" w:line="122" w:lineRule="exact"/>
              <w:rPr>
                <w:sz w:val="20"/>
                <w:szCs w:val="20"/>
                <w:color w:val="auto"/>
              </w:rPr>
            </w:pPr>
            <w:r>
              <w:rPr>
                <w:rFonts w:ascii="Arial" w:cs="Arial" w:eastAsia="Arial" w:hAnsi="Arial"/>
                <w:sz w:val="13"/>
                <w:szCs w:val="13"/>
                <w:b w:val="1"/>
                <w:bCs w:val="1"/>
                <w:color w:val="auto"/>
                <w:w w:val="96"/>
              </w:rPr>
              <w:t>Translation</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6"/>
              </w:rPr>
              <w:t>on Cash Flow</w:t>
            </w:r>
          </w:p>
        </w:tc>
        <w:tc>
          <w:tcPr>
            <w:tcW w:w="280" w:type="dxa"/>
            <w:vAlign w:val="bottom"/>
          </w:tcPr>
          <w:p>
            <w:pPr>
              <w:spacing w:after="0"/>
              <w:rPr>
                <w:sz w:val="10"/>
                <w:szCs w:val="10"/>
                <w:color w:val="auto"/>
              </w:rPr>
            </w:pPr>
          </w:p>
        </w:tc>
        <w:tc>
          <w:tcPr>
            <w:tcW w:w="1540" w:type="dxa"/>
            <w:vAlign w:val="bottom"/>
            <w:gridSpan w:val="2"/>
          </w:tcPr>
          <w:p>
            <w:pPr>
              <w:jc w:val="center"/>
              <w:ind w:right="380"/>
              <w:spacing w:after="0" w:line="122" w:lineRule="exact"/>
              <w:rPr>
                <w:sz w:val="20"/>
                <w:szCs w:val="20"/>
                <w:color w:val="auto"/>
              </w:rPr>
            </w:pPr>
            <w:r>
              <w:rPr>
                <w:rFonts w:ascii="Arial" w:cs="Arial" w:eastAsia="Arial" w:hAnsi="Arial"/>
                <w:sz w:val="13"/>
                <w:szCs w:val="13"/>
                <w:b w:val="1"/>
                <w:bCs w:val="1"/>
                <w:color w:val="auto"/>
                <w:w w:val="97"/>
              </w:rPr>
              <w:t>Liability</w:t>
            </w:r>
          </w:p>
        </w:tc>
        <w:tc>
          <w:tcPr>
            <w:tcW w:w="240" w:type="dxa"/>
            <w:vAlign w:val="bottom"/>
          </w:tcPr>
          <w:p>
            <w:pPr>
              <w:spacing w:after="0"/>
              <w:rPr>
                <w:sz w:val="10"/>
                <w:szCs w:val="10"/>
                <w:color w:val="auto"/>
              </w:rPr>
            </w:pPr>
          </w:p>
        </w:tc>
        <w:tc>
          <w:tcPr>
            <w:tcW w:w="1480" w:type="dxa"/>
            <w:vAlign w:val="bottom"/>
          </w:tcPr>
          <w:p>
            <w:pPr>
              <w:jc w:val="center"/>
              <w:ind w:right="177"/>
              <w:spacing w:after="0" w:line="122" w:lineRule="exact"/>
              <w:rPr>
                <w:sz w:val="20"/>
                <w:szCs w:val="20"/>
                <w:color w:val="auto"/>
              </w:rPr>
            </w:pPr>
            <w:r>
              <w:rPr>
                <w:rFonts w:ascii="Arial" w:cs="Arial" w:eastAsia="Arial" w:hAnsi="Arial"/>
                <w:sz w:val="13"/>
                <w:szCs w:val="13"/>
                <w:b w:val="1"/>
                <w:bCs w:val="1"/>
                <w:color w:val="auto"/>
                <w:w w:val="98"/>
              </w:rPr>
              <w:t>Comprehensive</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130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Adjustments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8"/>
              </w:rPr>
              <w:t>Hedges</w:t>
            </w:r>
            <w:r>
              <w:rPr>
                <w:rFonts w:ascii="Arial" w:cs="Arial" w:eastAsia="Arial" w:hAnsi="Arial"/>
                <w:sz w:val="8"/>
                <w:szCs w:val="8"/>
                <w:b w:val="1"/>
                <w:bCs w:val="1"/>
                <w:color w:val="auto"/>
                <w:w w:val="98"/>
              </w:rPr>
              <w:t>(a)</w:t>
            </w:r>
          </w:p>
        </w:tc>
        <w:tc>
          <w:tcPr>
            <w:tcW w:w="2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Adjustment</w:t>
            </w:r>
            <w:r>
              <w:rPr>
                <w:rFonts w:ascii="Arial" w:cs="Arial" w:eastAsia="Arial" w:hAnsi="Arial"/>
                <w:sz w:val="8"/>
                <w:szCs w:val="8"/>
                <w:b w:val="1"/>
                <w:bCs w:val="1"/>
                <w:color w:val="auto"/>
                <w:w w:val="97"/>
              </w:rPr>
              <w:t>(b)</w:t>
            </w:r>
          </w:p>
        </w:tc>
        <w:tc>
          <w:tcPr>
            <w:tcW w:w="240" w:type="dxa"/>
            <w:vAlign w:val="bottom"/>
          </w:tcPr>
          <w:p>
            <w:pPr>
              <w:spacing w:after="0"/>
              <w:rPr>
                <w:sz w:val="14"/>
                <w:szCs w:val="14"/>
                <w:color w:val="auto"/>
              </w:rPr>
            </w:pPr>
          </w:p>
        </w:tc>
        <w:tc>
          <w:tcPr>
            <w:tcW w:w="1480" w:type="dxa"/>
            <w:vAlign w:val="bottom"/>
          </w:tcPr>
          <w:p>
            <w:pPr>
              <w:jc w:val="center"/>
              <w:ind w:right="177"/>
              <w:spacing w:after="0"/>
              <w:rPr>
                <w:sz w:val="20"/>
                <w:szCs w:val="20"/>
                <w:color w:val="auto"/>
              </w:rPr>
            </w:pPr>
            <w:r>
              <w:rPr>
                <w:rFonts w:ascii="Arial" w:cs="Arial" w:eastAsia="Arial" w:hAnsi="Arial"/>
                <w:sz w:val="13"/>
                <w:szCs w:val="13"/>
                <w:b w:val="1"/>
                <w:bCs w:val="1"/>
                <w:color w:val="auto"/>
                <w:w w:val="95"/>
              </w:rPr>
              <w:t>Income (Loss)</w:t>
            </w:r>
          </w:p>
        </w:tc>
        <w:tc>
          <w:tcPr>
            <w:tcW w:w="0" w:type="dxa"/>
            <w:vAlign w:val="bottom"/>
          </w:tcPr>
          <w:p>
            <w:pPr>
              <w:spacing w:after="0"/>
              <w:rPr>
                <w:sz w:val="1"/>
                <w:szCs w:val="1"/>
                <w:color w:val="auto"/>
              </w:rPr>
            </w:pPr>
          </w:p>
        </w:tc>
      </w:tr>
      <w:tr>
        <w:trPr>
          <w:trHeight w:val="170"/>
        </w:trPr>
        <w:tc>
          <w:tcPr>
            <w:tcW w:w="2940" w:type="dxa"/>
            <w:vAlign w:val="bottom"/>
          </w:tcPr>
          <w:p>
            <w:pPr>
              <w:spacing w:after="0"/>
              <w:rPr>
                <w:sz w:val="20"/>
                <w:szCs w:val="20"/>
                <w:color w:val="auto"/>
              </w:rPr>
            </w:pPr>
            <w:r>
              <w:rPr>
                <w:rFonts w:ascii="Arial" w:cs="Arial" w:eastAsia="Arial" w:hAnsi="Arial"/>
                <w:sz w:val="13"/>
                <w:szCs w:val="13"/>
                <w:color w:val="auto"/>
              </w:rPr>
              <w:t>Balance, January 1, 2020</w:t>
            </w:r>
          </w:p>
        </w:tc>
        <w:tc>
          <w:tcPr>
            <w:tcW w:w="1300" w:type="dxa"/>
            <w:vAlign w:val="bottom"/>
            <w:tcBorders>
              <w:top w:val="single" w:sz="8" w:color="auto"/>
            </w:tcBorders>
          </w:tcPr>
          <w:p>
            <w:pPr>
              <w:jc w:val="right"/>
              <w:ind w:right="11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45"/>
        </w:trPr>
        <w:tc>
          <w:tcPr>
            <w:tcW w:w="2940" w:type="dxa"/>
            <w:vAlign w:val="bottom"/>
          </w:tcPr>
          <w:p>
            <w:pPr>
              <w:ind w:left="200"/>
              <w:spacing w:after="0" w:line="145" w:lineRule="exact"/>
              <w:rPr>
                <w:sz w:val="20"/>
                <w:szCs w:val="20"/>
                <w:color w:val="auto"/>
              </w:rPr>
            </w:pPr>
            <w:r>
              <w:rPr>
                <w:rFonts w:ascii="Arial" w:cs="Arial" w:eastAsia="Arial" w:hAnsi="Arial"/>
                <w:sz w:val="13"/>
                <w:szCs w:val="13"/>
                <w:color w:val="auto"/>
              </w:rPr>
              <w:t>Other comprehensive income (loss) before</w:t>
            </w:r>
          </w:p>
        </w:tc>
        <w:tc>
          <w:tcPr>
            <w:tcW w:w="1300" w:type="dxa"/>
            <w:vAlign w:val="bottom"/>
          </w:tcPr>
          <w:p>
            <w:pPr>
              <w:spacing w:after="0"/>
              <w:rPr>
                <w:sz w:val="12"/>
                <w:szCs w:val="12"/>
                <w:color w:val="auto"/>
              </w:rPr>
            </w:pPr>
          </w:p>
        </w:tc>
        <w:tc>
          <w:tcPr>
            <w:tcW w:w="400" w:type="dxa"/>
            <w:vAlign w:val="bottom"/>
            <w:vMerge w:val="restart"/>
          </w:tcPr>
          <w:p>
            <w:pPr>
              <w:jc w:val="right"/>
              <w:ind w:right="37"/>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ind w:right="3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restart"/>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ind w:right="37"/>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52"/>
        </w:trPr>
        <w:tc>
          <w:tcPr>
            <w:tcW w:w="2940" w:type="dxa"/>
            <w:vAlign w:val="bottom"/>
          </w:tcPr>
          <w:p>
            <w:pPr>
              <w:ind w:left="360"/>
              <w:spacing w:after="0"/>
              <w:rPr>
                <w:sz w:val="20"/>
                <w:szCs w:val="20"/>
                <w:color w:val="auto"/>
              </w:rPr>
            </w:pPr>
            <w:r>
              <w:rPr>
                <w:rFonts w:ascii="Arial" w:cs="Arial" w:eastAsia="Arial" w:hAnsi="Arial"/>
                <w:sz w:val="13"/>
                <w:szCs w:val="13"/>
                <w:color w:val="auto"/>
              </w:rPr>
              <w:t>reclassifications</w:t>
            </w:r>
          </w:p>
        </w:tc>
        <w:tc>
          <w:tcPr>
            <w:tcW w:w="13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940" w:type="dxa"/>
            <w:vAlign w:val="bottom"/>
          </w:tcPr>
          <w:p>
            <w:pPr>
              <w:ind w:left="200"/>
              <w:spacing w:after="0" w:line="145" w:lineRule="exact"/>
              <w:rPr>
                <w:sz w:val="20"/>
                <w:szCs w:val="20"/>
                <w:color w:val="auto"/>
              </w:rPr>
            </w:pPr>
            <w:r>
              <w:rPr>
                <w:rFonts w:ascii="Arial" w:cs="Arial" w:eastAsia="Arial" w:hAnsi="Arial"/>
                <w:sz w:val="13"/>
                <w:szCs w:val="13"/>
                <w:color w:val="auto"/>
              </w:rPr>
              <w:t>Amounts reclassified from accumulated other</w:t>
            </w:r>
          </w:p>
        </w:tc>
        <w:tc>
          <w:tcPr>
            <w:tcW w:w="1300" w:type="dxa"/>
            <w:vAlign w:val="bottom"/>
          </w:tcPr>
          <w:p>
            <w:pPr>
              <w:spacing w:after="0"/>
              <w:rPr>
                <w:sz w:val="12"/>
                <w:szCs w:val="12"/>
                <w:color w:val="auto"/>
              </w:rPr>
            </w:pPr>
          </w:p>
        </w:tc>
        <w:tc>
          <w:tcPr>
            <w:tcW w:w="5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80" w:type="dxa"/>
            <w:vAlign w:val="bottom"/>
            <w:vMerge w:val="restart"/>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restart"/>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ind w:right="7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1"/>
        </w:trPr>
        <w:tc>
          <w:tcPr>
            <w:tcW w:w="2940" w:type="dxa"/>
            <w:vAlign w:val="bottom"/>
          </w:tcPr>
          <w:p>
            <w:pPr>
              <w:ind w:left="360"/>
              <w:spacing w:after="0"/>
              <w:rPr>
                <w:sz w:val="20"/>
                <w:szCs w:val="20"/>
                <w:color w:val="auto"/>
              </w:rPr>
            </w:pPr>
            <w:r>
              <w:rPr>
                <w:rFonts w:ascii="Arial" w:cs="Arial" w:eastAsia="Arial" w:hAnsi="Arial"/>
                <w:sz w:val="13"/>
                <w:szCs w:val="13"/>
                <w:color w:val="auto"/>
              </w:rPr>
              <w:t>comprehensive income (loss)</w:t>
            </w:r>
          </w:p>
        </w:tc>
        <w:tc>
          <w:tcPr>
            <w:tcW w:w="13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940" w:type="dxa"/>
            <w:vAlign w:val="bottom"/>
          </w:tcPr>
          <w:p>
            <w:pPr>
              <w:spacing w:after="0" w:line="116" w:lineRule="exact"/>
              <w:rPr>
                <w:sz w:val="20"/>
                <w:szCs w:val="20"/>
                <w:color w:val="auto"/>
              </w:rPr>
            </w:pPr>
            <w:r>
              <w:rPr>
                <w:rFonts w:ascii="Arial" w:cs="Arial" w:eastAsia="Arial" w:hAnsi="Arial"/>
                <w:sz w:val="13"/>
                <w:szCs w:val="13"/>
                <w:color w:val="auto"/>
              </w:rPr>
              <w:t>Net current-period other comprehensive income</w:t>
            </w:r>
          </w:p>
        </w:tc>
        <w:tc>
          <w:tcPr>
            <w:tcW w:w="13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61"/>
        </w:trPr>
        <w:tc>
          <w:tcPr>
            <w:tcW w:w="2940" w:type="dxa"/>
            <w:vAlign w:val="bottom"/>
          </w:tcPr>
          <w:p>
            <w:pPr>
              <w:ind w:left="160"/>
              <w:spacing w:after="0"/>
              <w:rPr>
                <w:sz w:val="20"/>
                <w:szCs w:val="20"/>
                <w:color w:val="auto"/>
              </w:rPr>
            </w:pPr>
            <w:r>
              <w:rPr>
                <w:rFonts w:ascii="Arial" w:cs="Arial" w:eastAsia="Arial" w:hAnsi="Arial"/>
                <w:sz w:val="13"/>
                <w:szCs w:val="13"/>
                <w:color w:val="auto"/>
              </w:rPr>
              <w:t>(loss)</w:t>
            </w:r>
          </w:p>
        </w:tc>
        <w:tc>
          <w:tcPr>
            <w:tcW w:w="1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Arial" w:cs="Arial" w:eastAsia="Arial" w:hAnsi="Arial"/>
                <w:sz w:val="13"/>
                <w:szCs w:val="13"/>
                <w:color w:val="auto"/>
              </w:rPr>
              <w:t>Balance, June 30, 2020</w:t>
            </w:r>
          </w:p>
        </w:tc>
        <w:tc>
          <w:tcPr>
            <w:tcW w:w="1300" w:type="dxa"/>
            <w:vAlign w:val="bottom"/>
            <w:tcBorders>
              <w:bottom w:val="single" w:sz="8" w:color="auto"/>
            </w:tcBorders>
          </w:tcPr>
          <w:p>
            <w:pPr>
              <w:jc w:val="right"/>
              <w:ind w:right="1157"/>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2940" w:type="dxa"/>
            <w:vAlign w:val="bottom"/>
          </w:tcPr>
          <w:p>
            <w:pPr>
              <w:spacing w:after="0"/>
              <w:rPr>
                <w:sz w:val="20"/>
                <w:szCs w:val="20"/>
                <w:color w:val="auto"/>
              </w:rPr>
            </w:pPr>
            <w:r>
              <w:rPr>
                <w:rFonts w:ascii="Arial" w:cs="Arial" w:eastAsia="Arial" w:hAnsi="Arial"/>
                <w:sz w:val="13"/>
                <w:szCs w:val="13"/>
                <w:color w:val="auto"/>
              </w:rPr>
              <w:t>Balance, December 31, 2018</w:t>
            </w:r>
          </w:p>
        </w:tc>
        <w:tc>
          <w:tcPr>
            <w:tcW w:w="1300" w:type="dxa"/>
            <w:vAlign w:val="bottom"/>
          </w:tcPr>
          <w:p>
            <w:pPr>
              <w:jc w:val="right"/>
              <w:ind w:right="1157"/>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37"/>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24"/>
                <w:szCs w:val="2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37"/>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99"/>
        </w:trPr>
        <w:tc>
          <w:tcPr>
            <w:tcW w:w="2940" w:type="dxa"/>
            <w:vAlign w:val="bottom"/>
          </w:tcPr>
          <w:p>
            <w:pPr>
              <w:ind w:left="200"/>
              <w:spacing w:after="0"/>
              <w:rPr>
                <w:sz w:val="20"/>
                <w:szCs w:val="20"/>
                <w:color w:val="auto"/>
              </w:rPr>
            </w:pPr>
            <w:r>
              <w:rPr>
                <w:rFonts w:ascii="Arial" w:cs="Arial" w:eastAsia="Arial" w:hAnsi="Arial"/>
                <w:sz w:val="13"/>
                <w:szCs w:val="13"/>
                <w:color w:val="auto"/>
              </w:rPr>
              <w:t>Cumulative effect of accounting change</w:t>
            </w:r>
          </w:p>
        </w:tc>
        <w:tc>
          <w:tcPr>
            <w:tcW w:w="13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148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148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20"/>
                <w:szCs w:val="20"/>
                <w:color w:val="auto"/>
              </w:rPr>
            </w:pPr>
            <w:r>
              <w:rPr>
                <w:rFonts w:ascii="Arial" w:cs="Arial" w:eastAsia="Arial" w:hAnsi="Arial"/>
                <w:sz w:val="13"/>
                <w:szCs w:val="13"/>
                <w:color w:val="auto"/>
              </w:rPr>
              <w:t>Balance, January 1, 2019</w:t>
            </w:r>
          </w:p>
        </w:tc>
        <w:tc>
          <w:tcPr>
            <w:tcW w:w="1300" w:type="dxa"/>
            <w:vAlign w:val="bottom"/>
            <w:tcBorders>
              <w:top w:val="single" w:sz="8" w:color="auto"/>
              <w:bottom w:val="single" w:sz="8" w:color="auto"/>
            </w:tcBorders>
          </w:tcPr>
          <w:p>
            <w:pPr>
              <w:jc w:val="right"/>
              <w:ind w:right="115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16"/>
        </w:trPr>
        <w:tc>
          <w:tcPr>
            <w:tcW w:w="2940" w:type="dxa"/>
            <w:vAlign w:val="bottom"/>
          </w:tcPr>
          <w:p>
            <w:pPr>
              <w:ind w:left="200"/>
              <w:spacing w:after="0" w:line="116" w:lineRule="exact"/>
              <w:rPr>
                <w:sz w:val="20"/>
                <w:szCs w:val="20"/>
                <w:color w:val="auto"/>
              </w:rPr>
            </w:pPr>
            <w:r>
              <w:rPr>
                <w:rFonts w:ascii="Arial" w:cs="Arial" w:eastAsia="Arial" w:hAnsi="Arial"/>
                <w:sz w:val="13"/>
                <w:szCs w:val="13"/>
                <w:color w:val="auto"/>
              </w:rPr>
              <w:t>Other comprehensive income (loss) before</w:t>
            </w:r>
          </w:p>
        </w:tc>
        <w:tc>
          <w:tcPr>
            <w:tcW w:w="1300" w:type="dxa"/>
            <w:vAlign w:val="bottom"/>
          </w:tcPr>
          <w:p>
            <w:pPr>
              <w:spacing w:after="0"/>
              <w:rPr>
                <w:sz w:val="10"/>
                <w:szCs w:val="10"/>
                <w:color w:val="auto"/>
              </w:rPr>
            </w:pPr>
          </w:p>
        </w:tc>
        <w:tc>
          <w:tcPr>
            <w:tcW w:w="400" w:type="dxa"/>
            <w:vAlign w:val="bottom"/>
            <w:vMerge w:val="restart"/>
          </w:tcPr>
          <w:p>
            <w:pPr>
              <w:jc w:val="right"/>
              <w:ind w:right="7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vMerge w:val="restart"/>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vMerge w:val="restart"/>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vMerge w:val="restart"/>
          </w:tcPr>
          <w:p>
            <w:pPr>
              <w:jc w:val="right"/>
              <w:ind w:right="3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2"/>
        </w:trPr>
        <w:tc>
          <w:tcPr>
            <w:tcW w:w="2940" w:type="dxa"/>
            <w:vAlign w:val="bottom"/>
          </w:tcPr>
          <w:p>
            <w:pPr>
              <w:ind w:left="360"/>
              <w:spacing w:after="0"/>
              <w:rPr>
                <w:sz w:val="20"/>
                <w:szCs w:val="20"/>
                <w:color w:val="auto"/>
              </w:rPr>
            </w:pPr>
            <w:r>
              <w:rPr>
                <w:rFonts w:ascii="Arial" w:cs="Arial" w:eastAsia="Arial" w:hAnsi="Arial"/>
                <w:sz w:val="13"/>
                <w:szCs w:val="13"/>
                <w:color w:val="auto"/>
              </w:rPr>
              <w:t>reclassifications</w:t>
            </w:r>
          </w:p>
        </w:tc>
        <w:tc>
          <w:tcPr>
            <w:tcW w:w="13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940" w:type="dxa"/>
            <w:vAlign w:val="bottom"/>
          </w:tcPr>
          <w:p>
            <w:pPr>
              <w:ind w:left="200"/>
              <w:spacing w:after="0" w:line="145" w:lineRule="exact"/>
              <w:rPr>
                <w:sz w:val="20"/>
                <w:szCs w:val="20"/>
                <w:color w:val="auto"/>
              </w:rPr>
            </w:pPr>
            <w:r>
              <w:rPr>
                <w:rFonts w:ascii="Arial" w:cs="Arial" w:eastAsia="Arial" w:hAnsi="Arial"/>
                <w:sz w:val="13"/>
                <w:szCs w:val="13"/>
                <w:color w:val="auto"/>
              </w:rPr>
              <w:t>Amounts reclassified from accumulated other</w:t>
            </w:r>
          </w:p>
        </w:tc>
        <w:tc>
          <w:tcPr>
            <w:tcW w:w="1300" w:type="dxa"/>
            <w:vAlign w:val="bottom"/>
          </w:tcPr>
          <w:p>
            <w:pPr>
              <w:spacing w:after="0"/>
              <w:rPr>
                <w:sz w:val="12"/>
                <w:szCs w:val="12"/>
                <w:color w:val="auto"/>
              </w:rPr>
            </w:pPr>
          </w:p>
        </w:tc>
        <w:tc>
          <w:tcPr>
            <w:tcW w:w="5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80" w:type="dxa"/>
            <w:vAlign w:val="bottom"/>
            <w:vMerge w:val="restart"/>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restart"/>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ind w:right="7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1"/>
        </w:trPr>
        <w:tc>
          <w:tcPr>
            <w:tcW w:w="2940" w:type="dxa"/>
            <w:vAlign w:val="bottom"/>
          </w:tcPr>
          <w:p>
            <w:pPr>
              <w:ind w:left="360"/>
              <w:spacing w:after="0"/>
              <w:rPr>
                <w:sz w:val="20"/>
                <w:szCs w:val="20"/>
                <w:color w:val="auto"/>
              </w:rPr>
            </w:pPr>
            <w:r>
              <w:rPr>
                <w:rFonts w:ascii="Arial" w:cs="Arial" w:eastAsia="Arial" w:hAnsi="Arial"/>
                <w:sz w:val="13"/>
                <w:szCs w:val="13"/>
                <w:color w:val="auto"/>
              </w:rPr>
              <w:t>comprehensive income (loss)</w:t>
            </w:r>
          </w:p>
        </w:tc>
        <w:tc>
          <w:tcPr>
            <w:tcW w:w="13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940" w:type="dxa"/>
            <w:vAlign w:val="bottom"/>
          </w:tcPr>
          <w:p>
            <w:pPr>
              <w:spacing w:after="0" w:line="116" w:lineRule="exact"/>
              <w:rPr>
                <w:sz w:val="20"/>
                <w:szCs w:val="20"/>
                <w:color w:val="auto"/>
              </w:rPr>
            </w:pPr>
            <w:r>
              <w:rPr>
                <w:rFonts w:ascii="Arial" w:cs="Arial" w:eastAsia="Arial" w:hAnsi="Arial"/>
                <w:sz w:val="13"/>
                <w:szCs w:val="13"/>
                <w:color w:val="auto"/>
              </w:rPr>
              <w:t>Net current-period other comprehensive income</w:t>
            </w:r>
          </w:p>
        </w:tc>
        <w:tc>
          <w:tcPr>
            <w:tcW w:w="13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1"/>
        </w:trPr>
        <w:tc>
          <w:tcPr>
            <w:tcW w:w="2940" w:type="dxa"/>
            <w:vAlign w:val="bottom"/>
          </w:tcPr>
          <w:p>
            <w:pPr>
              <w:ind w:left="160"/>
              <w:spacing w:after="0"/>
              <w:rPr>
                <w:sz w:val="20"/>
                <w:szCs w:val="20"/>
                <w:color w:val="auto"/>
              </w:rPr>
            </w:pPr>
            <w:r>
              <w:rPr>
                <w:rFonts w:ascii="Arial" w:cs="Arial" w:eastAsia="Arial" w:hAnsi="Arial"/>
                <w:sz w:val="13"/>
                <w:szCs w:val="13"/>
                <w:color w:val="auto"/>
              </w:rPr>
              <w:t>(loss)</w:t>
            </w:r>
          </w:p>
        </w:tc>
        <w:tc>
          <w:tcPr>
            <w:tcW w:w="1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Arial" w:cs="Arial" w:eastAsia="Arial" w:hAnsi="Arial"/>
                <w:sz w:val="13"/>
                <w:szCs w:val="13"/>
                <w:color w:val="auto"/>
              </w:rPr>
              <w:t>Balance, June 30, 2019</w:t>
            </w:r>
          </w:p>
        </w:tc>
        <w:tc>
          <w:tcPr>
            <w:tcW w:w="1300" w:type="dxa"/>
            <w:vAlign w:val="bottom"/>
            <w:tcBorders>
              <w:bottom w:val="single" w:sz="8" w:color="auto"/>
            </w:tcBorders>
          </w:tcPr>
          <w:p>
            <w:pPr>
              <w:jc w:val="right"/>
              <w:ind w:right="1157"/>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500" w:right="20"/>
        <w:spacing w:after="0" w:line="237"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$79 million gain, net of tax, as of June 30, 2020 related to the Company’s hedge of its net investment in euro-denominated foreign operations (see Note 16–Financial Instruments).</w:t>
      </w:r>
    </w:p>
    <w:p>
      <w:pPr>
        <w:spacing w:after="0" w:line="9" w:lineRule="exact"/>
        <w:rPr>
          <w:sz w:val="20"/>
          <w:szCs w:val="20"/>
          <w:color w:val="auto"/>
        </w:rPr>
      </w:pPr>
    </w:p>
    <w:p>
      <w:pPr>
        <w:ind w:left="820" w:right="40" w:hanging="326"/>
        <w:spacing w:after="0" w:line="221" w:lineRule="auto"/>
        <w:tabs>
          <w:tab w:leader="none" w:pos="813" w:val="left"/>
        </w:tabs>
        <w:numPr>
          <w:ilvl w:val="1"/>
          <w:numId w:val="23"/>
        </w:numPr>
        <w:rPr>
          <w:rFonts w:ascii="Arial" w:cs="Arial" w:eastAsia="Arial" w:hAnsi="Arial"/>
          <w:sz w:val="19"/>
          <w:szCs w:val="19"/>
          <w:color w:val="auto"/>
          <w:vertAlign w:val="superscript"/>
        </w:rPr>
      </w:pPr>
      <w:r>
        <w:rPr>
          <w:rFonts w:ascii="Arial" w:cs="Arial" w:eastAsia="Arial" w:hAnsi="Arial"/>
          <w:sz w:val="14"/>
          <w:szCs w:val="14"/>
          <w:color w:val="auto"/>
        </w:rPr>
        <w:t>For the three and six months ended June 30, 2020, the amount reclassified from accumulated other comprehensive income (loss) into corporate interest expense and vehicle interest expense was $2 million ($1 million, net of tax) and $1 million ($1 million, net of tax), respectively, in each period. For the three and six months ended June 30, 2019, the amount reclassified from accumulated other comprehensive income (loss) in corporate interest expense was $1 million ($1 million, net of tax) and $3 million ($2 million, net of tax), respectively.</w:t>
      </w:r>
    </w:p>
    <w:p>
      <w:pPr>
        <w:spacing w:after="0" w:line="2" w:lineRule="exact"/>
        <w:rPr>
          <w:rFonts w:ascii="Arial" w:cs="Arial" w:eastAsia="Arial" w:hAnsi="Arial"/>
          <w:sz w:val="19"/>
          <w:szCs w:val="19"/>
          <w:color w:val="auto"/>
          <w:vertAlign w:val="superscript"/>
        </w:rPr>
      </w:pPr>
    </w:p>
    <w:p>
      <w:pPr>
        <w:ind w:left="820" w:right="100" w:hanging="326"/>
        <w:spacing w:after="0" w:line="225" w:lineRule="auto"/>
        <w:tabs>
          <w:tab w:leader="none" w:pos="813" w:val="left"/>
        </w:tabs>
        <w:numPr>
          <w:ilvl w:val="1"/>
          <w:numId w:val="23"/>
        </w:numPr>
        <w:rPr>
          <w:rFonts w:ascii="Arial" w:cs="Arial" w:eastAsia="Arial" w:hAnsi="Arial"/>
          <w:sz w:val="19"/>
          <w:szCs w:val="19"/>
          <w:color w:val="auto"/>
          <w:vertAlign w:val="superscript"/>
        </w:rPr>
      </w:pPr>
      <w:r>
        <w:rPr>
          <w:rFonts w:ascii="Arial" w:cs="Arial" w:eastAsia="Arial" w:hAnsi="Arial"/>
          <w:sz w:val="14"/>
          <w:szCs w:val="14"/>
          <w:color w:val="auto"/>
        </w:rPr>
        <w:t>For the three and six months ended June 30, 2020, amounts reclassified from accumulated other comprehensive income (loss) into selling, general and administrative expenses were $2 million ($2 million, net of tax) and $4 million ($3 million, net of tax), respectively. For the three and six months ended June 30, 2019, amounts reclassified from accumulated other comprehensive income (loss) into selling, general and administrative expenses were $2 million ($2 million, net of tax) and $4 million ($3 million, net of tax), respectively.</w:t>
      </w:r>
    </w:p>
    <w:p>
      <w:pPr>
        <w:spacing w:after="0" w:line="205" w:lineRule="exact"/>
        <w:rPr>
          <w:rFonts w:ascii="Arial" w:cs="Arial" w:eastAsia="Arial" w:hAnsi="Arial"/>
          <w:sz w:val="19"/>
          <w:szCs w:val="19"/>
          <w:color w:val="auto"/>
          <w:vertAlign w:val="superscript"/>
        </w:rPr>
      </w:pPr>
    </w:p>
    <w:p>
      <w:pPr>
        <w:ind w:left="300" w:hanging="292"/>
        <w:spacing w:after="0"/>
        <w:tabs>
          <w:tab w:leader="none" w:pos="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74" w:lineRule="exact"/>
        <w:rPr>
          <w:sz w:val="20"/>
          <w:szCs w:val="20"/>
          <w:color w:val="auto"/>
        </w:rPr>
      </w:pPr>
    </w:p>
    <w:p>
      <w:pPr>
        <w:ind w:left="500" w:right="240"/>
        <w:spacing w:after="0" w:line="256" w:lineRule="auto"/>
        <w:rPr>
          <w:sz w:val="20"/>
          <w:szCs w:val="20"/>
          <w:color w:val="auto"/>
        </w:rPr>
      </w:pPr>
      <w:r>
        <w:rPr>
          <w:rFonts w:ascii="Arial" w:cs="Arial" w:eastAsia="Arial" w:hAnsi="Arial"/>
          <w:sz w:val="18"/>
          <w:szCs w:val="18"/>
          <w:color w:val="auto"/>
        </w:rPr>
        <w:t>The Company recorded stock-based compensation expense of $4 million and $7 million ($2 million and $5 million, net of tax) during the three months ended June 30, 2020 and 2019, respectively, and $2 million and $12 million ($1 million and $9 million, net of tax) during the six months ended June 30, 2020 and 2019, respectively.</w:t>
      </w:r>
    </w:p>
    <w:p>
      <w:pPr>
        <w:spacing w:after="0" w:line="229" w:lineRule="exact"/>
        <w:rPr>
          <w:sz w:val="20"/>
          <w:szCs w:val="20"/>
          <w:color w:val="auto"/>
        </w:rPr>
      </w:pPr>
    </w:p>
    <w:p>
      <w:pPr>
        <w:jc w:val="both"/>
        <w:ind w:left="500"/>
        <w:spacing w:after="0" w:line="284" w:lineRule="auto"/>
        <w:rPr>
          <w:sz w:val="20"/>
          <w:szCs w:val="20"/>
          <w:color w:val="auto"/>
        </w:rPr>
      </w:pPr>
      <w:r>
        <w:rPr>
          <w:rFonts w:ascii="Arial" w:cs="Arial" w:eastAsia="Arial" w:hAnsi="Arial"/>
          <w:sz w:val="17"/>
          <w:szCs w:val="17"/>
          <w:color w:val="auto"/>
        </w:rPr>
        <w:t>In June 2020, the Company granted market-based RSUs that vest based on absolute stock price attainment. The grant date fair value of this award is estimated using a Monte Carlo simulation model. The weighted average assumptions used in the model are as follows:</w:t>
      </w:r>
    </w:p>
    <w:tbl>
      <w:tblPr>
        <w:tblLayout w:type="fixed"/>
        <w:tblInd w:w="520" w:type="dxa"/>
        <w:tblCellMar>
          <w:top w:w="0" w:type="dxa"/>
          <w:left w:w="0" w:type="dxa"/>
          <w:bottom w:w="0" w:type="dxa"/>
          <w:right w:w="0" w:type="dxa"/>
        </w:tblCellMar>
      </w:tblPr>
      <w:tr>
        <w:trPr>
          <w:trHeight w:val="204"/>
        </w:trPr>
        <w:tc>
          <w:tcPr>
            <w:tcW w:w="7660" w:type="dxa"/>
            <w:vAlign w:val="bottom"/>
          </w:tcPr>
          <w:p>
            <w:pPr>
              <w:spacing w:after="0"/>
              <w:rPr>
                <w:sz w:val="17"/>
                <w:szCs w:val="17"/>
                <w:color w:val="auto"/>
              </w:rPr>
            </w:pPr>
          </w:p>
        </w:tc>
        <w:tc>
          <w:tcPr>
            <w:tcW w:w="248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9"/>
              </w:rPr>
              <w:t>Six Months Ended</w:t>
            </w:r>
          </w:p>
        </w:tc>
      </w:tr>
      <w:tr>
        <w:trPr>
          <w:trHeight w:val="246"/>
        </w:trPr>
        <w:tc>
          <w:tcPr>
            <w:tcW w:w="766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June 30, 2020</w:t>
            </w:r>
          </w:p>
        </w:tc>
      </w:tr>
      <w:tr>
        <w:trPr>
          <w:trHeight w:val="243"/>
        </w:trPr>
        <w:tc>
          <w:tcPr>
            <w:tcW w:w="7660" w:type="dxa"/>
            <w:vAlign w:val="bottom"/>
          </w:tcPr>
          <w:p>
            <w:pPr>
              <w:spacing w:after="0"/>
              <w:rPr>
                <w:sz w:val="20"/>
                <w:szCs w:val="20"/>
                <w:color w:val="auto"/>
              </w:rPr>
            </w:pPr>
            <w:r>
              <w:rPr>
                <w:rFonts w:ascii="Arial" w:cs="Arial" w:eastAsia="Arial" w:hAnsi="Arial"/>
                <w:sz w:val="18"/>
                <w:szCs w:val="18"/>
                <w:color w:val="auto"/>
              </w:rPr>
              <w:t>Expected volatility of stock price</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91%</w:t>
            </w:r>
          </w:p>
        </w:tc>
      </w:tr>
      <w:tr>
        <w:trPr>
          <w:trHeight w:val="257"/>
        </w:trPr>
        <w:tc>
          <w:tcPr>
            <w:tcW w:w="7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80" w:type="dxa"/>
            <w:vAlign w:val="bottom"/>
          </w:tcPr>
          <w:p>
            <w:pPr>
              <w:jc w:val="center"/>
              <w:spacing w:after="0"/>
              <w:rPr>
                <w:sz w:val="20"/>
                <w:szCs w:val="20"/>
                <w:color w:val="auto"/>
              </w:rPr>
            </w:pPr>
            <w:r>
              <w:rPr>
                <w:rFonts w:ascii="Arial" w:cs="Arial" w:eastAsia="Arial" w:hAnsi="Arial"/>
                <w:sz w:val="18"/>
                <w:szCs w:val="18"/>
                <w:color w:val="auto"/>
              </w:rPr>
              <w:t>0.18%</w:t>
            </w:r>
          </w:p>
        </w:tc>
      </w:tr>
      <w:tr>
        <w:trPr>
          <w:trHeight w:val="257"/>
        </w:trPr>
        <w:tc>
          <w:tcPr>
            <w:tcW w:w="7660" w:type="dxa"/>
            <w:vAlign w:val="bottom"/>
          </w:tcPr>
          <w:p>
            <w:pPr>
              <w:spacing w:after="0"/>
              <w:rPr>
                <w:sz w:val="20"/>
                <w:szCs w:val="20"/>
                <w:color w:val="auto"/>
              </w:rPr>
            </w:pPr>
            <w:r>
              <w:rPr>
                <w:rFonts w:ascii="Arial" w:cs="Arial" w:eastAsia="Arial" w:hAnsi="Arial"/>
                <w:sz w:val="18"/>
                <w:szCs w:val="18"/>
                <w:color w:val="auto"/>
              </w:rPr>
              <w:t>Valuation period</w:t>
            </w:r>
          </w:p>
        </w:tc>
        <w:tc>
          <w:tcPr>
            <w:tcW w:w="2480" w:type="dxa"/>
            <w:vAlign w:val="bottom"/>
          </w:tcPr>
          <w:p>
            <w:pPr>
              <w:ind w:left="1880"/>
              <w:spacing w:after="0"/>
              <w:rPr>
                <w:sz w:val="20"/>
                <w:szCs w:val="20"/>
                <w:color w:val="auto"/>
              </w:rPr>
            </w:pPr>
            <w:r>
              <w:rPr>
                <w:rFonts w:ascii="Arial" w:cs="Arial" w:eastAsia="Arial" w:hAnsi="Arial"/>
                <w:sz w:val="18"/>
                <w:szCs w:val="18"/>
                <w:color w:val="auto"/>
                <w:w w:val="98"/>
              </w:rPr>
              <w:t>3 years</w:t>
            </w:r>
          </w:p>
        </w:tc>
      </w:tr>
      <w:tr>
        <w:trPr>
          <w:trHeight w:val="256"/>
        </w:trPr>
        <w:tc>
          <w:tcPr>
            <w:tcW w:w="7660" w:type="dxa"/>
            <w:vAlign w:val="bottom"/>
          </w:tcPr>
          <w:p>
            <w:pPr>
              <w:spacing w:after="0"/>
              <w:rPr>
                <w:sz w:val="20"/>
                <w:szCs w:val="20"/>
                <w:color w:val="auto"/>
              </w:rPr>
            </w:pPr>
            <w:r>
              <w:rPr>
                <w:rFonts w:ascii="Arial" w:cs="Arial" w:eastAsia="Arial" w:hAnsi="Arial"/>
                <w:sz w:val="18"/>
                <w:szCs w:val="18"/>
                <w:color w:val="auto"/>
              </w:rPr>
              <w:t>Dividend yield</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restricted stock units (“RSUs”) consisted of (in thousands of shares):</w:t>
      </w:r>
    </w:p>
    <w:p>
      <w:pPr>
        <w:spacing w:after="0" w:line="46" w:lineRule="exact"/>
        <w:rPr>
          <w:sz w:val="20"/>
          <w:szCs w:val="20"/>
          <w:color w:val="auto"/>
        </w:rPr>
      </w:pPr>
    </w:p>
    <w:tbl>
      <w:tblPr>
        <w:tblLayout w:type="fixed"/>
        <w:tblInd w:w="5600" w:type="dxa"/>
        <w:tblCellMar>
          <w:top w:w="0" w:type="dxa"/>
          <w:left w:w="0" w:type="dxa"/>
          <w:bottom w:w="0" w:type="dxa"/>
          <w:right w:w="0" w:type="dxa"/>
        </w:tblCellMar>
      </w:tblPr>
      <w:tr>
        <w:trPr>
          <w:trHeight w:val="189"/>
        </w:trPr>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1260" w:type="dxa"/>
            <w:vAlign w:val="bottom"/>
          </w:tcPr>
          <w:p>
            <w:pPr>
              <w:spacing w:after="0"/>
              <w:rPr>
                <w:sz w:val="16"/>
                <w:szCs w:val="16"/>
                <w:color w:val="auto"/>
              </w:rPr>
            </w:pPr>
          </w:p>
        </w:tc>
      </w:tr>
      <w:tr>
        <w:trPr>
          <w:trHeight w:val="189"/>
        </w:trPr>
        <w:tc>
          <w:tcPr>
            <w:tcW w:w="10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260" w:type="dxa"/>
            <w:vAlign w:val="bottom"/>
          </w:tcPr>
          <w:p>
            <w:pPr>
              <w:spacing w:after="0"/>
              <w:rPr>
                <w:sz w:val="16"/>
                <w:szCs w:val="16"/>
                <w:color w:val="auto"/>
              </w:rPr>
            </w:pPr>
          </w:p>
        </w:tc>
      </w:tr>
      <w:tr>
        <w:trPr>
          <w:trHeight w:val="189"/>
        </w:trPr>
        <w:tc>
          <w:tcPr>
            <w:tcW w:w="10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1260" w:type="dxa"/>
            <w:vAlign w:val="bottom"/>
          </w:tcPr>
          <w:p>
            <w:pPr>
              <w:jc w:val="center"/>
              <w:ind w:lef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1060" w:type="dxa"/>
            <w:vAlign w:val="bottom"/>
          </w:tcPr>
          <w:p>
            <w:pPr>
              <w:jc w:val="center"/>
              <w:ind w:right="179"/>
              <w:spacing w:after="0"/>
              <w:rPr>
                <w:sz w:val="20"/>
                <w:szCs w:val="20"/>
                <w:color w:val="auto"/>
              </w:rPr>
            </w:pPr>
            <w:r>
              <w:rPr>
                <w:rFonts w:ascii="Arial" w:cs="Arial" w:eastAsia="Arial" w:hAnsi="Arial"/>
                <w:sz w:val="16"/>
                <w:szCs w:val="16"/>
                <w:b w:val="1"/>
                <w:bCs w:val="1"/>
                <w:color w:val="auto"/>
                <w:w w:val="99"/>
              </w:rPr>
              <w:t>Number of</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Grant Date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1260" w:type="dxa"/>
            <w:vAlign w:val="bottom"/>
          </w:tcPr>
          <w:p>
            <w:pPr>
              <w:jc w:val="center"/>
              <w:ind w:left="79"/>
              <w:spacing w:after="0"/>
              <w:rPr>
                <w:sz w:val="20"/>
                <w:szCs w:val="20"/>
                <w:color w:val="auto"/>
              </w:rPr>
            </w:pPr>
            <w:r>
              <w:rPr>
                <w:rFonts w:ascii="Arial" w:cs="Arial" w:eastAsia="Arial" w:hAnsi="Arial"/>
                <w:sz w:val="16"/>
                <w:szCs w:val="16"/>
                <w:b w:val="1"/>
                <w:bCs w:val="1"/>
                <w:color w:val="auto"/>
              </w:rPr>
              <w:t>Intrinsic Value</w:t>
            </w:r>
          </w:p>
        </w:tc>
      </w:tr>
      <w:tr>
        <w:trPr>
          <w:trHeight w:val="215"/>
        </w:trPr>
        <w:tc>
          <w:tcPr>
            <w:tcW w:w="1060" w:type="dxa"/>
            <w:vAlign w:val="bottom"/>
          </w:tcPr>
          <w:p>
            <w:pPr>
              <w:jc w:val="center"/>
              <w:ind w:right="199"/>
              <w:spacing w:after="0"/>
              <w:rPr>
                <w:sz w:val="20"/>
                <w:szCs w:val="20"/>
                <w:color w:val="auto"/>
              </w:rPr>
            </w:pPr>
            <w:r>
              <w:rPr>
                <w:rFonts w:ascii="Arial" w:cs="Arial" w:eastAsia="Arial" w:hAnsi="Arial"/>
                <w:sz w:val="16"/>
                <w:szCs w:val="16"/>
                <w:b w:val="1"/>
                <w:bCs w:val="1"/>
                <w:color w:val="auto"/>
              </w:rPr>
              <w:t>Shares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260" w:type="dxa"/>
            <w:vAlign w:val="bottom"/>
          </w:tcPr>
          <w:p>
            <w:pPr>
              <w:jc w:val="center"/>
              <w:ind w:left="79"/>
              <w:spacing w:after="0"/>
              <w:rPr>
                <w:sz w:val="20"/>
                <w:szCs w:val="20"/>
                <w:color w:val="auto"/>
              </w:rPr>
            </w:pPr>
            <w:r>
              <w:rPr>
                <w:rFonts w:ascii="Arial" w:cs="Arial" w:eastAsia="Arial" w:hAnsi="Arial"/>
                <w:sz w:val="16"/>
                <w:szCs w:val="16"/>
                <w:b w:val="1"/>
                <w:bCs w:val="1"/>
                <w:color w:val="auto"/>
              </w:rPr>
              <w:t>(in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12700</wp:posOffset>
            </wp:positionV>
            <wp:extent cx="33172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Time-based RSUs</w:t>
      </w:r>
    </w:p>
    <w:p>
      <w:pPr>
        <w:sectPr>
          <w:pgSz w:w="11900" w:h="16838" w:orient="portrait"/>
          <w:cols w:equalWidth="0" w:num="1">
            <w:col w:w="11200"/>
          </w:cols>
          <w:pgMar w:left="320" w:top="140" w:right="379" w:bottom="1440" w:gutter="0" w:footer="0" w:header="0"/>
        </w:sectPr>
      </w:pPr>
    </w:p>
    <w:p>
      <w:pPr>
        <w:spacing w:after="0" w:line="7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Outstanding at January 1, 2020</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p>
      <w:pPr>
        <w:spacing w:after="0" w:line="1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Forfeited</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5"/>
          <w:szCs w:val="15"/>
          <w:color w:val="auto"/>
        </w:rPr>
        <w:t xml:space="preserve">Outstanding and expected to vest at June 30, 2020 </w:t>
      </w:r>
      <w:r>
        <w:rPr>
          <w:rFonts w:ascii="Arial" w:cs="Arial" w:eastAsia="Arial" w:hAnsi="Arial"/>
          <w:sz w:val="20"/>
          <w:szCs w:val="20"/>
          <w:color w:val="auto"/>
          <w:vertAlign w:val="superscript"/>
        </w:rPr>
        <w:t>(c)</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Performance-based and market-based RSUs</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Outstanding at January 1, 2020</w:t>
      </w:r>
    </w:p>
    <w:p>
      <w:pPr>
        <w:spacing w:after="0" w:line="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p>
      <w:pPr>
        <w:ind w:left="88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p>
      <w:pPr>
        <w:spacing w:after="0" w:line="1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Forfeited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Outstanding at June 30, 2020</w:t>
      </w:r>
    </w:p>
    <w:p>
      <w:pPr>
        <w:spacing w:after="0" w:line="9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 xml:space="preserve">Outstanding and expected to vest at June 30, 2020 </w:t>
      </w:r>
      <w:r>
        <w:rPr>
          <w:rFonts w:ascii="Arial" w:cs="Arial" w:eastAsia="Arial" w:hAnsi="Arial"/>
          <w:sz w:val="20"/>
          <w:szCs w:val="20"/>
          <w:color w:val="auto"/>
          <w:vertAlign w:val="superscript"/>
        </w:rPr>
        <w:t>(c)</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780" w:type="dxa"/>
        <w:tblCellMar>
          <w:top w:w="0" w:type="dxa"/>
          <w:left w:w="0" w:type="dxa"/>
          <w:bottom w:w="0" w:type="dxa"/>
          <w:right w:w="0" w:type="dxa"/>
        </w:tblCellMar>
      </w:tblPr>
      <w:tr>
        <w:trPr>
          <w:trHeight w:val="195"/>
        </w:trPr>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847</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36.99</w:t>
            </w:r>
          </w:p>
        </w:tc>
      </w:tr>
      <w:tr>
        <w:trPr>
          <w:trHeight w:val="243"/>
        </w:trPr>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705</w:t>
            </w:r>
          </w:p>
        </w:tc>
        <w:tc>
          <w:tcPr>
            <w:tcW w:w="5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21.67</w:t>
            </w:r>
          </w:p>
        </w:tc>
      </w:tr>
    </w:tbl>
    <w:p>
      <w:pPr>
        <w:spacing w:after="0" w:line="48" w:lineRule="exact"/>
        <w:rPr>
          <w:sz w:val="20"/>
          <w:szCs w:val="20"/>
          <w:color w:val="auto"/>
        </w:rPr>
      </w:pPr>
    </w:p>
    <w:p>
      <w:pPr>
        <w:ind w:left="1980" w:hanging="1257"/>
        <w:spacing w:after="0"/>
        <w:tabs>
          <w:tab w:leader="none" w:pos="1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38.14</w:t>
      </w:r>
    </w:p>
    <w:p>
      <w:pPr>
        <w:spacing w:after="0" w:line="59" w:lineRule="exact"/>
        <w:rPr>
          <w:sz w:val="20"/>
          <w:szCs w:val="20"/>
          <w:color w:val="auto"/>
        </w:rPr>
      </w:pPr>
    </w:p>
    <w:p>
      <w:pPr>
        <w:ind w:left="1980" w:hanging="1166"/>
        <w:spacing w:after="0"/>
        <w:tabs>
          <w:tab w:leader="none" w:pos="1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33.51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62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1,086</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19"/>
              <w:spacing w:after="0"/>
              <w:rPr>
                <w:sz w:val="20"/>
                <w:szCs w:val="20"/>
                <w:color w:val="auto"/>
              </w:rPr>
            </w:pPr>
            <w:r>
              <w:rPr>
                <w:rFonts w:ascii="Arial" w:cs="Arial" w:eastAsia="Arial" w:hAnsi="Arial"/>
                <w:sz w:val="16"/>
                <w:szCs w:val="16"/>
                <w:color w:val="auto"/>
              </w:rPr>
              <w:t>26.85</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3"/>
        </w:trPr>
        <w:tc>
          <w:tcPr>
            <w:tcW w:w="1200" w:type="dxa"/>
            <w:vAlign w:val="bottom"/>
          </w:tcPr>
          <w:p>
            <w:pPr>
              <w:jc w:val="right"/>
              <w:ind w:right="59"/>
              <w:spacing w:after="0"/>
              <w:rPr>
                <w:sz w:val="20"/>
                <w:szCs w:val="20"/>
                <w:color w:val="auto"/>
              </w:rPr>
            </w:pPr>
            <w:r>
              <w:rPr>
                <w:rFonts w:ascii="Arial" w:cs="Arial" w:eastAsia="Arial" w:hAnsi="Arial"/>
                <w:sz w:val="16"/>
                <w:szCs w:val="16"/>
                <w:color w:val="auto"/>
              </w:rPr>
              <w:t>1,061</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19"/>
              <w:spacing w:after="0"/>
              <w:rPr>
                <w:sz w:val="20"/>
                <w:szCs w:val="20"/>
                <w:color w:val="auto"/>
              </w:rPr>
            </w:pPr>
            <w:r>
              <w:rPr>
                <w:rFonts w:ascii="Arial" w:cs="Arial" w:eastAsia="Arial" w:hAnsi="Arial"/>
                <w:sz w:val="16"/>
                <w:szCs w:val="16"/>
                <w:color w:val="auto"/>
              </w:rPr>
              <w:t>38.89</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48" w:lineRule="exact"/>
        <w:rPr>
          <w:sz w:val="20"/>
          <w:szCs w:val="20"/>
          <w:color w:val="auto"/>
        </w:rPr>
      </w:pPr>
    </w:p>
    <w:p>
      <w:pPr>
        <w:ind w:left="1980" w:hanging="1194"/>
        <w:spacing w:after="0"/>
        <w:tabs>
          <w:tab w:leader="none" w:pos="1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21.06</w:t>
      </w:r>
    </w:p>
    <w:p>
      <w:pPr>
        <w:spacing w:after="0" w:line="59" w:lineRule="exact"/>
        <w:rPr>
          <w:rFonts w:ascii="Arial" w:cs="Arial" w:eastAsia="Arial" w:hAnsi="Arial"/>
          <w:sz w:val="16"/>
          <w:szCs w:val="16"/>
          <w:color w:val="auto"/>
        </w:rPr>
      </w:pPr>
    </w:p>
    <w:p>
      <w:pPr>
        <w:ind w:left="1980" w:hanging="1166"/>
        <w:spacing w:after="0"/>
        <w:tabs>
          <w:tab w:leader="none" w:pos="1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36.64</w:t>
      </w:r>
    </w:p>
    <w:p>
      <w:pPr>
        <w:spacing w:after="0" w:line="59" w:lineRule="exact"/>
        <w:rPr>
          <w:sz w:val="20"/>
          <w:szCs w:val="20"/>
          <w:color w:val="auto"/>
        </w:rPr>
      </w:pPr>
    </w:p>
    <w:p>
      <w:pPr>
        <w:ind w:left="1980" w:hanging="1257"/>
        <w:spacing w:after="0"/>
        <w:tabs>
          <w:tab w:leader="none" w:pos="1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35.16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62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1,126</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19"/>
              <w:spacing w:after="0"/>
              <w:rPr>
                <w:sz w:val="20"/>
                <w:szCs w:val="20"/>
                <w:color w:val="auto"/>
              </w:rPr>
            </w:pPr>
            <w:r>
              <w:rPr>
                <w:rFonts w:ascii="Arial" w:cs="Arial" w:eastAsia="Arial" w:hAnsi="Arial"/>
                <w:sz w:val="16"/>
                <w:szCs w:val="16"/>
                <w:color w:val="auto"/>
              </w:rPr>
              <w:t>31.67</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7"/>
        </w:trPr>
        <w:tc>
          <w:tcPr>
            <w:tcW w:w="120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19"/>
              <w:spacing w:after="0"/>
              <w:rPr>
                <w:sz w:val="20"/>
                <w:szCs w:val="20"/>
                <w:color w:val="auto"/>
              </w:rPr>
            </w:pPr>
            <w:r>
              <w:rPr>
                <w:rFonts w:ascii="Arial" w:cs="Arial" w:eastAsia="Arial" w:hAnsi="Arial"/>
                <w:sz w:val="16"/>
                <w:szCs w:val="16"/>
                <w:color w:val="auto"/>
              </w:rPr>
              <w:t>20.70</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293" w:lineRule="exact"/>
        <w:rPr>
          <w:sz w:val="20"/>
          <w:szCs w:val="20"/>
          <w:color w:val="auto"/>
        </w:rPr>
      </w:pPr>
    </w:p>
    <w:p>
      <w:pPr>
        <w:sectPr>
          <w:pgSz w:w="11900" w:h="16838" w:orient="portrait"/>
          <w:cols w:equalWidth="0" w:num="2">
            <w:col w:w="4680" w:space="720"/>
            <w:col w:w="5800"/>
          </w:cols>
          <w:pgMar w:left="320" w:top="140" w:right="379" w:bottom="1440" w:gutter="0" w:footer="0" w:header="0"/>
          <w:type w:val="continuous"/>
        </w:sectPr>
      </w:pPr>
    </w:p>
    <w:p>
      <w:pPr>
        <w:ind w:left="820" w:right="140" w:hanging="326"/>
        <w:spacing w:after="0" w:line="215" w:lineRule="auto"/>
        <w:tabs>
          <w:tab w:leader="none" w:pos="813"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and market-based RSUs granted during the six months ended June 30, 2019 was $34.90 and $34.87, respectively.</w:t>
      </w:r>
    </w:p>
    <w:p>
      <w:pPr>
        <w:spacing w:after="0" w:line="1" w:lineRule="exact"/>
        <w:rPr>
          <w:rFonts w:ascii="Arial" w:cs="Arial" w:eastAsia="Arial" w:hAnsi="Arial"/>
          <w:sz w:val="19"/>
          <w:szCs w:val="19"/>
          <w:color w:val="auto"/>
          <w:vertAlign w:val="superscript"/>
        </w:rPr>
      </w:pPr>
    </w:p>
    <w:p>
      <w:pPr>
        <w:ind w:left="820" w:hanging="326"/>
        <w:spacing w:after="0" w:line="187"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June 30, 2020 and 2019 was $18 million and $13 million, respectively.</w:t>
      </w:r>
    </w:p>
    <w:p>
      <w:pPr>
        <w:ind w:left="820" w:right="40" w:hanging="326"/>
        <w:spacing w:after="0" w:line="211" w:lineRule="auto"/>
        <w:tabs>
          <w:tab w:leader="none" w:pos="807"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Aggregate unrecognized compensation expense related to time-based RSUs and performance-based and market-based RSUs amounted to $25 million and will be recognized over a weighted average vesting period of 1.5 years.</w:t>
      </w:r>
    </w:p>
    <w:p>
      <w:pPr>
        <w:sectPr>
          <w:pgSz w:w="11900" w:h="16838" w:orient="portrait"/>
          <w:cols w:equalWidth="0" w:num="1">
            <w:col w:w="11200"/>
          </w:cols>
          <w:pgMar w:left="320" w:top="1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Instruments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ind w:left="500" w:right="120"/>
        <w:spacing w:after="0" w:line="255" w:lineRule="auto"/>
        <w:rPr>
          <w:sz w:val="20"/>
          <w:szCs w:val="20"/>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certain of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49" w:lineRule="exact"/>
        <w:rPr>
          <w:sz w:val="20"/>
          <w:szCs w:val="20"/>
          <w:color w:val="auto"/>
        </w:rPr>
      </w:pPr>
    </w:p>
    <w:p>
      <w:pPr>
        <w:ind w:left="500" w:right="520"/>
        <w:spacing w:after="0" w:line="261" w:lineRule="auto"/>
        <w:rPr>
          <w:sz w:val="20"/>
          <w:szCs w:val="20"/>
          <w:color w:val="auto"/>
        </w:rPr>
      </w:pPr>
      <w:r>
        <w:rPr>
          <w:rFonts w:ascii="Arial" w:cs="Arial" w:eastAsia="Arial" w:hAnsi="Arial"/>
          <w:sz w:val="18"/>
          <w:szCs w:val="18"/>
          <w:color w:val="auto"/>
        </w:rPr>
        <w:t>The estimated net amount of existing gains or losses the Company expects to reclassify from accumulated other comprehensive income (loss) to earnings for cash flow and net investment hedges over the next 12 months is not material.</w:t>
      </w:r>
    </w:p>
    <w:p>
      <w:pPr>
        <w:spacing w:after="0" w:line="207"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what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an appropriate mix of fixed and floating rate assets and liabilities. The Company uses interest rate swaps and interest rate caps to manage the risk related to its floating rate corporate debt and its floating rate vehicle-backed debt. The Company records the changes in the fair value of its cash flow hedges to other comprehensive income (loss), net of tax, and subsequently reclassifies these amounts into earnings in the period during which the hedged transaction affects earnings and is presented in the same income statement line item as the earnings effect of the hedged item. The Company records the gains or losses related to freestanding derivatives, which are not designated as a hedge for accounting purposes, currently in earnings and are presented in the same line of the income statement expected for the hedged item. The Company estimates that approximately $17 million of losses currently recorded in accumulated other comprehensive income (loss) will be recognized in earnings over the next 12 months.</w:t>
      </w:r>
    </w:p>
    <w:p>
      <w:pPr>
        <w:spacing w:after="0" w:line="215" w:lineRule="exact"/>
        <w:rPr>
          <w:sz w:val="20"/>
          <w:szCs w:val="20"/>
          <w:color w:val="auto"/>
        </w:rPr>
      </w:pPr>
    </w:p>
    <w:p>
      <w:pPr>
        <w:jc w:val="both"/>
        <w:ind w:left="500" w:right="20"/>
        <w:spacing w:after="0" w:line="266"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The Company periodically enters into derivative commodity contracts to manage its exposure to changes in the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gasoline. These instruments were designated as freestanding derivatives and the changes in fair value are recorded in earnings and are presented in the same line of the income statement expected for the hedged item.</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8540" w:type="dxa"/>
            <w:vAlign w:val="bottom"/>
          </w:tcPr>
          <w:p>
            <w:pPr>
              <w:spacing w:after="0"/>
              <w:rPr>
                <w:sz w:val="20"/>
                <w:szCs w:val="20"/>
                <w:color w:val="auto"/>
              </w:rPr>
            </w:pPr>
            <w:r>
              <w:rPr>
                <w:rFonts w:ascii="Arial" w:cs="Arial" w:eastAsia="Arial" w:hAnsi="Arial"/>
                <w:sz w:val="18"/>
                <w:szCs w:val="18"/>
                <w:color w:val="auto"/>
              </w:rPr>
              <w:t>The Company held derivative instruments with absolute notional values as follows: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8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As of June 30,</w:t>
            </w:r>
          </w:p>
        </w:tc>
      </w:tr>
      <w:tr>
        <w:trPr>
          <w:trHeight w:val="246"/>
        </w:trPr>
        <w:tc>
          <w:tcPr>
            <w:tcW w:w="85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1,563</w:t>
            </w:r>
          </w:p>
        </w:tc>
      </w:tr>
      <w:tr>
        <w:trPr>
          <w:trHeight w:val="296"/>
        </w:trPr>
        <w:tc>
          <w:tcPr>
            <w:tcW w:w="8540" w:type="dxa"/>
            <w:vAlign w:val="bottom"/>
          </w:tcPr>
          <w:p>
            <w:pPr>
              <w:ind w:left="20"/>
              <w:spacing w:after="0"/>
              <w:rPr>
                <w:sz w:val="20"/>
                <w:szCs w:val="20"/>
                <w:color w:val="auto"/>
              </w:rPr>
            </w:pPr>
            <w:r>
              <w:rPr>
                <w:rFonts w:ascii="Arial" w:cs="Arial" w:eastAsia="Arial" w:hAnsi="Arial"/>
                <w:sz w:val="18"/>
                <w:szCs w:val="18"/>
                <w:color w:val="auto"/>
              </w:rPr>
              <w:t xml:space="preserve">Interest rate caps </w:t>
            </w:r>
            <w:r>
              <w:rPr>
                <w:rFonts w:ascii="Arial" w:cs="Arial" w:eastAsia="Arial" w:hAnsi="Arial"/>
                <w:sz w:val="23"/>
                <w:szCs w:val="23"/>
                <w:color w:val="auto"/>
                <w:vertAlign w:val="superscript"/>
              </w:rPr>
              <w:t>(a)</w:t>
            </w:r>
          </w:p>
        </w:tc>
        <w:tc>
          <w:tcPr>
            <w:tcW w:w="160" w:type="dxa"/>
            <w:vAlign w:val="bottom"/>
          </w:tcPr>
          <w:p>
            <w:pPr>
              <w:spacing w:after="0"/>
              <w:rPr>
                <w:sz w:val="24"/>
                <w:szCs w:val="24"/>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8,345</w:t>
            </w:r>
          </w:p>
        </w:tc>
      </w:tr>
      <w:tr>
        <w:trPr>
          <w:trHeight w:val="217"/>
        </w:trPr>
        <w:tc>
          <w:tcPr>
            <w:tcW w:w="85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2,250</w:t>
            </w:r>
          </w:p>
        </w:tc>
      </w:tr>
      <w:tr>
        <w:trPr>
          <w:trHeight w:val="418"/>
        </w:trPr>
        <w:tc>
          <w:tcPr>
            <w:tcW w:w="8540" w:type="dxa"/>
            <w:vAlign w:val="bottom"/>
          </w:tcPr>
          <w:p>
            <w:pPr>
              <w:ind w:left="20"/>
              <w:spacing w:after="0"/>
              <w:rPr>
                <w:sz w:val="20"/>
                <w:szCs w:val="20"/>
                <w:color w:val="auto"/>
              </w:rPr>
            </w:pPr>
            <w:r>
              <w:rPr>
                <w:rFonts w:ascii="Arial" w:cs="Arial" w:eastAsia="Arial" w:hAnsi="Arial"/>
                <w:sz w:val="18"/>
                <w:szCs w:val="18"/>
                <w:color w:val="auto"/>
              </w:rPr>
              <w:t>Commodity contracts (millions of gallons of unleaded gasoline)</w:t>
            </w:r>
          </w:p>
        </w:tc>
        <w:tc>
          <w:tcPr>
            <w:tcW w:w="160" w:type="dxa"/>
            <w:vAlign w:val="bottom"/>
          </w:tcPr>
          <w:p>
            <w:pPr>
              <w:spacing w:after="0"/>
              <w:rPr>
                <w:sz w:val="24"/>
                <w:szCs w:val="24"/>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10</w:t>
            </w:r>
          </w:p>
        </w:tc>
      </w:tr>
      <w:tr>
        <w:trPr>
          <w:trHeight w:val="334"/>
        </w:trPr>
        <w:tc>
          <w:tcPr>
            <w:tcW w:w="854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8" w:lineRule="exact"/>
        <w:rPr>
          <w:sz w:val="20"/>
          <w:szCs w:val="20"/>
          <w:color w:val="auto"/>
        </w:rPr>
      </w:pPr>
    </w:p>
    <w:p>
      <w:pPr>
        <w:ind w:left="820" w:hanging="326"/>
        <w:spacing w:after="0" w:line="211" w:lineRule="auto"/>
        <w:tabs>
          <w:tab w:leader="none" w:pos="813"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Represents $5.7 billion of interest rate caps sold, partially offset by approximately $2.7 billion of interest rate caps purchased. These amounts exclude $3.0 billion of interest rate caps purchased by the Company’s Avis Budget Rental Car Funding subsidiary as it is not consolidated by the Company.</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As of June 30, 2020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2019</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Fair Value,</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Fair Value,</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7"/>
                <w:szCs w:val="17"/>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Derivative</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Derivative</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Derivative</w:t>
            </w:r>
          </w:p>
        </w:tc>
        <w:tc>
          <w:tcPr>
            <w:tcW w:w="2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Derivative</w:t>
            </w:r>
          </w:p>
        </w:tc>
        <w:tc>
          <w:tcPr>
            <w:tcW w:w="0" w:type="dxa"/>
            <w:vAlign w:val="bottom"/>
          </w:tcPr>
          <w:p>
            <w:pPr>
              <w:spacing w:after="0"/>
              <w:rPr>
                <w:sz w:val="1"/>
                <w:szCs w:val="1"/>
                <w:color w:val="auto"/>
              </w:rPr>
            </w:pPr>
          </w:p>
        </w:tc>
      </w:tr>
      <w:tr>
        <w:trPr>
          <w:trHeight w:val="228"/>
        </w:trPr>
        <w:tc>
          <w:tcPr>
            <w:tcW w:w="4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Assets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14"/>
        </w:trPr>
        <w:tc>
          <w:tcPr>
            <w:tcW w:w="4220" w:type="dxa"/>
            <w:vAlign w:val="bottom"/>
          </w:tcPr>
          <w:p>
            <w:pPr>
              <w:ind w:left="2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200" w:type="dxa"/>
            <w:vAlign w:val="bottom"/>
            <w:vMerge w:val="continue"/>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22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20" w:type="dxa"/>
            <w:vAlign w:val="bottom"/>
          </w:tcPr>
          <w:p>
            <w:pPr>
              <w:ind w:left="2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200" w:type="dxa"/>
            <w:vAlign w:val="bottom"/>
          </w:tcPr>
          <w:p>
            <w:pPr>
              <w:spacing w:after="0"/>
              <w:rPr>
                <w:sz w:val="24"/>
                <w:szCs w:val="24"/>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3"/>
        </w:trPr>
        <w:tc>
          <w:tcPr>
            <w:tcW w:w="4220" w:type="dxa"/>
            <w:vAlign w:val="bottom"/>
          </w:tcPr>
          <w:p>
            <w:pPr>
              <w:ind w:left="20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4220" w:type="dxa"/>
            <w:vAlign w:val="bottom"/>
          </w:tcPr>
          <w:p>
            <w:pPr>
              <w:ind w:left="200"/>
              <w:spacing w:after="0" w:line="214"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(b)</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20" w:type="dxa"/>
            <w:vAlign w:val="bottom"/>
          </w:tcPr>
          <w:p>
            <w:pPr>
              <w:ind w:left="20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500" w:right="60"/>
        <w:spacing w:after="0" w:line="235"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14–Stockholders’ Equity.</w:t>
      </w:r>
    </w:p>
    <w:p>
      <w:pPr>
        <w:ind w:left="820" w:hanging="326"/>
        <w:spacing w:after="0" w:line="187" w:lineRule="auto"/>
        <w:tabs>
          <w:tab w:leader="none" w:pos="82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ind w:left="800" w:hanging="306"/>
        <w:spacing w:after="0" w:line="189" w:lineRule="auto"/>
        <w:tabs>
          <w:tab w:leader="none" w:pos="80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46" w:lineRule="exact"/>
        <w:rPr>
          <w:sz w:val="20"/>
          <w:szCs w:val="20"/>
          <w:color w:val="auto"/>
        </w:rPr>
      </w:pPr>
    </w:p>
    <w:tbl>
      <w:tblPr>
        <w:tblLayout w:type="fixed"/>
        <w:tblInd w:w="4780" w:type="dxa"/>
        <w:tblCellMar>
          <w:top w:w="0" w:type="dxa"/>
          <w:left w:w="0" w:type="dxa"/>
          <w:bottom w:w="0" w:type="dxa"/>
          <w:right w:w="0" w:type="dxa"/>
        </w:tblCellMar>
      </w:tblPr>
      <w:tr>
        <w:trPr>
          <w:trHeight w:val="189"/>
        </w:trPr>
        <w:tc>
          <w:tcPr>
            <w:tcW w:w="30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2880" w:type="dxa"/>
            <w:vAlign w:val="bottom"/>
            <w:gridSpan w:val="2"/>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28"/>
        </w:trPr>
        <w:tc>
          <w:tcPr>
            <w:tcW w:w="1000" w:type="dxa"/>
            <w:vAlign w:val="bottom"/>
          </w:tcPr>
          <w:p>
            <w:pPr>
              <w:spacing w:after="0"/>
              <w:rPr>
                <w:sz w:val="19"/>
                <w:szCs w:val="19"/>
                <w:color w:val="auto"/>
              </w:rPr>
            </w:pPr>
          </w:p>
        </w:tc>
        <w:tc>
          <w:tcPr>
            <w:tcW w:w="2000" w:type="dxa"/>
            <w:vAlign w:val="bottom"/>
            <w:gridSpan w:val="2"/>
          </w:tcPr>
          <w:p>
            <w:pPr>
              <w:jc w:val="center"/>
              <w:ind w:right="1120"/>
              <w:spacing w:after="0"/>
              <w:rPr>
                <w:sz w:val="20"/>
                <w:szCs w:val="20"/>
                <w:color w:val="auto"/>
              </w:rPr>
            </w:pPr>
            <w:r>
              <w:rPr>
                <w:rFonts w:ascii="Arial" w:cs="Arial" w:eastAsia="Arial" w:hAnsi="Arial"/>
                <w:sz w:val="16"/>
                <w:szCs w:val="16"/>
                <w:b w:val="1"/>
                <w:bCs w:val="1"/>
                <w:color w:val="auto"/>
                <w:w w:val="99"/>
              </w:rPr>
              <w:t>June 30,</w:t>
            </w:r>
          </w:p>
        </w:tc>
        <w:tc>
          <w:tcPr>
            <w:tcW w:w="980" w:type="dxa"/>
            <w:vAlign w:val="bottom"/>
          </w:tcPr>
          <w:p>
            <w:pPr>
              <w:spacing w:after="0"/>
              <w:rPr>
                <w:sz w:val="19"/>
                <w:szCs w:val="19"/>
                <w:color w:val="auto"/>
              </w:rPr>
            </w:pPr>
          </w:p>
        </w:tc>
        <w:tc>
          <w:tcPr>
            <w:tcW w:w="1900" w:type="dxa"/>
            <w:vAlign w:val="bottom"/>
          </w:tcPr>
          <w:p>
            <w:pPr>
              <w:jc w:val="center"/>
              <w:ind w:right="899"/>
              <w:spacing w:after="0"/>
              <w:rPr>
                <w:sz w:val="20"/>
                <w:szCs w:val="20"/>
                <w:color w:val="auto"/>
              </w:rPr>
            </w:pPr>
            <w:r>
              <w:rPr>
                <w:rFonts w:ascii="Arial" w:cs="Arial" w:eastAsia="Arial" w:hAnsi="Arial"/>
                <w:sz w:val="16"/>
                <w:szCs w:val="16"/>
                <w:b w:val="1"/>
                <w:bCs w:val="1"/>
                <w:color w:val="auto"/>
                <w:w w:val="99"/>
              </w:rPr>
              <w:t>June 30,</w:t>
            </w:r>
          </w:p>
        </w:tc>
      </w:tr>
      <w:tr>
        <w:trPr>
          <w:trHeight w:val="223"/>
        </w:trPr>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188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90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bl>
    <w:p>
      <w:pPr>
        <w:spacing w:after="0" w:line="1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-149860</wp:posOffset>
            </wp:positionV>
            <wp:extent cx="37376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p>
      <w:pPr>
        <w:ind w:left="680"/>
        <w:spacing w:after="0" w:line="216" w:lineRule="auto"/>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p>
      <w:pPr>
        <w:ind w:left="520"/>
        <w:spacing w:after="0"/>
        <w:rPr>
          <w:sz w:val="20"/>
          <w:szCs w:val="20"/>
          <w:color w:val="auto"/>
        </w:rPr>
      </w:pPr>
      <w:r>
        <w:rPr>
          <w:rFonts w:ascii="Arial" w:cs="Arial" w:eastAsia="Arial" w:hAnsi="Arial"/>
          <w:sz w:val="15"/>
          <w:szCs w:val="15"/>
          <w:b w:val="1"/>
          <w:bCs w:val="1"/>
          <w:color w:val="auto"/>
        </w:rPr>
        <w:t xml:space="preserve">Derivatives not designated as hedging instruments </w:t>
      </w:r>
      <w:r>
        <w:rPr>
          <w:rFonts w:ascii="Arial" w:cs="Arial" w:eastAsia="Arial" w:hAnsi="Arial"/>
          <w:sz w:val="20"/>
          <w:szCs w:val="20"/>
          <w:b w:val="1"/>
          <w:bCs w:val="1"/>
          <w:color w:val="auto"/>
          <w:vertAlign w:val="superscript"/>
        </w:rPr>
        <w:t>(d)</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(g)</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0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6"/>
                <w:szCs w:val="16"/>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43"/>
        </w:trPr>
        <w:tc>
          <w:tcPr>
            <w:tcW w:w="500" w:type="dxa"/>
            <w:vAlign w:val="bottom"/>
          </w:tcPr>
          <w:p>
            <w:pPr>
              <w:jc w:val="right"/>
              <w:ind w:right="139"/>
              <w:spacing w:after="0"/>
              <w:rPr>
                <w:sz w:val="20"/>
                <w:szCs w:val="20"/>
                <w:color w:val="auto"/>
              </w:rPr>
            </w:pPr>
            <w:r>
              <w:rPr>
                <w:rFonts w:ascii="Arial" w:cs="Arial" w:eastAsia="Arial" w:hAnsi="Arial"/>
                <w:sz w:val="16"/>
                <w:szCs w:val="16"/>
                <w:color w:val="auto"/>
                <w:w w:val="91"/>
              </w:rPr>
              <w:t>(13)</w:t>
            </w:r>
          </w:p>
        </w:tc>
        <w:tc>
          <w:tcPr>
            <w:tcW w:w="56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w:t>
            </w:r>
          </w:p>
        </w:tc>
      </w:tr>
      <w:tr>
        <w:trPr>
          <w:trHeight w:val="459"/>
        </w:trPr>
        <w:tc>
          <w:tcPr>
            <w:tcW w:w="50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560" w:type="dxa"/>
            <w:vAlign w:val="bottom"/>
          </w:tcPr>
          <w:p>
            <w:pPr>
              <w:spacing w:after="0"/>
              <w:rPr>
                <w:sz w:val="24"/>
                <w:szCs w:val="24"/>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11</w:t>
            </w:r>
          </w:p>
        </w:tc>
      </w:tr>
      <w:tr>
        <w:trPr>
          <w:trHeight w:val="243"/>
        </w:trPr>
        <w:tc>
          <w:tcPr>
            <w:tcW w:w="5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6"/>
        </w:trPr>
        <w:tc>
          <w:tcPr>
            <w:tcW w:w="500" w:type="dxa"/>
            <w:vAlign w:val="bottom"/>
          </w:tcPr>
          <w:p>
            <w:pPr>
              <w:jc w:val="right"/>
              <w:ind w:right="179"/>
              <w:spacing w:after="0"/>
              <w:rPr>
                <w:sz w:val="20"/>
                <w:szCs w:val="20"/>
                <w:color w:val="auto"/>
              </w:rPr>
            </w:pPr>
            <w:r>
              <w:rPr>
                <w:rFonts w:ascii="Arial" w:cs="Arial" w:eastAsia="Arial" w:hAnsi="Arial"/>
                <w:sz w:val="16"/>
                <w:szCs w:val="16"/>
                <w:color w:val="auto"/>
              </w:rPr>
              <w:t>2</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w:t>
            </w:r>
          </w:p>
        </w:tc>
      </w:tr>
      <w:tr>
        <w:trPr>
          <w:trHeight w:val="236"/>
        </w:trPr>
        <w:tc>
          <w:tcPr>
            <w:tcW w:w="500" w:type="dxa"/>
            <w:vAlign w:val="bottom"/>
          </w:tcPr>
          <w:p>
            <w:pPr>
              <w:jc w:val="right"/>
              <w:ind w:right="139"/>
              <w:spacing w:after="0"/>
              <w:rPr>
                <w:sz w:val="20"/>
                <w:szCs w:val="20"/>
                <w:color w:val="auto"/>
              </w:rPr>
            </w:pPr>
            <w:r>
              <w:rPr>
                <w:rFonts w:ascii="Arial" w:cs="Arial" w:eastAsia="Arial" w:hAnsi="Arial"/>
                <w:sz w:val="16"/>
                <w:szCs w:val="16"/>
                <w:color w:val="auto"/>
                <w:w w:val="91"/>
              </w:rPr>
              <w:t>(28)</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r>
      <w:tr>
        <w:trPr>
          <w:trHeight w:val="27"/>
        </w:trPr>
        <w:tc>
          <w:tcPr>
            <w:tcW w:w="5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-33655</wp:posOffset>
            </wp:positionV>
            <wp:extent cx="8826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-7620</wp:posOffset>
            </wp:positionV>
            <wp:extent cx="8826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-196215</wp:posOffset>
            </wp:positionV>
            <wp:extent cx="882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3">
            <w:col w:w="4620" w:space="180"/>
            <w:col w:w="260" w:space="720"/>
            <w:col w:w="5440"/>
          </w:cols>
          <w:pgMar w:left="320" w:top="140" w:right="359" w:bottom="1440" w:gutter="0" w:footer="0" w:header="0"/>
          <w:type w:val="continuous"/>
        </w:sect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194" w:lineRule="auto"/>
        <w:tabs>
          <w:tab w:leader="none" w:pos="82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right="460" w:hanging="326"/>
        <w:spacing w:after="0" w:line="204" w:lineRule="auto"/>
        <w:tabs>
          <w:tab w:leader="none" w:pos="813"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14–Stockholders’ Equity for amounts reclassified from accumulated other comprehensive income into earnings.</w:t>
      </w:r>
    </w:p>
    <w:p>
      <w:pPr>
        <w:spacing w:after="0" w:line="1" w:lineRule="exact"/>
        <w:rPr>
          <w:rFonts w:ascii="Arial" w:cs="Arial" w:eastAsia="Arial" w:hAnsi="Arial"/>
          <w:sz w:val="19"/>
          <w:szCs w:val="19"/>
          <w:color w:val="auto"/>
          <w:vertAlign w:val="superscript"/>
        </w:rPr>
      </w:pPr>
    </w:p>
    <w:p>
      <w:pPr>
        <w:ind w:left="800" w:hanging="306"/>
        <w:spacing w:after="0" w:line="187" w:lineRule="auto"/>
        <w:tabs>
          <w:tab w:leader="none" w:pos="80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820" w:hanging="326"/>
        <w:spacing w:after="0" w:line="187"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215" w:lineRule="auto"/>
        <w:tabs>
          <w:tab w:leader="none" w:pos="813"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2020, included a $8 million loss in operating expense and for the six months ended June 30, 2020, included a $28 million gain in interest expense and $2 million loss in operating expense. For the three months ended June 30, 2019, included $15 million gain in interest expense and a $5 million loss in operating expense and for the six months ended June 30, 2019, included a $11 million gain in interest expense.</w:t>
      </w:r>
    </w:p>
    <w:p>
      <w:pPr>
        <w:spacing w:after="0" w:line="1" w:lineRule="exact"/>
        <w:rPr>
          <w:rFonts w:ascii="Arial" w:cs="Arial" w:eastAsia="Arial" w:hAnsi="Arial"/>
          <w:sz w:val="19"/>
          <w:szCs w:val="19"/>
          <w:color w:val="auto"/>
          <w:vertAlign w:val="superscript"/>
        </w:rPr>
      </w:pPr>
    </w:p>
    <w:p>
      <w:pPr>
        <w:ind w:left="820" w:hanging="326"/>
        <w:spacing w:after="0" w:line="187"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Included primarily in vehicle interest, net.</w:t>
      </w:r>
    </w:p>
    <w:p>
      <w:pPr>
        <w:ind w:left="820" w:hanging="326"/>
        <w:spacing w:after="0" w:line="189" w:lineRule="auto"/>
        <w:tabs>
          <w:tab w:leader="none" w:pos="82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Included in operating expense.</w:t>
      </w:r>
    </w:p>
    <w:p>
      <w:pPr>
        <w:spacing w:after="0" w:line="200" w:lineRule="exact"/>
        <w:rPr>
          <w:sz w:val="20"/>
          <w:szCs w:val="20"/>
          <w:color w:val="auto"/>
        </w:rPr>
      </w:pP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As of June 30, 2020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2019</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Estimated</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Estimated</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w:t>
            </w: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0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28"/>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Value</w:t>
            </w:r>
          </w:p>
        </w:tc>
        <w:tc>
          <w:tcPr>
            <w:tcW w:w="24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9"/>
                <w:szCs w:val="19"/>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7"/>
        </w:trPr>
        <w:tc>
          <w:tcPr>
            <w:tcW w:w="4220" w:type="dxa"/>
            <w:vAlign w:val="bottom"/>
          </w:tcPr>
          <w:p>
            <w:pPr>
              <w:ind w:left="2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3,884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3,425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3,416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3,572</w:t>
            </w:r>
          </w:p>
        </w:tc>
        <w:tc>
          <w:tcPr>
            <w:tcW w:w="0" w:type="dxa"/>
            <w:vAlign w:val="bottom"/>
          </w:tcPr>
          <w:p>
            <w:pPr>
              <w:spacing w:after="0"/>
              <w:rPr>
                <w:sz w:val="1"/>
                <w:szCs w:val="1"/>
                <w:color w:val="auto"/>
              </w:rPr>
            </w:pPr>
          </w:p>
        </w:tc>
      </w:tr>
      <w:tr>
        <w:trPr>
          <w:trHeight w:val="405"/>
        </w:trPr>
        <w:tc>
          <w:tcPr>
            <w:tcW w:w="422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220" w:type="dxa"/>
            <w:vAlign w:val="bottom"/>
          </w:tcPr>
          <w:p>
            <w:pPr>
              <w:ind w:left="20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auto"/>
              </w:rPr>
              <w:t>8,057</w:t>
            </w:r>
          </w:p>
        </w:tc>
        <w:tc>
          <w:tcPr>
            <w:tcW w:w="100" w:type="dxa"/>
            <w:vAlign w:val="bottom"/>
          </w:tcPr>
          <w:p>
            <w:pPr>
              <w:spacing w:after="0"/>
              <w:rPr>
                <w:sz w:val="17"/>
                <w:szCs w:val="17"/>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59"/>
              <w:spacing w:after="0"/>
              <w:rPr>
                <w:sz w:val="20"/>
                <w:szCs w:val="20"/>
                <w:color w:val="auto"/>
              </w:rPr>
            </w:pPr>
            <w:r>
              <w:rPr>
                <w:rFonts w:ascii="Arial" w:cs="Arial" w:eastAsia="Arial" w:hAnsi="Arial"/>
                <w:sz w:val="16"/>
                <w:szCs w:val="16"/>
                <w:color w:val="auto"/>
              </w:rPr>
              <w:t>8,035</w:t>
            </w:r>
          </w:p>
        </w:tc>
        <w:tc>
          <w:tcPr>
            <w:tcW w:w="120" w:type="dxa"/>
            <w:vAlign w:val="bottom"/>
          </w:tcPr>
          <w:p>
            <w:pPr>
              <w:spacing w:after="0"/>
              <w:rPr>
                <w:sz w:val="17"/>
                <w:szCs w:val="17"/>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59"/>
              <w:spacing w:after="0"/>
              <w:rPr>
                <w:sz w:val="20"/>
                <w:szCs w:val="20"/>
                <w:color w:val="auto"/>
              </w:rPr>
            </w:pPr>
            <w:r>
              <w:rPr>
                <w:rFonts w:ascii="Arial" w:cs="Arial" w:eastAsia="Arial" w:hAnsi="Arial"/>
                <w:sz w:val="16"/>
                <w:szCs w:val="16"/>
                <w:color w:val="auto"/>
              </w:rPr>
              <w:t>7,936</w:t>
            </w:r>
          </w:p>
        </w:tc>
        <w:tc>
          <w:tcPr>
            <w:tcW w:w="120" w:type="dxa"/>
            <w:vAlign w:val="bottom"/>
          </w:tcPr>
          <w:p>
            <w:pPr>
              <w:spacing w:after="0"/>
              <w:rPr>
                <w:sz w:val="17"/>
                <w:szCs w:val="17"/>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color w:val="auto"/>
              </w:rPr>
              <w:t>8,077</w:t>
            </w:r>
          </w:p>
        </w:tc>
        <w:tc>
          <w:tcPr>
            <w:tcW w:w="0" w:type="dxa"/>
            <w:vAlign w:val="bottom"/>
          </w:tcPr>
          <w:p>
            <w:pPr>
              <w:spacing w:after="0"/>
              <w:rPr>
                <w:sz w:val="1"/>
                <w:szCs w:val="1"/>
                <w:color w:val="auto"/>
              </w:rPr>
            </w:pPr>
          </w:p>
        </w:tc>
      </w:tr>
      <w:tr>
        <w:trPr>
          <w:trHeight w:val="195"/>
        </w:trPr>
        <w:tc>
          <w:tcPr>
            <w:tcW w:w="4220" w:type="dxa"/>
            <w:vAlign w:val="bottom"/>
          </w:tcPr>
          <w:p>
            <w:pPr>
              <w:ind w:left="380"/>
              <w:spacing w:after="0"/>
              <w:rPr>
                <w:sz w:val="20"/>
                <w:szCs w:val="20"/>
                <w:color w:val="auto"/>
              </w:rPr>
            </w:pPr>
            <w:r>
              <w:rPr>
                <w:rFonts w:ascii="Arial" w:cs="Arial" w:eastAsia="Arial" w:hAnsi="Arial"/>
                <w:sz w:val="16"/>
                <w:szCs w:val="16"/>
                <w:color w:val="auto"/>
              </w:rPr>
              <w:t>Funding</w:t>
            </w:r>
          </w:p>
        </w:tc>
        <w:tc>
          <w:tcPr>
            <w:tcW w:w="2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2,486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3,129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3,142</w:t>
            </w:r>
          </w:p>
        </w:tc>
        <w:tc>
          <w:tcPr>
            <w:tcW w:w="0" w:type="dxa"/>
            <w:vAlign w:val="bottom"/>
          </w:tcPr>
          <w:p>
            <w:pPr>
              <w:spacing w:after="0"/>
              <w:rPr>
                <w:sz w:val="1"/>
                <w:szCs w:val="1"/>
                <w:color w:val="auto"/>
              </w:rPr>
            </w:pPr>
          </w:p>
        </w:tc>
      </w:tr>
      <w:tr>
        <w:trPr>
          <w:trHeight w:val="327"/>
        </w:trPr>
        <w:tc>
          <w:tcPr>
            <w:tcW w:w="4220" w:type="dxa"/>
            <w:vAlign w:val="bottom"/>
          </w:tcPr>
          <w:p>
            <w:pPr>
              <w:ind w:left="2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640" w:hanging="146"/>
        <w:spacing w:after="0" w:line="229" w:lineRule="auto"/>
        <w:tabs>
          <w:tab w:leader="none" w:pos="640" w:val="left"/>
        </w:tabs>
        <w:numPr>
          <w:ilvl w:val="1"/>
          <w:numId w:val="33"/>
        </w:numPr>
        <w:rPr>
          <w:rFonts w:ascii="Arial" w:cs="Arial" w:eastAsia="Arial" w:hAnsi="Arial"/>
          <w:sz w:val="17"/>
          <w:szCs w:val="17"/>
          <w:color w:val="auto"/>
          <w:vertAlign w:val="superscript"/>
        </w:rPr>
      </w:pPr>
      <w:r>
        <w:rPr>
          <w:rFonts w:ascii="Arial" w:cs="Arial" w:eastAsia="Arial" w:hAnsi="Arial"/>
          <w:sz w:val="13"/>
          <w:szCs w:val="13"/>
          <w:color w:val="auto"/>
        </w:rPr>
        <w:t>Derivatives in a liability position.</w:t>
      </w:r>
    </w:p>
    <w:p>
      <w:pPr>
        <w:spacing w:after="0" w:line="205" w:lineRule="exact"/>
        <w:rPr>
          <w:rFonts w:ascii="Arial" w:cs="Arial" w:eastAsia="Arial" w:hAnsi="Arial"/>
          <w:sz w:val="17"/>
          <w:szCs w:val="17"/>
          <w:color w:val="auto"/>
          <w:vertAlign w:val="superscript"/>
        </w:rPr>
      </w:pPr>
    </w:p>
    <w:p>
      <w:pPr>
        <w:ind w:left="300" w:hanging="292"/>
        <w:spacing w:after="0"/>
        <w:tabs>
          <w:tab w:leader="none" w:pos="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4" w:lineRule="exact"/>
        <w:rPr>
          <w:sz w:val="20"/>
          <w:szCs w:val="20"/>
          <w:color w:val="auto"/>
        </w:rPr>
      </w:pPr>
    </w:p>
    <w:p>
      <w:pPr>
        <w:ind w:left="500" w:right="400"/>
        <w:spacing w:after="0" w:line="254" w:lineRule="auto"/>
        <w:rPr>
          <w:sz w:val="20"/>
          <w:szCs w:val="20"/>
          <w:color w:val="auto"/>
        </w:rPr>
      </w:pPr>
      <w:r>
        <w:rPr>
          <w:rFonts w:ascii="Arial" w:cs="Arial" w:eastAsia="Arial" w:hAnsi="Arial"/>
          <w:sz w:val="18"/>
          <w:szCs w:val="18"/>
          <w:color w:val="auto"/>
        </w:rPr>
        <w:t>The Company’s chief operating decision-maker assesses performance and allocates resources based upon the separate financial information from each of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231"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Management evaluates the operating results of each of its reportable segments based upon revenues and “Adjusted EBITDA,” which the Company defines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gain on sale of equity method investment in China, COVID-19 charges and income taxes. Net charges for unprecedented personal-injury legal matters and gain on sale of equity method investment in China are recorded within operating expenses in the Company’s Consolidated Condensed Statement of Comprehensive Income. Non-operational charges related to shareholder activist activity include third party advisory, legal and other professional service fees and are recorded within selling, general and administrative expenses in the Company’s Consolidated Condensed Statement of Comprehensive Income. COVID-19 charges include unusual, direct and incremental costs due to the COVID-19 global pandemic such as minimum annual guaranteed rent in excess of concession fees for the period, overflow parking for idle vehicles, incremental cleaning supplies to sanitize vehicles and facilities, and losses associated with vehicles damaged in overflow parking lots and are recorded within operating expenses in the Company’s Consolidated Condensed Statement of Comprehensive Income. The Company has revised its definition of Adjusted EBITDA to exclude COVID-19 charges. The Company has not revised prior years' Adjusted EBITDA amounts because there were no other charges similar in nature to these. The Company’s presentation of Adjusted EBITDA may not be comparable to similarly-titled measures used by other companies.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871"/>
        </w:trPr>
        <w:tc>
          <w:tcPr>
            <w:tcW w:w="4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50"/>
        </w:trPr>
        <w:tc>
          <w:tcPr>
            <w:tcW w:w="48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2020</w:t>
            </w: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180" w:type="dxa"/>
            <w:vAlign w:val="bottom"/>
            <w:tcBorders>
              <w:bottom w:val="single" w:sz="8" w:color="auto"/>
            </w:tcBorders>
          </w:tcPr>
          <w:p>
            <w:pPr>
              <w:spacing w:after="0"/>
              <w:rPr>
                <w:sz w:val="21"/>
                <w:szCs w:val="21"/>
                <w:color w:val="auto"/>
              </w:rPr>
            </w:pPr>
          </w:p>
        </w:tc>
      </w:tr>
      <w:tr>
        <w:trPr>
          <w:trHeight w:val="207"/>
        </w:trPr>
        <w:tc>
          <w:tcPr>
            <w:tcW w:w="4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Adjusted</w:t>
            </w:r>
          </w:p>
        </w:tc>
      </w:tr>
      <w:tr>
        <w:trPr>
          <w:trHeight w:val="246"/>
        </w:trPr>
        <w:tc>
          <w:tcPr>
            <w:tcW w:w="48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8"/>
              </w:rPr>
              <w:t>EBITDA</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EBITDA</w:t>
            </w:r>
          </w:p>
        </w:tc>
      </w:tr>
      <w:tr>
        <w:trPr>
          <w:trHeight w:val="243"/>
        </w:trPr>
        <w:tc>
          <w:tcPr>
            <w:tcW w:w="4860" w:type="dxa"/>
            <w:vAlign w:val="bottom"/>
          </w:tcPr>
          <w:p>
            <w:pPr>
              <w:ind w:left="520"/>
              <w:spacing w:after="0"/>
              <w:rPr>
                <w:sz w:val="20"/>
                <w:szCs w:val="20"/>
                <w:color w:val="auto"/>
              </w:rPr>
            </w:pPr>
            <w:r>
              <w:rPr>
                <w:rFonts w:ascii="Arial" w:cs="Arial" w:eastAsia="Arial" w:hAnsi="Arial"/>
                <w:sz w:val="18"/>
                <w:szCs w:val="18"/>
                <w:color w:val="auto"/>
              </w:rPr>
              <w:t>Americas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565</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152</w:t>
            </w:r>
          </w:p>
        </w:tc>
      </w:tr>
      <w:tr>
        <w:trPr>
          <w:trHeight w:val="257"/>
        </w:trPr>
        <w:tc>
          <w:tcPr>
            <w:tcW w:w="4860" w:type="dxa"/>
            <w:vAlign w:val="bottom"/>
          </w:tcPr>
          <w:p>
            <w:pPr>
              <w:ind w:left="52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39</w:t>
            </w:r>
          </w:p>
        </w:tc>
      </w:tr>
      <w:tr>
        <w:trPr>
          <w:trHeight w:val="270"/>
        </w:trPr>
        <w:tc>
          <w:tcPr>
            <w:tcW w:w="4860" w:type="dxa"/>
            <w:vAlign w:val="bottom"/>
          </w:tcPr>
          <w:p>
            <w:pPr>
              <w:ind w:left="5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r>
      <w:tr>
        <w:trPr>
          <w:trHeight w:val="250"/>
        </w:trPr>
        <w:tc>
          <w:tcPr>
            <w:tcW w:w="4860" w:type="dxa"/>
            <w:vAlign w:val="bottom"/>
          </w:tcPr>
          <w:p>
            <w:pPr>
              <w:ind w:left="760"/>
              <w:spacing w:after="0"/>
              <w:rPr>
                <w:sz w:val="20"/>
                <w:szCs w:val="20"/>
                <w:color w:val="auto"/>
              </w:rPr>
            </w:pPr>
            <w:r>
              <w:rPr>
                <w:rFonts w:ascii="Arial" w:cs="Arial" w:eastAsia="Arial" w:hAnsi="Arial"/>
                <w:sz w:val="18"/>
                <w:szCs w:val="18"/>
                <w:color w:val="auto"/>
              </w:rPr>
              <w:t>Total Company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175</w:t>
            </w:r>
          </w:p>
        </w:tc>
      </w:tr>
      <w:tr>
        <w:trPr>
          <w:trHeight w:val="20"/>
        </w:trPr>
        <w:tc>
          <w:tcPr>
            <w:tcW w:w="4860" w:type="dxa"/>
            <w:vAlign w:val="bottom"/>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58"/>
        </w:trPr>
        <w:tc>
          <w:tcPr>
            <w:tcW w:w="7740" w:type="dxa"/>
            <w:vAlign w:val="bottom"/>
            <w:gridSpan w:val="7"/>
          </w:tcPr>
          <w:p>
            <w:pPr>
              <w:ind w:left="520"/>
              <w:spacing w:after="0"/>
              <w:rPr>
                <w:sz w:val="20"/>
                <w:szCs w:val="20"/>
                <w:color w:val="auto"/>
              </w:rPr>
            </w:pPr>
            <w:r>
              <w:rPr>
                <w:rFonts w:ascii="Arial" w:cs="Arial" w:eastAsia="Arial" w:hAnsi="Arial"/>
                <w:sz w:val="18"/>
                <w:szCs w:val="18"/>
                <w:b w:val="1"/>
                <w:bCs w:val="1"/>
                <w:color w:val="auto"/>
              </w:rPr>
              <w:t>Reconciliation of Adjusted EBITDA to income (loss) before income taxes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7"/>
        </w:trPr>
        <w:tc>
          <w:tcPr>
            <w:tcW w:w="4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8255</wp:posOffset>
            </wp:positionV>
            <wp:extent cx="8826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8826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ectPr>
          <w:pgSz w:w="11900" w:h="16838" w:orient="portrait"/>
          <w:cols w:equalWidth="0" w:num="1">
            <w:col w:w="10920"/>
          </w:cols>
          <w:pgMar w:left="320" w:top="140" w:right="659" w:bottom="576" w:gutter="0" w:footer="0" w:header="0"/>
        </w:sectPr>
      </w:pP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spacing w:after="0" w:line="28" w:lineRule="exact"/>
        <w:rPr>
          <w:sz w:val="20"/>
          <w:szCs w:val="20"/>
          <w:color w:val="auto"/>
        </w:rPr>
      </w:pPr>
    </w:p>
    <w:p>
      <w:pPr>
        <w:ind w:left="520"/>
        <w:spacing w:after="0"/>
        <w:tabs>
          <w:tab w:leader="none" w:pos="1160" w:val="left"/>
        </w:tabs>
        <w:rPr>
          <w:sz w:val="20"/>
          <w:szCs w:val="20"/>
          <w:color w:val="auto"/>
        </w:rPr>
      </w:pPr>
      <w:r>
        <w:rPr>
          <w:rFonts w:ascii="Arial" w:cs="Arial" w:eastAsia="Arial" w:hAnsi="Arial"/>
          <w:sz w:val="18"/>
          <w:szCs w:val="18"/>
          <w:color w:val="auto"/>
        </w:rPr>
        <w:t>Less:</w:t>
        <w:tab/>
        <w:t xml:space="preserve">COVID-19 charges </w:t>
      </w:r>
      <w:r>
        <w:rPr>
          <w:rFonts w:ascii="Arial" w:cs="Arial" w:eastAsia="Arial" w:hAnsi="Arial"/>
          <w:sz w:val="23"/>
          <w:szCs w:val="23"/>
          <w:color w:val="auto"/>
          <w:vertAlign w:val="superscript"/>
        </w:rPr>
        <w:t>(b)</w:t>
      </w:r>
    </w:p>
    <w:p>
      <w:pPr>
        <w:ind w:left="1180"/>
        <w:spacing w:after="0"/>
        <w:rPr>
          <w:sz w:val="20"/>
          <w:szCs w:val="20"/>
          <w:color w:val="auto"/>
        </w:rPr>
      </w:pPr>
      <w:r>
        <w:rPr>
          <w:rFonts w:ascii="Arial" w:cs="Arial" w:eastAsia="Arial" w:hAnsi="Arial"/>
          <w:sz w:val="18"/>
          <w:szCs w:val="18"/>
          <w:color w:val="auto"/>
        </w:rPr>
        <w:t>Non-vehicle related depreciation and amortization</w:t>
      </w:r>
    </w:p>
    <w:p>
      <w:pPr>
        <w:spacing w:after="0" w:line="5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Interest expense related to corporate debt, net:</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Interest expense</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Early extinguishment of debt</w:t>
      </w:r>
    </w:p>
    <w:p>
      <w:pPr>
        <w:spacing w:after="0" w:line="5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Restructuring and other related charges</w:t>
      </w:r>
    </w:p>
    <w:p>
      <w:pPr>
        <w:spacing w:after="0" w:line="5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Transaction-related costs, net</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 xml:space="preserve">Gain on sale of equity method investment in China </w:t>
      </w:r>
      <w:r>
        <w:rPr>
          <w:rFonts w:ascii="Arial" w:cs="Arial" w:eastAsia="Arial" w:hAnsi="Arial"/>
          <w:sz w:val="22"/>
          <w:szCs w:val="22"/>
          <w:color w:val="auto"/>
          <w:vertAlign w:val="superscript"/>
        </w:rPr>
        <w:t>(c)</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62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175</w:t>
            </w:r>
          </w:p>
        </w:tc>
      </w:tr>
      <w:tr>
        <w:trPr>
          <w:trHeight w:val="256"/>
        </w:trPr>
        <w:tc>
          <w:tcPr>
            <w:tcW w:w="50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50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71</w:t>
            </w:r>
          </w:p>
        </w:tc>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66</w:t>
            </w:r>
          </w:p>
        </w:tc>
      </w:tr>
      <w:tr>
        <w:trPr>
          <w:trHeight w:val="513"/>
        </w:trPr>
        <w:tc>
          <w:tcPr>
            <w:tcW w:w="50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48</w:t>
            </w:r>
          </w:p>
        </w:tc>
      </w:tr>
      <w:tr>
        <w:trPr>
          <w:trHeight w:val="257"/>
        </w:trPr>
        <w:tc>
          <w:tcPr>
            <w:tcW w:w="50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50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23</w:t>
            </w:r>
          </w:p>
        </w:tc>
      </w:tr>
      <w:tr>
        <w:trPr>
          <w:trHeight w:val="257"/>
        </w:trPr>
        <w:tc>
          <w:tcPr>
            <w:tcW w:w="50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63"/>
        </w:trPr>
        <w:tc>
          <w:tcPr>
            <w:tcW w:w="500" w:type="dxa"/>
            <w:vAlign w:val="bottom"/>
          </w:tcPr>
          <w:p>
            <w:pPr>
              <w:spacing w:after="0"/>
              <w:rPr>
                <w:sz w:val="22"/>
                <w:szCs w:val="22"/>
                <w:color w:val="auto"/>
              </w:rPr>
            </w:pPr>
          </w:p>
        </w:tc>
        <w:tc>
          <w:tcPr>
            <w:tcW w:w="2500" w:type="dxa"/>
            <w:vAlign w:val="bottom"/>
            <w:gridSpan w:val="2"/>
          </w:tcPr>
          <w:p>
            <w:pPr>
              <w:jc w:val="right"/>
              <w:ind w:right="17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50"/>
        </w:trPr>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(609)</w:t>
            </w:r>
          </w:p>
        </w:tc>
        <w:tc>
          <w:tcPr>
            <w:tcW w:w="16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81</w:t>
            </w:r>
          </w:p>
        </w:tc>
      </w:tr>
      <w:tr>
        <w:trPr>
          <w:trHeight w:val="27"/>
        </w:trPr>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05" w:lineRule="exact"/>
        <w:rPr>
          <w:sz w:val="20"/>
          <w:szCs w:val="20"/>
          <w:color w:val="auto"/>
        </w:rPr>
      </w:pPr>
    </w:p>
    <w:p>
      <w:pPr>
        <w:sectPr>
          <w:pgSz w:w="11900" w:h="16838" w:orient="portrait"/>
          <w:cols w:equalWidth="0" w:num="2">
            <w:col w:w="5640" w:space="720"/>
            <w:col w:w="4560"/>
          </w:cols>
          <w:pgMar w:left="320" w:top="140" w:right="659" w:bottom="576" w:gutter="0" w:footer="0" w:header="0"/>
          <w:type w:val="continuous"/>
        </w:sect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187" w:lineRule="auto"/>
        <w:tabs>
          <w:tab w:leader="none" w:pos="82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820" w:right="40" w:hanging="326"/>
        <w:spacing w:after="0" w:line="215" w:lineRule="auto"/>
        <w:tabs>
          <w:tab w:leader="none" w:pos="826"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For three months ended June 30, 2020 consists of $72 million within operating expenses and $1 million within selling, general and administrative expenses. Primarily consisting of $30 million of minimum annual guaranteed rent in excess of concession fees, $28 million of losses associated with vehicles damaged in overflow parking lots and $15 million of incremental cleaning supplies to sanitize vehicles and facilities, and overflow parking for idle vehicles.</w:t>
      </w:r>
    </w:p>
    <w:p>
      <w:pPr>
        <w:spacing w:after="0" w:line="1" w:lineRule="exact"/>
        <w:rPr>
          <w:rFonts w:ascii="Arial" w:cs="Arial" w:eastAsia="Arial" w:hAnsi="Arial"/>
          <w:sz w:val="19"/>
          <w:szCs w:val="19"/>
          <w:color w:val="auto"/>
          <w:vertAlign w:val="superscript"/>
        </w:rPr>
      </w:pPr>
    </w:p>
    <w:p>
      <w:pPr>
        <w:ind w:left="640" w:hanging="146"/>
        <w:spacing w:after="0" w:line="199" w:lineRule="auto"/>
        <w:tabs>
          <w:tab w:leader="none" w:pos="64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w:t>
      </w:r>
    </w:p>
    <w:p>
      <w:pPr>
        <w:spacing w:after="0" w:line="260"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6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jc w:val="center"/>
              <w:ind w:left="10"/>
              <w:spacing w:after="0"/>
              <w:rPr>
                <w:sz w:val="20"/>
                <w:szCs w:val="20"/>
                <w:color w:val="auto"/>
              </w:rPr>
            </w:pPr>
            <w:r>
              <w:rPr>
                <w:rFonts w:ascii="Arial" w:cs="Arial" w:eastAsia="Arial" w:hAnsi="Arial"/>
                <w:sz w:val="18"/>
                <w:szCs w:val="18"/>
                <w:b w:val="1"/>
                <w:bCs w:val="1"/>
                <w:color w:val="auto"/>
              </w:rPr>
              <w:t>Six Months Ended June 30,</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2020</w:t>
            </w:r>
          </w:p>
        </w:tc>
        <w:tc>
          <w:tcPr>
            <w:tcW w:w="1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2019</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Adjusted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6"/>
        </w:trPr>
        <w:tc>
          <w:tcPr>
            <w:tcW w:w="46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Revenues</w:t>
            </w: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8"/>
              </w:rPr>
              <w:t>EBITDA</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Americas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1,822</w:t>
            </w:r>
          </w:p>
        </w:tc>
        <w:tc>
          <w:tcPr>
            <w:tcW w:w="48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2,954</w:t>
            </w:r>
          </w:p>
        </w:tc>
        <w:tc>
          <w:tcPr>
            <w:tcW w:w="4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57"/>
        </w:trPr>
        <w:tc>
          <w:tcPr>
            <w:tcW w:w="460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460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w:t>
            </w:r>
          </w:p>
        </w:tc>
        <w:tc>
          <w:tcPr>
            <w:tcW w:w="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8"/>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Reconciliation of Adjusted EBITDA to loss before income taxes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57"/>
        </w:trPr>
        <w:tc>
          <w:tcPr>
            <w:tcW w:w="4740" w:type="dxa"/>
            <w:vAlign w:val="bottom"/>
            <w:gridSpan w:val="2"/>
          </w:tcPr>
          <w:p>
            <w:pPr>
              <w:spacing w:after="0"/>
              <w:rPr>
                <w:sz w:val="20"/>
                <w:szCs w:val="20"/>
                <w:color w:val="auto"/>
              </w:rPr>
            </w:pPr>
            <w:r>
              <w:rPr>
                <w:rFonts w:ascii="Arial" w:cs="Arial" w:eastAsia="Arial" w:hAnsi="Arial"/>
                <w:sz w:val="18"/>
                <w:szCs w:val="18"/>
                <w:color w:val="auto"/>
              </w:rPr>
              <w:t>Less:   Non-vehicle related depreciation and amortization</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7"/>
        </w:trPr>
        <w:tc>
          <w:tcPr>
            <w:tcW w:w="4600" w:type="dxa"/>
            <w:vAlign w:val="bottom"/>
          </w:tcPr>
          <w:p>
            <w:pPr>
              <w:ind w:left="660"/>
              <w:spacing w:after="0"/>
              <w:rPr>
                <w:sz w:val="20"/>
                <w:szCs w:val="20"/>
                <w:color w:val="auto"/>
              </w:rPr>
            </w:pPr>
            <w:r>
              <w:rPr>
                <w:rFonts w:ascii="Arial" w:cs="Arial" w:eastAsia="Arial" w:hAnsi="Arial"/>
                <w:sz w:val="18"/>
                <w:szCs w:val="18"/>
                <w:color w:val="auto"/>
              </w:rPr>
              <w:t>Interest expense related to corporate debt, net:</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00" w:type="dxa"/>
            <w:vAlign w:val="bottom"/>
          </w:tcPr>
          <w:p>
            <w:pPr>
              <w:ind w:left="7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6"/>
        </w:trPr>
        <w:tc>
          <w:tcPr>
            <w:tcW w:w="4600" w:type="dxa"/>
            <w:vAlign w:val="bottom"/>
          </w:tcPr>
          <w:p>
            <w:pPr>
              <w:ind w:left="780"/>
              <w:spacing w:after="0"/>
              <w:rPr>
                <w:sz w:val="20"/>
                <w:szCs w:val="20"/>
                <w:color w:val="auto"/>
              </w:rPr>
            </w:pPr>
            <w:r>
              <w:rPr>
                <w:rFonts w:ascii="Arial" w:cs="Arial" w:eastAsia="Arial" w:hAnsi="Arial"/>
                <w:sz w:val="18"/>
                <w:szCs w:val="18"/>
                <w:color w:val="auto"/>
              </w:rPr>
              <w:t>Early extinguishment of debt</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6"/>
        </w:trPr>
        <w:tc>
          <w:tcPr>
            <w:tcW w:w="4600" w:type="dxa"/>
            <w:vAlign w:val="bottom"/>
          </w:tcPr>
          <w:p>
            <w:pPr>
              <w:ind w:left="660"/>
              <w:spacing w:after="0"/>
              <w:rPr>
                <w:sz w:val="20"/>
                <w:szCs w:val="20"/>
                <w:color w:val="auto"/>
              </w:rPr>
            </w:pPr>
            <w:r>
              <w:rPr>
                <w:rFonts w:ascii="Arial" w:cs="Arial" w:eastAsia="Arial" w:hAnsi="Arial"/>
                <w:sz w:val="18"/>
                <w:szCs w:val="18"/>
                <w:color w:val="auto"/>
              </w:rPr>
              <w:t xml:space="preserve">COVID-19 charges </w:t>
            </w:r>
            <w:r>
              <w:rPr>
                <w:rFonts w:ascii="Arial" w:cs="Arial" w:eastAsia="Arial" w:hAnsi="Arial"/>
                <w:sz w:val="23"/>
                <w:szCs w:val="23"/>
                <w:color w:val="auto"/>
                <w:vertAlign w:val="superscript"/>
              </w:rPr>
              <w:t>(b)</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600" w:type="dxa"/>
            <w:vAlign w:val="bottom"/>
          </w:tcPr>
          <w:p>
            <w:pPr>
              <w:ind w:left="660"/>
              <w:spacing w:after="0"/>
              <w:rPr>
                <w:sz w:val="20"/>
                <w:szCs w:val="20"/>
                <w:color w:val="auto"/>
              </w:rPr>
            </w:pPr>
            <w:r>
              <w:rPr>
                <w:rFonts w:ascii="Arial" w:cs="Arial" w:eastAsia="Arial" w:hAnsi="Arial"/>
                <w:sz w:val="18"/>
                <w:szCs w:val="18"/>
                <w:color w:val="auto"/>
              </w:rPr>
              <w:t>Restructuring and other related charges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4600" w:type="dxa"/>
            <w:vAlign w:val="bottom"/>
          </w:tcPr>
          <w:p>
            <w:pPr>
              <w:ind w:left="660"/>
              <w:spacing w:after="0" w:line="201" w:lineRule="exact"/>
              <w:rPr>
                <w:sz w:val="20"/>
                <w:szCs w:val="20"/>
                <w:color w:val="auto"/>
              </w:rPr>
            </w:pPr>
            <w:r>
              <w:rPr>
                <w:rFonts w:ascii="Arial" w:cs="Arial" w:eastAsia="Arial" w:hAnsi="Arial"/>
                <w:sz w:val="18"/>
                <w:szCs w:val="18"/>
                <w:color w:val="auto"/>
              </w:rPr>
              <w:t>Non-operational charges related to shareholder</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820"/>
              <w:spacing w:after="0" w:line="243" w:lineRule="exact"/>
              <w:rPr>
                <w:sz w:val="20"/>
                <w:szCs w:val="20"/>
                <w:color w:val="auto"/>
              </w:rPr>
            </w:pPr>
            <w:r>
              <w:rPr>
                <w:rFonts w:ascii="Arial" w:cs="Arial" w:eastAsia="Arial" w:hAnsi="Arial"/>
                <w:sz w:val="18"/>
                <w:szCs w:val="18"/>
                <w:color w:val="auto"/>
              </w:rPr>
              <w:t xml:space="preserve">activist activity </w:t>
            </w:r>
            <w:r>
              <w:rPr>
                <w:rFonts w:ascii="Arial" w:cs="Arial" w:eastAsia="Arial" w:hAnsi="Arial"/>
                <w:sz w:val="23"/>
                <w:szCs w:val="23"/>
                <w:color w:val="auto"/>
                <w:vertAlign w:val="superscript"/>
              </w:rPr>
              <w:t>(c)</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600" w:type="dxa"/>
            <w:vAlign w:val="bottom"/>
          </w:tcPr>
          <w:p>
            <w:pPr>
              <w:ind w:left="660"/>
              <w:spacing w:after="0"/>
              <w:rPr>
                <w:sz w:val="20"/>
                <w:szCs w:val="20"/>
                <w:color w:val="auto"/>
              </w:rPr>
            </w:pPr>
            <w:r>
              <w:rPr>
                <w:rFonts w:ascii="Arial" w:cs="Arial" w:eastAsia="Arial" w:hAnsi="Arial"/>
                <w:sz w:val="18"/>
                <w:szCs w:val="18"/>
                <w:color w:val="auto"/>
              </w:rPr>
              <w:t>Transaction-related costs, net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5680" w:type="dxa"/>
            <w:vAlign w:val="bottom"/>
            <w:gridSpan w:val="3"/>
          </w:tcPr>
          <w:p>
            <w:pPr>
              <w:ind w:left="1100"/>
              <w:spacing w:after="0"/>
              <w:rPr>
                <w:sz w:val="20"/>
                <w:szCs w:val="20"/>
                <w:color w:val="auto"/>
              </w:rPr>
            </w:pPr>
            <w:r>
              <w:rPr>
                <w:rFonts w:ascii="Arial" w:cs="Arial" w:eastAsia="Arial" w:hAnsi="Arial"/>
                <w:sz w:val="18"/>
                <w:szCs w:val="18"/>
                <w:color w:val="auto"/>
              </w:rPr>
              <w:t xml:space="preserve">Gain on sale of equity method investment in China </w:t>
            </w:r>
            <w:r>
              <w:rPr>
                <w:rFonts w:ascii="Arial" w:cs="Arial" w:eastAsia="Arial" w:hAnsi="Arial"/>
                <w:sz w:val="23"/>
                <w:szCs w:val="23"/>
                <w:color w:val="auto"/>
                <w:vertAlign w:val="superscript"/>
              </w:rPr>
              <w:t>(d)</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187" w:lineRule="auto"/>
        <w:tabs>
          <w:tab w:leader="none" w:pos="82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820" w:hanging="326"/>
        <w:spacing w:after="0" w:line="215" w:lineRule="auto"/>
        <w:tabs>
          <w:tab w:leader="none" w:pos="826"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Six months ended June 30, 2020 consists of $79 million within operating expenses and $1 million within selling, general and administrative expenses. Primarily consisting of $33 million of losses associated with vehicles damaged in overflow parking lots, $30 million of minimum annual guaranteed rent in excess of concession fees and $17 million of incremental cleaning supplies to sanitize vehicles and facilities, and overflow parking for idle vehicles.</w:t>
      </w:r>
    </w:p>
    <w:p>
      <w:pPr>
        <w:spacing w:after="0" w:line="1" w:lineRule="exact"/>
        <w:rPr>
          <w:rFonts w:ascii="Arial" w:cs="Arial" w:eastAsia="Arial" w:hAnsi="Arial"/>
          <w:sz w:val="19"/>
          <w:szCs w:val="19"/>
          <w:color w:val="auto"/>
          <w:vertAlign w:val="superscript"/>
        </w:rPr>
      </w:pPr>
    </w:p>
    <w:p>
      <w:pPr>
        <w:ind w:left="800" w:hanging="306"/>
        <w:spacing w:after="0" w:line="187" w:lineRule="auto"/>
        <w:tabs>
          <w:tab w:leader="none" w:pos="80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Reported within selling, general and administrative expenses.</w:t>
      </w:r>
    </w:p>
    <w:p>
      <w:pPr>
        <w:ind w:left="820" w:hanging="326"/>
        <w:spacing w:after="0" w:line="189" w:lineRule="auto"/>
        <w:tabs>
          <w:tab w:leader="none" w:pos="82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w:t>
      </w:r>
    </w:p>
    <w:p>
      <w:pPr>
        <w:sectPr>
          <w:pgSz w:w="11900" w:h="16838" w:orient="portrait"/>
          <w:cols w:equalWidth="0" w:num="1">
            <w:col w:w="10920"/>
          </w:cols>
          <w:pgMar w:left="320" w:top="140" w:right="659" w:bottom="576"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40" w:right="659" w:bottom="576"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As of June 30, 2020 and December 31, 2019, Americas’ segment assets exclusive of assets under vehicle programs were approximately $6.7 billion and $6.2 billion, respectively, and International segment assets exclusive of assets under vehicle programs were approximately $2.8 billion and $3.0 billion, respectively.</w:t>
      </w:r>
    </w:p>
    <w:p>
      <w:pPr>
        <w:spacing w:after="0" w:line="22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As of June 30, 2020 and December 31, 2019, Americas’ segment assets under vehicle programs were approximately $9.9 billion and $10.5 billion, respectively, and International segment assets under vehicle programs were approximately $ 2.3 billion and $ 3.3 billion, respectively. The changes in assets under vehicle programs is primarily due to the reduction of vehicles in response to the COVID-19 pandemic.</w:t>
      </w:r>
    </w:p>
    <w:p>
      <w:pPr>
        <w:spacing w:after="0" w:line="200" w:lineRule="exact"/>
        <w:rPr>
          <w:sz w:val="20"/>
          <w:szCs w:val="20"/>
          <w:color w:val="auto"/>
        </w:rPr>
      </w:pPr>
    </w:p>
    <w:p>
      <w:pPr>
        <w:spacing w:after="0" w:line="28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0" w:right="4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2019 Form 10-K. Our actual results of operations may differ materially from those discussed in forward-looking statements as a result of various factors, including but not limited to those included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2019 Form 10-K. Unless otherwise noted, all dollar amounts in tables are in millions.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during 2019 of nearly 660,000 vehicles. We also license the use of our trademarks to licensees in the areas in which we do not operate directly. We and our licensees operate our brands in approximately 180 countries throughout the world.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6" w:lineRule="exact"/>
        <w:rPr>
          <w:sz w:val="20"/>
          <w:szCs w:val="20"/>
          <w:color w:val="auto"/>
        </w:rPr>
      </w:pPr>
    </w:p>
    <w:p>
      <w:pPr>
        <w:jc w:val="both"/>
        <w:ind w:right="80"/>
        <w:spacing w:after="0" w:line="281" w:lineRule="auto"/>
        <w:rPr>
          <w:sz w:val="20"/>
          <w:szCs w:val="20"/>
          <w:color w:val="auto"/>
        </w:rPr>
      </w:pPr>
      <w:r>
        <w:rPr>
          <w:rFonts w:ascii="Arial" w:cs="Arial" w:eastAsia="Arial" w:hAnsi="Arial"/>
          <w:sz w:val="17"/>
          <w:szCs w:val="17"/>
          <w:color w:val="auto"/>
        </w:rPr>
        <w:t xml:space="preserve">We categorize our operations into two reportable business segments: </w:t>
      </w:r>
      <w:r>
        <w:rPr>
          <w:rFonts w:ascii="Arial" w:cs="Arial" w:eastAsia="Arial" w:hAnsi="Arial"/>
          <w:sz w:val="17"/>
          <w:szCs w:val="17"/>
          <w:i w:val="1"/>
          <w:iCs w:val="1"/>
          <w:color w:val="auto"/>
        </w:rPr>
        <w:t>Americas</w:t>
      </w:r>
      <w:r>
        <w:rPr>
          <w:rFonts w:ascii="Arial" w:cs="Arial" w:eastAsia="Arial" w:hAnsi="Arial"/>
          <w:sz w:val="17"/>
          <w:szCs w:val="17"/>
          <w:color w:val="auto"/>
        </w:rPr>
        <w:t xml:space="preserve">, consisting primarily of our vehicle rental operations in North America, South America, Central America and the Caribbean, car sharing operations in certain of these markets, and licensees in the areas in which we do not operate directly; and </w:t>
      </w:r>
      <w:r>
        <w:rPr>
          <w:rFonts w:ascii="Arial" w:cs="Arial" w:eastAsia="Arial" w:hAnsi="Arial"/>
          <w:sz w:val="17"/>
          <w:szCs w:val="17"/>
          <w:i w:val="1"/>
          <w:iCs w:val="1"/>
          <w:color w:val="auto"/>
        </w:rPr>
        <w:t>International</w:t>
      </w:r>
      <w:r>
        <w:rPr>
          <w:rFonts w:ascii="Arial" w:cs="Arial" w:eastAsia="Arial" w:hAnsi="Arial"/>
          <w:sz w:val="17"/>
          <w:szCs w:val="17"/>
          <w:color w:val="auto"/>
        </w:rPr>
        <w:t>, consisting primarily of our vehicle rental operations in Europe, the Middle East, Africa, Asia and Australasia, car sharing operations in certain of these markets, and licensees in the areas in which we do not operate directly.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spread of the novel coronavirus (“COVID-19”) and the impact on travel demand and the global economy are having significant negative impacts on all aspects of our business.</w:t>
      </w:r>
    </w:p>
    <w:p>
      <w:pPr>
        <w:spacing w:after="0" w:line="22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Significant events affecting travel, have historically had an impact on vehicle rental volumes, with the full extent of the impact generally determined by the length of time the event influences travel decisions. COVID-19 and the resulting economic conditions have had, and we believe will continue to have, a significant negative impact on our operations and vehicle rental volumes and consequently our financial results, and such negative impact may continue well beyond the containment of this outbreak. In particular:</w:t>
      </w:r>
    </w:p>
    <w:p>
      <w:pPr>
        <w:spacing w:after="0" w:line="231" w:lineRule="exact"/>
        <w:rPr>
          <w:sz w:val="20"/>
          <w:szCs w:val="20"/>
          <w:color w:val="auto"/>
        </w:rPr>
      </w:pPr>
    </w:p>
    <w:p>
      <w:pPr>
        <w:ind w:left="660" w:right="340" w:hanging="328"/>
        <w:spacing w:after="0" w:line="25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Reservation volume for the remainder of 2020 is significantly behind prior year on a comparable basis as a result of the effects of COVID-19, which could impact our peak summer season. The third quarter of the year has historically been our most profitable quarter, as measured by net income and Adjusted EBITDA, due to increased summer leisure travel.</w:t>
      </w:r>
    </w:p>
    <w:p>
      <w:pPr>
        <w:spacing w:after="0" w:line="228" w:lineRule="exact"/>
        <w:rPr>
          <w:rFonts w:ascii="Arial" w:cs="Arial" w:eastAsia="Arial" w:hAnsi="Arial"/>
          <w:sz w:val="18"/>
          <w:szCs w:val="18"/>
          <w:color w:val="auto"/>
        </w:rPr>
      </w:pPr>
    </w:p>
    <w:p>
      <w:pPr>
        <w:ind w:left="660" w:right="80" w:hanging="328"/>
        <w:spacing w:after="0" w:line="252"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used vehicle market was significantly disrupted in the first half of second quarter, impacting our ability to dispose of used vehicles as a result of COVID-19. While the used car market improved significantly in the second half of the second quarter, if there are further disruptions due to COVID-19, we would likely experience a reduction in residual values for risk vehicles in our fleet which could cause us to sustain a substantial loss on the ultimate sale of such vehicles or require us to depreciate those at a more accelerated rate than we have anticipated. If our ability to sell vehicles in the used vehicle market becomes severely limited again, we may have difficulty meeting collateral requirements due under our asset-backed financing facilities.</w:t>
      </w:r>
    </w:p>
    <w:p>
      <w:pPr>
        <w:spacing w:after="0" w:line="235"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April 2020, Moody’s and S&amp;P Global (the “Rating Agencies”) downgraded our long-term corporate debt rating. If we were to experience a further downgrade, this could negatively impact our ability to respond to adverse changes in general economic, industry and competitive conditions, as well as changes in government regulation and changes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20" w:hanging="328"/>
        <w:spacing w:after="0" w:line="25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a result of decreased rental volume, we have parked our vehicles in overflow parking lots. In April 2020, we experienced a fire at an overflow parking lot near Southwest Florida International Airport. As a result, we have lost vehicles with an estimated carrying value of approximately $50 million. We estimate a loss of up to $10 million related to this incident, which will be treated as COVID-19 charges and excluded from Adjusted EBITDA. We could experience similar casualty losses in other overflow parking lots.</w:t>
      </w:r>
    </w:p>
    <w:p>
      <w:pPr>
        <w:spacing w:after="0" w:line="230" w:lineRule="exact"/>
        <w:rPr>
          <w:rFonts w:ascii="Arial" w:cs="Arial" w:eastAsia="Arial" w:hAnsi="Arial"/>
          <w:sz w:val="18"/>
          <w:szCs w:val="18"/>
          <w:color w:val="auto"/>
        </w:rPr>
      </w:pPr>
    </w:p>
    <w:p>
      <w:pPr>
        <w:ind w:left="660" w:hanging="328"/>
        <w:spacing w:after="0" w:line="25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taken cost removal and mitigation actions by eliminating all non-essential capital and operating expenditures and we are continuing to negotiate with partners and suppliers for further reductions. We have reduced or furloughed a large part of our global workforce, reduced base compensation at the level of vice presidents and above, froze merit increases, eliminated our 401(k) match for highly compensated employees, and canceled all future hiring. We aggressively reduced the size of our global fleet beginning in March and ended in June with over 20% fewer units than the prior year. Our vehicle dispositions will occur through both traditional methods and by utilizing our alternative distribution strategy by selling directly to dealers and consumers. Finally, we have negotiated a significant number of new vehicle cancellations to improve utilization and shrink the fleet size.</w:t>
      </w:r>
    </w:p>
    <w:p>
      <w:pPr>
        <w:spacing w:after="0" w:line="220"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Although our results for second quarter were significantly impacted by COVID-19, we do not believe they reflect the positive momentum we saw at the end of the quarter and look to carry throughout the remainder of 2020. Our revenues in second quarter showed sequential improvement, down approximately 80% from prior year at the start and finished down approximately 60% from prior year. Rental volumes also improved throughout the second quarter and ended down approximately 50% year-over-year. Fleet size continues to be a focal point as we align with demand while taking advantage of a strong used vehicle market. As the environment remains challenging, these trends could be hindered if a “second wave” of the virus were to impact the economy.</w:t>
      </w: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never previously experienced such a decrease in demand, and as a result, our ability to be predictive regarding the impact of such a decrease is uncertain. In addition, the duration of the global pandemic is uncertain. As a consequence, we cannot estimate the impact on our business, financial condition or forecast financial or operational results with reasonable certainty. Our results of operations, financial condition, and cash flows were impacted during the three and six months ended June 30, 2020, by the ongoing COVID-19 pandemic. The trends and results for the three and six months ended June 30, 2020 may not be indicative of results that may be expected for the future quarters due to uncertainty regarding the extent and duration of the COVID-19 pandemic.</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us with the most relevant metrics in order to manage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3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gain on sale of equity method investment in China, COVID-19 charges and income taxes. Net charges for unprecedented personal-injury legal matters and gain on sale of equity method investment in China are recorded within operating expenses in our consolidated condensed statement of operations. Non-operational charges related to shareholder activist activity include third party advisory, legal and other professional service fees and</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are recorded within selling, general and administrative expenses in our consolidated results of operations. COVID-19 charges include unusual, direct and incremental costs due to the COVID-19 global pandemic such as minimum annual guaranteed rent in excess of concession fees for the period, overflow parking for idle vehicles, incremental cleaning supplies to sanitize vehicles and facilities, and losses associated with vehicles damaged in overflow parking lots and are recorded within operating expenses in our consolidated condensed statement of operations. We have revised our definition of Adjusted EBITDA to exclude COVID-19 charges. We did not revise prior years' Adjusted EBITDA amounts because there were no other charges similar in nature to these.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2020:</w:t>
      </w:r>
    </w:p>
    <w:p>
      <w:pPr>
        <w:spacing w:after="0" w:line="252" w:lineRule="exact"/>
        <w:rPr>
          <w:sz w:val="20"/>
          <w:szCs w:val="20"/>
          <w:color w:val="auto"/>
        </w:rPr>
      </w:pPr>
    </w:p>
    <w:p>
      <w:pPr>
        <w:ind w:left="660" w:right="42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revenues totaled $2,513 million and decreased 41% compared to the similar period in 2019, primarily due to reduced rental volume due to impacts directly related to COVID-19.</w:t>
      </w:r>
    </w:p>
    <w:p>
      <w:pPr>
        <w:spacing w:after="0" w:line="224"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net loss was $639 million and our Adjusted EBITDA loss was $469 million, representing a loss of $643 million year-over-year, primarily due to impacts directly related to COVID-19.</w:t>
      </w:r>
    </w:p>
    <w:p>
      <w:pPr>
        <w:spacing w:after="0" w:line="224"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repurchased $113 million of our common stock at an average price of $22.49, reducing our shares outstanding by approximately 5.0 million shares, or 7%.</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acquired various licensees in the United States and Europe.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vs. Three Months Ended June 30,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9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392"/>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4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57"/>
        </w:trPr>
        <w:tc>
          <w:tcPr>
            <w:tcW w:w="594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2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57"/>
        </w:trPr>
        <w:tc>
          <w:tcPr>
            <w:tcW w:w="594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56"/>
        </w:trPr>
        <w:tc>
          <w:tcPr>
            <w:tcW w:w="594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2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0"/>
        </w:trPr>
        <w:tc>
          <w:tcPr>
            <w:tcW w:w="594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2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594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57"/>
        </w:trPr>
        <w:tc>
          <w:tcPr>
            <w:tcW w:w="5940" w:type="dxa"/>
            <w:vAlign w:val="bottom"/>
          </w:tcPr>
          <w:p>
            <w:pPr>
              <w:ind w:left="340"/>
              <w:spacing w:after="0"/>
              <w:rPr>
                <w:sz w:val="20"/>
                <w:szCs w:val="20"/>
                <w:color w:val="auto"/>
              </w:rPr>
            </w:pPr>
            <w:r>
              <w:rPr>
                <w:rFonts w:ascii="Arial" w:cs="Arial" w:eastAsia="Arial" w:hAnsi="Arial"/>
                <w:sz w:val="18"/>
                <w:szCs w:val="18"/>
                <w:color w:val="auto"/>
              </w:rPr>
              <w:t>Early extinguishment of debt</w:t>
            </w:r>
          </w:p>
        </w:tc>
        <w:tc>
          <w:tcPr>
            <w:tcW w:w="22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6"/>
        </w:trPr>
        <w:tc>
          <w:tcPr>
            <w:tcW w:w="594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63"/>
        </w:trPr>
        <w:tc>
          <w:tcPr>
            <w:tcW w:w="594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50"/>
        </w:trPr>
        <w:tc>
          <w:tcPr>
            <w:tcW w:w="594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392"/>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594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05"/>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5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940" w:type="dxa"/>
            <w:vAlign w:val="bottom"/>
          </w:tcPr>
          <w:p>
            <w:pPr>
              <w:spacing w:after="0"/>
              <w:rPr>
                <w:sz w:val="20"/>
                <w:szCs w:val="20"/>
                <w:color w:val="auto"/>
              </w:rPr>
            </w:pPr>
            <w:r>
              <w:rPr>
                <w:rFonts w:ascii="Arial" w:cs="Arial" w:eastAsia="Arial" w:hAnsi="Arial"/>
                <w:sz w:val="14"/>
                <w:szCs w:val="14"/>
                <w:color w:val="auto"/>
              </w:rPr>
              <w:t>n/m Not meaningful.</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Revenues decreased during the three months ended June 30, 2020 compared to the similar period in 2019, primarily due to a 59% decrease in volume and a 20% decrease in revenue per day excluding exchange rate movements as a result of the impact of COVID-19, and an $8 million negative impact from currency exchange rate movements. Total expenses decreased during the three months ended June 30, 2020, compared to the</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similar period in 2019, primarily due to strategic cost reduction initiatives and reduced operational activities as a result of the impact of COVID-19.</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Operating expenses increased to 81.9% of revenue during the three months ended June 30, 2020 compared to 50.2% during the similar period in 2019. Vehicle depreciation and lease charges increased to 49.3% of revenue during the three months ended June 30, 2020 compared to 23.2% during the similar period in 2019. Selling, general and administrative costs increased to 17.4% of revenue during the three months ended June 30, 2020 compared to 13.4% during the similar period in 2019. Vehicle interest costs increased to 11.4% of revenue during the three months ended June 30, 2020 compared to 3.9% during the similar period in 2019. During the three months ended June 30, 2020, all expenses increased as a percentage of revenue as a result of the impact of COVID-19, partially offset by strategic cost reduction initiatives to right size the business.</w:t>
      </w:r>
    </w:p>
    <w:p>
      <w:pPr>
        <w:spacing w:after="0" w:line="23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effective tax rates were a benefit of 21% and a provision of 23% for the three months ended June 30, 2020 and 2019, respectively. As a result of these items, our net loss decreased by $543 million compared to the similar period in 2019.</w:t>
      </w:r>
    </w:p>
    <w:p>
      <w:pPr>
        <w:spacing w:after="0" w:line="22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For the three months ended June 30, 2020 and 2019, the Company reported a loss of $6.91 per diluted share and income of $0.81 per diluted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(loss) to Adjusted EBITDA:</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2020</w:t>
            </w: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spacing w:after="0"/>
              <w:rPr>
                <w:sz w:val="21"/>
                <w:szCs w:val="21"/>
                <w:color w:val="auto"/>
              </w:rPr>
            </w:pPr>
          </w:p>
        </w:tc>
      </w:tr>
      <w:tr>
        <w:trPr>
          <w:trHeight w:val="207"/>
        </w:trPr>
        <w:tc>
          <w:tcPr>
            <w:tcW w:w="5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Adjusted</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Adjusted</w:t>
            </w:r>
          </w:p>
        </w:tc>
      </w:tr>
      <w:tr>
        <w:trPr>
          <w:trHeight w:val="246"/>
        </w:trPr>
        <w:tc>
          <w:tcPr>
            <w:tcW w:w="5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rPr>
              <w:t>EBITDA</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565</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152</w:t>
            </w:r>
          </w:p>
        </w:tc>
      </w:tr>
      <w:tr>
        <w:trPr>
          <w:trHeight w:val="256"/>
        </w:trPr>
        <w:tc>
          <w:tcPr>
            <w:tcW w:w="50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39</w:t>
            </w: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r>
      <w:tr>
        <w:trPr>
          <w:trHeight w:val="250"/>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2,337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175</w:t>
            </w:r>
          </w:p>
        </w:tc>
      </w:tr>
      <w:tr>
        <w:trPr>
          <w:trHeight w:val="21"/>
        </w:trPr>
        <w:tc>
          <w:tcPr>
            <w:tcW w:w="5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378"/>
        </w:trPr>
        <w:tc>
          <w:tcPr>
            <w:tcW w:w="5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Reconciliation to Adjusted EBITDA</w:t>
            </w:r>
          </w:p>
        </w:tc>
      </w:tr>
      <w:tr>
        <w:trPr>
          <w:trHeight w:val="250"/>
        </w:trPr>
        <w:tc>
          <w:tcPr>
            <w:tcW w:w="5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2019</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62</w:t>
            </w:r>
          </w:p>
        </w:tc>
      </w:tr>
      <w:tr>
        <w:trPr>
          <w:trHeight w:val="263"/>
        </w:trPr>
        <w:tc>
          <w:tcPr>
            <w:tcW w:w="504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81</w:t>
            </w:r>
          </w:p>
        </w:tc>
      </w:tr>
      <w:tr>
        <w:trPr>
          <w:trHeight w:val="452"/>
        </w:trPr>
        <w:tc>
          <w:tcPr>
            <w:tcW w:w="560" w:type="dxa"/>
            <w:vAlign w:val="bottom"/>
          </w:tcPr>
          <w:p>
            <w:pPr>
              <w:spacing w:after="0"/>
              <w:rPr>
                <w:sz w:val="20"/>
                <w:szCs w:val="20"/>
                <w:color w:val="auto"/>
              </w:rPr>
            </w:pPr>
            <w:r>
              <w:rPr>
                <w:rFonts w:ascii="Arial" w:cs="Arial" w:eastAsia="Arial" w:hAnsi="Arial"/>
                <w:sz w:val="18"/>
                <w:szCs w:val="18"/>
                <w:color w:val="auto"/>
              </w:rPr>
              <w:t>Add:</w:t>
            </w:r>
          </w:p>
        </w:tc>
        <w:tc>
          <w:tcPr>
            <w:tcW w:w="4480" w:type="dxa"/>
            <w:vAlign w:val="bottom"/>
          </w:tcPr>
          <w:p>
            <w:pPr>
              <w:ind w:left="180"/>
              <w:spacing w:after="0"/>
              <w:rPr>
                <w:sz w:val="20"/>
                <w:szCs w:val="20"/>
                <w:color w:val="auto"/>
              </w:rPr>
            </w:pPr>
            <w:r>
              <w:rPr>
                <w:rFonts w:ascii="Arial" w:cs="Arial" w:eastAsia="Arial" w:hAnsi="Arial"/>
                <w:sz w:val="18"/>
                <w:szCs w:val="18"/>
                <w:color w:val="auto"/>
              </w:rPr>
              <w:t xml:space="preserve">COVID-19 charges </w:t>
            </w:r>
            <w:r>
              <w:rPr>
                <w:rFonts w:ascii="Arial" w:cs="Arial" w:eastAsia="Arial" w:hAnsi="Arial"/>
                <w:sz w:val="18"/>
                <w:szCs w:val="18"/>
                <w:color w:val="auto"/>
                <w:vertAlign w:val="superscript"/>
              </w:rPr>
              <w:t>(b)</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560" w:type="dxa"/>
            <w:vAlign w:val="bottom"/>
          </w:tcPr>
          <w:p>
            <w:pPr>
              <w:spacing w:after="0"/>
              <w:rPr>
                <w:sz w:val="19"/>
                <w:szCs w:val="19"/>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66</w:t>
            </w:r>
          </w:p>
        </w:tc>
      </w:tr>
      <w:tr>
        <w:trPr>
          <w:trHeight w:val="257"/>
        </w:trPr>
        <w:tc>
          <w:tcPr>
            <w:tcW w:w="560" w:type="dxa"/>
            <w:vAlign w:val="bottom"/>
          </w:tcPr>
          <w:p>
            <w:pPr>
              <w:spacing w:after="0"/>
              <w:rPr>
                <w:sz w:val="22"/>
                <w:szCs w:val="22"/>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560" w:type="dxa"/>
            <w:vAlign w:val="bottom"/>
          </w:tcPr>
          <w:p>
            <w:pPr>
              <w:spacing w:after="0"/>
              <w:rPr>
                <w:sz w:val="22"/>
                <w:szCs w:val="22"/>
                <w:color w:val="auto"/>
              </w:rPr>
            </w:pPr>
          </w:p>
        </w:tc>
        <w:tc>
          <w:tcPr>
            <w:tcW w:w="44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48</w:t>
            </w:r>
          </w:p>
        </w:tc>
      </w:tr>
      <w:tr>
        <w:trPr>
          <w:trHeight w:val="257"/>
        </w:trPr>
        <w:tc>
          <w:tcPr>
            <w:tcW w:w="560" w:type="dxa"/>
            <w:vAlign w:val="bottom"/>
          </w:tcPr>
          <w:p>
            <w:pPr>
              <w:spacing w:after="0"/>
              <w:rPr>
                <w:sz w:val="22"/>
                <w:szCs w:val="22"/>
                <w:color w:val="auto"/>
              </w:rPr>
            </w:pPr>
          </w:p>
        </w:tc>
        <w:tc>
          <w:tcPr>
            <w:tcW w:w="4480" w:type="dxa"/>
            <w:vAlign w:val="bottom"/>
          </w:tcPr>
          <w:p>
            <w:pPr>
              <w:ind w:left="36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560" w:type="dxa"/>
            <w:vAlign w:val="bottom"/>
          </w:tcPr>
          <w:p>
            <w:pPr>
              <w:spacing w:after="0"/>
              <w:rPr>
                <w:sz w:val="22"/>
                <w:szCs w:val="22"/>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23</w:t>
            </w:r>
          </w:p>
        </w:tc>
      </w:tr>
      <w:tr>
        <w:trPr>
          <w:trHeight w:val="290"/>
        </w:trPr>
        <w:tc>
          <w:tcPr>
            <w:tcW w:w="560" w:type="dxa"/>
            <w:vAlign w:val="bottom"/>
          </w:tcPr>
          <w:p>
            <w:pPr>
              <w:spacing w:after="0"/>
              <w:rPr>
                <w:sz w:val="24"/>
                <w:szCs w:val="24"/>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(c)</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36"/>
        </w:trPr>
        <w:tc>
          <w:tcPr>
            <w:tcW w:w="560" w:type="dxa"/>
            <w:vAlign w:val="bottom"/>
          </w:tcPr>
          <w:p>
            <w:pPr>
              <w:spacing w:after="0"/>
              <w:rPr>
                <w:sz w:val="20"/>
                <w:szCs w:val="20"/>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 xml:space="preserve">Gain on sale of equity method investment in China </w:t>
            </w:r>
            <w:r>
              <w:rPr>
                <w:rFonts w:ascii="Arial" w:cs="Arial" w:eastAsia="Arial" w:hAnsi="Arial"/>
                <w:sz w:val="18"/>
                <w:szCs w:val="18"/>
                <w:color w:val="auto"/>
                <w:vertAlign w:val="superscript"/>
              </w:rPr>
              <w:t>(d)</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175</w:t>
            </w:r>
          </w:p>
        </w:tc>
      </w:tr>
    </w:tbl>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ind w:left="320" w:hanging="312"/>
        <w:spacing w:after="0" w:line="187" w:lineRule="auto"/>
        <w:tabs>
          <w:tab w:leader="none" w:pos="32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right="140" w:hanging="332"/>
        <w:spacing w:after="0" w:line="221" w:lineRule="auto"/>
        <w:tabs>
          <w:tab w:leader="none" w:pos="346"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For three months ended June 30, 2020 consists of $72 million within operating expenses and $1 million within selling, general and administrative expenses, net in our consolidated condensed results of operations. Primarily consisting of $30 million of minimum annual guaranteed rent in excess of concession fees, $28 million of losses associated with vehicles damaged in overflow parking lots and $15 million of incremental cleaning supplies to sanitize vehicles and facilities, and overflow parking for idle vehicles.</w:t>
      </w:r>
    </w:p>
    <w:p>
      <w:pPr>
        <w:spacing w:after="0" w:line="2" w:lineRule="exact"/>
        <w:rPr>
          <w:rFonts w:ascii="Arial" w:cs="Arial" w:eastAsia="Arial" w:hAnsi="Arial"/>
          <w:sz w:val="19"/>
          <w:szCs w:val="19"/>
          <w:color w:val="auto"/>
          <w:vertAlign w:val="superscript"/>
        </w:rPr>
      </w:pPr>
    </w:p>
    <w:p>
      <w:pPr>
        <w:ind w:left="320" w:hanging="312"/>
        <w:spacing w:after="0" w:line="187" w:lineRule="auto"/>
        <w:tabs>
          <w:tab w:leader="none" w:pos="3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ind w:left="320" w:hanging="312"/>
        <w:spacing w:after="0" w:line="189" w:lineRule="auto"/>
        <w:tabs>
          <w:tab w:leader="none" w:pos="32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 in our consolidated condensed results of operations (see Note 1 to our Consolidated Condensed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4"/>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Three Months Ended</w:t>
            </w:r>
          </w:p>
        </w:tc>
        <w:tc>
          <w:tcPr>
            <w:tcW w:w="1340" w:type="dxa"/>
            <w:vAlign w:val="bottom"/>
          </w:tcPr>
          <w:p>
            <w:pPr>
              <w:spacing w:after="0"/>
              <w:rPr>
                <w:sz w:val="20"/>
                <w:szCs w:val="20"/>
                <w:color w:val="auto"/>
              </w:rPr>
            </w:pPr>
          </w:p>
        </w:tc>
      </w:tr>
      <w:tr>
        <w:trPr>
          <w:trHeight w:val="246"/>
        </w:trPr>
        <w:tc>
          <w:tcPr>
            <w:tcW w:w="7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7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57"/>
        </w:trPr>
        <w:tc>
          <w:tcPr>
            <w:tcW w:w="73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n/m Not meaningful.</w:t>
      </w:r>
    </w:p>
    <w:p>
      <w:pPr>
        <w:spacing w:after="0" w:line="23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Revenues decreased 65% during the three months ended June 30, 2020 compared to the similar period in 2019, primarily due to a 59% decrease in volume and 15% lower revenue per day as a result of the impacts of COVID-19.</w:t>
      </w:r>
    </w:p>
    <w:p>
      <w:pPr>
        <w:spacing w:after="0" w:line="22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Operating expenses increased to 78.0% of revenue during the three months ended June 30, 2020 compared to 50.4% during the similar period in 2019. Vehicle depreciation and lease charges increased to 47.7% of revenue during the three months ended June 30, 2020 compared to 24.2% during the similar period in 2019. Selling, general and administrative costs increased to 14.2% of revenue during the three months ended June 30, 2020 compared to 11.5% during the similar period in 2019. Vehicle interest costs increased to 12.9% of revenue during the three months ended June 30, 2020 compared to 4.6% during the similar period in 2019. During the three months ended June 30, 2020, all expenses increased as a percentage of revenue as a result of the impact of COVID-19, partially offset by strategic cost reduction initiatives to right size the business.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Adjusted EBITDA was $385 million lower during the three months ended June 30, 2020 compared to the similar period in 2019, primarily due to lower revenues directly related to COVID-19, partially offset by a 22% decrease in per-unit fleet costs excluding exchange rate effects.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4"/>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1340" w:type="dxa"/>
            <w:vAlign w:val="bottom"/>
          </w:tcPr>
          <w:p>
            <w:pPr>
              <w:spacing w:after="0"/>
              <w:rPr>
                <w:sz w:val="20"/>
                <w:szCs w:val="20"/>
                <w:color w:val="auto"/>
              </w:rPr>
            </w:pPr>
          </w:p>
        </w:tc>
      </w:tr>
      <w:tr>
        <w:trPr>
          <w:trHeight w:val="246"/>
        </w:trPr>
        <w:tc>
          <w:tcPr>
            <w:tcW w:w="7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7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57"/>
        </w:trPr>
        <w:tc>
          <w:tcPr>
            <w:tcW w:w="73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12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Revenues decreased 73% during the three months ended June 30, 2020, compared to the similar period in 2019, primarily due to a 60% decrease in volume and a 29% decrease in revenue per day excluding exchange rate movements as a result of the impacts of COVID-19, and an $8 million negative impact from currency exchange rate movements.</w:t>
      </w:r>
    </w:p>
    <w:p>
      <w:pPr>
        <w:spacing w:after="0" w:line="22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Operating expenses increased to 93.5% of revenue during the three months ended June 30, 2020 compared to 49.8% during the similar period in 2019. Vehicle depreciation and lease charges increased to 53.8% of revenue during the three months ended June 30, 2020 compared to 21.0% during the similar period in 2019. Selling, general and administrative costs increased to 21.5% of revenue during the three months ended June 30, 2020 compared to 15.5% during similar period in 2019. Vehicle interest costs increased to 6.9% of revenue during the three months ended June 30, 2020 compared to 2.0% during the similar period in 2019. During the three months ended June 30, 2020, all expenses increased as a percentage of revenue as a result of the impact of COVID-19, partially offset by strategic cost reduction initiatives to right size the business.</w:t>
      </w:r>
    </w:p>
    <w:p>
      <w:pPr>
        <w:spacing w:after="0" w:line="23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Adjusted EBITDA was $179 million lower in second quarter 2020 compared to the similar period in 2019, primarily due to lower revenues directly related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Six Months Ended June 30, 2020 vs. Six Months Ended June 30, 2019</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4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Six Months Ended</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9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392"/>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94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57"/>
        </w:trPr>
        <w:tc>
          <w:tcPr>
            <w:tcW w:w="594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57"/>
        </w:trPr>
        <w:tc>
          <w:tcPr>
            <w:tcW w:w="594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56"/>
        </w:trPr>
        <w:tc>
          <w:tcPr>
            <w:tcW w:w="594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7"/>
        </w:trPr>
        <w:tc>
          <w:tcPr>
            <w:tcW w:w="594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7"/>
        </w:trPr>
        <w:tc>
          <w:tcPr>
            <w:tcW w:w="594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57"/>
        </w:trPr>
        <w:tc>
          <w:tcPr>
            <w:tcW w:w="5940" w:type="dxa"/>
            <w:vAlign w:val="bottom"/>
          </w:tcPr>
          <w:p>
            <w:pPr>
              <w:ind w:left="34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6"/>
        </w:trPr>
        <w:tc>
          <w:tcPr>
            <w:tcW w:w="594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63"/>
        </w:trPr>
        <w:tc>
          <w:tcPr>
            <w:tcW w:w="594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50"/>
        </w:trPr>
        <w:tc>
          <w:tcPr>
            <w:tcW w:w="594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3,387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4,312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392"/>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5940" w:type="dxa"/>
            <w:vAlign w:val="bottom"/>
          </w:tcPr>
          <w:p>
            <w:pPr>
              <w:ind w:left="20"/>
              <w:spacing w:after="0"/>
              <w:rPr>
                <w:sz w:val="20"/>
                <w:szCs w:val="20"/>
                <w:color w:val="auto"/>
              </w:rPr>
            </w:pPr>
            <w:r>
              <w:rPr>
                <w:rFonts w:ascii="Arial" w:cs="Arial" w:eastAsia="Arial" w:hAnsi="Arial"/>
                <w:sz w:val="18"/>
                <w:szCs w:val="18"/>
                <w:color w:val="auto"/>
              </w:rPr>
              <w:t>Benefit from income taxes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05"/>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
        </w:trPr>
        <w:tc>
          <w:tcPr>
            <w:tcW w:w="59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40" w:type="dxa"/>
            <w:vAlign w:val="bottom"/>
          </w:tcPr>
          <w:p>
            <w:pPr>
              <w:spacing w:after="0"/>
              <w:rPr>
                <w:sz w:val="20"/>
                <w:szCs w:val="20"/>
                <w:color w:val="auto"/>
              </w:rPr>
            </w:pPr>
            <w:r>
              <w:rPr>
                <w:rFonts w:ascii="Arial" w:cs="Arial" w:eastAsia="Arial" w:hAnsi="Arial"/>
                <w:sz w:val="18"/>
                <w:szCs w:val="18"/>
                <w:color w:val="auto"/>
              </w:rPr>
              <w:t>n/m Not meaningful.</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Revenues decreased during the six months ended June 30, 2020 compared to the similar period in 2019, primarily as a result of a 35% decrease in volume and an 8% decrease in revenue per day excluding exchange rate movements as a result of the impact of COVID-19, and a $28 million negative impact from currency exchange rate movements. Total expenses decreased during the six months ended June 30, 2020 compared to the similar period in 2019, primarily due to strategic cost reduction initiatives and reduced operational activities as a result of the impact of COVID-19.</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Operating expenses increased to 66.9% of revenue during the six months ended June 30, 2020 compared to 52.7% during the similar period in 2019. Vehicle depreciation and lease charges increased to 33.2% of revenue during the six months ended June 30, 2020 compared to 24.2% during the similar period in 2019. Selling, general and administrative costs increased to 15.2% of revenue during the six months ended June 30, 2020 compared to 14.0% during the similar period in 2019. Vehicle interest costs increased to 6.7% of revenue during the six months ended June 30, 2020 compared to 4.0% during the similar period in 2019. During the six months ended June 30, 2020, all expenses increased as a percentage of revenue as a result of the impact of COVID-19, partially offset by strategic cost reduction initiatives to right size the business.</w:t>
      </w:r>
    </w:p>
    <w:p>
      <w:pPr>
        <w:spacing w:after="0" w:line="23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Our effective tax rates were benefits of 27% and 47% for the six months ended June 30, 2020 and 2019, respectively. As a result of these items, our net loss increased by $610 million.</w:t>
      </w:r>
    </w:p>
    <w:p>
      <w:pPr>
        <w:spacing w:after="0" w:line="225"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For the six months ended June 30, 2020 and 2019, the Company reported a loss of $8.96 and earnings of $0.39 per diluted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loss to Adjusted EBITDA: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250"/>
        </w:trPr>
        <w:tc>
          <w:tcPr>
            <w:tcW w:w="7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4"/>
              </w:rPr>
              <w:t>2020</w:t>
            </w: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spacing w:after="0"/>
              <w:rPr>
                <w:sz w:val="21"/>
                <w:szCs w:val="21"/>
                <w:color w:val="auto"/>
              </w:rPr>
            </w:pPr>
          </w:p>
        </w:tc>
      </w:tr>
      <w:tr>
        <w:trPr>
          <w:trHeight w:val="207"/>
        </w:trPr>
        <w:tc>
          <w:tcPr>
            <w:tcW w:w="7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Adjusted</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Adjusted</w:t>
            </w:r>
          </w:p>
        </w:tc>
      </w:tr>
      <w:tr>
        <w:trPr>
          <w:trHeight w:val="246"/>
        </w:trPr>
        <w:tc>
          <w:tcPr>
            <w:tcW w:w="7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rPr>
              <w:t>EBITDA</w:t>
            </w: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1,822</w:t>
            </w:r>
          </w:p>
        </w:tc>
        <w:tc>
          <w:tcPr>
            <w:tcW w:w="5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187</w:t>
            </w:r>
          </w:p>
        </w:tc>
      </w:tr>
      <w:tr>
        <w:trPr>
          <w:trHeight w:val="257"/>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7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r>
      <w:tr>
        <w:trPr>
          <w:trHeight w:val="250"/>
        </w:trPr>
        <w:tc>
          <w:tcPr>
            <w:tcW w:w="5060" w:type="dxa"/>
            <w:vAlign w:val="bottom"/>
            <w:gridSpan w:val="2"/>
          </w:tcPr>
          <w:p>
            <w:pPr>
              <w:ind w:left="30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4,257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174</w:t>
            </w:r>
          </w:p>
        </w:tc>
      </w:tr>
      <w:tr>
        <w:trPr>
          <w:trHeight w:val="21"/>
        </w:trPr>
        <w:tc>
          <w:tcPr>
            <w:tcW w:w="7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378"/>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Reconciliation to Adjusted EBITDA</w:t>
            </w:r>
          </w:p>
        </w:tc>
      </w:tr>
      <w:tr>
        <w:trPr>
          <w:trHeight w:val="250"/>
        </w:trPr>
        <w:tc>
          <w:tcPr>
            <w:tcW w:w="7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2019</w:t>
            </w:r>
          </w:p>
        </w:tc>
      </w:tr>
      <w:tr>
        <w:trPr>
          <w:trHeight w:val="243"/>
        </w:trPr>
        <w:tc>
          <w:tcPr>
            <w:tcW w:w="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4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6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Benefit from income taxes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(55)</w:t>
            </w:r>
          </w:p>
        </w:tc>
      </w:tr>
      <w:tr>
        <w:trPr>
          <w:trHeight w:val="418"/>
        </w:trPr>
        <w:tc>
          <w:tcPr>
            <w:tcW w:w="720" w:type="dxa"/>
            <w:vAlign w:val="bottom"/>
          </w:tcPr>
          <w:p>
            <w:pPr>
              <w:ind w:left="20"/>
              <w:spacing w:after="0"/>
              <w:rPr>
                <w:sz w:val="20"/>
                <w:szCs w:val="20"/>
                <w:color w:val="auto"/>
              </w:rPr>
            </w:pPr>
            <w:r>
              <w:rPr>
                <w:rFonts w:ascii="Arial" w:cs="Arial" w:eastAsia="Arial" w:hAnsi="Arial"/>
                <w:sz w:val="18"/>
                <w:szCs w:val="18"/>
                <w:color w:val="auto"/>
              </w:rPr>
              <w:t>Add:</w:t>
            </w:r>
          </w:p>
        </w:tc>
        <w:tc>
          <w:tcPr>
            <w:tcW w:w="4340" w:type="dxa"/>
            <w:vAlign w:val="bottom"/>
          </w:tcPr>
          <w:p>
            <w:pPr>
              <w:ind w:left="40"/>
              <w:spacing w:after="0"/>
              <w:rPr>
                <w:sz w:val="20"/>
                <w:szCs w:val="20"/>
                <w:color w:val="auto"/>
              </w:rPr>
            </w:pPr>
            <w:r>
              <w:rPr>
                <w:rFonts w:ascii="Arial" w:cs="Arial" w:eastAsia="Arial" w:hAnsi="Arial"/>
                <w:sz w:val="18"/>
                <w:szCs w:val="18"/>
                <w:color w:val="auto"/>
              </w:rPr>
              <w:t>Non-vehicle related depreciation and amortization</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133</w:t>
            </w:r>
          </w:p>
        </w:tc>
      </w:tr>
      <w:tr>
        <w:trPr>
          <w:trHeight w:val="257"/>
        </w:trPr>
        <w:tc>
          <w:tcPr>
            <w:tcW w:w="720" w:type="dxa"/>
            <w:vAlign w:val="bottom"/>
          </w:tcPr>
          <w:p>
            <w:pPr>
              <w:spacing w:after="0"/>
              <w:rPr>
                <w:sz w:val="22"/>
                <w:szCs w:val="22"/>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720" w:type="dxa"/>
            <w:vAlign w:val="bottom"/>
          </w:tcPr>
          <w:p>
            <w:pPr>
              <w:spacing w:after="0"/>
              <w:rPr>
                <w:sz w:val="22"/>
                <w:szCs w:val="22"/>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90</w:t>
            </w:r>
          </w:p>
        </w:tc>
      </w:tr>
      <w:tr>
        <w:trPr>
          <w:trHeight w:val="257"/>
        </w:trPr>
        <w:tc>
          <w:tcPr>
            <w:tcW w:w="720" w:type="dxa"/>
            <w:vAlign w:val="bottom"/>
          </w:tcPr>
          <w:p>
            <w:pPr>
              <w:spacing w:after="0"/>
              <w:rPr>
                <w:sz w:val="22"/>
                <w:szCs w:val="22"/>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96"/>
        </w:trPr>
        <w:tc>
          <w:tcPr>
            <w:tcW w:w="72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 xml:space="preserve">COVID-19 charges </w:t>
            </w:r>
            <w:r>
              <w:rPr>
                <w:rFonts w:ascii="Arial" w:cs="Arial" w:eastAsia="Arial" w:hAnsi="Arial"/>
                <w:sz w:val="23"/>
                <w:szCs w:val="23"/>
                <w:color w:val="auto"/>
                <w:vertAlign w:val="superscript"/>
              </w:rPr>
              <w:t>(b)</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7"/>
        </w:trPr>
        <w:tc>
          <w:tcPr>
            <w:tcW w:w="720" w:type="dxa"/>
            <w:vAlign w:val="bottom"/>
          </w:tcPr>
          <w:p>
            <w:pPr>
              <w:spacing w:after="0"/>
              <w:rPr>
                <w:sz w:val="18"/>
                <w:szCs w:val="18"/>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44</w:t>
            </w:r>
          </w:p>
        </w:tc>
      </w:tr>
      <w:tr>
        <w:trPr>
          <w:trHeight w:val="296"/>
        </w:trPr>
        <w:tc>
          <w:tcPr>
            <w:tcW w:w="720" w:type="dxa"/>
            <w:vAlign w:val="bottom"/>
          </w:tcPr>
          <w:p>
            <w:pPr>
              <w:spacing w:after="0"/>
              <w:rPr>
                <w:sz w:val="24"/>
                <w:szCs w:val="24"/>
                <w:color w:val="auto"/>
              </w:rPr>
            </w:pPr>
          </w:p>
        </w:tc>
        <w:tc>
          <w:tcPr>
            <w:tcW w:w="5640" w:type="dxa"/>
            <w:vAlign w:val="bottom"/>
            <w:gridSpan w:val="3"/>
          </w:tcPr>
          <w:p>
            <w:pPr>
              <w:ind w:left="40"/>
              <w:spacing w:after="0"/>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23"/>
                <w:szCs w:val="23"/>
                <w:color w:val="auto"/>
                <w:vertAlign w:val="superscript"/>
              </w:rPr>
              <w:t>(c)</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720" w:type="dxa"/>
            <w:vAlign w:val="bottom"/>
          </w:tcPr>
          <w:p>
            <w:pPr>
              <w:spacing w:after="0"/>
              <w:rPr>
                <w:sz w:val="22"/>
                <w:szCs w:val="22"/>
                <w:color w:val="auto"/>
              </w:rPr>
            </w:pPr>
          </w:p>
        </w:tc>
        <w:tc>
          <w:tcPr>
            <w:tcW w:w="434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23"/>
                <w:szCs w:val="23"/>
                <w:color w:val="auto"/>
                <w:vertAlign w:val="superscript"/>
              </w:rPr>
              <w:t>(d)</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230"/>
        </w:trPr>
        <w:tc>
          <w:tcPr>
            <w:tcW w:w="720" w:type="dxa"/>
            <w:vAlign w:val="bottom"/>
          </w:tcPr>
          <w:p>
            <w:pPr>
              <w:spacing w:after="0"/>
              <w:rPr>
                <w:sz w:val="20"/>
                <w:szCs w:val="20"/>
                <w:color w:val="auto"/>
              </w:rPr>
            </w:pPr>
          </w:p>
        </w:tc>
        <w:tc>
          <w:tcPr>
            <w:tcW w:w="4340" w:type="dxa"/>
            <w:vAlign w:val="bottom"/>
          </w:tcPr>
          <w:p>
            <w:pPr>
              <w:ind w:left="40"/>
              <w:spacing w:after="0" w:line="231" w:lineRule="exact"/>
              <w:rPr>
                <w:sz w:val="20"/>
                <w:szCs w:val="20"/>
                <w:color w:val="auto"/>
              </w:rPr>
            </w:pPr>
            <w:r>
              <w:rPr>
                <w:rFonts w:ascii="Arial" w:cs="Arial" w:eastAsia="Arial" w:hAnsi="Arial"/>
                <w:sz w:val="18"/>
                <w:szCs w:val="18"/>
                <w:color w:val="auto"/>
              </w:rPr>
              <w:t xml:space="preserve">Gain on sale of equity method investment in China </w:t>
            </w:r>
            <w:r>
              <w:rPr>
                <w:rFonts w:ascii="Arial" w:cs="Arial" w:eastAsia="Arial" w:hAnsi="Arial"/>
                <w:sz w:val="23"/>
                <w:szCs w:val="23"/>
                <w:color w:val="auto"/>
                <w:vertAlign w:val="superscript"/>
              </w:rPr>
              <w:t>(e)</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244"/>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174</w:t>
            </w:r>
          </w:p>
        </w:tc>
      </w:tr>
      <w:tr>
        <w:trPr>
          <w:trHeight w:val="212"/>
        </w:trPr>
        <w:tc>
          <w:tcPr>
            <w:tcW w:w="5060" w:type="dxa"/>
            <w:vAlign w:val="bottom"/>
            <w:gridSpan w:val="2"/>
          </w:tcPr>
          <w:p>
            <w:pPr>
              <w:spacing w:after="0"/>
              <w:rPr>
                <w:sz w:val="20"/>
                <w:szCs w:val="20"/>
                <w:color w:val="auto"/>
              </w:rPr>
            </w:pPr>
            <w:r>
              <w:rPr>
                <w:rFonts w:ascii="Arial" w:cs="Arial" w:eastAsia="Arial" w:hAnsi="Arial"/>
                <w:sz w:val="18"/>
                <w:szCs w:val="18"/>
                <w:color w:val="auto"/>
              </w:rPr>
              <w:t>_________</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320" w:hanging="312"/>
        <w:spacing w:after="0" w:line="187" w:lineRule="auto"/>
        <w:tabs>
          <w:tab w:leader="none" w:pos="32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right="180" w:hanging="332"/>
        <w:spacing w:after="0" w:line="215" w:lineRule="auto"/>
        <w:tabs>
          <w:tab w:leader="none" w:pos="346"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Six months ended June 30, 2020 consists of $79 million within operating expenses and $1 million within selling, general and administrative expenses, net in our consolidated results of operations. Primarily consisting of $33 million of losses associated with vehicles damaged in overflow parking lots, $30 million of minimum annual guaranteed rent in excess of concession fees and $17 million of incremental cleaning supplies to sanitize vehicles and facilities, and overflow parking for idle vehicles.</w:t>
      </w:r>
    </w:p>
    <w:p>
      <w:pPr>
        <w:spacing w:after="0" w:line="1" w:lineRule="exact"/>
        <w:rPr>
          <w:rFonts w:ascii="Arial" w:cs="Arial" w:eastAsia="Arial" w:hAnsi="Arial"/>
          <w:sz w:val="19"/>
          <w:szCs w:val="19"/>
          <w:color w:val="auto"/>
          <w:vertAlign w:val="superscript"/>
        </w:rPr>
      </w:pPr>
    </w:p>
    <w:p>
      <w:pPr>
        <w:ind w:left="320" w:hanging="312"/>
        <w:spacing w:after="0" w:line="187" w:lineRule="auto"/>
        <w:tabs>
          <w:tab w:leader="none" w:pos="32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Reported within selling, general and administrative in our consolidated condensed results of operations.</w:t>
      </w:r>
    </w:p>
    <w:p>
      <w:pPr>
        <w:ind w:left="320" w:hanging="312"/>
        <w:spacing w:after="0" w:line="187" w:lineRule="auto"/>
        <w:tabs>
          <w:tab w:leader="none" w:pos="32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ind w:left="320" w:hanging="312"/>
        <w:spacing w:after="0" w:line="189" w:lineRule="auto"/>
        <w:tabs>
          <w:tab w:leader="none" w:pos="32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 in our consolidated condensed results of operations (see Note 1 to our Consolidated Condensed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0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4"/>
        </w:trPr>
        <w:tc>
          <w:tcPr>
            <w:tcW w:w="7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Six Months Ended</w:t>
            </w:r>
          </w:p>
        </w:tc>
        <w:tc>
          <w:tcPr>
            <w:tcW w:w="1340" w:type="dxa"/>
            <w:vAlign w:val="bottom"/>
          </w:tcPr>
          <w:p>
            <w:pPr>
              <w:spacing w:after="0"/>
              <w:rPr>
                <w:sz w:val="20"/>
                <w:szCs w:val="20"/>
                <w:color w:val="auto"/>
              </w:rPr>
            </w:pPr>
          </w:p>
        </w:tc>
      </w:tr>
      <w:tr>
        <w:trPr>
          <w:trHeight w:val="246"/>
        </w:trPr>
        <w:tc>
          <w:tcPr>
            <w:tcW w:w="7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7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57"/>
        </w:trPr>
        <w:tc>
          <w:tcPr>
            <w:tcW w:w="73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25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Revenues decreased 38% during the six months ended June 30, 2020 compared to the similar period in 2019, primarily due to a 34% decrease in volume and 6% decrease in revenue per day as a result of the impact of COVID-19.</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expenses increased to 64.7% of revenue during the six months ended June 30, 2020 compared to 51.3% during the similar period in 2019. Vehicle depreciation and lease charges increased to 33.0% of revenue during the six months ended June 30, 2020 compared to 25.3% during the similar period in 2019. Selling, general and administrative costs increased to 12.9% of revenue during the six months ended June 30, 2020 compared to 12.3% during the similar period in 2019. Vehicle interest costs increased to 7.9% of revenue during the six months ended June 30, 2020 compared to 4.8% during the similar period in 2019. During the six months ended June 30, 2020, all expenses increased as a percentage of revenue as a result of the impact of COVID-19, partially offset by strategic cost reduction initiatives to right size the business.</w:t>
      </w:r>
    </w:p>
    <w:p>
      <w:pPr>
        <w:spacing w:after="0" w:line="23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Adjusted EBITDA was $450 million lower during the six months ended June 30, 2020 compared to the similar period in 2019, due to lower revenues directly related to COVID-19.</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4"/>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Six Months Ended</w:t>
            </w:r>
          </w:p>
        </w:tc>
        <w:tc>
          <w:tcPr>
            <w:tcW w:w="1340" w:type="dxa"/>
            <w:vAlign w:val="bottom"/>
          </w:tcPr>
          <w:p>
            <w:pPr>
              <w:spacing w:after="0"/>
              <w:rPr>
                <w:sz w:val="20"/>
                <w:szCs w:val="20"/>
                <w:color w:val="auto"/>
              </w:rPr>
            </w:pPr>
          </w:p>
        </w:tc>
      </w:tr>
      <w:tr>
        <w:trPr>
          <w:trHeight w:val="246"/>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57"/>
        </w:trPr>
        <w:tc>
          <w:tcPr>
            <w:tcW w:w="73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Revenues decreased 47% during the six months ended June 30, 2020 compared to the similar period in 2019, primarily due to a 37% decrease in volume and a 12% decrease in revenue per day excluding exchange rate movements as a result of the impact of COVID-19, and a $28 million negative impact from currency exchange rate movements.</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Operating expenses increased to 72.3% of revenue during the six months ended June 30, 2020 compared to 55.7% during the similar period in 2019. Vehicle depreciation and lease charges increased to 33.6% of revenue during the six months ended June 30, 2020 compared to 21.6% during the similar period in 2019. Selling, general and administrative costs increased to 17.5% of revenue during the six months ended June 30, 2020 compared to 15.7% during the similar period in 2019. Vehicle interest costs increased to 3.8% of revenue during the six months ended June 30, 2020 compared to 2.2% during the similar period in 2019. During the six months ended June 30, 2020, all expenses increased as a percentage of revenue as a result of the impact of COVID-19, partially offset by strategic cost reduction initiatives to right size the business.</w:t>
      </w:r>
    </w:p>
    <w:p>
      <w:pPr>
        <w:spacing w:after="0" w:line="23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Adjusted EBITDA was $198 million lower during the six months ended June 30, 2020 compared to the similar period in 2019, primarily due to lower revenues directly related to COVID-19.</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4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4"/>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6"/>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180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 2019</w:t>
            </w:r>
          </w:p>
        </w:tc>
        <w:tc>
          <w:tcPr>
            <w:tcW w:w="300" w:type="dxa"/>
            <w:vAlign w:val="bottom"/>
          </w:tcPr>
          <w:p>
            <w:pPr>
              <w:spacing w:after="0"/>
              <w:rPr>
                <w:sz w:val="21"/>
                <w:szCs w:val="21"/>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Total assets exclusive of assets under vehicle programs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9,514</w:t>
            </w:r>
          </w:p>
        </w:tc>
        <w:tc>
          <w:tcPr>
            <w:tcW w:w="100" w:type="dxa"/>
            <w:vAlign w:val="bottom"/>
          </w:tcPr>
          <w:p>
            <w:pPr>
              <w:spacing w:after="0"/>
              <w:rPr>
                <w:sz w:val="21"/>
                <w:szCs w:val="21"/>
                <w:color w:val="auto"/>
              </w:rPr>
            </w:pPr>
          </w:p>
        </w:tc>
        <w:tc>
          <w:tcPr>
            <w:tcW w:w="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9,311</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203</w:t>
            </w:r>
          </w:p>
        </w:tc>
      </w:tr>
      <w:tr>
        <w:trPr>
          <w:trHeight w:val="256"/>
        </w:trPr>
        <w:tc>
          <w:tcPr>
            <w:tcW w:w="6040" w:type="dxa"/>
            <w:vAlign w:val="bottom"/>
          </w:tcPr>
          <w:p>
            <w:pPr>
              <w:ind w:left="2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280" w:type="dxa"/>
            <w:vAlign w:val="bottom"/>
          </w:tcPr>
          <w:p>
            <w:pPr>
              <w:spacing w:after="0"/>
              <w:rPr>
                <w:sz w:val="22"/>
                <w:szCs w:val="22"/>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8,948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410</w:t>
            </w:r>
          </w:p>
        </w:tc>
      </w:tr>
      <w:tr>
        <w:trPr>
          <w:trHeight w:val="257"/>
        </w:trPr>
        <w:tc>
          <w:tcPr>
            <w:tcW w:w="604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280" w:type="dxa"/>
            <w:vAlign w:val="bottom"/>
          </w:tcPr>
          <w:p>
            <w:pPr>
              <w:spacing w:after="0"/>
              <w:rPr>
                <w:sz w:val="22"/>
                <w:szCs w:val="22"/>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12,176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13,815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(1,639)</w:t>
            </w:r>
          </w:p>
        </w:tc>
      </w:tr>
      <w:tr>
        <w:trPr>
          <w:trHeight w:val="257"/>
        </w:trPr>
        <w:tc>
          <w:tcPr>
            <w:tcW w:w="6040" w:type="dxa"/>
            <w:vAlign w:val="bottom"/>
          </w:tcPr>
          <w:p>
            <w:pPr>
              <w:ind w:left="20"/>
              <w:spacing w:after="0"/>
              <w:rPr>
                <w:sz w:val="20"/>
                <w:szCs w:val="20"/>
                <w:color w:val="auto"/>
              </w:rPr>
            </w:pPr>
            <w:r>
              <w:rPr>
                <w:rFonts w:ascii="Arial" w:cs="Arial" w:eastAsia="Arial" w:hAnsi="Arial"/>
                <w:sz w:val="18"/>
                <w:szCs w:val="18"/>
                <w:color w:val="auto"/>
              </w:rPr>
              <w:t>Liabilities under vehicle programs</w:t>
            </w:r>
          </w:p>
        </w:tc>
        <w:tc>
          <w:tcPr>
            <w:tcW w:w="280" w:type="dxa"/>
            <w:vAlign w:val="bottom"/>
          </w:tcPr>
          <w:p>
            <w:pPr>
              <w:spacing w:after="0"/>
              <w:rPr>
                <w:sz w:val="22"/>
                <w:szCs w:val="22"/>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12,895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13,932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(1,037)</w:t>
            </w:r>
          </w:p>
        </w:tc>
      </w:tr>
      <w:tr>
        <w:trPr>
          <w:trHeight w:val="256"/>
        </w:trPr>
        <w:tc>
          <w:tcPr>
            <w:tcW w:w="60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(809)</w:t>
            </w:r>
          </w:p>
        </w:tc>
      </w:tr>
    </w:tbl>
    <w:p>
      <w:pPr>
        <w:spacing w:after="0" w:line="36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decreases in assets under vehicle programs and liabilities under vehicle programs are principally related to the reduction of our vehicle rental fleet to right size our business in response to the COVID-19 pandemic. The decrease in stockholders’ equity is primarily due to our comprehensive loss and share repurchases.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January 2020, our Avis Budget Rental Car Funding subsidiary issued approximately $700 million in asset-backed notes with an expected final payment date of August 2025, and a weighted average interest rate of 2.42%.</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proceeds from these borrowings were used to fund the repayment of maturing vehicle-backed debt and the acquisition of rental cars in the United States. In May 2020, we issued $500 million of 10½% Senior Secured Notes due May 2025, at 97% of face value. We used the proceeds from this offering for general corporate purposes. During the first quarter of 2020, we repurchased approximately 5.0 million shares of our outstanding common stock for approximately $113 million at an average price of $22.49. We have no meaningful corporate debt maturities until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0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70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700" w:type="dxa"/>
            <w:vAlign w:val="bottom"/>
          </w:tcPr>
          <w:p>
            <w:pPr>
              <w:ind w:left="4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57"/>
        </w:trPr>
        <w:tc>
          <w:tcPr>
            <w:tcW w:w="6700" w:type="dxa"/>
            <w:vAlign w:val="bottom"/>
          </w:tcPr>
          <w:p>
            <w:pPr>
              <w:ind w:left="42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2"/>
                <w:szCs w:val="22"/>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(3,146)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57"/>
        </w:trPr>
        <w:tc>
          <w:tcPr>
            <w:tcW w:w="6700" w:type="dxa"/>
            <w:vAlign w:val="bottom"/>
          </w:tcPr>
          <w:p>
            <w:pPr>
              <w:ind w:left="4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02"/>
        </w:trPr>
        <w:tc>
          <w:tcPr>
            <w:tcW w:w="6700" w:type="dxa"/>
            <w:vAlign w:val="bottom"/>
          </w:tcPr>
          <w:p>
            <w:pPr>
              <w:ind w:left="20"/>
              <w:spacing w:after="0" w:line="201" w:lineRule="exact"/>
              <w:rPr>
                <w:sz w:val="20"/>
                <w:szCs w:val="20"/>
                <w:color w:val="auto"/>
              </w:rPr>
            </w:pPr>
            <w:r>
              <w:rPr>
                <w:rFonts w:ascii="Arial" w:cs="Arial" w:eastAsia="Arial" w:hAnsi="Arial"/>
                <w:sz w:val="18"/>
                <w:szCs w:val="18"/>
                <w:color w:val="auto"/>
              </w:rPr>
              <w:t>Effect of changes in exchange rates on cash and cash equivalents, program and</w:t>
            </w:r>
          </w:p>
        </w:tc>
        <w:tc>
          <w:tcPr>
            <w:tcW w:w="320" w:type="dxa"/>
            <w:vAlign w:val="bottom"/>
          </w:tcPr>
          <w:p>
            <w:pPr>
              <w:spacing w:after="0"/>
              <w:rPr>
                <w:sz w:val="17"/>
                <w:szCs w:val="17"/>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67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 program and restricted cash</w:t>
            </w:r>
          </w:p>
        </w:tc>
        <w:tc>
          <w:tcPr>
            <w:tcW w:w="32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63"/>
        </w:trPr>
        <w:tc>
          <w:tcPr>
            <w:tcW w:w="670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50"/>
        </w:trPr>
        <w:tc>
          <w:tcPr>
            <w:tcW w:w="670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decrease in cash provided by operating activities during the six months ended June 30, 2020 compared with the same period in 2019 is principally due to the increase in our net loss.</w:t>
      </w: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increase in cash provided by investing activities during the six months ended June 30, 2020 compared with the same period in 2019 is primarily due to reduced net investment in vehicles.</w:t>
      </w:r>
    </w:p>
    <w:p>
      <w:pPr>
        <w:spacing w:after="0" w:line="22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increase in cash used in financing activities during the six months ended June 30, 2020 compared with the same period in 2019 is primarily due to a decrease in net borrowings under vehicle programs offset by an increase in net corporate borrowings.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DEBT AND FINANCING ARRANGEMENTS</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June 30, 2020, we had approximately $14.4 billion of indebtedness, including corporate indebtedness of approximately $3.9 billion and debt under vehicle programs of approximately $10.5 billion. For information regarding our debt and borrowing arrangements, see Notes 1, 11 and 12 to our Consolidated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Guarantor Financial Information</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following financial information presents summarized financial information presented from the Consolidated Condensed Statements of Comprehensive Income for the six months ended June 30, 2020 and Consolidated Condensed Balance Sheets as of June 30, 2020 and December 31, 2019 for: Avis Budget Group, Inc. (the “Parent”), ABCR and Avis Budget Finance, Inc. (the “Subsidiary Issuers”) and the guarantor subsidiaries (the “Guarantor Subsidiaries”). The Subsidiary Issuers and the 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Senior Notes issued by the Subsidiary Issuers. For a description of these guaranteed notes, see Note 11 to our Consolidated Condensed Financial Statements. The Senior Notes are guaranteed by the Parent and certain subsidiaries.</w:t>
      </w:r>
    </w:p>
    <w:p>
      <w:pPr>
        <w:spacing w:after="0" w:line="232"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 following tables present summarized financial information for the Parent, the Subsidiary Issuer and the Guarantor Subsidiaries on a combined basis after intercompany transactions have been eliminated, including adjustments to remove the receivable and payable balances, investment in, and equity in earnings from the</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subsidiaries that do not guarantee the Senior Notes (the “Non-Guarantor Subsidiaries”).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Income Statement</w:t>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Expenses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before income taxes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Benefit from income taxes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-134620</wp:posOffset>
            </wp:positionV>
            <wp:extent cx="15773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15773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43" w:lineRule="exact"/>
        <w:rPr>
          <w:sz w:val="20"/>
          <w:szCs w:val="20"/>
          <w:color w:val="auto"/>
        </w:rPr>
      </w:pPr>
    </w:p>
    <w:p>
      <w:pPr>
        <w:jc w:val="both"/>
        <w:ind w:left="1860" w:right="160" w:hanging="1859"/>
        <w:spacing w:after="0" w:line="323" w:lineRule="auto"/>
        <w:tabs>
          <w:tab w:leader="none" w:pos="18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1,648 2,823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-24130</wp:posOffset>
            </wp:positionV>
            <wp:extent cx="15773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8"/>
          <w:szCs w:val="18"/>
          <w:color w:val="auto"/>
        </w:rPr>
        <w:t>(1,175)</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15773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43"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15773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40640</wp:posOffset>
            </wp:positionV>
            <wp:extent cx="15773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8060" w:space="720"/>
            <w:col w:w="2460"/>
          </w:cols>
          <w:pgMar w:left="320" w:top="140" w:right="339" w:bottom="1440" w:gutter="0" w:footer="0" w:header="0"/>
        </w:sect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For the six months ended June 30, 2020, the above amounts include expenses of $1.1 billion associated with intercompany charges from the Non-Guarantor Subsidiaries.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00" w:type="dxa"/>
            <w:vAlign w:val="bottom"/>
          </w:tcPr>
          <w:p>
            <w:pPr>
              <w:spacing w:after="0"/>
              <w:rPr>
                <w:sz w:val="20"/>
                <w:szCs w:val="20"/>
                <w:color w:val="auto"/>
              </w:rPr>
            </w:pPr>
            <w:r>
              <w:rPr>
                <w:rFonts w:ascii="Arial" w:cs="Arial" w:eastAsia="Arial" w:hAnsi="Arial"/>
                <w:sz w:val="18"/>
                <w:szCs w:val="18"/>
                <w:b w:val="1"/>
                <w:bCs w:val="1"/>
                <w:i w:val="1"/>
                <w:iCs w:val="1"/>
                <w:color w:val="auto"/>
              </w:rPr>
              <w:t>Summarized Balance Sheets</w:t>
            </w:r>
          </w:p>
        </w:tc>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0"/>
        </w:trPr>
        <w:tc>
          <w:tcPr>
            <w:tcW w:w="7100" w:type="dxa"/>
            <w:vAlign w:val="bottom"/>
          </w:tcPr>
          <w:p>
            <w:pPr>
              <w:spacing w:after="0"/>
              <w:rPr>
                <w:sz w:val="17"/>
                <w:szCs w:val="17"/>
                <w:color w:val="auto"/>
              </w:rPr>
            </w:pPr>
          </w:p>
        </w:tc>
        <w:tc>
          <w:tcPr>
            <w:tcW w:w="13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June 30,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46"/>
        </w:trPr>
        <w:tc>
          <w:tcPr>
            <w:tcW w:w="7100" w:type="dxa"/>
            <w:vAlign w:val="bottom"/>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December 31, 2019</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57"/>
        </w:trPr>
        <w:tc>
          <w:tcPr>
            <w:tcW w:w="710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485</w:t>
            </w:r>
          </w:p>
        </w:tc>
      </w:tr>
      <w:tr>
        <w:trPr>
          <w:trHeight w:val="257"/>
        </w:trPr>
        <w:tc>
          <w:tcPr>
            <w:tcW w:w="7100" w:type="dxa"/>
            <w:vAlign w:val="bottom"/>
          </w:tcPr>
          <w:p>
            <w:pPr>
              <w:ind w:left="120"/>
              <w:spacing w:after="0"/>
              <w:rPr>
                <w:sz w:val="20"/>
                <w:szCs w:val="20"/>
                <w:color w:val="auto"/>
              </w:rPr>
            </w:pPr>
            <w:r>
              <w:rPr>
                <w:rFonts w:ascii="Arial" w:cs="Arial" w:eastAsia="Arial" w:hAnsi="Arial"/>
                <w:sz w:val="18"/>
                <w:szCs w:val="18"/>
                <w:color w:val="auto"/>
              </w:rPr>
              <w:t>Non-current assets</w:t>
            </w:r>
          </w:p>
        </w:tc>
        <w:tc>
          <w:tcPr>
            <w:tcW w:w="1380" w:type="dxa"/>
            <w:vAlign w:val="bottom"/>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5,226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5,067</w:t>
            </w:r>
          </w:p>
        </w:tc>
      </w:tr>
      <w:tr>
        <w:trPr>
          <w:trHeight w:val="256"/>
        </w:trPr>
        <w:tc>
          <w:tcPr>
            <w:tcW w:w="7100" w:type="dxa"/>
            <w:vAlign w:val="bottom"/>
          </w:tcPr>
          <w:p>
            <w:pPr>
              <w:ind w:left="120"/>
              <w:spacing w:after="0"/>
              <w:rPr>
                <w:sz w:val="20"/>
                <w:szCs w:val="20"/>
                <w:color w:val="auto"/>
              </w:rPr>
            </w:pPr>
            <w:r>
              <w:rPr>
                <w:rFonts w:ascii="Arial" w:cs="Arial" w:eastAsia="Arial" w:hAnsi="Arial"/>
                <w:sz w:val="18"/>
                <w:szCs w:val="18"/>
                <w:color w:val="auto"/>
              </w:rPr>
              <w:t>Assets under vehicle programs</w:t>
            </w:r>
          </w:p>
        </w:tc>
        <w:tc>
          <w:tcPr>
            <w:tcW w:w="1380" w:type="dxa"/>
            <w:vAlign w:val="bottom"/>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348</w:t>
            </w:r>
          </w:p>
        </w:tc>
      </w:tr>
      <w:tr>
        <w:trPr>
          <w:trHeight w:val="473"/>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7"/>
        </w:trPr>
        <w:tc>
          <w:tcPr>
            <w:tcW w:w="7100" w:type="dxa"/>
            <w:vAlign w:val="bottom"/>
          </w:tcPr>
          <w:p>
            <w:pPr>
              <w:ind w:left="120"/>
              <w:spacing w:after="0"/>
              <w:rPr>
                <w:sz w:val="20"/>
                <w:szCs w:val="20"/>
                <w:color w:val="auto"/>
              </w:rPr>
            </w:pPr>
            <w:r>
              <w:rPr>
                <w:rFonts w:ascii="Arial" w:cs="Arial" w:eastAsia="Arial" w:hAnsi="Arial"/>
                <w:sz w:val="18"/>
                <w:szCs w:val="18"/>
                <w:color w:val="auto"/>
              </w:rPr>
              <w:t>Current liabilities</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1,244</w:t>
            </w:r>
          </w:p>
        </w:tc>
      </w:tr>
      <w:tr>
        <w:trPr>
          <w:trHeight w:val="257"/>
        </w:trPr>
        <w:tc>
          <w:tcPr>
            <w:tcW w:w="7100" w:type="dxa"/>
            <w:vAlign w:val="bottom"/>
          </w:tcPr>
          <w:p>
            <w:pPr>
              <w:ind w:left="120"/>
              <w:spacing w:after="0"/>
              <w:rPr>
                <w:sz w:val="20"/>
                <w:szCs w:val="20"/>
                <w:color w:val="auto"/>
              </w:rPr>
            </w:pPr>
            <w:r>
              <w:rPr>
                <w:rFonts w:ascii="Arial" w:cs="Arial" w:eastAsia="Arial" w:hAnsi="Arial"/>
                <w:sz w:val="18"/>
                <w:szCs w:val="18"/>
                <w:color w:val="auto"/>
              </w:rPr>
              <w:t>Non-current liabilities</w:t>
            </w:r>
          </w:p>
        </w:tc>
        <w:tc>
          <w:tcPr>
            <w:tcW w:w="1380" w:type="dxa"/>
            <w:vAlign w:val="bottom"/>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4,441</w:t>
            </w:r>
          </w:p>
        </w:tc>
      </w:tr>
      <w:tr>
        <w:trPr>
          <w:trHeight w:val="256"/>
        </w:trPr>
        <w:tc>
          <w:tcPr>
            <w:tcW w:w="7100" w:type="dxa"/>
            <w:vAlign w:val="bottom"/>
          </w:tcPr>
          <w:p>
            <w:pPr>
              <w:ind w:left="120"/>
              <w:spacing w:after="0"/>
              <w:rPr>
                <w:sz w:val="20"/>
                <w:szCs w:val="20"/>
                <w:color w:val="auto"/>
              </w:rPr>
            </w:pPr>
            <w:r>
              <w:rPr>
                <w:rFonts w:ascii="Arial" w:cs="Arial" w:eastAsia="Arial" w:hAnsi="Arial"/>
                <w:sz w:val="18"/>
                <w:szCs w:val="18"/>
                <w:color w:val="auto"/>
              </w:rPr>
              <w:t>Liabilities under vehicle programs</w:t>
            </w:r>
          </w:p>
        </w:tc>
        <w:tc>
          <w:tcPr>
            <w:tcW w:w="1380" w:type="dxa"/>
            <w:vAlign w:val="bottom"/>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2,311</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of June 30, 2020 and December 31, 2019, the above amounts exclude receivables of $3 million and $2 million, respectively, from the Non-Guarantor Subsidiaries. As of June 30, 2020 and December 31, 2019, the above amounts exclude payables of approximately $2.0 billion and $1.0 billion, respectively, to the Non-Guarantor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liquidity position has been impacted by COVID-19 as a result of significant volume declines and we expect the impact of COVID-19 on the U.S. and worldwide economies to continue to affect our volumes even after the outbreak is contained. Our liquidity could be further negatively affected by any financial market disruptions or the absence of a recovery or worsening of the U.S.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38"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As of June 30, 2020, we had access to $1.3 billion of available cash and cash equivalents and available borrowings under our revolving credit facility of approximately $0.2 billion, providing us with access to an approximate $1.5 billion of total liquidity. See Note 1 to our Consolidated Condensed Financial Statements for detailed information on liquidity and management’s plans.</w:t>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new liquidity covenant, the consolidated first lien leverage ratio requirement after the end of the waiver period on June 30, 2021 and other covenants associated with our senior credit facilities and other borrowings. As of June 30, 2020, we were in compliance with the financial covenants governing our indebtedness. For additional information regarding our liquidity risks, see Part I, Item 1A, “Risk Factors” of our 2019 Form 10-K as well as “Risk Factors” section in this quarterly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future contractual obligations have not changed significantly from the amounts reported within our 2019 Form 10-K with the exception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commitment to purchase vehicles, which decreased by approximately $6.4 billion from December 31, 2019, to approximately $1.4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at June 30, 2020 due to the COVID-19 impact on our business. Changes to our obligations related to corporate indebtedness and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vehicle programs are presented above within the section titled “Liquidity and Capital Resources—Debt and Financing Arrangements”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also within Notes 11 and 12 to our Consolidated Condensed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2019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2020 reported results. There have been no significant changes to those accounting policies or our assessment of which accounting policies we would consider to be critical accounting policies.</w:t>
      </w:r>
    </w:p>
    <w:p>
      <w:pPr>
        <w:spacing w:after="0" w:line="214"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Goodwill and Other Indefinite-lived Intangible Assets</w:t>
      </w:r>
      <w:r>
        <w:rPr>
          <w:rFonts w:ascii="Arial" w:cs="Arial" w:eastAsia="Arial" w:hAnsi="Arial"/>
          <w:sz w:val="18"/>
          <w:szCs w:val="18"/>
          <w:color w:val="auto"/>
        </w:rPr>
        <w:t>. We perform our annual goodwill and other indefinite-lived intangible assets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in the fourth quarter of each year at the reporting unit level, or more frequently if events or circumstances indicate that the carrying amount of goodwill and other indefinite-lived intangible assets may be impaired.</w:t>
      </w:r>
    </w:p>
    <w:p>
      <w:pPr>
        <w:spacing w:after="0" w:line="22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Accordingly, we have reviewed the carrying value of our goodwill and other indefinite-lived intangibles assets for impairment during the quarter.</w:t>
      </w:r>
    </w:p>
    <w:p>
      <w:pPr>
        <w:spacing w:after="0" w:line="225"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When determining fair value, we utilize various assumptions, including the fair market trading price of our common stock and management’s projections of future cash flows. A change in these underlying assumptions will cause a change in the results of the tests and, as such could cause the fair value to be less than the respective carrying amount. In such an event, we would be required to record a charge, which would impact earnings. Our goodwill and other indefinite-lived intangible assets are allocated among our reporting units.</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six months ended June 30, 2020, there was no impairment of goodwill and other intangible assets. For our Europe, Middle East and Africa (“EMEA”) reporting unit, the percentage by which the estimated fair value exceeds the carrying value was approximately 24% and the amount of goodwill allocated to our reporting unit was $464 million.</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Further deterioration in the general economic conditions in the travel industry, would result in another interim impairment test of our goodwill and indefinite-lived trademarks, which may result in an impairment charge to earnings in future quarters. We will continue to closely monitor actual results versus our expectations as well as any significant changes in events or conditions, including the impact of COVID-19 on our business and the travel industry, and the resulting impact to our assumptions about future estimated cash flows, the weighted average cost of capital and market multiples. If our expectations of the operating results, both in magnitude or timing, do not materialize, or if our weighed average cost of capital increases or if market multiples decline, we may be required to record goodwill and indefinite-lived intangible asset impairment charges, which may be material.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June 30, 2020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June 30, 2020. For additional information regarding our long-term borrowings and financial instruments, see Notes 11, 12 and 16 to our Consolidated Condensed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left="340" w:right="20" w:hanging="332"/>
        <w:spacing w:after="0" w:line="258" w:lineRule="auto"/>
        <w:tabs>
          <w:tab w:leader="none" w:pos="33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June 30, 2020.</w:t>
      </w:r>
    </w:p>
    <w:p>
      <w:pPr>
        <w:spacing w:after="0" w:line="210" w:lineRule="exact"/>
        <w:rPr>
          <w:rFonts w:ascii="Arial" w:cs="Arial" w:eastAsia="Arial" w:hAnsi="Arial"/>
          <w:sz w:val="18"/>
          <w:szCs w:val="18"/>
          <w:color w:val="auto"/>
        </w:rPr>
      </w:pPr>
    </w:p>
    <w:p>
      <w:pPr>
        <w:ind w:left="340" w:hanging="332"/>
        <w:spacing w:after="0" w:line="266" w:lineRule="auto"/>
        <w:tabs>
          <w:tab w:leader="none" w:pos="33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During the quarter ended June 30, 2020, the Company had no material developments to report with respect to its legal proceedings. For additional information regarding the Company’s legal proceedings, see Note 13 to our Consolidated Condensed Financial Statements and refer to the Company’s 2019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risk factors are provided to update the risk factors of the Company previously disclosed in periodic reports filed with the SEC, including its 2019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has disrupted, and may continue to disrupt, our business and financial performance.</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outbreak of COVID-19 in multiple countries across the globe, including North America, Europe and Asia, has adversely impacted the U.S., U.K. and global economy and demand for our business. Governmental authorities have taken and continue to take measures to address the outbreak, including restrictions on travel and other orders, including partial shelter-in-place orders. The pandemic is a highly fluid and rapidly evolving situation and we cannot anticipate with any certainty the length, scope or severity of such restrictions in each of the jurisdictions that we operate.</w:t>
      </w:r>
    </w:p>
    <w:p>
      <w:pPr>
        <w:spacing w:after="0" w:line="23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full impact that COVID-19 will have on our business cannot be predicted at this time due to numerous uncertainties, including the duration and severity of the outbreak, including a “second wave” caused by additional periods of increases or spikes in the number of cases and travel restrictions, the effectiveness of actions taken to contain the disease, the length of time it takes for rental volume and pricing to return and normal economic and operating conditions to resume, and other factors. This impact could include, but is not limited to, those discussed below:</w:t>
      </w:r>
    </w:p>
    <w:p>
      <w:pPr>
        <w:spacing w:after="0" w:line="214" w:lineRule="exact"/>
        <w:rPr>
          <w:sz w:val="20"/>
          <w:szCs w:val="20"/>
          <w:color w:val="auto"/>
        </w:rPr>
      </w:pPr>
    </w:p>
    <w:p>
      <w:pPr>
        <w:ind w:left="980" w:hanging="324"/>
        <w:spacing w:after="0" w:line="255"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changes in our revenues and customer demand: </w:t>
      </w:r>
      <w:r>
        <w:rPr>
          <w:rFonts w:ascii="Arial" w:cs="Arial" w:eastAsia="Arial" w:hAnsi="Arial"/>
          <w:sz w:val="18"/>
          <w:szCs w:val="18"/>
          <w:color w:val="auto"/>
        </w:rPr>
        <w:t>Our revenues and profitability have been materially impacted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two quarters of 2020 and in the third quarter of 2020 to date compared to the prior year periods, and we expect they will continue to be materially adversely affected. Although we believe that renting a vehicle will continue to be a safe, clean and attractive alternative, we cannot predict whether and when volumes will increase to historical levels and how long our revenues and customer demand will be affected by the COVID-19 pandemic. As we typically generate approximately 64% of our revenues from on-airport locations, our business is highly dependent on travel and both commercial demand and leisure demand. In addition, our truck rental business is significantly affected by the housing, light commercial and consumer sectors, all of which have been adversely impacted by the COVID-19 pandemic, and we cannot predict the pace of recovery in those sectors.</w:t>
      </w:r>
    </w:p>
    <w:p>
      <w:pPr>
        <w:spacing w:after="0" w:line="211" w:lineRule="exact"/>
        <w:rPr>
          <w:rFonts w:ascii="Arial" w:cs="Arial" w:eastAsia="Arial" w:hAnsi="Arial"/>
          <w:sz w:val="18"/>
          <w:szCs w:val="18"/>
          <w:color w:val="auto"/>
        </w:rPr>
      </w:pPr>
    </w:p>
    <w:p>
      <w:pPr>
        <w:ind w:left="980" w:right="140" w:hanging="324"/>
        <w:spacing w:after="0" w:line="258"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our expenses: </w:t>
      </w:r>
      <w:r>
        <w:rPr>
          <w:rFonts w:ascii="Arial" w:cs="Arial" w:eastAsia="Arial" w:hAnsi="Arial"/>
          <w:sz w:val="18"/>
          <w:szCs w:val="18"/>
          <w:color w:val="auto"/>
        </w:rPr>
        <w:t>To date we have incurred, and expect to continue to incur, increased costs related to COVID-19,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procurement of overflow parking for our idle vehicles and costs associated with sanitizing our vehicles and facilities. In addition, the industry may be subject to enhanced health and hygiene requirements in attempts to address future outbreaks, which may increase our costs and take a significant amount of time to implement across our global operations. These additional costs may be required by regulators or expected by consumers even after the immediate effects of COVID-19 subside.</w:t>
      </w:r>
    </w:p>
    <w:p>
      <w:pPr>
        <w:spacing w:after="0" w:line="210" w:lineRule="exact"/>
        <w:rPr>
          <w:rFonts w:ascii="Arial" w:cs="Arial" w:eastAsia="Arial" w:hAnsi="Arial"/>
          <w:sz w:val="18"/>
          <w:szCs w:val="18"/>
          <w:color w:val="auto"/>
        </w:rPr>
      </w:pPr>
    </w:p>
    <w:p>
      <w:pPr>
        <w:ind w:left="980" w:right="20" w:hanging="324"/>
        <w:spacing w:after="0" w:line="258"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our workforce: </w:t>
      </w:r>
      <w:r>
        <w:rPr>
          <w:rFonts w:ascii="Arial" w:cs="Arial" w:eastAsia="Arial" w:hAnsi="Arial"/>
          <w:sz w:val="18"/>
          <w:szCs w:val="18"/>
          <w:color w:val="auto"/>
        </w:rPr>
        <w:t>The COVID-19 outbreak has also caused us to reduce and furlough employees in order to aim to right size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for vehicle rental demand by reducing operating costs. These actions could create risks, including but not limited to, our ability to manage the size of our workforce given uncertain future demand. Further, we may incur additional costs as a result of negotiations with labor unions that represent our employees or severance payments in the event our workforce is further reduced, and we could experience labor disputes or disruptions as we continue to implement our mitigation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980" w:right="20" w:hanging="324"/>
        <w:spacing w:after="0" w:line="261"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our relationship with, and the financial and operational capacities of, vehicle manufacturers and other suppliers: </w:t>
      </w:r>
      <w:r>
        <w:rPr>
          <w:rFonts w:ascii="Arial" w:cs="Arial" w:eastAsia="Arial" w:hAnsi="Arial"/>
          <w:sz w:val="18"/>
          <w:szCs w:val="18"/>
          <w:color w:val="auto"/>
        </w:rPr>
        <w:t>We could face</w:t>
      </w:r>
      <w:r>
        <w:rPr>
          <w:rFonts w:ascii="Arial" w:cs="Arial" w:eastAsia="Arial" w:hAnsi="Arial"/>
          <w:sz w:val="18"/>
          <w:szCs w:val="18"/>
          <w:i w:val="1"/>
          <w:iCs w:val="1"/>
          <w:color w:val="auto"/>
        </w:rPr>
        <w:t xml:space="preserve"> </w:t>
      </w:r>
      <w:r>
        <w:rPr>
          <w:rFonts w:ascii="Arial" w:cs="Arial" w:eastAsia="Arial" w:hAnsi="Arial"/>
          <w:sz w:val="18"/>
          <w:szCs w:val="18"/>
          <w:color w:val="auto"/>
        </w:rPr>
        <w:t>disruptions in the supply of vehicles from vehicle manufacturers, whether due to outbreaks of COVID-19 at their manufacturing facilities, measures they take in response to COVID-19 or otherwise. We may also face delays in receiving delivery of vehicles or other supplies that may make it difficult to meet consumer demand.</w:t>
      </w:r>
    </w:p>
    <w:p>
      <w:pPr>
        <w:spacing w:after="0" w:line="206" w:lineRule="exact"/>
        <w:rPr>
          <w:rFonts w:ascii="Arial" w:cs="Arial" w:eastAsia="Arial" w:hAnsi="Arial"/>
          <w:sz w:val="18"/>
          <w:szCs w:val="18"/>
          <w:color w:val="auto"/>
        </w:rPr>
      </w:pPr>
    </w:p>
    <w:p>
      <w:pPr>
        <w:ind w:left="980" w:right="100" w:hanging="324"/>
        <w:spacing w:after="0" w:line="266"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the used car market: </w:t>
      </w:r>
      <w:r>
        <w:rPr>
          <w:rFonts w:ascii="Arial" w:cs="Arial" w:eastAsia="Arial" w:hAnsi="Arial"/>
          <w:sz w:val="18"/>
          <w:szCs w:val="18"/>
          <w:color w:val="auto"/>
        </w:rPr>
        <w:t>We depend on the used car market to sell vehicles and enable us to refresh our fleet. The used car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has faced and may again experience lower demand due to the slowdown in overall global economic activity due to COVID-19, unemployment rates, depressed consumer demand and related factors.</w:t>
      </w:r>
    </w:p>
    <w:p>
      <w:pPr>
        <w:spacing w:after="0" w:line="202" w:lineRule="exact"/>
        <w:rPr>
          <w:rFonts w:ascii="Arial" w:cs="Arial" w:eastAsia="Arial" w:hAnsi="Arial"/>
          <w:sz w:val="18"/>
          <w:szCs w:val="18"/>
          <w:color w:val="auto"/>
        </w:rPr>
      </w:pPr>
    </w:p>
    <w:p>
      <w:pPr>
        <w:ind w:left="980" w:right="40" w:hanging="324"/>
        <w:spacing w:after="0" w:line="254"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risks associated with our indebtedness (including available borrowing capacity and ability to refinance indebtedness on favorable terms, as well as our ability to meet the quarterly-tested leverage covenant contained in the credit agreement governing our senior credit facilities at the end of the covenant relief period on June 30, 2021, among other things) and the adequacy of our cash flow and earnings and other conditions which may affect our liquidity: </w:t>
      </w:r>
      <w:r>
        <w:rPr>
          <w:rFonts w:ascii="Arial" w:cs="Arial" w:eastAsia="Arial" w:hAnsi="Arial"/>
          <w:sz w:val="18"/>
          <w:szCs w:val="18"/>
          <w:color w:val="auto"/>
        </w:rPr>
        <w:t>We have taken a number of actions in anticipation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and in response to, COVID-19 that have increased our long-term debt. As we manage through the effects of the pandemic, our level of indebtedness may further increase. A default under our senior secured credit facility would enable the lenders to terminate their commitments thereunder and could trigger a cross-default, acceleration or other consequences under our other indebtedness or financial instruments. There is no guarantee that debt financings will be available in the future to fund our obligations or will be available on terms consistent with our expectations.</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is generally subject to and impacted by, international, national and local economic conditions and travel demands. We do not expect economic and operating conditions for our business to improve until consumers are once again willing and able to travel without restrictions. This may not occur until well after the broader global economy begins to improve. Additionally, our business is also dependent on consumer sentiment and discretionary spending patterns. To date there have been significant increases in unemployment in the United States and other regions due to the adoption of social distancing and other policies to slow the spread of the virus, which are likely to continue to have a significant negative impact on consumer discretionary spending, including in the mobility industry. Even when economic and operating conditions for our business improve, we cannot predict the long-term effects of the pandemic on our business or the mobility industry as a whole. If the mobility industry is fundamentally changed by the COVID-19 outbreak in ways that are detrimental to our operating model, our business may continue to be adversely affected even as the broader global economy recovers.</w:t>
      </w:r>
    </w:p>
    <w:p>
      <w:pPr>
        <w:spacing w:after="0" w:line="2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that business disruption relating to the COVID-19 pandemic will continue to negatively impact the global economy and may materially affect our businesses as outlined above, all of which would adversely impact our business and results of operations. To the extent that the COVID-19 outbreak continues to adversely affect our business and financial performance, including for the reasons outlined above, it may also have the effect of heightening many of the other risks identified below and in the “Risk Factors” section of our 2019 10-K, such as those relating to our substantial amount of outstanding indebtedness.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any or all of our estimated cost savings, which may have a negative effect on our results of operations.</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identified several areas that present opportunities for cost savings and efficiencies to potentially improve our results of operations while our business is being impacted by the COVID-19 crisis, including initiatives related to reductions in fleet, staffing and compensation expense. The potential cost savings that have been estimated based on these opportunities are based on a number of assumptions and expectations which, if achieved, would improve our profitability and cash flows from operating activities. However, there can be no assurance that the expected results will be achieved. These and any future spend reductions, if any, may also negatively impact our other initiatives or our efforts to grow our business in a recovery, which may negatively impact our future results of operations and increase the burden on existing management, systems and resources. In addition, these cost savings may be negated or offset by unexpected or increased costs, including as a result of price declines in the used car market or the increased cost of insurance, among other things, which could impact the contribution of our fleet reduction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We are dependent on a functioning used vehicle market and highly exposed to residual value risk in the event that vehicle prices decline, which may both be exacerbated by COVID-19.</w:t>
      </w:r>
    </w:p>
    <w:p>
      <w:pPr>
        <w:spacing w:after="0" w:line="17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dispose of a significant number of vehicles in the used car market, including at wholesale automotive auctions, through sales to vehicle dealers, and directly to consumers. The COVID-19 crisis effectively closed many of the automotive auctions and vehicle dealerships across the globe, as well as retail locations that we operate directly. While such channels have reopened, they could be caused to shut down again in the future. Additionally, unprecedented increases in unemployment rates may severely impact vehicle demand from consumers and increase the number of loan and lease defaults, leading to repossessions which are typically sold by lenders in the wholesale market. Further, car manufacturers may increase incentives to stimulate new vehicle sales, which may depress used vehicle values. In the event our revenue declines do not significantly improve, we would attempt to further reduce the size of our global vehicle fleet. In such event, our competitors may likely also be attempting to sell vehicles. This confluence of events may lead to sharp and sustained declines in vehicle residual values, which may require increased compliance payments pursuant to our ABS securitization facility. In the event of extreme declines in residual values, the sale of vehicle inventory might result in no incremental recovery of our equity capital or even the requirement to fund additional capital to dispose of vehicles, or to choose to continue to keep idle vehicle fleet until demand or market values recover, which cannot be assured. The foregoing factors could have a material adverse impact on our business, financial position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for future periods may be impacted by impairment charges for goodwill and intangible assets.</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carry a significant amount of goodwill and identifiable intangible assets on our consolidated balance sheets. Goodwill is the excess of purchase price over the fair value of the net assets of acquired businesses. We assess goodwill and indefinite-lived intangible assets for impairment each year, or more frequently if circumstances suggest an impairment may have occurred. We have determined in the past and may again determine in the future that a significant impairment has occurred in the value of our goodwill. Additionally, we have a significant amount of identifiable intangible assets and fixed assets that could also be subject to impairment. If we determine that a significant impairment has occurred in the value of our unamortized intangible assets or fixed assets, we could be required to write off a portion of our assets, which could adversely affect our consolidated financial condition or our reported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$1.8 billion of its common stock under a plan originally approved in 2013 and subsequently expanded, most recently in August 2019</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 During the three months ended June 30, 2020, no common stock repurchases were made under the plan and 9,815 shares were withheld by the Company to satisfy employees’ income tax liabilities attributable to the vesting of restricted stock unit awards.</w:t>
      </w:r>
    </w:p>
    <w:p>
      <w:pPr>
        <w:spacing w:after="0" w:line="234" w:lineRule="exact"/>
        <w:rPr>
          <w:sz w:val="20"/>
          <w:szCs w:val="20"/>
          <w:color w:val="auto"/>
        </w:rPr>
      </w:pPr>
    </w:p>
    <w:p>
      <w:pPr>
        <w:spacing w:after="0" w:line="261" w:lineRule="auto"/>
        <w:rPr>
          <w:sz w:val="20"/>
          <w:szCs w:val="20"/>
          <w:color w:val="auto"/>
        </w:rPr>
      </w:pPr>
      <w:r>
        <w:rPr>
          <w:rFonts w:ascii="Arial" w:cs="Arial" w:eastAsia="Arial" w:hAnsi="Arial"/>
          <w:sz w:val="18"/>
          <w:szCs w:val="18"/>
          <w:color w:val="262626"/>
        </w:rPr>
        <w:t>On February 10, 2020, the Company’s new Chairman purchased an aggregate $15 million of unregistered shares of the Company’s common stock at a price per share equal to the closing price of the Company’s common stock on February 7,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4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AVIS BUDGET GROUP, INC.</w:t>
            </w:r>
          </w:p>
        </w:tc>
      </w:tr>
      <w:tr>
        <w:trPr>
          <w:trHeight w:val="533"/>
        </w:trPr>
        <w:tc>
          <w:tcPr>
            <w:tcW w:w="3640" w:type="dxa"/>
            <w:vAlign w:val="bottom"/>
          </w:tcPr>
          <w:p>
            <w:pPr>
              <w:ind w:left="20"/>
              <w:spacing w:after="0"/>
              <w:rPr>
                <w:sz w:val="20"/>
                <w:szCs w:val="20"/>
                <w:color w:val="auto"/>
              </w:rPr>
            </w:pPr>
            <w:r>
              <w:rPr>
                <w:rFonts w:ascii="Arial" w:cs="Arial" w:eastAsia="Arial" w:hAnsi="Arial"/>
                <w:sz w:val="18"/>
                <w:szCs w:val="18"/>
                <w:color w:val="auto"/>
              </w:rPr>
              <w:t>Date:  July 29, 2020</w:t>
            </w:r>
          </w:p>
        </w:tc>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Cathleen DeGenova</w:t>
            </w:r>
          </w:p>
        </w:tc>
      </w:tr>
      <w:tr>
        <w:trPr>
          <w:trHeight w:val="243"/>
        </w:trPr>
        <w:tc>
          <w:tcPr>
            <w:tcW w:w="364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Cathleen DeGenova</w:t>
            </w:r>
          </w:p>
        </w:tc>
      </w:tr>
      <w:tr>
        <w:trPr>
          <w:trHeight w:val="256"/>
        </w:trPr>
        <w:tc>
          <w:tcPr>
            <w:tcW w:w="3640" w:type="dxa"/>
            <w:vAlign w:val="bottom"/>
          </w:tcPr>
          <w:p>
            <w:pPr>
              <w:spacing w:after="0"/>
              <w:rPr>
                <w:sz w:val="22"/>
                <w:szCs w:val="22"/>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57"/>
        </w:trPr>
        <w:tc>
          <w:tcPr>
            <w:tcW w:w="3640" w:type="dxa"/>
            <w:vAlign w:val="bottom"/>
          </w:tcPr>
          <w:p>
            <w:pPr>
              <w:spacing w:after="0"/>
              <w:rPr>
                <w:sz w:val="22"/>
                <w:szCs w:val="22"/>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932"/>
        </w:trPr>
        <w:tc>
          <w:tcPr>
            <w:tcW w:w="3640" w:type="dxa"/>
            <w:vAlign w:val="bottom"/>
          </w:tcPr>
          <w:p>
            <w:pPr>
              <w:spacing w:after="0"/>
              <w:rPr>
                <w:sz w:val="24"/>
                <w:szCs w:val="24"/>
                <w:color w:val="auto"/>
              </w:rPr>
            </w:pPr>
          </w:p>
        </w:tc>
        <w:tc>
          <w:tcPr>
            <w:tcW w:w="7600" w:type="dxa"/>
            <w:vAlign w:val="bottom"/>
          </w:tcPr>
          <w:p>
            <w:pPr>
              <w:ind w:left="1880"/>
              <w:spacing w:after="0"/>
              <w:rPr>
                <w:sz w:val="20"/>
                <w:szCs w:val="20"/>
                <w:color w:val="auto"/>
              </w:rPr>
            </w:pPr>
            <w:r>
              <w:rPr>
                <w:rFonts w:ascii="Arial" w:cs="Arial" w:eastAsia="Arial" w:hAnsi="Arial"/>
                <w:sz w:val="18"/>
                <w:szCs w:val="18"/>
                <w:color w:val="auto"/>
              </w:rPr>
              <w:t>45</w:t>
            </w:r>
          </w:p>
        </w:tc>
      </w:tr>
      <w:tr>
        <w:trPr>
          <w:trHeight w:val="115"/>
        </w:trPr>
        <w:tc>
          <w:tcPr>
            <w:tcW w:w="3640" w:type="dxa"/>
            <w:vAlign w:val="bottom"/>
            <w:tcBorders>
              <w:bottom w:val="single" w:sz="8" w:color="9A9A9A"/>
            </w:tcBorders>
          </w:tcPr>
          <w:p>
            <w:pPr>
              <w:spacing w:after="0"/>
              <w:rPr>
                <w:sz w:val="10"/>
                <w:szCs w:val="10"/>
                <w:color w:val="auto"/>
              </w:rPr>
            </w:pPr>
          </w:p>
        </w:tc>
        <w:tc>
          <w:tcPr>
            <w:tcW w:w="7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160" w:type="dxa"/>
            <w:vAlign w:val="bottom"/>
            <w:gridSpan w:val="12"/>
          </w:tcPr>
          <w:p>
            <w:pPr>
              <w:ind w:left="1000"/>
              <w:spacing w:after="0"/>
              <w:rPr>
                <w:sz w:val="20"/>
                <w:szCs w:val="20"/>
                <w:color w:val="auto"/>
              </w:rPr>
            </w:pPr>
            <w:r>
              <w:rPr>
                <w:rFonts w:ascii="Arial" w:cs="Arial" w:eastAsia="Arial" w:hAnsi="Arial"/>
                <w:sz w:val="18"/>
                <w:szCs w:val="18"/>
                <w:b w:val="1"/>
                <w:bCs w:val="1"/>
                <w:color w:val="auto"/>
              </w:rPr>
              <w:t>Exhibit Index</w:t>
            </w:r>
          </w:p>
        </w:tc>
      </w:tr>
      <w:tr>
        <w:trPr>
          <w:trHeight w:val="216"/>
        </w:trPr>
        <w:tc>
          <w:tcPr>
            <w:tcW w:w="8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380" w:type="dxa"/>
            <w:vAlign w:val="bottom"/>
            <w:gridSpan w:val="11"/>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9900" w:type="dxa"/>
            <w:vAlign w:val="bottom"/>
            <w:gridSpan w:val="14"/>
          </w:tcPr>
          <w:p>
            <w:pPr>
              <w:spacing w:after="0"/>
              <w:rPr>
                <w:rFonts w:ascii="Arial" w:cs="Arial" w:eastAsia="Arial" w:hAnsi="Arial"/>
                <w:sz w:val="18"/>
                <w:szCs w:val="18"/>
                <w:color w:val="0000FF"/>
              </w:rPr>
            </w:pPr>
            <w:hyperlink r:id="rId83">
              <w:r>
                <w:rPr>
                  <w:rFonts w:ascii="Arial" w:cs="Arial" w:eastAsia="Arial" w:hAnsi="Arial"/>
                  <w:sz w:val="18"/>
                  <w:szCs w:val="18"/>
                  <w:color w:val="0000FF"/>
                </w:rPr>
                <w:t>Amended and Restated Certificate of Incorporation of Avis Budget Group, Inc. (Incorporated by reference to Exhibit 3.1 to</w:t>
              </w:r>
            </w:hyperlink>
          </w:p>
        </w:tc>
      </w:tr>
      <w:tr>
        <w:trPr>
          <w:trHeight w:val="155"/>
        </w:trPr>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83">
              <w:r>
                <w:rPr>
                  <w:rFonts w:ascii="Arial" w:cs="Arial" w:eastAsia="Arial" w:hAnsi="Arial"/>
                  <w:sz w:val="18"/>
                  <w:szCs w:val="18"/>
                  <w:color w:val="0000FF"/>
                  <w:w w:val="99"/>
                </w:rPr>
                <w:t>the Company’s Current Report on Form 8-K dated September 5, 2006).</w:t>
              </w:r>
            </w:hyperlink>
          </w:p>
        </w:tc>
        <w:tc>
          <w:tcPr>
            <w:tcW w:w="3980" w:type="dxa"/>
            <w:vAlign w:val="bottom"/>
            <w:tcBorders>
              <w:top w:val="single" w:sz="8" w:color="0000FF"/>
            </w:tcBorders>
            <w:gridSpan w:val="4"/>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9900" w:type="dxa"/>
            <w:vAlign w:val="bottom"/>
            <w:gridSpan w:val="14"/>
          </w:tcPr>
          <w:p>
            <w:pPr>
              <w:spacing w:after="0"/>
              <w:rPr>
                <w:rFonts w:ascii="Arial" w:cs="Arial" w:eastAsia="Arial" w:hAnsi="Arial"/>
                <w:sz w:val="18"/>
                <w:szCs w:val="18"/>
                <w:color w:val="0000FF"/>
              </w:rPr>
            </w:pPr>
            <w:hyperlink r:id="rId84">
              <w:r>
                <w:rPr>
                  <w:rFonts w:ascii="Arial" w:cs="Arial" w:eastAsia="Arial" w:hAnsi="Arial"/>
                  <w:sz w:val="18"/>
                  <w:szCs w:val="18"/>
                  <w:color w:val="0000FF"/>
                </w:rPr>
                <w:t>Amended and Restated By-Laws of Avis Budget Group, Inc. as of June 12, 2020 (incorporated by reference to Exhibit 3.2 to</w:t>
              </w:r>
            </w:hyperlink>
          </w:p>
        </w:tc>
      </w:tr>
      <w:tr>
        <w:trPr>
          <w:trHeight w:val="155"/>
        </w:trPr>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the Company’s Current Report on Form 8-K dated June 15,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9900" w:type="dxa"/>
            <w:vAlign w:val="bottom"/>
            <w:gridSpan w:val="14"/>
          </w:tcPr>
          <w:p>
            <w:pPr>
              <w:spacing w:after="0"/>
              <w:rPr>
                <w:rFonts w:ascii="Arial" w:cs="Arial" w:eastAsia="Arial" w:hAnsi="Arial"/>
                <w:sz w:val="18"/>
                <w:szCs w:val="18"/>
                <w:color w:val="0000FF"/>
              </w:rPr>
            </w:pPr>
            <w:hyperlink r:id="rId85">
              <w:r>
                <w:rPr>
                  <w:rFonts w:ascii="Arial" w:cs="Arial" w:eastAsia="Arial" w:hAnsi="Arial"/>
                  <w:sz w:val="18"/>
                  <w:szCs w:val="18"/>
                  <w:color w:val="0000FF"/>
                </w:rPr>
                <w:t>Amendment No. 1, dated as of May 20, 2020, to Rights Agreement, dated as of January 27, 2020, between Avis Budget</w:t>
              </w:r>
            </w:hyperlink>
          </w:p>
        </w:tc>
      </w:tr>
      <w:tr>
        <w:trPr>
          <w:trHeight w:val="156"/>
        </w:trPr>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540" w:type="dxa"/>
            <w:vAlign w:val="bottom"/>
            <w:tcBorders>
              <w:top w:val="single" w:sz="8" w:color="0000FF"/>
            </w:tcBorders>
            <w:gridSpan w:val="8"/>
          </w:tcPr>
          <w:p>
            <w:pPr>
              <w:spacing w:after="0" w:line="157"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Group, Inc. and Computershare Inc. (Incorporated by reference to Exhibit 4.1 to the Company’s Current Report on Form</w:t>
              </w:r>
            </w:hyperlink>
          </w:p>
        </w:tc>
        <w:tc>
          <w:tcPr>
            <w:tcW w:w="40" w:type="dxa"/>
            <w:vAlign w:val="bottom"/>
          </w:tcPr>
          <w:p>
            <w:pPr>
              <w:spacing w:after="0"/>
              <w:rPr>
                <w:sz w:val="13"/>
                <w:szCs w:val="13"/>
                <w:color w:val="auto"/>
              </w:rPr>
            </w:pPr>
          </w:p>
        </w:tc>
        <w:tc>
          <w:tcPr>
            <w:tcW w:w="320" w:type="dxa"/>
            <w:vAlign w:val="bottom"/>
            <w:gridSpan w:val="5"/>
          </w:tcPr>
          <w:p>
            <w:pPr>
              <w:spacing w:after="0" w:line="157" w:lineRule="exact"/>
              <w:rPr>
                <w:rFonts w:ascii="Arial" w:cs="Arial" w:eastAsia="Arial" w:hAnsi="Arial"/>
                <w:sz w:val="18"/>
                <w:szCs w:val="18"/>
                <w:color w:val="0000FF"/>
              </w:rPr>
            </w:pPr>
            <w:hyperlink r:id="rId85">
              <w:r>
                <w:rPr>
                  <w:rFonts w:ascii="Arial" w:cs="Arial" w:eastAsia="Arial" w:hAnsi="Arial"/>
                  <w:sz w:val="18"/>
                  <w:szCs w:val="18"/>
                  <w:color w:val="0000FF"/>
                </w:rPr>
                <w:t>8-K</w:t>
              </w:r>
            </w:hyperlink>
          </w:p>
        </w:tc>
      </w:tr>
      <w:tr>
        <w:trPr>
          <w:trHeight w:val="156"/>
        </w:trPr>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85">
              <w:r>
                <w:rPr>
                  <w:rFonts w:ascii="Arial" w:cs="Arial" w:eastAsia="Arial" w:hAnsi="Arial"/>
                  <w:sz w:val="18"/>
                  <w:szCs w:val="18"/>
                  <w:color w:val="0000FF"/>
                  <w:w w:val="98"/>
                </w:rPr>
                <w:t>dated May 20, 2020).</w:t>
              </w:r>
            </w:hyperlink>
          </w:p>
        </w:tc>
        <w:tc>
          <w:tcPr>
            <w:tcW w:w="81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9900" w:type="dxa"/>
            <w:vAlign w:val="bottom"/>
            <w:gridSpan w:val="14"/>
          </w:tcPr>
          <w:p>
            <w:pPr>
              <w:spacing w:after="0"/>
              <w:rPr>
                <w:rFonts w:ascii="Arial" w:cs="Arial" w:eastAsia="Arial" w:hAnsi="Arial"/>
                <w:sz w:val="18"/>
                <w:szCs w:val="18"/>
                <w:color w:val="0000FF"/>
              </w:rPr>
            </w:pPr>
            <w:hyperlink r:id="rId86">
              <w:r>
                <w:rPr>
                  <w:rFonts w:ascii="Arial" w:cs="Arial" w:eastAsia="Arial" w:hAnsi="Arial"/>
                  <w:sz w:val="18"/>
                  <w:szCs w:val="18"/>
                  <w:color w:val="0000FF"/>
                </w:rPr>
                <w:t>Indenture, dated May 12, 2020, by and among Avis Budget Car Rental, LLC, as issuer, Avis Budget Finance, Inc., as co-</w:t>
              </w:r>
            </w:hyperlink>
          </w:p>
        </w:tc>
      </w:tr>
      <w:tr>
        <w:trPr>
          <w:trHeight w:val="156"/>
        </w:trPr>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5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issuer, the guarantors party thereto and Deutsche Bank Trust Company Americas, as trustee and notes collateral agent</w:t>
              </w:r>
            </w:hyperlink>
          </w:p>
        </w:tc>
        <w:tc>
          <w:tcPr>
            <w:tcW w:w="2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80" w:type="dxa"/>
            <w:vAlign w:val="bottom"/>
            <w:tcBorders>
              <w:top w:val="single" w:sz="8" w:color="0000FF"/>
            </w:tcBorders>
            <w:gridSpan w:val="7"/>
          </w:tcPr>
          <w:p>
            <w:pPr>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(incorporated by reference to Exhibit 4.1 to the Company’s Current Report on Form 8-K dated May 12, 2020).</w:t>
              </w:r>
            </w:hyperlink>
          </w:p>
        </w:tc>
        <w:tc>
          <w:tcPr>
            <w:tcW w:w="360" w:type="dxa"/>
            <w:vAlign w:val="bottom"/>
            <w:gridSpan w:val="4"/>
          </w:tcPr>
          <w:p>
            <w:pPr>
              <w:spacing w:after="0"/>
              <w:rPr>
                <w:sz w:val="18"/>
                <w:szCs w:val="18"/>
                <w:color w:val="auto"/>
              </w:rPr>
            </w:pPr>
          </w:p>
        </w:tc>
        <w:tc>
          <w:tcPr>
            <w:tcW w:w="60" w:type="dxa"/>
            <w:vAlign w:val="bottom"/>
            <w:gridSpan w:val="3"/>
          </w:tcPr>
          <w:p>
            <w:pPr>
              <w:spacing w:after="0"/>
              <w:rPr>
                <w:sz w:val="18"/>
                <w:szCs w:val="18"/>
                <w:color w:val="auto"/>
              </w:rPr>
            </w:pPr>
          </w:p>
        </w:tc>
      </w:tr>
      <w:tr>
        <w:trPr>
          <w:trHeight w:val="176"/>
        </w:trPr>
        <w:tc>
          <w:tcPr>
            <w:tcW w:w="86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420" w:type="dxa"/>
            <w:vAlign w:val="bottom"/>
          </w:tcPr>
          <w:p>
            <w:pPr>
              <w:spacing w:after="0"/>
              <w:rPr>
                <w:sz w:val="15"/>
                <w:szCs w:val="15"/>
                <w:color w:val="auto"/>
              </w:rPr>
            </w:pPr>
          </w:p>
        </w:tc>
        <w:tc>
          <w:tcPr>
            <w:tcW w:w="9900" w:type="dxa"/>
            <w:vAlign w:val="bottom"/>
            <w:gridSpan w:val="14"/>
          </w:tcPr>
          <w:p>
            <w:pPr>
              <w:spacing w:after="0" w:line="176" w:lineRule="exact"/>
              <w:rPr>
                <w:rFonts w:ascii="Arial" w:cs="Arial" w:eastAsia="Arial" w:hAnsi="Arial"/>
                <w:sz w:val="18"/>
                <w:szCs w:val="18"/>
                <w:color w:val="0000FF"/>
              </w:rPr>
            </w:pPr>
            <w:hyperlink r:id="rId86">
              <w:r>
                <w:rPr>
                  <w:rFonts w:ascii="Arial" w:cs="Arial" w:eastAsia="Arial" w:hAnsi="Arial"/>
                  <w:sz w:val="18"/>
                  <w:szCs w:val="18"/>
                  <w:color w:val="0000FF"/>
                </w:rPr>
                <w:t>Form of 10.500% Senior Secured Note due 2025 (incorporated by reference to Exhibit 4.2 to the Company’s Current Report</w:t>
              </w:r>
            </w:hyperlink>
          </w:p>
        </w:tc>
      </w:tr>
      <w:tr>
        <w:trPr>
          <w:trHeight w:val="156"/>
        </w:trPr>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on Form 8-K dated May 12, 2020).</w:t>
              </w:r>
            </w:hyperlink>
          </w:p>
        </w:tc>
        <w:tc>
          <w:tcPr>
            <w:tcW w:w="60" w:type="dxa"/>
            <w:vAlign w:val="bottom"/>
            <w:gridSpan w:val="3"/>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7160" w:type="dxa"/>
            <w:vAlign w:val="bottom"/>
            <w:gridSpan w:val="12"/>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18"/>
                <w:szCs w:val="18"/>
                <w:color w:val="auto"/>
              </w:rPr>
            </w:pPr>
          </w:p>
        </w:tc>
        <w:tc>
          <w:tcPr>
            <w:tcW w:w="9900" w:type="dxa"/>
            <w:vAlign w:val="bottom"/>
            <w:gridSpan w:val="14"/>
          </w:tcPr>
          <w:p>
            <w:pPr>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Amendment to the Senior Credit Agreement, dated April 27, 2020, by and among Avis Budget Car Rental, LLC, Avis Budget</w:t>
              </w:r>
            </w:hyperlink>
          </w:p>
        </w:tc>
      </w:tr>
    </w:tbl>
    <w:p>
      <w:pPr>
        <w:ind w:left="1300" w:right="40"/>
        <w:spacing w:after="0" w:line="219"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Holdings, LLC, Avis Budget Group, Inc., certain of Avis Budget Car Rental, LLC’s subsidiaries, the lenders from time to time</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party thereto and JPMorgan Chase Bank, N.A., as administrative agent (incorporated by reference to Exhibit 10.1 to the</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Company’s Current Report on Form 8-K dated April 27, 2020).</w:t>
        </w:r>
      </w:hyperlink>
    </w:p>
    <w:p>
      <w:pPr>
        <w:spacing w:after="0" w:line="14" w:lineRule="exact"/>
        <w:rPr>
          <w:rFonts w:ascii="Arial" w:cs="Arial" w:eastAsia="Arial" w:hAnsi="Arial"/>
          <w:sz w:val="18"/>
          <w:szCs w:val="18"/>
          <w:u w:val="single" w:color="auto"/>
          <w:color w:val="0000FF"/>
        </w:rPr>
      </w:pPr>
    </w:p>
    <w:p>
      <w:pPr>
        <w:ind w:left="1300" w:hanging="1274"/>
        <w:spacing w:after="0"/>
        <w:tabs>
          <w:tab w:leader="none" w:pos="1300" w:val="left"/>
        </w:tabs>
        <w:numPr>
          <w:ilvl w:val="0"/>
          <w:numId w:val="45"/>
        </w:numPr>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List of Guarantor Subsidiaries</w:t>
        </w:r>
      </w:hyperlink>
    </w:p>
    <w:p>
      <w:pPr>
        <w:spacing w:after="0" w:line="19" w:lineRule="exact"/>
        <w:rPr>
          <w:rFonts w:ascii="Arial" w:cs="Arial" w:eastAsia="Arial" w:hAnsi="Arial"/>
          <w:sz w:val="18"/>
          <w:szCs w:val="18"/>
          <w:u w:val="single" w:color="auto"/>
          <w:color w:val="0000FF"/>
        </w:rPr>
      </w:pPr>
    </w:p>
    <w:tbl>
      <w:tblPr>
        <w:tblLayout w:type="fixed"/>
        <w:tblInd w:w="20" w:type="dxa"/>
        <w:tblCellMar>
          <w:top w:w="0" w:type="dxa"/>
          <w:left w:w="0" w:type="dxa"/>
          <w:bottom w:w="0" w:type="dxa"/>
          <w:right w:w="0" w:type="dxa"/>
        </w:tblCellMar>
      </w:tblPr>
      <w:tr>
        <w:trPr>
          <w:trHeight w:val="207"/>
        </w:trPr>
        <w:tc>
          <w:tcPr>
            <w:tcW w:w="1280" w:type="dxa"/>
            <w:vAlign w:val="bottom"/>
          </w:tcPr>
          <w:p>
            <w:pPr>
              <w:jc w:val="right"/>
              <w:ind w:right="830"/>
              <w:spacing w:after="0"/>
              <w:rPr>
                <w:sz w:val="20"/>
                <w:szCs w:val="20"/>
                <w:color w:val="auto"/>
              </w:rPr>
            </w:pPr>
            <w:r>
              <w:rPr>
                <w:rFonts w:ascii="Arial" w:cs="Arial" w:eastAsia="Arial" w:hAnsi="Arial"/>
                <w:sz w:val="18"/>
                <w:szCs w:val="18"/>
                <w:color w:val="auto"/>
                <w:w w:val="96"/>
              </w:rPr>
              <w:t>31.1</w:t>
            </w:r>
          </w:p>
        </w:tc>
        <w:tc>
          <w:tcPr>
            <w:tcW w:w="9460" w:type="dxa"/>
            <w:vAlign w:val="bottom"/>
            <w:gridSpan w:val="4"/>
          </w:tcPr>
          <w:p>
            <w:pPr>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Certification of Chief Executive Officer pursuant to Rules 13(a)-14(a) and 15(d)-14(a) promulgated under the Securities</w:t>
              </w:r>
            </w:hyperlink>
          </w:p>
        </w:tc>
      </w:tr>
      <w:tr>
        <w:trPr>
          <w:trHeight w:val="156"/>
        </w:trPr>
        <w:tc>
          <w:tcPr>
            <w:tcW w:w="1280" w:type="dxa"/>
            <w:vAlign w:val="bottom"/>
          </w:tcPr>
          <w:p>
            <w:pPr>
              <w:spacing w:after="0"/>
              <w:rPr>
                <w:sz w:val="13"/>
                <w:szCs w:val="13"/>
                <w:color w:val="auto"/>
              </w:rPr>
            </w:pPr>
          </w:p>
        </w:tc>
        <w:tc>
          <w:tcPr>
            <w:tcW w:w="2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w:anchor="page50">
              <w:r>
                <w:rPr>
                  <w:rFonts w:ascii="Arial" w:cs="Arial" w:eastAsia="Arial" w:hAnsi="Arial"/>
                  <w:sz w:val="18"/>
                  <w:szCs w:val="18"/>
                  <w:color w:val="0000FF"/>
                  <w:w w:val="99"/>
                </w:rPr>
                <w:t>Exchange Act of 1934, as amended.</w:t>
              </w:r>
            </w:hyperlink>
          </w:p>
        </w:tc>
        <w:tc>
          <w:tcPr>
            <w:tcW w:w="65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80" w:type="dxa"/>
            <w:vAlign w:val="bottom"/>
          </w:tcPr>
          <w:p>
            <w:pPr>
              <w:jc w:val="right"/>
              <w:ind w:right="830"/>
              <w:spacing w:after="0"/>
              <w:rPr>
                <w:sz w:val="20"/>
                <w:szCs w:val="20"/>
                <w:color w:val="auto"/>
              </w:rPr>
            </w:pPr>
            <w:r>
              <w:rPr>
                <w:rFonts w:ascii="Arial" w:cs="Arial" w:eastAsia="Arial" w:hAnsi="Arial"/>
                <w:sz w:val="18"/>
                <w:szCs w:val="18"/>
                <w:color w:val="auto"/>
                <w:w w:val="96"/>
              </w:rPr>
              <w:t>31.2</w:t>
            </w:r>
          </w:p>
        </w:tc>
        <w:tc>
          <w:tcPr>
            <w:tcW w:w="9460" w:type="dxa"/>
            <w:vAlign w:val="bottom"/>
            <w:gridSpan w:val="4"/>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 of Chief Financial Officer pursuant to Rules 13(a)-14(a) and 15(d)-14(a) promulgated under the Securities</w:t>
              </w:r>
            </w:hyperlink>
          </w:p>
        </w:tc>
      </w:tr>
      <w:tr>
        <w:trPr>
          <w:trHeight w:val="156"/>
        </w:trPr>
        <w:tc>
          <w:tcPr>
            <w:tcW w:w="1280" w:type="dxa"/>
            <w:vAlign w:val="bottom"/>
          </w:tcPr>
          <w:p>
            <w:pPr>
              <w:spacing w:after="0"/>
              <w:rPr>
                <w:sz w:val="13"/>
                <w:szCs w:val="13"/>
                <w:color w:val="auto"/>
              </w:rPr>
            </w:pPr>
          </w:p>
        </w:tc>
        <w:tc>
          <w:tcPr>
            <w:tcW w:w="2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w:anchor="page51">
              <w:r>
                <w:rPr>
                  <w:rFonts w:ascii="Arial" w:cs="Arial" w:eastAsia="Arial" w:hAnsi="Arial"/>
                  <w:sz w:val="18"/>
                  <w:szCs w:val="18"/>
                  <w:color w:val="0000FF"/>
                  <w:w w:val="99"/>
                </w:rPr>
                <w:t>Exchange Act of 1934, as amended.</w:t>
              </w:r>
            </w:hyperlink>
          </w:p>
        </w:tc>
        <w:tc>
          <w:tcPr>
            <w:tcW w:w="6480" w:type="dxa"/>
            <w:vAlign w:val="bottom"/>
            <w:tcBorders>
              <w:top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r>
    </w:tbl>
    <w:p>
      <w:pPr>
        <w:spacing w:after="0" w:line="40" w:lineRule="exact"/>
        <w:rPr>
          <w:sz w:val="20"/>
          <w:szCs w:val="20"/>
          <w:color w:val="auto"/>
        </w:rPr>
      </w:pPr>
    </w:p>
    <w:p>
      <w:pPr>
        <w:ind w:left="1300" w:hanging="1274"/>
        <w:spacing w:after="0"/>
        <w:tabs>
          <w:tab w:leader="none" w:pos="1300" w:val="left"/>
        </w:tabs>
        <w:numPr>
          <w:ilvl w:val="0"/>
          <w:numId w:val="46"/>
        </w:numPr>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pursuant to 18 U.S.C. Section 1350, as adopted pursuant to Section 906 of the Sarbanes-Oxley Act of 2002.</w:t>
        </w:r>
      </w:hyperlink>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tcPr>
          <w:p>
            <w:pPr>
              <w:ind w:left="280"/>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 are</w:t>
            </w:r>
          </w:p>
        </w:tc>
      </w:tr>
      <w:tr>
        <w:trPr>
          <w:trHeight w:val="217"/>
        </w:trPr>
        <w:tc>
          <w:tcPr>
            <w:tcW w:w="100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embedded within the Inline XBRL document.</w:t>
            </w:r>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40" w:lineRule="exact"/>
        <w:rPr>
          <w:sz w:val="20"/>
          <w:szCs w:val="20"/>
          <w:color w:val="auto"/>
        </w:rPr>
      </w:pPr>
    </w:p>
    <w:p>
      <w:pPr>
        <w:ind w:left="1300" w:hanging="127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46</w:t>
      </w:r>
    </w:p>
    <w:p>
      <w:pPr>
        <w:sectPr>
          <w:pgSz w:w="11900" w:h="16838" w:orient="portrait"/>
          <w:cols w:equalWidth="0" w:num="1">
            <w:col w:w="11160"/>
          </w:cols>
          <w:pgMar w:left="320" w:top="140" w:right="4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22</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List of Issuer and Guarantor Subsidiaries</w:t>
      </w:r>
    </w:p>
    <w:p>
      <w:pPr>
        <w:spacing w:after="0" w:line="8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The following subsidiaries of Avis Budget Group, Inc. (the "Parent") were, as of June 30, 2020, guarantors of the Company's senior notes: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6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Entity</w:t>
            </w:r>
          </w:p>
        </w:tc>
        <w:tc>
          <w:tcPr>
            <w:tcW w:w="240" w:type="dxa"/>
            <w:vAlign w:val="bottom"/>
          </w:tcPr>
          <w:p>
            <w:pPr>
              <w:spacing w:after="0"/>
              <w:rPr>
                <w:sz w:val="19"/>
                <w:szCs w:val="19"/>
                <w:color w:val="auto"/>
              </w:rPr>
            </w:pPr>
          </w:p>
        </w:tc>
        <w:tc>
          <w:tcPr>
            <w:tcW w:w="33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Jurisdiction of Incorporation</w:t>
            </w:r>
          </w:p>
        </w:tc>
        <w:tc>
          <w:tcPr>
            <w:tcW w:w="402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Senior Notes</w:t>
            </w:r>
          </w:p>
        </w:tc>
      </w:tr>
      <w:tr>
        <w:trPr>
          <w:trHeight w:val="24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AB Car Rental Services, Inc.</w:t>
            </w:r>
          </w:p>
        </w:tc>
        <w:tc>
          <w:tcPr>
            <w:tcW w:w="338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20" w:type="dxa"/>
            <w:vAlign w:val="bottom"/>
          </w:tcPr>
          <w:p>
            <w:pPr>
              <w:ind w:left="460"/>
              <w:spacing w:after="0"/>
              <w:rPr>
                <w:sz w:val="20"/>
                <w:szCs w:val="20"/>
                <w:color w:val="auto"/>
              </w:rPr>
            </w:pPr>
            <w:r>
              <w:rPr>
                <w:rFonts w:ascii="Arial" w:cs="Arial" w:eastAsia="Arial" w:hAnsi="Arial"/>
                <w:sz w:val="18"/>
                <w:szCs w:val="18"/>
                <w:color w:val="auto"/>
              </w:rPr>
              <w:t>Guarantor</w:t>
            </w:r>
          </w:p>
        </w:tc>
      </w:tr>
      <w:tr>
        <w:trPr>
          <w:trHeight w:val="25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Avis Budget Car Rental LLC</w:t>
            </w:r>
          </w:p>
        </w:tc>
        <w:tc>
          <w:tcPr>
            <w:tcW w:w="338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20" w:type="dxa"/>
            <w:vAlign w:val="bottom"/>
          </w:tcPr>
          <w:p>
            <w:pPr>
              <w:ind w:left="460"/>
              <w:spacing w:after="0"/>
              <w:rPr>
                <w:sz w:val="20"/>
                <w:szCs w:val="20"/>
                <w:color w:val="auto"/>
              </w:rPr>
            </w:pPr>
            <w:r>
              <w:rPr>
                <w:rFonts w:ascii="Arial" w:cs="Arial" w:eastAsia="Arial" w:hAnsi="Arial"/>
                <w:sz w:val="18"/>
                <w:szCs w:val="18"/>
                <w:color w:val="auto"/>
              </w:rPr>
              <w:t>Issuer</w:t>
            </w:r>
          </w:p>
        </w:tc>
      </w:tr>
      <w:tr>
        <w:trPr>
          <w:trHeight w:val="256"/>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Avis Budget Holdings, LLC</w:t>
            </w:r>
          </w:p>
        </w:tc>
        <w:tc>
          <w:tcPr>
            <w:tcW w:w="338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20" w:type="dxa"/>
            <w:vAlign w:val="bottom"/>
          </w:tcPr>
          <w:p>
            <w:pPr>
              <w:ind w:left="460"/>
              <w:spacing w:after="0"/>
              <w:rPr>
                <w:sz w:val="20"/>
                <w:szCs w:val="20"/>
                <w:color w:val="auto"/>
              </w:rPr>
            </w:pPr>
            <w:r>
              <w:rPr>
                <w:rFonts w:ascii="Arial" w:cs="Arial" w:eastAsia="Arial" w:hAnsi="Arial"/>
                <w:sz w:val="18"/>
                <w:szCs w:val="18"/>
                <w:color w:val="auto"/>
              </w:rPr>
              <w:t>Guarantor</w:t>
            </w:r>
          </w:p>
        </w:tc>
      </w:tr>
      <w:tr>
        <w:trPr>
          <w:trHeight w:val="25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Avis Car Rental Group, LLC</w:t>
            </w:r>
          </w:p>
        </w:tc>
        <w:tc>
          <w:tcPr>
            <w:tcW w:w="338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20" w:type="dxa"/>
            <w:vAlign w:val="bottom"/>
          </w:tcPr>
          <w:p>
            <w:pPr>
              <w:ind w:left="460"/>
              <w:spacing w:after="0"/>
              <w:rPr>
                <w:sz w:val="20"/>
                <w:szCs w:val="20"/>
                <w:color w:val="auto"/>
              </w:rPr>
            </w:pPr>
            <w:r>
              <w:rPr>
                <w:rFonts w:ascii="Arial" w:cs="Arial" w:eastAsia="Arial" w:hAnsi="Arial"/>
                <w:sz w:val="18"/>
                <w:szCs w:val="18"/>
                <w:color w:val="auto"/>
              </w:rPr>
              <w:t>Guarantor</w:t>
            </w:r>
          </w:p>
        </w:tc>
      </w:tr>
      <w:tr>
        <w:trPr>
          <w:trHeight w:val="25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Avis Caribbean, Limited</w:t>
            </w:r>
          </w:p>
        </w:tc>
        <w:tc>
          <w:tcPr>
            <w:tcW w:w="338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20" w:type="dxa"/>
            <w:vAlign w:val="bottom"/>
          </w:tcPr>
          <w:p>
            <w:pPr>
              <w:ind w:left="460"/>
              <w:spacing w:after="0"/>
              <w:rPr>
                <w:sz w:val="20"/>
                <w:szCs w:val="20"/>
                <w:color w:val="auto"/>
              </w:rPr>
            </w:pPr>
            <w:r>
              <w:rPr>
                <w:rFonts w:ascii="Arial" w:cs="Arial" w:eastAsia="Arial" w:hAnsi="Arial"/>
                <w:sz w:val="18"/>
                <w:szCs w:val="18"/>
                <w:color w:val="auto"/>
              </w:rPr>
              <w:t>Guarantor</w:t>
            </w:r>
          </w:p>
        </w:tc>
      </w:tr>
      <w:tr>
        <w:trPr>
          <w:trHeight w:val="25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Avis Group Holdings, LLC</w:t>
            </w:r>
          </w:p>
        </w:tc>
        <w:tc>
          <w:tcPr>
            <w:tcW w:w="338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20" w:type="dxa"/>
            <w:vAlign w:val="bottom"/>
          </w:tcPr>
          <w:p>
            <w:pPr>
              <w:ind w:left="460"/>
              <w:spacing w:after="0"/>
              <w:rPr>
                <w:sz w:val="20"/>
                <w:szCs w:val="20"/>
                <w:color w:val="auto"/>
              </w:rPr>
            </w:pPr>
            <w:r>
              <w:rPr>
                <w:rFonts w:ascii="Arial" w:cs="Arial" w:eastAsia="Arial" w:hAnsi="Arial"/>
                <w:sz w:val="18"/>
                <w:szCs w:val="18"/>
                <w:color w:val="auto"/>
              </w:rPr>
              <w:t>Guarantor</w:t>
            </w:r>
          </w:p>
        </w:tc>
      </w:tr>
      <w:tr>
        <w:trPr>
          <w:trHeight w:val="256"/>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Avis International, Ltd.</w:t>
            </w:r>
          </w:p>
        </w:tc>
        <w:tc>
          <w:tcPr>
            <w:tcW w:w="338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20" w:type="dxa"/>
            <w:vAlign w:val="bottom"/>
          </w:tcPr>
          <w:p>
            <w:pPr>
              <w:ind w:left="460"/>
              <w:spacing w:after="0"/>
              <w:rPr>
                <w:sz w:val="20"/>
                <w:szCs w:val="20"/>
                <w:color w:val="auto"/>
              </w:rPr>
            </w:pPr>
            <w:r>
              <w:rPr>
                <w:rFonts w:ascii="Arial" w:cs="Arial" w:eastAsia="Arial" w:hAnsi="Arial"/>
                <w:sz w:val="18"/>
                <w:szCs w:val="18"/>
                <w:color w:val="auto"/>
              </w:rPr>
              <w:t>Guarantor</w:t>
            </w:r>
          </w:p>
        </w:tc>
      </w:tr>
      <w:tr>
        <w:trPr>
          <w:trHeight w:val="25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Avis Rent A Car System, LLC</w:t>
            </w:r>
          </w:p>
        </w:tc>
        <w:tc>
          <w:tcPr>
            <w:tcW w:w="338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20" w:type="dxa"/>
            <w:vAlign w:val="bottom"/>
          </w:tcPr>
          <w:p>
            <w:pPr>
              <w:ind w:left="460"/>
              <w:spacing w:after="0"/>
              <w:rPr>
                <w:sz w:val="20"/>
                <w:szCs w:val="20"/>
                <w:color w:val="auto"/>
              </w:rPr>
            </w:pPr>
            <w:r>
              <w:rPr>
                <w:rFonts w:ascii="Arial" w:cs="Arial" w:eastAsia="Arial" w:hAnsi="Arial"/>
                <w:sz w:val="18"/>
                <w:szCs w:val="18"/>
                <w:color w:val="auto"/>
              </w:rPr>
              <w:t>Guarantor</w:t>
            </w:r>
          </w:p>
        </w:tc>
      </w:tr>
      <w:tr>
        <w:trPr>
          <w:trHeight w:val="25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Budget Rent A Car System, Inc.</w:t>
            </w:r>
          </w:p>
        </w:tc>
        <w:tc>
          <w:tcPr>
            <w:tcW w:w="338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20" w:type="dxa"/>
            <w:vAlign w:val="bottom"/>
          </w:tcPr>
          <w:p>
            <w:pPr>
              <w:ind w:left="460"/>
              <w:spacing w:after="0"/>
              <w:rPr>
                <w:sz w:val="20"/>
                <w:szCs w:val="20"/>
                <w:color w:val="auto"/>
              </w:rPr>
            </w:pPr>
            <w:r>
              <w:rPr>
                <w:rFonts w:ascii="Arial" w:cs="Arial" w:eastAsia="Arial" w:hAnsi="Arial"/>
                <w:sz w:val="18"/>
                <w:szCs w:val="18"/>
                <w:color w:val="auto"/>
              </w:rPr>
              <w:t>Guarantor</w:t>
            </w:r>
          </w:p>
        </w:tc>
      </w:tr>
      <w:tr>
        <w:trPr>
          <w:trHeight w:val="25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Budget Truck Rental LLC</w:t>
            </w:r>
          </w:p>
        </w:tc>
        <w:tc>
          <w:tcPr>
            <w:tcW w:w="338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20" w:type="dxa"/>
            <w:vAlign w:val="bottom"/>
          </w:tcPr>
          <w:p>
            <w:pPr>
              <w:ind w:left="460"/>
              <w:spacing w:after="0"/>
              <w:rPr>
                <w:sz w:val="20"/>
                <w:szCs w:val="20"/>
                <w:color w:val="auto"/>
              </w:rPr>
            </w:pPr>
            <w:r>
              <w:rPr>
                <w:rFonts w:ascii="Arial" w:cs="Arial" w:eastAsia="Arial" w:hAnsi="Arial"/>
                <w:sz w:val="18"/>
                <w:szCs w:val="18"/>
                <w:color w:val="auto"/>
              </w:rPr>
              <w:t>Guarantor</w:t>
            </w:r>
          </w:p>
        </w:tc>
      </w:tr>
      <w:tr>
        <w:trPr>
          <w:trHeight w:val="25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PR Holdco, Inc.</w:t>
            </w:r>
          </w:p>
        </w:tc>
        <w:tc>
          <w:tcPr>
            <w:tcW w:w="338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20" w:type="dxa"/>
            <w:vAlign w:val="bottom"/>
          </w:tcPr>
          <w:p>
            <w:pPr>
              <w:ind w:left="460"/>
              <w:spacing w:after="0"/>
              <w:rPr>
                <w:sz w:val="20"/>
                <w:szCs w:val="20"/>
                <w:color w:val="auto"/>
              </w:rPr>
            </w:pPr>
            <w:r>
              <w:rPr>
                <w:rFonts w:ascii="Arial" w:cs="Arial" w:eastAsia="Arial" w:hAnsi="Arial"/>
                <w:sz w:val="18"/>
                <w:szCs w:val="18"/>
                <w:color w:val="auto"/>
              </w:rPr>
              <w:t>Guarantor</w:t>
            </w:r>
          </w:p>
        </w:tc>
      </w:tr>
      <w:tr>
        <w:trPr>
          <w:trHeight w:val="256"/>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Wizard Services, Inc.</w:t>
            </w:r>
          </w:p>
        </w:tc>
        <w:tc>
          <w:tcPr>
            <w:tcW w:w="338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20" w:type="dxa"/>
            <w:vAlign w:val="bottom"/>
          </w:tcPr>
          <w:p>
            <w:pPr>
              <w:ind w:left="460"/>
              <w:spacing w:after="0"/>
              <w:rPr>
                <w:sz w:val="20"/>
                <w:szCs w:val="20"/>
                <w:color w:val="auto"/>
              </w:rPr>
            </w:pPr>
            <w:r>
              <w:rPr>
                <w:rFonts w:ascii="Arial" w:cs="Arial" w:eastAsia="Arial" w:hAnsi="Arial"/>
                <w:sz w:val="18"/>
                <w:szCs w:val="18"/>
                <w:color w:val="auto"/>
              </w:rPr>
              <w:t>Guarantor</w:t>
            </w:r>
          </w:p>
        </w:tc>
      </w:tr>
      <w:tr>
        <w:trPr>
          <w:trHeight w:val="25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Wizard Co., Inc.</w:t>
            </w:r>
          </w:p>
        </w:tc>
        <w:tc>
          <w:tcPr>
            <w:tcW w:w="338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20" w:type="dxa"/>
            <w:vAlign w:val="bottom"/>
          </w:tcPr>
          <w:p>
            <w:pPr>
              <w:ind w:left="460"/>
              <w:spacing w:after="0"/>
              <w:rPr>
                <w:sz w:val="20"/>
                <w:szCs w:val="20"/>
                <w:color w:val="auto"/>
              </w:rPr>
            </w:pPr>
            <w:r>
              <w:rPr>
                <w:rFonts w:ascii="Arial" w:cs="Arial" w:eastAsia="Arial" w:hAnsi="Arial"/>
                <w:sz w:val="18"/>
                <w:szCs w:val="18"/>
                <w:color w:val="auto"/>
              </w:rPr>
              <w:t>Guarantor</w:t>
            </w:r>
          </w:p>
        </w:tc>
      </w:tr>
      <w:tr>
        <w:trPr>
          <w:trHeight w:val="25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Zipcar, Inc.</w:t>
            </w:r>
          </w:p>
        </w:tc>
        <w:tc>
          <w:tcPr>
            <w:tcW w:w="3380" w:type="dxa"/>
            <w:vAlign w:val="bottom"/>
          </w:tcPr>
          <w:p>
            <w:pPr>
              <w:ind w:left="20"/>
              <w:spacing w:after="0"/>
              <w:rPr>
                <w:sz w:val="20"/>
                <w:szCs w:val="20"/>
                <w:color w:val="auto"/>
              </w:rPr>
            </w:pPr>
            <w:r>
              <w:rPr>
                <w:rFonts w:ascii="Arial" w:cs="Arial" w:eastAsia="Arial" w:hAnsi="Arial"/>
                <w:sz w:val="18"/>
                <w:szCs w:val="18"/>
                <w:color w:val="auto"/>
              </w:rPr>
              <w:t>Delaware</w:t>
            </w:r>
          </w:p>
        </w:tc>
        <w:tc>
          <w:tcPr>
            <w:tcW w:w="4020" w:type="dxa"/>
            <w:vAlign w:val="bottom"/>
          </w:tcPr>
          <w:p>
            <w:pPr>
              <w:ind w:left="460"/>
              <w:spacing w:after="0"/>
              <w:rPr>
                <w:sz w:val="20"/>
                <w:szCs w:val="20"/>
                <w:color w:val="auto"/>
              </w:rPr>
            </w:pPr>
            <w:r>
              <w:rPr>
                <w:rFonts w:ascii="Arial" w:cs="Arial" w:eastAsia="Arial" w:hAnsi="Arial"/>
                <w:sz w:val="18"/>
                <w:szCs w:val="18"/>
                <w:color w:val="auto"/>
              </w:rPr>
              <w:t>Guarantor</w:t>
            </w:r>
          </w:p>
        </w:tc>
      </w:tr>
    </w:tbl>
    <w:p>
      <w:pPr>
        <w:sectPr>
          <w:pgSz w:w="11900" w:h="16838" w:orient="portrait"/>
          <w:cols w:equalWidth="0" w:num="1">
            <w:col w:w="11220"/>
          </w:cols>
          <w:pgMar w:left="340" w:top="88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90"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300" w:right="540" w:hanging="320"/>
        <w:spacing w:after="0" w:line="278" w:lineRule="auto"/>
        <w:tabs>
          <w:tab w:leader="none" w:pos="1298"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7"/>
          <w:szCs w:val="17"/>
          <w:color w:val="auto"/>
        </w:rPr>
      </w:pPr>
    </w:p>
    <w:p>
      <w:pPr>
        <w:ind w:left="1300" w:right="300" w:hanging="320"/>
        <w:spacing w:after="0" w:line="256" w:lineRule="auto"/>
        <w:tabs>
          <w:tab w:leader="none" w:pos="12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jc w:val="both"/>
        <w:ind w:left="1300" w:right="440" w:hanging="320"/>
        <w:spacing w:after="0" w:line="256" w:lineRule="auto"/>
        <w:tabs>
          <w:tab w:leader="none" w:pos="12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8"/>
          <w:szCs w:val="18"/>
          <w:color w:val="auto"/>
        </w:rPr>
      </w:pPr>
    </w:p>
    <w:p>
      <w:pPr>
        <w:ind w:left="1300" w:right="780" w:hanging="320"/>
        <w:spacing w:after="0" w:line="261" w:lineRule="auto"/>
        <w:tabs>
          <w:tab w:leader="none" w:pos="12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14605</wp:posOffset>
            </wp:positionV>
            <wp:extent cx="28632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F. North, III, certify that:</w:t>
      </w:r>
    </w:p>
    <w:p>
      <w:pPr>
        <w:spacing w:after="0" w:line="171"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298"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320"/>
        <w:spacing w:after="0" w:line="256" w:lineRule="auto"/>
        <w:tabs>
          <w:tab w:leader="none" w:pos="12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2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2020</w:t>
      </w:r>
    </w:p>
    <w:p>
      <w:pPr>
        <w:spacing w:after="0" w:line="279"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F. North,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14605</wp:posOffset>
            </wp:positionV>
            <wp:extent cx="41662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June 30, 2020, as filed with the Securities and Exchange Commission on the date hereof (the “Report”), Joseph A. Ferraro, as Chief Executive Officer of the Company, and John F. North, III,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JOSEPH A. FERRARO</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29, 2020</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JOHN F. NORTH, III</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F. North, III</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29, 2020</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lowerLetter"/>
      <w:start w:val="1"/>
    </w:lvl>
  </w:abstractNum>
  <w:abstractNum w:abstractNumId="7">
    <w:nsid w:val="2901D82"/>
    <w:multiLevelType w:val="hybridMultilevel"/>
    <w:lvl w:ilvl="0">
      <w:lvlJc w:val="left"/>
      <w:lvlText w:val="%1"/>
      <w:numFmt w:val="decimal"/>
      <w:start w:val="1"/>
    </w:lvl>
    <w:lvl w:ilvl="1">
      <w:lvlJc w:val="left"/>
      <w:lvlText w:val="(%2)"/>
      <w:numFmt w:val="lowerLetter"/>
      <w:start w:val="1"/>
    </w:lvl>
  </w:abstractNum>
  <w:abstractNum w:abstractNumId="8">
    <w:nsid w:val="3A95F874"/>
    <w:multiLevelType w:val="hybridMultilevel"/>
    <w:lvl w:ilvl="0">
      <w:lvlJc w:val="left"/>
      <w:lvlText w:val="%1."/>
      <w:numFmt w:val="decimal"/>
      <w:start w:val="3"/>
    </w:lvl>
    <w:lvl w:ilvl="1">
      <w:lvlJc w:val="left"/>
      <w:lvlText w:val="%2"/>
      <w:numFmt w:val="lowerLetter"/>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decimal"/>
      <w:start w:val="1"/>
    </w:lvl>
    <w:lvl w:ilvl="1">
      <w:lvlJc w:val="left"/>
      <w:lvlText w:val="(%2)"/>
      <w:numFmt w:val="lowerLetter"/>
      <w:start w:val="1"/>
    </w:lvl>
  </w:abstractNum>
  <w:abstractNum w:abstractNumId="11">
    <w:nsid w:val="7C3DBD3D"/>
    <w:multiLevelType w:val="hybridMultilevel"/>
    <w:lvl w:ilvl="0">
      <w:lvlJc w:val="left"/>
      <w:lvlText w:val="%1."/>
      <w:numFmt w:val="decimal"/>
      <w:start w:val="5"/>
    </w:lvl>
    <w:lvl w:ilvl="1">
      <w:lvlJc w:val="left"/>
      <w:lvlText w:val="%2"/>
      <w:numFmt w:val="lowerLetter"/>
      <w:start w:val="1"/>
    </w:lvl>
  </w:abstractNum>
  <w:abstractNum w:abstractNumId="12">
    <w:nsid w:val="737B8DDC"/>
    <w:multiLevelType w:val="hybridMultilevel"/>
    <w:lvl w:ilvl="0">
      <w:lvlJc w:val="left"/>
      <w:lvlText w:val="%1."/>
      <w:numFmt w:val="decimal"/>
      <w:start w:val="8"/>
    </w:lvl>
    <w:lvl w:ilvl="1">
      <w:lvlJc w:val="left"/>
      <w:lvlText w:val="-"/>
      <w:numFmt w:val="bullet"/>
      <w:start w:val="1"/>
    </w:lvl>
  </w:abstractNum>
  <w:abstractNum w:abstractNumId="13">
    <w:nsid w:val="6CEAF087"/>
    <w:multiLevelType w:val="hybridMultilevel"/>
    <w:lvl w:ilvl="0">
      <w:lvlJc w:val="left"/>
      <w:lvlText w:val="(%1)"/>
      <w:numFmt w:val="lowerLetter"/>
      <w:start w:val="1"/>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lowerLetter"/>
      <w:start w:val="1"/>
    </w:lvl>
  </w:abstractNum>
  <w:abstractNum w:abstractNumId="16">
    <w:nsid w:val="3006C83E"/>
    <w:multiLevelType w:val="hybridMultilevel"/>
    <w:lvl w:ilvl="0">
      <w:lvlJc w:val="left"/>
      <w:lvlText w:val="(%1)"/>
      <w:numFmt w:val="lowerLetter"/>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decimal"/>
      <w:start w:val="13"/>
    </w:lvl>
  </w:abstractNum>
  <w:abstractNum w:abstractNumId="21">
    <w:nsid w:val="5072367"/>
    <w:multiLevelType w:val="hybridMultilevel"/>
    <w:lvl w:ilvl="0">
      <w:lvlJc w:val="left"/>
      <w:lvlText w:val="%1."/>
      <w:numFmt w:val="decimal"/>
      <w:start w:val="14"/>
    </w:lvl>
  </w:abstractNum>
  <w:abstractNum w:abstractNumId="22">
    <w:nsid w:val="3804823E"/>
    <w:multiLevelType w:val="hybridMultilevel"/>
    <w:lvl w:ilvl="0">
      <w:lvlJc w:val="left"/>
      <w:lvlText w:val="%1"/>
      <w:numFmt w:val="decimal"/>
      <w:start w:val="1"/>
    </w:lvl>
    <w:lvl w:ilvl="1">
      <w:lvlJc w:val="left"/>
      <w:lvlText w:val="(%2)"/>
      <w:numFmt w:val="lowerLetter"/>
      <w:start w:val="1"/>
    </w:lvl>
  </w:abstractNum>
  <w:abstractNum w:abstractNumId="23">
    <w:nsid w:val="77465F01"/>
    <w:multiLevelType w:val="hybridMultilevel"/>
    <w:lvl w:ilvl="0">
      <w:lvlJc w:val="left"/>
      <w:lvlText w:val="%1."/>
      <w:numFmt w:val="decimal"/>
      <w:start w:val="15"/>
    </w:lvl>
    <w:lvl w:ilvl="1">
      <w:lvlJc w:val="left"/>
      <w:lvlText w:val="%2"/>
      <w:numFmt w:val="lowerLetter"/>
      <w:start w:val="1"/>
    </w:lvl>
  </w:abstractNum>
  <w:abstractNum w:abstractNumId="24">
    <w:nsid w:val="7724C67E"/>
    <w:multiLevelType w:val="hybridMultilevel"/>
    <w:lvl w:ilvl="0">
      <w:lvlJc w:val="left"/>
      <w:lvlText w:val="(%1)"/>
      <w:numFmt w:val="decimal"/>
      <w:start w:val="397"/>
    </w:lvl>
  </w:abstractNum>
  <w:abstractNum w:abstractNumId="25">
    <w:nsid w:val="5C482A97"/>
    <w:multiLevelType w:val="hybridMultilevel"/>
    <w:lvl w:ilvl="0">
      <w:lvlJc w:val="left"/>
      <w:lvlText w:val="(%1)"/>
      <w:numFmt w:val="decimal"/>
      <w:start w:val="69"/>
    </w:lvl>
  </w:abstractNum>
  <w:abstractNum w:abstractNumId="26">
    <w:nsid w:val="2463B9EA"/>
    <w:multiLevelType w:val="hybridMultilevel"/>
    <w:lvl w:ilvl="0">
      <w:lvlJc w:val="left"/>
      <w:lvlText w:val="%1"/>
      <w:numFmt w:val="decimal"/>
      <w:start w:val="552"/>
    </w:lvl>
    <w:lvl w:ilvl="1">
      <w:lvlJc w:val="left"/>
      <w:lvlText w:val="(%2)"/>
      <w:numFmt w:val="decimal"/>
      <w:start w:val="73"/>
    </w:lvl>
  </w:abstractNum>
  <w:abstractNum w:abstractNumId="27">
    <w:nsid w:val="5E884ADC"/>
    <w:multiLevelType w:val="hybridMultilevel"/>
    <w:lvl w:ilvl="0">
      <w:lvlJc w:val="left"/>
      <w:lvlText w:val="(%1)"/>
      <w:numFmt w:val="decimal"/>
      <w:start w:val="414"/>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decimal"/>
      <w:start w:val="1"/>
    </w:lvl>
    <w:lvl w:ilvl="1">
      <w:lvlJc w:val="left"/>
      <w:lvlText w:val="(%2)"/>
      <w:numFmt w:val="lowerLetter"/>
      <w:start w:val="1"/>
    </w:lvl>
  </w:abstractNum>
  <w:abstractNum w:abstractNumId="33">
    <w:nsid w:val="70A64E2A"/>
    <w:multiLevelType w:val="hybridMultilevel"/>
    <w:lvl w:ilvl="0">
      <w:lvlJc w:val="left"/>
      <w:lvlText w:val="%1."/>
      <w:numFmt w:val="decimal"/>
      <w:start w:val="17"/>
    </w:lvl>
    <w:lvl w:ilvl="1">
      <w:lvlJc w:val="left"/>
      <w:lvlText w:val="%2"/>
      <w:numFmt w:val="lowerLetter"/>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22"/>
    </w:lvl>
  </w:abstractNum>
  <w:abstractNum w:abstractNumId="45">
    <w:nsid w:val="7644A45C"/>
    <w:multiLevelType w:val="hybridMultilevel"/>
    <w:lvl w:ilvl="0">
      <w:lvlJc w:val="left"/>
      <w:lvlText w:val="%1"/>
      <w:numFmt w:val="decimal"/>
      <w:start w:val="32"/>
    </w:lvl>
  </w:abstractNum>
  <w:abstractNum w:abstractNumId="46">
    <w:nsid w:val="32FFF902"/>
    <w:multiLevelType w:val="hybridMultilevel"/>
    <w:lvl w:ilvl="0">
      <w:lvlJc w:val="left"/>
      <w:lvlText w:val="%1"/>
      <w:numFmt w:val="decimal"/>
      <w:start w:val="104"/>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83" Type="http://schemas.openxmlformats.org/officeDocument/2006/relationships/hyperlink" Target="http://www.sec.gov/Archives/edgar/data/723612/000072361206000058/articles.htm" TargetMode="External"/><Relationship Id="rId84" Type="http://schemas.openxmlformats.org/officeDocument/2006/relationships/hyperlink" Target="http://www.sec.gov/Archives/edgar/data/723612/000072361220000070/abgamendedandrestatedb.htm" TargetMode="External"/><Relationship Id="rId85" Type="http://schemas.openxmlformats.org/officeDocument/2006/relationships/hyperlink" Target="http://www.sec.gov/Archives/edgar/data/723612/000119312520148107/d905484dex41.htm" TargetMode="External"/><Relationship Id="rId86" Type="http://schemas.openxmlformats.org/officeDocument/2006/relationships/hyperlink" Target="http://www.sec.gov/Archives/edgar/data/723612/000119312520140433/d926720dex41.htm" TargetMode="External"/><Relationship Id="rId87" Type="http://schemas.openxmlformats.org/officeDocument/2006/relationships/hyperlink" Target="http://www.sec.gov/Archives/edgar/data/723612/000119312520120963/d91539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2020-07-29T08:51:01Z</dcterms:created>
  <dcterms:modified xsi:type="dcterms:W3CDTF">2020-07-29T08:51:01Z</dcterms:modified>
</cp:coreProperties>
</file>