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3"/>
        <w:spacing w:after="0"/>
        <w:rPr>
          <w:sz w:val="20"/>
          <w:szCs w:val="20"/>
          <w:color w:val="auto"/>
        </w:rPr>
      </w:pPr>
      <w:r>
        <w:rPr>
          <w:rFonts w:ascii="Arial" w:cs="Arial" w:eastAsia="Arial" w:hAnsi="Arial"/>
          <w:sz w:val="16"/>
          <w:szCs w:val="16"/>
          <w:b w:val="1"/>
          <w:bCs w:val="1"/>
          <w:color w:val="auto"/>
        </w:rPr>
        <w:t>UNITED STATES</w:t>
      </w:r>
    </w:p>
    <w:p>
      <w:pPr>
        <w:spacing w:after="0" w:line="18" w:lineRule="exact"/>
        <w:rPr>
          <w:sz w:val="24"/>
          <w:szCs w:val="24"/>
          <w:color w:val="auto"/>
        </w:rPr>
      </w:pPr>
    </w:p>
    <w:p>
      <w:pPr>
        <w:jc w:val="center"/>
        <w:ind w:right="-243"/>
        <w:spacing w:after="0"/>
        <w:rPr>
          <w:sz w:val="20"/>
          <w:szCs w:val="20"/>
          <w:color w:val="auto"/>
        </w:rPr>
      </w:pPr>
      <w:r>
        <w:rPr>
          <w:rFonts w:ascii="Arial" w:cs="Arial" w:eastAsia="Arial" w:hAnsi="Arial"/>
          <w:sz w:val="16"/>
          <w:szCs w:val="16"/>
          <w:b w:val="1"/>
          <w:bCs w:val="1"/>
          <w:color w:val="auto"/>
        </w:rPr>
        <w:t>SECURITIES AND EXCHANGE COMMISSION</w:t>
      </w:r>
    </w:p>
    <w:p>
      <w:pPr>
        <w:spacing w:after="0" w:line="7" w:lineRule="exact"/>
        <w:rPr>
          <w:sz w:val="24"/>
          <w:szCs w:val="24"/>
          <w:color w:val="auto"/>
        </w:rPr>
      </w:pPr>
    </w:p>
    <w:p>
      <w:pPr>
        <w:jc w:val="center"/>
        <w:ind w:right="-243"/>
        <w:spacing w:after="0"/>
        <w:rPr>
          <w:sz w:val="20"/>
          <w:szCs w:val="20"/>
          <w:color w:val="auto"/>
        </w:rPr>
      </w:pPr>
      <w:r>
        <w:rPr>
          <w:rFonts w:ascii="Arial" w:cs="Arial" w:eastAsia="Arial" w:hAnsi="Arial"/>
          <w:sz w:val="16"/>
          <w:szCs w:val="16"/>
          <w:b w:val="1"/>
          <w:bCs w:val="1"/>
          <w:color w:val="auto"/>
        </w:rPr>
        <w:t>WASHINGTON, D.C. 20549</w:t>
      </w:r>
    </w:p>
    <w:p>
      <w:pPr>
        <w:spacing w:after="0" w:line="176" w:lineRule="exact"/>
        <w:rPr>
          <w:sz w:val="24"/>
          <w:szCs w:val="24"/>
          <w:color w:val="auto"/>
        </w:rPr>
      </w:pPr>
    </w:p>
    <w:p>
      <w:pPr>
        <w:jc w:val="center"/>
        <w:ind w:right="-243"/>
        <w:spacing w:after="0"/>
        <w:rPr>
          <w:sz w:val="20"/>
          <w:szCs w:val="20"/>
          <w:color w:val="auto"/>
        </w:rPr>
      </w:pPr>
      <w:r>
        <w:rPr>
          <w:rFonts w:ascii="Arial" w:cs="Arial" w:eastAsia="Arial" w:hAnsi="Arial"/>
          <w:sz w:val="22"/>
          <w:szCs w:val="22"/>
          <w:b w:val="1"/>
          <w:bCs w:val="1"/>
          <w:color w:val="auto"/>
        </w:rPr>
        <w:t>SCHEDULE 14A</w:t>
      </w:r>
    </w:p>
    <w:p>
      <w:pPr>
        <w:spacing w:after="0" w:line="27" w:lineRule="exact"/>
        <w:rPr>
          <w:sz w:val="24"/>
          <w:szCs w:val="24"/>
          <w:color w:val="auto"/>
        </w:rPr>
      </w:pPr>
    </w:p>
    <w:p>
      <w:pPr>
        <w:jc w:val="center"/>
        <w:ind w:right="-243"/>
        <w:spacing w:after="0"/>
        <w:rPr>
          <w:sz w:val="20"/>
          <w:szCs w:val="20"/>
          <w:color w:val="auto"/>
        </w:rPr>
      </w:pPr>
      <w:r>
        <w:rPr>
          <w:rFonts w:ascii="Arial" w:cs="Arial" w:eastAsia="Arial" w:hAnsi="Arial"/>
          <w:sz w:val="16"/>
          <w:szCs w:val="16"/>
          <w:color w:val="auto"/>
        </w:rPr>
        <w:t>Proxy Statement Pursuant to Section 14(a) of</w:t>
      </w:r>
    </w:p>
    <w:p>
      <w:pPr>
        <w:spacing w:after="0" w:line="1" w:lineRule="exact"/>
        <w:rPr>
          <w:sz w:val="24"/>
          <w:szCs w:val="24"/>
          <w:color w:val="auto"/>
        </w:rPr>
      </w:pPr>
    </w:p>
    <w:p>
      <w:pPr>
        <w:jc w:val="center"/>
        <w:ind w:right="-223"/>
        <w:spacing w:after="0"/>
        <w:tabs>
          <w:tab w:leader="none" w:pos="180" w:val="left"/>
        </w:tabs>
        <w:rPr>
          <w:sz w:val="20"/>
          <w:szCs w:val="20"/>
          <w:color w:val="auto"/>
        </w:rPr>
      </w:pPr>
      <w:r>
        <w:rPr>
          <w:rFonts w:ascii="Arial" w:cs="Arial" w:eastAsia="Arial" w:hAnsi="Arial"/>
          <w:sz w:val="14"/>
          <w:szCs w:val="14"/>
          <w:color w:val="auto"/>
        </w:rPr>
        <w:t>the Securities and Exchange Act of 1934 (Amendment No.</w:t>
      </w:r>
      <w:r>
        <w:rPr>
          <w:sz w:val="20"/>
          <w:szCs w:val="20"/>
          <w:color w:val="auto"/>
        </w:rPr>
        <w:tab/>
      </w:r>
      <w:r>
        <w:rPr>
          <w:rFonts w:ascii="Arial" w:cs="Arial" w:eastAsia="Arial" w:hAnsi="Arial"/>
          <w:sz w:val="12"/>
          <w:szCs w:val="12"/>
          <w:color w:val="auto"/>
        </w:rPr>
        <w:t>)</w:t>
      </w:r>
    </w:p>
    <w:p>
      <w:pPr>
        <w:spacing w:after="0" w:line="198" w:lineRule="exact"/>
        <w:rPr>
          <w:sz w:val="24"/>
          <w:szCs w:val="24"/>
          <w:color w:val="auto"/>
        </w:rPr>
      </w:pPr>
    </w:p>
    <w:p>
      <w:pPr>
        <w:ind w:left="4"/>
        <w:spacing w:after="0" w:line="184" w:lineRule="exact"/>
        <w:tabs>
          <w:tab w:leader="none" w:pos="1644" w:val="left"/>
        </w:tabs>
        <w:rPr>
          <w:sz w:val="20"/>
          <w:szCs w:val="20"/>
          <w:color w:val="auto"/>
        </w:rPr>
      </w:pPr>
      <w:r>
        <w:rPr>
          <w:rFonts w:ascii="Arial" w:cs="Arial" w:eastAsia="Arial" w:hAnsi="Arial"/>
          <w:sz w:val="16"/>
          <w:szCs w:val="16"/>
          <w:color w:val="auto"/>
        </w:rPr>
        <w:t>Filed by the Registrant</w:t>
      </w:r>
      <w:r>
        <w:rPr>
          <w:sz w:val="20"/>
          <w:szCs w:val="20"/>
          <w:color w:val="auto"/>
        </w:rPr>
        <w:tab/>
      </w:r>
      <w:r>
        <w:rPr>
          <w:rFonts w:ascii="MS PGothic" w:cs="MS PGothic" w:eastAsia="MS PGothic" w:hAnsi="MS PGothic"/>
          <w:sz w:val="14"/>
          <w:szCs w:val="14"/>
          <w:color w:val="auto"/>
        </w:rPr>
        <w:t>☒</w:t>
      </w:r>
    </w:p>
    <w:p>
      <w:pPr>
        <w:spacing w:after="0" w:line="246"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76" w:lineRule="exact"/>
        <w:rPr>
          <w:sz w:val="24"/>
          <w:szCs w:val="24"/>
          <w:color w:val="auto"/>
        </w:rPr>
      </w:pPr>
    </w:p>
    <w:p>
      <w:pPr>
        <w:ind w:left="4"/>
        <w:spacing w:after="0"/>
        <w:rPr>
          <w:sz w:val="20"/>
          <w:szCs w:val="20"/>
          <w:color w:val="auto"/>
        </w:rPr>
      </w:pPr>
      <w:r>
        <w:rPr>
          <w:rFonts w:ascii="Arial" w:cs="Arial" w:eastAsia="Arial" w:hAnsi="Arial"/>
          <w:sz w:val="16"/>
          <w:szCs w:val="16"/>
          <w:color w:val="auto"/>
        </w:rPr>
        <w:t>Check the appropriate box:</w:t>
      </w:r>
    </w:p>
    <w:p>
      <w:pPr>
        <w:spacing w:after="0" w:line="31" w:lineRule="exact"/>
        <w:rPr>
          <w:sz w:val="24"/>
          <w:szCs w:val="24"/>
          <w:color w:val="auto"/>
        </w:rPr>
      </w:pPr>
    </w:p>
    <w:p>
      <w:pPr>
        <w:ind w:left="624" w:hanging="385"/>
        <w:spacing w:after="0"/>
        <w:tabs>
          <w:tab w:leader="none" w:pos="6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31" w:lineRule="exact"/>
        <w:rPr>
          <w:rFonts w:ascii="MS PGothic" w:cs="MS PGothic" w:eastAsia="MS PGothic" w:hAnsi="MS PGothic"/>
          <w:sz w:val="16"/>
          <w:szCs w:val="16"/>
          <w:color w:val="auto"/>
        </w:rPr>
      </w:pPr>
    </w:p>
    <w:p>
      <w:pPr>
        <w:ind w:left="244" w:right="5480" w:hanging="5"/>
        <w:spacing w:after="0" w:line="215" w:lineRule="exact"/>
        <w:tabs>
          <w:tab w:leader="none" w:pos="62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Confidential, For Use of the Commission Only (as permitted by Rule 14a-6(e)(2)) </w:t>
      </w:r>
      <w:r>
        <w:rPr>
          <w:rFonts w:ascii="MS PGothic" w:cs="MS PGothic" w:eastAsia="MS PGothic" w:hAnsi="MS PGothic"/>
          <w:sz w:val="16"/>
          <w:szCs w:val="16"/>
          <w:color w:val="auto"/>
        </w:rPr>
        <w:t>☒</w:t>
      </w:r>
      <w:r>
        <w:rPr>
          <w:rFonts w:ascii="Arial" w:cs="Arial" w:eastAsia="Arial" w:hAnsi="Arial"/>
          <w:sz w:val="16"/>
          <w:szCs w:val="16"/>
          <w:color w:val="auto"/>
        </w:rPr>
        <w:t xml:space="preserve"> Definitive Proxy Statement</w:t>
      </w:r>
    </w:p>
    <w:p>
      <w:pPr>
        <w:ind w:left="624" w:hanging="385"/>
        <w:spacing w:after="0"/>
        <w:tabs>
          <w:tab w:leader="none" w:pos="6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31" w:lineRule="exact"/>
        <w:rPr>
          <w:rFonts w:ascii="MS PGothic" w:cs="MS PGothic" w:eastAsia="MS PGothic" w:hAnsi="MS PGothic"/>
          <w:sz w:val="16"/>
          <w:szCs w:val="16"/>
          <w:color w:val="auto"/>
        </w:rPr>
      </w:pPr>
    </w:p>
    <w:p>
      <w:pPr>
        <w:ind w:left="624" w:hanging="385"/>
        <w:spacing w:after="0"/>
        <w:tabs>
          <w:tab w:leader="none" w:pos="6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216" w:lineRule="exact"/>
        <w:rPr>
          <w:sz w:val="24"/>
          <w:szCs w:val="24"/>
          <w:color w:val="auto"/>
        </w:rPr>
      </w:pPr>
    </w:p>
    <w:p>
      <w:pPr>
        <w:jc w:val="center"/>
        <w:ind w:right="-243"/>
        <w:spacing w:after="0"/>
        <w:rPr>
          <w:sz w:val="20"/>
          <w:szCs w:val="20"/>
          <w:color w:val="auto"/>
        </w:rPr>
      </w:pPr>
      <w:r>
        <w:rPr>
          <w:rFonts w:ascii="Arial" w:cs="Arial" w:eastAsia="Arial" w:hAnsi="Arial"/>
          <w:sz w:val="19"/>
          <w:szCs w:val="19"/>
          <w:b w:val="1"/>
          <w:bCs w:val="1"/>
          <w:color w:val="auto"/>
        </w:rPr>
        <w:t>Avis Budget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726249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2495" cy="7620"/>
                    </a:xfrm>
                    <a:prstGeom prst="rect">
                      <a:avLst/>
                    </a:prstGeom>
                    <a:noFill/>
                  </pic:spPr>
                </pic:pic>
              </a:graphicData>
            </a:graphic>
          </wp:anchor>
        </w:drawing>
      </w:r>
    </w:p>
    <w:p>
      <w:pPr>
        <w:spacing w:after="0" w:line="258" w:lineRule="exact"/>
        <w:rPr>
          <w:sz w:val="24"/>
          <w:szCs w:val="24"/>
          <w:color w:val="auto"/>
        </w:rPr>
      </w:pPr>
    </w:p>
    <w:p>
      <w:pPr>
        <w:jc w:val="center"/>
        <w:ind w:right="-243"/>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153035</wp:posOffset>
            </wp:positionV>
            <wp:extent cx="72624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2495" cy="7620"/>
                    </a:xfrm>
                    <a:prstGeom prst="rect">
                      <a:avLst/>
                    </a:prstGeom>
                    <a:noFill/>
                  </pic:spPr>
                </pic:pic>
              </a:graphicData>
            </a:graphic>
          </wp:anchor>
        </w:drawing>
      </w:r>
    </w:p>
    <w:p>
      <w:pPr>
        <w:spacing w:after="0" w:line="262" w:lineRule="exact"/>
        <w:rPr>
          <w:sz w:val="24"/>
          <w:szCs w:val="24"/>
          <w:color w:val="auto"/>
        </w:rPr>
      </w:pPr>
    </w:p>
    <w:p>
      <w:pPr>
        <w:jc w:val="center"/>
        <w:ind w:right="-243"/>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46" w:lineRule="exact"/>
        <w:rPr>
          <w:sz w:val="24"/>
          <w:szCs w:val="24"/>
          <w:color w:val="auto"/>
        </w:rPr>
      </w:pPr>
    </w:p>
    <w:p>
      <w:pPr>
        <w:ind w:left="4"/>
        <w:spacing w:after="0"/>
        <w:rPr>
          <w:sz w:val="20"/>
          <w:szCs w:val="20"/>
          <w:color w:val="auto"/>
        </w:rPr>
      </w:pPr>
      <w:r>
        <w:rPr>
          <w:rFonts w:ascii="Arial" w:cs="Arial" w:eastAsia="Arial" w:hAnsi="Arial"/>
          <w:sz w:val="16"/>
          <w:szCs w:val="16"/>
          <w:color w:val="auto"/>
        </w:rPr>
        <w:t>Payment of Filing Fee (Check the appropriate box):</w:t>
      </w:r>
    </w:p>
    <w:p>
      <w:pPr>
        <w:spacing w:after="0" w:line="246" w:lineRule="exact"/>
        <w:rPr>
          <w:sz w:val="24"/>
          <w:szCs w:val="24"/>
          <w:color w:val="auto"/>
        </w:rPr>
      </w:pPr>
    </w:p>
    <w:p>
      <w:pPr>
        <w:ind w:left="384" w:hanging="384"/>
        <w:spacing w:after="0"/>
        <w:tabs>
          <w:tab w:leader="none" w:pos="38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46" w:lineRule="exact"/>
        <w:rPr>
          <w:sz w:val="24"/>
          <w:szCs w:val="24"/>
          <w:color w:val="auto"/>
        </w:rPr>
      </w:pPr>
    </w:p>
    <w:p>
      <w:pPr>
        <w:ind w:left="384" w:hanging="384"/>
        <w:spacing w:after="0"/>
        <w:tabs>
          <w:tab w:leader="none" w:pos="38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46" w:lineRule="exact"/>
        <w:rPr>
          <w:rFonts w:ascii="MS PGothic" w:cs="MS PGothic" w:eastAsia="MS PGothic" w:hAnsi="MS PGothic"/>
          <w:sz w:val="16"/>
          <w:szCs w:val="16"/>
          <w:color w:val="auto"/>
        </w:rPr>
      </w:pPr>
    </w:p>
    <w:p>
      <w:pPr>
        <w:ind w:left="1044" w:hanging="423"/>
        <w:spacing w:after="0"/>
        <w:tabs>
          <w:tab w:leader="none" w:pos="1044"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53" w:lineRule="exact"/>
        <w:rPr>
          <w:rFonts w:ascii="Arial" w:cs="Arial" w:eastAsia="Arial" w:hAnsi="Arial"/>
          <w:sz w:val="16"/>
          <w:szCs w:val="16"/>
          <w:color w:val="auto"/>
        </w:rPr>
      </w:pPr>
    </w:p>
    <w:p>
      <w:pPr>
        <w:ind w:left="1044" w:hanging="423"/>
        <w:spacing w:after="0"/>
        <w:tabs>
          <w:tab w:leader="none" w:pos="1044"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41" w:lineRule="exact"/>
        <w:rPr>
          <w:rFonts w:ascii="Arial" w:cs="Arial" w:eastAsia="Arial" w:hAnsi="Arial"/>
          <w:sz w:val="16"/>
          <w:szCs w:val="16"/>
          <w:color w:val="auto"/>
        </w:rPr>
      </w:pPr>
    </w:p>
    <w:p>
      <w:pPr>
        <w:ind w:left="1044" w:hanging="423"/>
        <w:spacing w:after="0" w:line="265" w:lineRule="auto"/>
        <w:tabs>
          <w:tab w:leader="none" w:pos="1044"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10" w:lineRule="exact"/>
        <w:rPr>
          <w:rFonts w:ascii="Arial" w:cs="Arial" w:eastAsia="Arial" w:hAnsi="Arial"/>
          <w:sz w:val="16"/>
          <w:szCs w:val="16"/>
          <w:color w:val="auto"/>
        </w:rPr>
      </w:pPr>
    </w:p>
    <w:p>
      <w:pPr>
        <w:ind w:left="1044" w:hanging="423"/>
        <w:spacing w:after="0"/>
        <w:tabs>
          <w:tab w:leader="none" w:pos="1044"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53" w:lineRule="exact"/>
        <w:rPr>
          <w:rFonts w:ascii="Arial" w:cs="Arial" w:eastAsia="Arial" w:hAnsi="Arial"/>
          <w:sz w:val="16"/>
          <w:szCs w:val="16"/>
          <w:color w:val="auto"/>
        </w:rPr>
      </w:pPr>
    </w:p>
    <w:p>
      <w:pPr>
        <w:ind w:left="1044" w:hanging="423"/>
        <w:spacing w:after="0"/>
        <w:tabs>
          <w:tab w:leader="none" w:pos="1044"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1" w:lineRule="exact"/>
        <w:rPr>
          <w:rFonts w:ascii="Arial" w:cs="Arial" w:eastAsia="Arial" w:hAnsi="Arial"/>
          <w:sz w:val="16"/>
          <w:szCs w:val="16"/>
          <w:color w:val="auto"/>
        </w:rPr>
      </w:pPr>
    </w:p>
    <w:p>
      <w:pPr>
        <w:ind w:left="384" w:hanging="384"/>
        <w:spacing w:after="0"/>
        <w:tabs>
          <w:tab w:leader="none" w:pos="38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34" w:lineRule="exact"/>
        <w:rPr>
          <w:rFonts w:ascii="MS PGothic" w:cs="MS PGothic" w:eastAsia="MS PGothic" w:hAnsi="MS PGothic"/>
          <w:sz w:val="16"/>
          <w:szCs w:val="16"/>
          <w:color w:val="auto"/>
        </w:rPr>
      </w:pPr>
    </w:p>
    <w:p>
      <w:pPr>
        <w:ind w:left="384" w:right="260" w:hanging="384"/>
        <w:spacing w:after="0" w:line="265" w:lineRule="auto"/>
        <w:tabs>
          <w:tab w:leader="none" w:pos="38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3" w:lineRule="exact"/>
        <w:rPr>
          <w:rFonts w:ascii="MS PGothic" w:cs="MS PGothic" w:eastAsia="MS PGothic" w:hAnsi="MS PGothic"/>
          <w:sz w:val="16"/>
          <w:szCs w:val="16"/>
          <w:color w:val="auto"/>
        </w:rPr>
      </w:pPr>
    </w:p>
    <w:p>
      <w:pPr>
        <w:ind w:left="1044" w:hanging="423"/>
        <w:spacing w:after="0"/>
        <w:tabs>
          <w:tab w:leader="none" w:pos="1044"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53" w:lineRule="exact"/>
        <w:rPr>
          <w:rFonts w:ascii="Arial" w:cs="Arial" w:eastAsia="Arial" w:hAnsi="Arial"/>
          <w:sz w:val="16"/>
          <w:szCs w:val="16"/>
          <w:color w:val="auto"/>
        </w:rPr>
      </w:pPr>
    </w:p>
    <w:p>
      <w:pPr>
        <w:ind w:left="1044" w:hanging="423"/>
        <w:spacing w:after="0"/>
        <w:tabs>
          <w:tab w:leader="none" w:pos="1044"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53" w:lineRule="exact"/>
        <w:rPr>
          <w:rFonts w:ascii="Arial" w:cs="Arial" w:eastAsia="Arial" w:hAnsi="Arial"/>
          <w:sz w:val="16"/>
          <w:szCs w:val="16"/>
          <w:color w:val="auto"/>
        </w:rPr>
      </w:pPr>
    </w:p>
    <w:p>
      <w:pPr>
        <w:ind w:left="1044" w:hanging="423"/>
        <w:spacing w:after="0"/>
        <w:tabs>
          <w:tab w:leader="none" w:pos="1044"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53" w:lineRule="exact"/>
        <w:rPr>
          <w:rFonts w:ascii="Arial" w:cs="Arial" w:eastAsia="Arial" w:hAnsi="Arial"/>
          <w:sz w:val="16"/>
          <w:szCs w:val="16"/>
          <w:color w:val="auto"/>
        </w:rPr>
      </w:pPr>
    </w:p>
    <w:p>
      <w:pPr>
        <w:ind w:left="1044" w:hanging="423"/>
        <w:spacing w:after="0"/>
        <w:tabs>
          <w:tab w:leader="none" w:pos="1044" w:val="left"/>
        </w:tabs>
        <w:numPr>
          <w:ilvl w:val="1"/>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668020</wp:posOffset>
            </wp:positionH>
            <wp:positionV relativeFrom="paragraph">
              <wp:posOffset>115570</wp:posOffset>
            </wp:positionV>
            <wp:extent cx="65944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4475" cy="7620"/>
                    </a:xfrm>
                    <a:prstGeom prst="rect">
                      <a:avLst/>
                    </a:prstGeom>
                    <a:noFill/>
                  </pic:spPr>
                </pic:pic>
              </a:graphicData>
            </a:graphic>
          </wp:anchor>
        </w:drawing>
        <w:drawing>
          <wp:anchor simplePos="0" relativeHeight="251657728" behindDoc="1" locked="0" layoutInCell="0" allowOverlap="1">
            <wp:simplePos x="0" y="0"/>
            <wp:positionH relativeFrom="column">
              <wp:posOffset>668020</wp:posOffset>
            </wp:positionH>
            <wp:positionV relativeFrom="paragraph">
              <wp:posOffset>-225425</wp:posOffset>
            </wp:positionV>
            <wp:extent cx="65944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4475" cy="7620"/>
                    </a:xfrm>
                    <a:prstGeom prst="rect">
                      <a:avLst/>
                    </a:prstGeom>
                    <a:noFill/>
                  </pic:spPr>
                </pic:pic>
              </a:graphicData>
            </a:graphic>
          </wp:anchor>
        </w:drawing>
        <w:drawing>
          <wp:anchor simplePos="0" relativeHeight="251657728" behindDoc="1" locked="0" layoutInCell="0" allowOverlap="1">
            <wp:simplePos x="0" y="0"/>
            <wp:positionH relativeFrom="column">
              <wp:posOffset>668020</wp:posOffset>
            </wp:positionH>
            <wp:positionV relativeFrom="paragraph">
              <wp:posOffset>-567055</wp:posOffset>
            </wp:positionV>
            <wp:extent cx="65944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4475" cy="7620"/>
                    </a:xfrm>
                    <a:prstGeom prst="rect">
                      <a:avLst/>
                    </a:prstGeom>
                    <a:noFill/>
                  </pic:spPr>
                </pic:pic>
              </a:graphicData>
            </a:graphic>
          </wp:anchor>
        </w:drawing>
        <w:drawing>
          <wp:anchor simplePos="0" relativeHeight="251657728" behindDoc="1" locked="0" layoutInCell="0" allowOverlap="1">
            <wp:simplePos x="0" y="0"/>
            <wp:positionH relativeFrom="column">
              <wp:posOffset>668020</wp:posOffset>
            </wp:positionH>
            <wp:positionV relativeFrom="paragraph">
              <wp:posOffset>-908685</wp:posOffset>
            </wp:positionV>
            <wp:extent cx="65944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4475" cy="7620"/>
                    </a:xfrm>
                    <a:prstGeom prst="rect">
                      <a:avLst/>
                    </a:prstGeom>
                    <a:noFill/>
                  </pic:spPr>
                </pic:pic>
              </a:graphicData>
            </a:graphic>
          </wp:anchor>
        </w:drawing>
        <w:drawing>
          <wp:anchor simplePos="0" relativeHeight="251657728" behindDoc="1" locked="0" layoutInCell="0" allowOverlap="1">
            <wp:simplePos x="0" y="0"/>
            <wp:positionH relativeFrom="column">
              <wp:posOffset>668020</wp:posOffset>
            </wp:positionH>
            <wp:positionV relativeFrom="paragraph">
              <wp:posOffset>-1932940</wp:posOffset>
            </wp:positionV>
            <wp:extent cx="65944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4475" cy="7620"/>
                    </a:xfrm>
                    <a:prstGeom prst="rect">
                      <a:avLst/>
                    </a:prstGeom>
                    <a:noFill/>
                  </pic:spPr>
                </pic:pic>
              </a:graphicData>
            </a:graphic>
          </wp:anchor>
        </w:drawing>
        <w:drawing>
          <wp:anchor simplePos="0" relativeHeight="251657728" behindDoc="1" locked="0" layoutInCell="0" allowOverlap="1">
            <wp:simplePos x="0" y="0"/>
            <wp:positionH relativeFrom="column">
              <wp:posOffset>668020</wp:posOffset>
            </wp:positionH>
            <wp:positionV relativeFrom="paragraph">
              <wp:posOffset>-2274570</wp:posOffset>
            </wp:positionV>
            <wp:extent cx="65944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4475" cy="7620"/>
                    </a:xfrm>
                    <a:prstGeom prst="rect">
                      <a:avLst/>
                    </a:prstGeom>
                    <a:noFill/>
                  </pic:spPr>
                </pic:pic>
              </a:graphicData>
            </a:graphic>
          </wp:anchor>
        </w:drawing>
        <w:drawing>
          <wp:anchor simplePos="0" relativeHeight="251657728" behindDoc="1" locked="0" layoutInCell="0" allowOverlap="1">
            <wp:simplePos x="0" y="0"/>
            <wp:positionH relativeFrom="column">
              <wp:posOffset>668020</wp:posOffset>
            </wp:positionH>
            <wp:positionV relativeFrom="paragraph">
              <wp:posOffset>-2616200</wp:posOffset>
            </wp:positionV>
            <wp:extent cx="659447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4475" cy="7620"/>
                    </a:xfrm>
                    <a:prstGeom prst="rect">
                      <a:avLst/>
                    </a:prstGeom>
                    <a:noFill/>
                  </pic:spPr>
                </pic:pic>
              </a:graphicData>
            </a:graphic>
          </wp:anchor>
        </w:drawing>
        <w:drawing>
          <wp:anchor simplePos="0" relativeHeight="251657728" behindDoc="1" locked="0" layoutInCell="0" allowOverlap="1">
            <wp:simplePos x="0" y="0"/>
            <wp:positionH relativeFrom="column">
              <wp:posOffset>668020</wp:posOffset>
            </wp:positionH>
            <wp:positionV relativeFrom="paragraph">
              <wp:posOffset>-3063875</wp:posOffset>
            </wp:positionV>
            <wp:extent cx="659447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4475" cy="7620"/>
                    </a:xfrm>
                    <a:prstGeom prst="rect">
                      <a:avLst/>
                    </a:prstGeom>
                    <a:noFill/>
                  </pic:spPr>
                </pic:pic>
              </a:graphicData>
            </a:graphic>
          </wp:anchor>
        </w:drawing>
        <w:drawing>
          <wp:anchor simplePos="0" relativeHeight="251657728" behindDoc="1" locked="0" layoutInCell="0" allowOverlap="1">
            <wp:simplePos x="0" y="0"/>
            <wp:positionH relativeFrom="column">
              <wp:posOffset>668020</wp:posOffset>
            </wp:positionH>
            <wp:positionV relativeFrom="paragraph">
              <wp:posOffset>-3405505</wp:posOffset>
            </wp:positionV>
            <wp:extent cx="65944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447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317500</wp:posOffset>
            </wp:positionV>
            <wp:extent cx="728281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2815" cy="20320"/>
                    </a:xfrm>
                    <a:prstGeom prst="rect">
                      <a:avLst/>
                    </a:prstGeom>
                    <a:noFill/>
                  </pic:spPr>
                </pic:pic>
              </a:graphicData>
            </a:graphic>
          </wp:anchor>
        </w:drawing>
      </w:r>
    </w:p>
    <w:p>
      <w:pPr>
        <w:sectPr>
          <w:pgSz w:w="11900" w:h="16838" w:orient="portrait"/>
          <w:cols w:equalWidth="0" w:num="1">
            <w:col w:w="11204"/>
          </w:cols>
          <w:pgMar w:left="236" w:top="628" w:right="4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3108960</wp:posOffset>
            </wp:positionH>
            <wp:positionV relativeFrom="page">
              <wp:posOffset>749300</wp:posOffset>
            </wp:positionV>
            <wp:extent cx="1638935" cy="576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38935" cy="576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March 24, 2015</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Dear Fellow Stockholder:</w:t>
      </w:r>
    </w:p>
    <w:p>
      <w:pPr>
        <w:spacing w:after="0" w:line="246" w:lineRule="exact"/>
        <w:rPr>
          <w:sz w:val="20"/>
          <w:szCs w:val="20"/>
          <w:color w:val="auto"/>
        </w:rPr>
      </w:pPr>
    </w:p>
    <w:p>
      <w:pPr>
        <w:jc w:val="both"/>
        <w:ind w:right="140"/>
        <w:spacing w:after="0" w:line="278" w:lineRule="auto"/>
        <w:rPr>
          <w:sz w:val="20"/>
          <w:szCs w:val="20"/>
          <w:color w:val="auto"/>
        </w:rPr>
      </w:pPr>
      <w:r>
        <w:rPr>
          <w:rFonts w:ascii="Arial" w:cs="Arial" w:eastAsia="Arial" w:hAnsi="Arial"/>
          <w:sz w:val="16"/>
          <w:szCs w:val="16"/>
          <w:color w:val="auto"/>
        </w:rPr>
        <w:t>You are cordially invited to attend the Annual Meeting of Stockholders of Avis Budget Group, Inc., which will be held at the DoubleTree by Hilton Downtown Wilmington—Legal District, 700 N. King Street, Wilmington, Delaware 19801 on Tuesday, May 19, 2015, at 11:00 a.m., Eastern Time. We look forward to greeting as many of our stockholders as possible.</w:t>
      </w:r>
    </w:p>
    <w:p>
      <w:pPr>
        <w:spacing w:after="0" w:line="209" w:lineRule="exact"/>
        <w:rPr>
          <w:sz w:val="20"/>
          <w:szCs w:val="20"/>
          <w:color w:val="auto"/>
        </w:rPr>
      </w:pPr>
    </w:p>
    <w:p>
      <w:pPr>
        <w:ind w:right="320"/>
        <w:spacing w:after="0" w:line="326" w:lineRule="auto"/>
        <w:rPr>
          <w:sz w:val="20"/>
          <w:szCs w:val="20"/>
          <w:color w:val="auto"/>
        </w:rPr>
      </w:pPr>
      <w:r>
        <w:rPr>
          <w:rFonts w:ascii="Arial" w:cs="Arial" w:eastAsia="Arial" w:hAnsi="Arial"/>
          <w:sz w:val="15"/>
          <w:szCs w:val="15"/>
          <w:color w:val="auto"/>
        </w:rPr>
        <w:t>This booklet includes the Notice of Annual Meeting and the Proxy Statement. The Proxy Statement describes the business to be conducted at the Annual Meeting and provides other information concerning our company of which you should be aware when you vote your shares.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Your vote is important to us. Whether or not you attend the Annual Meeting, it is important that your shares be represented and voted at the meeting.</w:t>
      </w:r>
    </w:p>
    <w:p>
      <w:pPr>
        <w:spacing w:after="0" w:line="26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behalf of the Board of Directors and the employees of Avis Budget Group, Inc., I would like to thank you for being a stockholder and express my appreciation for your ongoing support of our company.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255270</wp:posOffset>
            </wp:positionV>
            <wp:extent cx="933450" cy="189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3450" cy="189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Ronald L. Nelson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115570</wp:posOffset>
            </wp:positionV>
            <wp:extent cx="6850380" cy="35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560"/>
          </w:cols>
          <w:pgMar w:left="1380" w:top="1440" w:right="95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Notice of 2015 Annual Meeting</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of Stockholders</w:t>
      </w:r>
    </w:p>
    <w:p>
      <w:pPr>
        <w:spacing w:after="0" w:line="257"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NOTICE IS HEREBY GIVEN that the Annual Meeting of Stockholders of Avis Budget Group, Inc. (the "Company") will be held on Tuesday, May 19, 2015, at 11:00 a.m. Eastern Time, at the DoubleTree by Hilton Downtown Wilmington—Legal District, 700 N. King Street, Wilmington, Delaware 19801 (the "Meeting"), to consider and vote upon the following matters:</w:t>
      </w:r>
    </w:p>
    <w:p>
      <w:pPr>
        <w:spacing w:after="0" w:line="137" w:lineRule="exact"/>
        <w:rPr>
          <w:sz w:val="20"/>
          <w:szCs w:val="20"/>
          <w:color w:val="auto"/>
        </w:rPr>
      </w:pPr>
    </w:p>
    <w:p>
      <w:pPr>
        <w:ind w:left="420" w:right="220" w:hanging="369"/>
        <w:spacing w:after="0" w:line="265"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as directors the ten nominees named in the accompanying proxy statement for a one-year term expiring in 2016 and until his or her successor is duly elected and qualified or until his or her earlier resignation or removal.</w:t>
      </w:r>
    </w:p>
    <w:p>
      <w:pPr>
        <w:ind w:left="420" w:hanging="369"/>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the independent registered public accounting firm for fiscal year 2015.</w:t>
      </w:r>
    </w:p>
    <w:p>
      <w:pPr>
        <w:spacing w:after="0" w:line="19" w:lineRule="exact"/>
        <w:rPr>
          <w:rFonts w:ascii="Arial" w:cs="Arial" w:eastAsia="Arial" w:hAnsi="Arial"/>
          <w:sz w:val="16"/>
          <w:szCs w:val="16"/>
          <w:color w:val="auto"/>
        </w:rPr>
      </w:pPr>
    </w:p>
    <w:p>
      <w:pPr>
        <w:ind w:left="420" w:hanging="369"/>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provide advisory approval of the compensation of our named executive officers.</w:t>
      </w:r>
    </w:p>
    <w:p>
      <w:pPr>
        <w:spacing w:after="0" w:line="19" w:lineRule="exact"/>
        <w:rPr>
          <w:rFonts w:ascii="Arial" w:cs="Arial" w:eastAsia="Arial" w:hAnsi="Arial"/>
          <w:sz w:val="16"/>
          <w:szCs w:val="16"/>
          <w:color w:val="auto"/>
        </w:rPr>
      </w:pPr>
    </w:p>
    <w:p>
      <w:pPr>
        <w:ind w:left="420" w:hanging="369"/>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or any adjournment or postponement thereof.</w:t>
      </w:r>
    </w:p>
    <w:p>
      <w:pPr>
        <w:spacing w:after="0" w:line="245" w:lineRule="exact"/>
        <w:rPr>
          <w:sz w:val="20"/>
          <w:szCs w:val="20"/>
          <w:color w:val="auto"/>
        </w:rPr>
      </w:pPr>
    </w:p>
    <w:p>
      <w:pPr>
        <w:spacing w:after="0" w:line="324" w:lineRule="auto"/>
        <w:rPr>
          <w:sz w:val="20"/>
          <w:szCs w:val="20"/>
          <w:color w:val="auto"/>
        </w:rPr>
      </w:pPr>
      <w:r>
        <w:rPr>
          <w:rFonts w:ascii="Arial" w:cs="Arial" w:eastAsia="Arial" w:hAnsi="Arial"/>
          <w:sz w:val="14"/>
          <w:szCs w:val="14"/>
          <w:color w:val="auto"/>
        </w:rPr>
        <w:t>The Board of Directors has fixed the close of business on March 23, 2015 as the record date for the Meeting. Only stockholders of record at that time are entitled to notice of, and to vote at, the Meeting and any adjournment or postponement thereof. A list of stockholders entitled to vote at the Meeting will be available for examination by any stockholder, for any purpose germane to the Meeting, at the Meeting and for ten days prior to the Meeting during ordinary business hours at 6 Sylvan Way, Parsippany, New Jersey 07054, the Company's principal place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351155</wp:posOffset>
            </wp:positionV>
            <wp:extent cx="6101080" cy="895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01080" cy="89535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Important Notice Regarding the Availability of Proxy Materials</w:t>
      </w: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for the Stockholder Meeting to Be Held on May 19, 2015</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The Company's Proxy Statement on Schedule 14A,</w:t>
      </w: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form of proxy card and 2014 Annual Report on Form 10-K</w:t>
      </w: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are available at:</w:t>
      </w: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u w:val="single" w:color="auto"/>
          <w:color w:val="auto"/>
        </w:rPr>
        <w:t>www.edocumentview.com/CAR</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262890</wp:posOffset>
            </wp:positionV>
            <wp:extent cx="963930" cy="303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63930" cy="303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Jean M. Sera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&amp; Corporate Secretary</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Dated: March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116205</wp:posOffset>
            </wp:positionV>
            <wp:extent cx="6850380" cy="35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520"/>
          </w:cols>
          <w:pgMar w:left="1380" w:top="438" w:right="9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8120" w:type="dxa"/>
            <w:vAlign w:val="bottom"/>
            <w:gridSpan w:val="2"/>
          </w:tcPr>
          <w:p>
            <w:pPr>
              <w:ind w:left="560"/>
              <w:spacing w:after="0"/>
              <w:rPr>
                <w:sz w:val="20"/>
                <w:szCs w:val="20"/>
                <w:color w:val="auto"/>
              </w:rPr>
            </w:pPr>
            <w:r>
              <w:rPr>
                <w:rFonts w:ascii="Arial" w:cs="Arial" w:eastAsia="Arial" w:hAnsi="Arial"/>
                <w:sz w:val="16"/>
                <w:szCs w:val="16"/>
                <w:color w:val="auto"/>
              </w:rPr>
              <w:t>Proxy Statement</w:t>
            </w: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42"/>
        </w:trPr>
        <w:tc>
          <w:tcPr>
            <w:tcW w:w="8120" w:type="dxa"/>
            <w:vAlign w:val="bottom"/>
            <w:gridSpan w:val="2"/>
          </w:tcPr>
          <w:p>
            <w:pPr>
              <w:ind w:left="560"/>
              <w:spacing w:after="0"/>
              <w:rPr>
                <w:sz w:val="20"/>
                <w:szCs w:val="20"/>
                <w:color w:val="auto"/>
              </w:rPr>
            </w:pPr>
            <w:r>
              <w:rPr>
                <w:rFonts w:ascii="Arial" w:cs="Arial" w:eastAsia="Arial" w:hAnsi="Arial"/>
                <w:sz w:val="16"/>
                <w:szCs w:val="16"/>
                <w:color w:val="auto"/>
              </w:rPr>
              <w:t>Table of Contents</w:t>
            </w: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4"/>
        </w:trPr>
        <w:tc>
          <w:tcPr>
            <w:tcW w:w="5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Arial" w:cs="Arial" w:eastAsia="Arial" w:hAnsi="Arial"/>
                <w:sz w:val="16"/>
                <w:szCs w:val="16"/>
                <w:b w:val="1"/>
                <w:bCs w:val="1"/>
                <w:color w:val="auto"/>
              </w:rPr>
              <w:t>Page</w:t>
            </w:r>
          </w:p>
        </w:tc>
        <w:tc>
          <w:tcPr>
            <w:tcW w:w="680" w:type="dxa"/>
            <w:vAlign w:val="bottom"/>
          </w:tcPr>
          <w:p>
            <w:pPr>
              <w:spacing w:after="0"/>
              <w:rPr>
                <w:sz w:val="24"/>
                <w:szCs w:val="24"/>
                <w:color w:val="auto"/>
              </w:rPr>
            </w:pPr>
          </w:p>
        </w:tc>
      </w:tr>
      <w:tr>
        <w:trPr>
          <w:trHeight w:val="28"/>
        </w:trPr>
        <w:tc>
          <w:tcPr>
            <w:tcW w:w="56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r>
      <w:tr>
        <w:trPr>
          <w:trHeight w:val="211"/>
        </w:trPr>
        <w:tc>
          <w:tcPr>
            <w:tcW w:w="560" w:type="dxa"/>
            <w:vAlign w:val="bottom"/>
          </w:tcPr>
          <w:p>
            <w:pPr>
              <w:spacing w:after="0"/>
              <w:rPr>
                <w:sz w:val="18"/>
                <w:szCs w:val="18"/>
                <w:color w:val="auto"/>
              </w:rPr>
            </w:pPr>
          </w:p>
        </w:tc>
        <w:tc>
          <w:tcPr>
            <w:tcW w:w="7560" w:type="dxa"/>
            <w:vAlign w:val="bottom"/>
            <w:shd w:val="clear" w:color="auto" w:fill="E9E9E9"/>
          </w:tcPr>
          <w:p>
            <w:pPr>
              <w:ind w:left="60"/>
              <w:spacing w:after="0"/>
              <w:rPr>
                <w:sz w:val="20"/>
                <w:szCs w:val="20"/>
                <w:color w:val="auto"/>
              </w:rPr>
            </w:pPr>
            <w:r>
              <w:rPr>
                <w:rFonts w:ascii="Arial" w:cs="Arial" w:eastAsia="Arial" w:hAnsi="Arial"/>
                <w:sz w:val="16"/>
                <w:szCs w:val="16"/>
                <w:b w:val="1"/>
                <w:bCs w:val="1"/>
                <w:color w:val="auto"/>
              </w:rPr>
              <w:t>Proxy Summary</w:t>
            </w:r>
          </w:p>
        </w:tc>
        <w:tc>
          <w:tcPr>
            <w:tcW w:w="1680" w:type="dxa"/>
            <w:vAlign w:val="bottom"/>
            <w:shd w:val="clear" w:color="auto" w:fill="E9E9E9"/>
          </w:tcPr>
          <w:p>
            <w:pPr>
              <w:spacing w:after="0"/>
              <w:rPr>
                <w:sz w:val="18"/>
                <w:szCs w:val="18"/>
                <w:color w:val="auto"/>
              </w:rPr>
            </w:pPr>
          </w:p>
        </w:tc>
        <w:tc>
          <w:tcPr>
            <w:tcW w:w="240" w:type="dxa"/>
            <w:vAlign w:val="bottom"/>
            <w:tcBorders>
              <w:right w:val="single" w:sz="8" w:color="E9E9E9"/>
            </w:tcBorders>
            <w:shd w:val="clear" w:color="auto" w:fill="E9E9E9"/>
          </w:tcPr>
          <w:p>
            <w:pPr>
              <w:spacing w:after="0"/>
              <w:rPr>
                <w:sz w:val="18"/>
                <w:szCs w:val="18"/>
                <w:color w:val="auto"/>
              </w:rPr>
            </w:pPr>
          </w:p>
        </w:tc>
        <w:tc>
          <w:tcPr>
            <w:tcW w:w="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i</w:t>
            </w:r>
          </w:p>
        </w:tc>
        <w:tc>
          <w:tcPr>
            <w:tcW w:w="680" w:type="dxa"/>
            <w:vAlign w:val="bottom"/>
            <w:tcBorders>
              <w:left w:val="single" w:sz="8" w:color="E9E9E9"/>
            </w:tcBorders>
          </w:tcPr>
          <w:p>
            <w:pPr>
              <w:spacing w:after="0"/>
              <w:rPr>
                <w:sz w:val="18"/>
                <w:szCs w:val="18"/>
                <w:color w:val="auto"/>
              </w:rPr>
            </w:pPr>
          </w:p>
        </w:tc>
      </w:tr>
      <w:tr>
        <w:trPr>
          <w:trHeight w:val="167"/>
        </w:trPr>
        <w:tc>
          <w:tcPr>
            <w:tcW w:w="560" w:type="dxa"/>
            <w:vAlign w:val="bottom"/>
          </w:tcPr>
          <w:p>
            <w:pPr>
              <w:spacing w:after="0"/>
              <w:rPr>
                <w:sz w:val="14"/>
                <w:szCs w:val="14"/>
                <w:color w:val="auto"/>
              </w:rPr>
            </w:pPr>
          </w:p>
        </w:tc>
        <w:tc>
          <w:tcPr>
            <w:tcW w:w="7560" w:type="dxa"/>
            <w:vAlign w:val="bottom"/>
          </w:tcPr>
          <w:p>
            <w:pPr>
              <w:ind w:left="60"/>
              <w:spacing w:after="0" w:line="168" w:lineRule="exact"/>
              <w:rPr>
                <w:sz w:val="20"/>
                <w:szCs w:val="20"/>
                <w:color w:val="auto"/>
              </w:rPr>
            </w:pPr>
            <w:r>
              <w:rPr>
                <w:rFonts w:ascii="Arial" w:cs="Arial" w:eastAsia="Arial" w:hAnsi="Arial"/>
                <w:sz w:val="16"/>
                <w:szCs w:val="16"/>
                <w:b w:val="1"/>
                <w:bCs w:val="1"/>
                <w:color w:val="auto"/>
              </w:rPr>
              <w:t>About the Annual Meeting</w:t>
            </w:r>
          </w:p>
        </w:tc>
        <w:tc>
          <w:tcPr>
            <w:tcW w:w="1920" w:type="dxa"/>
            <w:vAlign w:val="bottom"/>
            <w:gridSpan w:val="2"/>
          </w:tcPr>
          <w:p>
            <w:pPr>
              <w:spacing w:after="0"/>
              <w:rPr>
                <w:sz w:val="14"/>
                <w:szCs w:val="14"/>
                <w:color w:val="auto"/>
              </w:rPr>
            </w:pPr>
          </w:p>
        </w:tc>
        <w:tc>
          <w:tcPr>
            <w:tcW w:w="80" w:type="dxa"/>
            <w:vAlign w:val="bottom"/>
          </w:tcPr>
          <w:p>
            <w:pPr>
              <w:jc w:val="right"/>
              <w:spacing w:after="0" w:line="167" w:lineRule="exact"/>
              <w:rPr>
                <w:rFonts w:ascii="Arial" w:cs="Arial" w:eastAsia="Arial" w:hAnsi="Arial"/>
                <w:sz w:val="15"/>
                <w:szCs w:val="15"/>
                <w:color w:val="auto"/>
                <w:w w:val="71"/>
              </w:rPr>
            </w:pPr>
            <w:hyperlink w:anchor="page8">
              <w:r>
                <w:rPr>
                  <w:rFonts w:ascii="Arial" w:cs="Arial" w:eastAsia="Arial" w:hAnsi="Arial"/>
                  <w:sz w:val="15"/>
                  <w:szCs w:val="15"/>
                  <w:color w:val="auto"/>
                  <w:w w:val="71"/>
                </w:rPr>
                <w:t>1</w:t>
              </w:r>
            </w:hyperlink>
          </w:p>
        </w:tc>
        <w:tc>
          <w:tcPr>
            <w:tcW w:w="680" w:type="dxa"/>
            <w:vAlign w:val="bottom"/>
          </w:tcPr>
          <w:p>
            <w:pPr>
              <w:spacing w:after="0"/>
              <w:rPr>
                <w:sz w:val="14"/>
                <w:szCs w:val="14"/>
                <w:color w:val="auto"/>
              </w:rPr>
            </w:pPr>
          </w:p>
        </w:tc>
      </w:tr>
      <w:tr>
        <w:trPr>
          <w:trHeight w:val="28"/>
        </w:trPr>
        <w:tc>
          <w:tcPr>
            <w:tcW w:w="56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r>
      <w:tr>
        <w:trPr>
          <w:trHeight w:val="215"/>
        </w:trPr>
        <w:tc>
          <w:tcPr>
            <w:tcW w:w="560" w:type="dxa"/>
            <w:vAlign w:val="bottom"/>
          </w:tcPr>
          <w:p>
            <w:pPr>
              <w:spacing w:after="0"/>
              <w:rPr>
                <w:sz w:val="18"/>
                <w:szCs w:val="18"/>
                <w:color w:val="auto"/>
              </w:rPr>
            </w:pPr>
          </w:p>
        </w:tc>
        <w:tc>
          <w:tcPr>
            <w:tcW w:w="7560" w:type="dxa"/>
            <w:vAlign w:val="bottom"/>
            <w:tcBorders>
              <w:bottom w:val="single" w:sz="8" w:color="auto"/>
            </w:tcBorders>
            <w:shd w:val="clear" w:color="auto" w:fill="E9E9E9"/>
          </w:tcPr>
          <w:p>
            <w:pPr>
              <w:ind w:left="60"/>
              <w:spacing w:after="0" w:line="175" w:lineRule="exact"/>
              <w:rPr>
                <w:sz w:val="20"/>
                <w:szCs w:val="20"/>
                <w:color w:val="auto"/>
              </w:rPr>
            </w:pPr>
            <w:r>
              <w:rPr>
                <w:rFonts w:ascii="Arial" w:cs="Arial" w:eastAsia="Arial" w:hAnsi="Arial"/>
                <w:sz w:val="16"/>
                <w:szCs w:val="16"/>
                <w:b w:val="1"/>
                <w:bCs w:val="1"/>
                <w:color w:val="auto"/>
              </w:rPr>
              <w:t>Corporate Governance</w:t>
            </w:r>
          </w:p>
        </w:tc>
        <w:tc>
          <w:tcPr>
            <w:tcW w:w="1920" w:type="dxa"/>
            <w:vAlign w:val="bottom"/>
            <w:tcBorders>
              <w:bottom w:val="single" w:sz="8" w:color="auto"/>
              <w:right w:val="single" w:sz="8" w:color="E9E9E9"/>
            </w:tcBorders>
            <w:gridSpan w:val="2"/>
            <w:shd w:val="clear" w:color="auto" w:fill="E9E9E9"/>
          </w:tcPr>
          <w:p>
            <w:pPr>
              <w:spacing w:after="0"/>
              <w:rPr>
                <w:sz w:val="18"/>
                <w:szCs w:val="18"/>
                <w:color w:val="auto"/>
              </w:rPr>
            </w:pPr>
          </w:p>
        </w:tc>
        <w:tc>
          <w:tcPr>
            <w:tcW w:w="80" w:type="dxa"/>
            <w:vAlign w:val="bottom"/>
            <w:tcBorders>
              <w:bottom w:val="single" w:sz="8" w:color="auto"/>
            </w:tcBorders>
            <w:shd w:val="clear" w:color="auto" w:fill="E9E9E9"/>
          </w:tcPr>
          <w:p>
            <w:pPr>
              <w:jc w:val="right"/>
              <w:spacing w:after="0"/>
              <w:rPr>
                <w:rFonts w:ascii="Arial" w:cs="Arial" w:eastAsia="Arial" w:hAnsi="Arial"/>
                <w:sz w:val="15"/>
                <w:szCs w:val="15"/>
                <w:color w:val="auto"/>
                <w:w w:val="71"/>
              </w:rPr>
            </w:pPr>
            <w:hyperlink w:anchor="page12">
              <w:r>
                <w:rPr>
                  <w:rFonts w:ascii="Arial" w:cs="Arial" w:eastAsia="Arial" w:hAnsi="Arial"/>
                  <w:sz w:val="15"/>
                  <w:szCs w:val="15"/>
                  <w:color w:val="auto"/>
                  <w:w w:val="71"/>
                </w:rPr>
                <w:t>5</w:t>
              </w:r>
            </w:hyperlink>
          </w:p>
        </w:tc>
        <w:tc>
          <w:tcPr>
            <w:tcW w:w="680" w:type="dxa"/>
            <w:vAlign w:val="bottom"/>
            <w:tcBorders>
              <w:left w:val="single" w:sz="8" w:color="E9E9E9"/>
            </w:tcBorders>
          </w:tcPr>
          <w:p>
            <w:pPr>
              <w:spacing w:after="0"/>
              <w:rPr>
                <w:sz w:val="18"/>
                <w:szCs w:val="18"/>
                <w:color w:val="auto"/>
              </w:rPr>
            </w:pPr>
          </w:p>
        </w:tc>
      </w:tr>
      <w:tr>
        <w:trPr>
          <w:trHeight w:val="155"/>
        </w:trPr>
        <w:tc>
          <w:tcPr>
            <w:tcW w:w="560" w:type="dxa"/>
            <w:vAlign w:val="bottom"/>
          </w:tcPr>
          <w:p>
            <w:pPr>
              <w:spacing w:after="0"/>
              <w:rPr>
                <w:sz w:val="13"/>
                <w:szCs w:val="13"/>
                <w:color w:val="auto"/>
              </w:rPr>
            </w:pPr>
          </w:p>
        </w:tc>
        <w:tc>
          <w:tcPr>
            <w:tcW w:w="7560" w:type="dxa"/>
            <w:vAlign w:val="bottom"/>
          </w:tcPr>
          <w:p>
            <w:pPr>
              <w:ind w:left="60"/>
              <w:spacing w:after="0" w:line="155" w:lineRule="exact"/>
              <w:rPr>
                <w:sz w:val="20"/>
                <w:szCs w:val="20"/>
                <w:color w:val="auto"/>
              </w:rPr>
            </w:pPr>
            <w:r>
              <w:rPr>
                <w:rFonts w:ascii="Arial" w:cs="Arial" w:eastAsia="Arial" w:hAnsi="Arial"/>
                <w:sz w:val="16"/>
                <w:szCs w:val="16"/>
                <w:color w:val="auto"/>
              </w:rPr>
              <w:t>Board of Directors</w:t>
            </w:r>
          </w:p>
        </w:tc>
        <w:tc>
          <w:tcPr>
            <w:tcW w:w="1920" w:type="dxa"/>
            <w:vAlign w:val="bottom"/>
            <w:gridSpan w:val="2"/>
          </w:tcPr>
          <w:p>
            <w:pPr>
              <w:spacing w:after="0"/>
              <w:rPr>
                <w:sz w:val="13"/>
                <w:szCs w:val="13"/>
                <w:color w:val="auto"/>
              </w:rPr>
            </w:pPr>
          </w:p>
        </w:tc>
        <w:tc>
          <w:tcPr>
            <w:tcW w:w="80" w:type="dxa"/>
            <w:vAlign w:val="bottom"/>
          </w:tcPr>
          <w:p>
            <w:pPr>
              <w:jc w:val="right"/>
              <w:spacing w:after="0" w:line="155" w:lineRule="exact"/>
              <w:rPr>
                <w:rFonts w:ascii="Arial" w:cs="Arial" w:eastAsia="Arial" w:hAnsi="Arial"/>
                <w:sz w:val="15"/>
                <w:szCs w:val="15"/>
                <w:color w:val="auto"/>
                <w:w w:val="71"/>
              </w:rPr>
            </w:pPr>
            <w:hyperlink w:anchor="page12">
              <w:r>
                <w:rPr>
                  <w:rFonts w:ascii="Arial" w:cs="Arial" w:eastAsia="Arial" w:hAnsi="Arial"/>
                  <w:sz w:val="15"/>
                  <w:szCs w:val="15"/>
                  <w:color w:val="auto"/>
                  <w:w w:val="71"/>
                </w:rPr>
                <w:t>5</w:t>
              </w:r>
            </w:hyperlink>
          </w:p>
        </w:tc>
        <w:tc>
          <w:tcPr>
            <w:tcW w:w="680" w:type="dxa"/>
            <w:vAlign w:val="bottom"/>
          </w:tcPr>
          <w:p>
            <w:pPr>
              <w:spacing w:after="0"/>
              <w:rPr>
                <w:sz w:val="13"/>
                <w:szCs w:val="13"/>
                <w:color w:val="auto"/>
              </w:rPr>
            </w:pPr>
          </w:p>
        </w:tc>
      </w:tr>
      <w:tr>
        <w:trPr>
          <w:trHeight w:val="28"/>
        </w:trPr>
        <w:tc>
          <w:tcPr>
            <w:tcW w:w="56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r>
      <w:tr>
        <w:trPr>
          <w:trHeight w:val="175"/>
        </w:trPr>
        <w:tc>
          <w:tcPr>
            <w:tcW w:w="560" w:type="dxa"/>
            <w:vAlign w:val="bottom"/>
          </w:tcPr>
          <w:p>
            <w:pPr>
              <w:spacing w:after="0"/>
              <w:rPr>
                <w:sz w:val="15"/>
                <w:szCs w:val="15"/>
                <w:color w:val="auto"/>
              </w:rPr>
            </w:pPr>
          </w:p>
        </w:tc>
        <w:tc>
          <w:tcPr>
            <w:tcW w:w="7560" w:type="dxa"/>
            <w:vAlign w:val="bottom"/>
            <w:shd w:val="clear" w:color="auto" w:fill="E9E9E9"/>
          </w:tcPr>
          <w:p>
            <w:pPr>
              <w:ind w:left="60"/>
              <w:spacing w:after="0" w:line="175" w:lineRule="exact"/>
              <w:rPr>
                <w:sz w:val="20"/>
                <w:szCs w:val="20"/>
                <w:color w:val="auto"/>
              </w:rPr>
            </w:pPr>
            <w:r>
              <w:rPr>
                <w:rFonts w:ascii="Arial" w:cs="Arial" w:eastAsia="Arial" w:hAnsi="Arial"/>
                <w:sz w:val="16"/>
                <w:szCs w:val="16"/>
                <w:color w:val="auto"/>
              </w:rPr>
              <w:t>Biographical Information for Nominees</w:t>
            </w:r>
          </w:p>
        </w:tc>
        <w:tc>
          <w:tcPr>
            <w:tcW w:w="1920" w:type="dxa"/>
            <w:vAlign w:val="bottom"/>
            <w:tcBorders>
              <w:right w:val="single" w:sz="8" w:color="E9E9E9"/>
            </w:tcBorders>
            <w:gridSpan w:val="2"/>
            <w:shd w:val="clear" w:color="auto" w:fill="E9E9E9"/>
          </w:tcPr>
          <w:p>
            <w:pPr>
              <w:spacing w:after="0"/>
              <w:rPr>
                <w:sz w:val="15"/>
                <w:szCs w:val="15"/>
                <w:color w:val="auto"/>
              </w:rPr>
            </w:pPr>
          </w:p>
        </w:tc>
        <w:tc>
          <w:tcPr>
            <w:tcW w:w="80" w:type="dxa"/>
            <w:vAlign w:val="bottom"/>
            <w:shd w:val="clear" w:color="auto" w:fill="E9E9E9"/>
          </w:tcPr>
          <w:p>
            <w:pPr>
              <w:jc w:val="right"/>
              <w:spacing w:after="0"/>
              <w:rPr>
                <w:rFonts w:ascii="Arial" w:cs="Arial" w:eastAsia="Arial" w:hAnsi="Arial"/>
                <w:sz w:val="15"/>
                <w:szCs w:val="15"/>
                <w:color w:val="auto"/>
                <w:w w:val="71"/>
              </w:rPr>
            </w:pPr>
            <w:hyperlink w:anchor="page12">
              <w:r>
                <w:rPr>
                  <w:rFonts w:ascii="Arial" w:cs="Arial" w:eastAsia="Arial" w:hAnsi="Arial"/>
                  <w:sz w:val="15"/>
                  <w:szCs w:val="15"/>
                  <w:color w:val="auto"/>
                  <w:w w:val="71"/>
                </w:rPr>
                <w:t>5</w:t>
              </w:r>
            </w:hyperlink>
          </w:p>
        </w:tc>
        <w:tc>
          <w:tcPr>
            <w:tcW w:w="680" w:type="dxa"/>
            <w:vAlign w:val="bottom"/>
            <w:tcBorders>
              <w:left w:val="single" w:sz="8" w:color="E9E9E9"/>
            </w:tcBorders>
          </w:tcPr>
          <w:p>
            <w:pPr>
              <w:spacing w:after="0"/>
              <w:rPr>
                <w:sz w:val="15"/>
                <w:szCs w:val="15"/>
                <w:color w:val="auto"/>
              </w:rPr>
            </w:pPr>
          </w:p>
        </w:tc>
      </w:tr>
      <w:tr>
        <w:trPr>
          <w:trHeight w:val="36"/>
        </w:trPr>
        <w:tc>
          <w:tcPr>
            <w:tcW w:w="560" w:type="dxa"/>
            <w:vAlign w:val="bottom"/>
          </w:tcPr>
          <w:p>
            <w:pPr>
              <w:spacing w:after="0"/>
              <w:rPr>
                <w:sz w:val="3"/>
                <w:szCs w:val="3"/>
                <w:color w:val="auto"/>
              </w:rPr>
            </w:pPr>
          </w:p>
        </w:tc>
        <w:tc>
          <w:tcPr>
            <w:tcW w:w="7560" w:type="dxa"/>
            <w:vAlign w:val="bottom"/>
            <w:shd w:val="clear" w:color="auto" w:fill="E9E9E9"/>
          </w:tcPr>
          <w:p>
            <w:pPr>
              <w:spacing w:after="0"/>
              <w:rPr>
                <w:sz w:val="3"/>
                <w:szCs w:val="3"/>
                <w:color w:val="auto"/>
              </w:rPr>
            </w:pPr>
          </w:p>
        </w:tc>
        <w:tc>
          <w:tcPr>
            <w:tcW w:w="1680" w:type="dxa"/>
            <w:vAlign w:val="bottom"/>
            <w:shd w:val="clear" w:color="auto" w:fill="E9E9E9"/>
          </w:tcPr>
          <w:p>
            <w:pPr>
              <w:spacing w:after="0"/>
              <w:rPr>
                <w:sz w:val="3"/>
                <w:szCs w:val="3"/>
                <w:color w:val="auto"/>
              </w:rPr>
            </w:pPr>
          </w:p>
        </w:tc>
        <w:tc>
          <w:tcPr>
            <w:tcW w:w="240" w:type="dxa"/>
            <w:vAlign w:val="bottom"/>
            <w:tcBorders>
              <w:right w:val="single" w:sz="8" w:color="E9E9E9"/>
            </w:tcBorders>
            <w:shd w:val="clear" w:color="auto" w:fill="E9E9E9"/>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80" w:type="dxa"/>
            <w:vAlign w:val="bottom"/>
            <w:tcBorders>
              <w:left w:val="single" w:sz="8" w:color="E9E9E9"/>
            </w:tcBorders>
          </w:tcPr>
          <w:p>
            <w:pPr>
              <w:spacing w:after="0"/>
              <w:rPr>
                <w:sz w:val="3"/>
                <w:szCs w:val="3"/>
                <w:color w:val="auto"/>
              </w:rPr>
            </w:pPr>
          </w:p>
        </w:tc>
      </w:tr>
      <w:tr>
        <w:trPr>
          <w:trHeight w:val="167"/>
        </w:trPr>
        <w:tc>
          <w:tcPr>
            <w:tcW w:w="560" w:type="dxa"/>
            <w:vAlign w:val="bottom"/>
          </w:tcPr>
          <w:p>
            <w:pPr>
              <w:spacing w:after="0"/>
              <w:rPr>
                <w:sz w:val="14"/>
                <w:szCs w:val="14"/>
                <w:color w:val="auto"/>
              </w:rPr>
            </w:pPr>
          </w:p>
        </w:tc>
        <w:tc>
          <w:tcPr>
            <w:tcW w:w="7560" w:type="dxa"/>
            <w:vAlign w:val="bottom"/>
          </w:tcPr>
          <w:p>
            <w:pPr>
              <w:ind w:left="60"/>
              <w:spacing w:after="0" w:line="168" w:lineRule="exact"/>
              <w:rPr>
                <w:sz w:val="20"/>
                <w:szCs w:val="20"/>
                <w:color w:val="auto"/>
              </w:rPr>
            </w:pPr>
            <w:r>
              <w:rPr>
                <w:rFonts w:ascii="Arial" w:cs="Arial" w:eastAsia="Arial" w:hAnsi="Arial"/>
                <w:sz w:val="16"/>
                <w:szCs w:val="16"/>
                <w:color w:val="auto"/>
              </w:rPr>
              <w:t>Functions and Meetings of the Board of Directors</w:t>
            </w:r>
          </w:p>
        </w:tc>
        <w:tc>
          <w:tcPr>
            <w:tcW w:w="1920" w:type="dxa"/>
            <w:vAlign w:val="bottom"/>
            <w:gridSpan w:val="2"/>
          </w:tcPr>
          <w:p>
            <w:pPr>
              <w:spacing w:after="0"/>
              <w:rPr>
                <w:sz w:val="14"/>
                <w:szCs w:val="14"/>
                <w:color w:val="auto"/>
              </w:rPr>
            </w:pPr>
          </w:p>
        </w:tc>
        <w:tc>
          <w:tcPr>
            <w:tcW w:w="80" w:type="dxa"/>
            <w:vAlign w:val="bottom"/>
          </w:tcPr>
          <w:p>
            <w:pPr>
              <w:jc w:val="right"/>
              <w:spacing w:after="0" w:line="167" w:lineRule="exact"/>
              <w:rPr>
                <w:rFonts w:ascii="Arial" w:cs="Arial" w:eastAsia="Arial" w:hAnsi="Arial"/>
                <w:sz w:val="15"/>
                <w:szCs w:val="15"/>
                <w:color w:val="auto"/>
                <w:w w:val="71"/>
              </w:rPr>
            </w:pPr>
            <w:hyperlink w:anchor="page16">
              <w:r>
                <w:rPr>
                  <w:rFonts w:ascii="Arial" w:cs="Arial" w:eastAsia="Arial" w:hAnsi="Arial"/>
                  <w:sz w:val="15"/>
                  <w:szCs w:val="15"/>
                  <w:color w:val="auto"/>
                  <w:w w:val="71"/>
                </w:rPr>
                <w:t>9</w:t>
              </w:r>
            </w:hyperlink>
          </w:p>
        </w:tc>
        <w:tc>
          <w:tcPr>
            <w:tcW w:w="680" w:type="dxa"/>
            <w:vAlign w:val="bottom"/>
          </w:tcPr>
          <w:p>
            <w:pPr>
              <w:spacing w:after="0"/>
              <w:rPr>
                <w:sz w:val="14"/>
                <w:szCs w:val="14"/>
                <w:color w:val="auto"/>
              </w:rPr>
            </w:pPr>
          </w:p>
        </w:tc>
      </w:tr>
      <w:tr>
        <w:trPr>
          <w:trHeight w:val="28"/>
        </w:trPr>
        <w:tc>
          <w:tcPr>
            <w:tcW w:w="56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r>
      <w:tr>
        <w:trPr>
          <w:trHeight w:val="175"/>
        </w:trPr>
        <w:tc>
          <w:tcPr>
            <w:tcW w:w="560" w:type="dxa"/>
            <w:vAlign w:val="bottom"/>
          </w:tcPr>
          <w:p>
            <w:pPr>
              <w:spacing w:after="0"/>
              <w:rPr>
                <w:sz w:val="15"/>
                <w:szCs w:val="15"/>
                <w:color w:val="auto"/>
              </w:rPr>
            </w:pPr>
          </w:p>
        </w:tc>
        <w:tc>
          <w:tcPr>
            <w:tcW w:w="7560" w:type="dxa"/>
            <w:vAlign w:val="bottom"/>
            <w:shd w:val="clear" w:color="auto" w:fill="E9E9E9"/>
          </w:tcPr>
          <w:p>
            <w:pPr>
              <w:ind w:left="60"/>
              <w:spacing w:after="0" w:line="175" w:lineRule="exact"/>
              <w:rPr>
                <w:sz w:val="20"/>
                <w:szCs w:val="20"/>
                <w:color w:val="auto"/>
              </w:rPr>
            </w:pPr>
            <w:r>
              <w:rPr>
                <w:rFonts w:ascii="Arial" w:cs="Arial" w:eastAsia="Arial" w:hAnsi="Arial"/>
                <w:sz w:val="16"/>
                <w:szCs w:val="16"/>
                <w:color w:val="auto"/>
              </w:rPr>
              <w:t>Director Independence</w:t>
            </w:r>
          </w:p>
        </w:tc>
        <w:tc>
          <w:tcPr>
            <w:tcW w:w="1920" w:type="dxa"/>
            <w:vAlign w:val="bottom"/>
            <w:tcBorders>
              <w:right w:val="single" w:sz="8" w:color="E9E9E9"/>
            </w:tcBorders>
            <w:gridSpan w:val="2"/>
            <w:shd w:val="clear" w:color="auto" w:fill="E9E9E9"/>
          </w:tcPr>
          <w:p>
            <w:pPr>
              <w:spacing w:after="0"/>
              <w:rPr>
                <w:sz w:val="15"/>
                <w:szCs w:val="15"/>
                <w:color w:val="auto"/>
              </w:rPr>
            </w:pPr>
          </w:p>
        </w:tc>
        <w:tc>
          <w:tcPr>
            <w:tcW w:w="80" w:type="dxa"/>
            <w:vAlign w:val="bottom"/>
            <w:shd w:val="clear" w:color="auto" w:fill="E9E9E9"/>
          </w:tcPr>
          <w:p>
            <w:pPr>
              <w:jc w:val="right"/>
              <w:spacing w:after="0"/>
              <w:rPr>
                <w:rFonts w:ascii="Arial" w:cs="Arial" w:eastAsia="Arial" w:hAnsi="Arial"/>
                <w:sz w:val="15"/>
                <w:szCs w:val="15"/>
                <w:color w:val="auto"/>
                <w:w w:val="71"/>
              </w:rPr>
            </w:pPr>
            <w:hyperlink w:anchor="page16">
              <w:r>
                <w:rPr>
                  <w:rFonts w:ascii="Arial" w:cs="Arial" w:eastAsia="Arial" w:hAnsi="Arial"/>
                  <w:sz w:val="15"/>
                  <w:szCs w:val="15"/>
                  <w:color w:val="auto"/>
                  <w:w w:val="71"/>
                </w:rPr>
                <w:t>9</w:t>
              </w:r>
            </w:hyperlink>
          </w:p>
        </w:tc>
        <w:tc>
          <w:tcPr>
            <w:tcW w:w="680" w:type="dxa"/>
            <w:vAlign w:val="bottom"/>
            <w:tcBorders>
              <w:left w:val="single" w:sz="8" w:color="E9E9E9"/>
            </w:tcBorders>
          </w:tcPr>
          <w:p>
            <w:pPr>
              <w:spacing w:after="0"/>
              <w:rPr>
                <w:sz w:val="15"/>
                <w:szCs w:val="15"/>
                <w:color w:val="auto"/>
              </w:rPr>
            </w:pPr>
          </w:p>
        </w:tc>
      </w:tr>
      <w:tr>
        <w:trPr>
          <w:trHeight w:val="36"/>
        </w:trPr>
        <w:tc>
          <w:tcPr>
            <w:tcW w:w="560" w:type="dxa"/>
            <w:vAlign w:val="bottom"/>
          </w:tcPr>
          <w:p>
            <w:pPr>
              <w:spacing w:after="0"/>
              <w:rPr>
                <w:sz w:val="3"/>
                <w:szCs w:val="3"/>
                <w:color w:val="auto"/>
              </w:rPr>
            </w:pPr>
          </w:p>
        </w:tc>
        <w:tc>
          <w:tcPr>
            <w:tcW w:w="7560" w:type="dxa"/>
            <w:vAlign w:val="bottom"/>
            <w:shd w:val="clear" w:color="auto" w:fill="E9E9E9"/>
          </w:tcPr>
          <w:p>
            <w:pPr>
              <w:spacing w:after="0"/>
              <w:rPr>
                <w:sz w:val="3"/>
                <w:szCs w:val="3"/>
                <w:color w:val="auto"/>
              </w:rPr>
            </w:pPr>
          </w:p>
        </w:tc>
        <w:tc>
          <w:tcPr>
            <w:tcW w:w="1680" w:type="dxa"/>
            <w:vAlign w:val="bottom"/>
            <w:shd w:val="clear" w:color="auto" w:fill="E9E9E9"/>
          </w:tcPr>
          <w:p>
            <w:pPr>
              <w:spacing w:after="0"/>
              <w:rPr>
                <w:sz w:val="3"/>
                <w:szCs w:val="3"/>
                <w:color w:val="auto"/>
              </w:rPr>
            </w:pPr>
          </w:p>
        </w:tc>
        <w:tc>
          <w:tcPr>
            <w:tcW w:w="240" w:type="dxa"/>
            <w:vAlign w:val="bottom"/>
            <w:tcBorders>
              <w:right w:val="single" w:sz="8" w:color="E9E9E9"/>
            </w:tcBorders>
            <w:shd w:val="clear" w:color="auto" w:fill="E9E9E9"/>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80" w:type="dxa"/>
            <w:vAlign w:val="bottom"/>
            <w:tcBorders>
              <w:left w:val="single" w:sz="8" w:color="E9E9E9"/>
            </w:tcBorders>
          </w:tcPr>
          <w:p>
            <w:pPr>
              <w:spacing w:after="0"/>
              <w:rPr>
                <w:sz w:val="3"/>
                <w:szCs w:val="3"/>
                <w:color w:val="auto"/>
              </w:rPr>
            </w:pPr>
          </w:p>
        </w:tc>
      </w:tr>
      <w:tr>
        <w:trPr>
          <w:trHeight w:val="167"/>
        </w:trPr>
        <w:tc>
          <w:tcPr>
            <w:tcW w:w="560" w:type="dxa"/>
            <w:vAlign w:val="bottom"/>
          </w:tcPr>
          <w:p>
            <w:pPr>
              <w:spacing w:after="0"/>
              <w:rPr>
                <w:sz w:val="14"/>
                <w:szCs w:val="14"/>
                <w:color w:val="auto"/>
              </w:rPr>
            </w:pPr>
          </w:p>
        </w:tc>
        <w:tc>
          <w:tcPr>
            <w:tcW w:w="7560" w:type="dxa"/>
            <w:vAlign w:val="bottom"/>
          </w:tcPr>
          <w:p>
            <w:pPr>
              <w:ind w:left="60"/>
              <w:spacing w:after="0" w:line="168" w:lineRule="exact"/>
              <w:rPr>
                <w:sz w:val="20"/>
                <w:szCs w:val="20"/>
                <w:color w:val="auto"/>
              </w:rPr>
            </w:pPr>
            <w:r>
              <w:rPr>
                <w:rFonts w:ascii="Arial" w:cs="Arial" w:eastAsia="Arial" w:hAnsi="Arial"/>
                <w:sz w:val="16"/>
                <w:szCs w:val="16"/>
                <w:color w:val="auto"/>
              </w:rPr>
              <w:t>Board Leadership Structure</w:t>
            </w:r>
          </w:p>
        </w:tc>
        <w:tc>
          <w:tcPr>
            <w:tcW w:w="1920" w:type="dxa"/>
            <w:vAlign w:val="bottom"/>
            <w:gridSpan w:val="2"/>
          </w:tcPr>
          <w:p>
            <w:pPr>
              <w:spacing w:after="0"/>
              <w:rPr>
                <w:sz w:val="14"/>
                <w:szCs w:val="14"/>
                <w:color w:val="auto"/>
              </w:rPr>
            </w:pPr>
          </w:p>
        </w:tc>
        <w:tc>
          <w:tcPr>
            <w:tcW w:w="80" w:type="dxa"/>
            <w:vAlign w:val="bottom"/>
          </w:tcPr>
          <w:p>
            <w:pPr>
              <w:jc w:val="right"/>
              <w:spacing w:after="0" w:line="167" w:lineRule="exact"/>
              <w:rPr>
                <w:rFonts w:ascii="Arial" w:cs="Arial" w:eastAsia="Arial" w:hAnsi="Arial"/>
                <w:sz w:val="15"/>
                <w:szCs w:val="15"/>
                <w:color w:val="auto"/>
                <w:w w:val="71"/>
              </w:rPr>
            </w:pPr>
            <w:hyperlink w:anchor="page16">
              <w:r>
                <w:rPr>
                  <w:rFonts w:ascii="Arial" w:cs="Arial" w:eastAsia="Arial" w:hAnsi="Arial"/>
                  <w:sz w:val="15"/>
                  <w:szCs w:val="15"/>
                  <w:color w:val="auto"/>
                  <w:w w:val="71"/>
                </w:rPr>
                <w:t>9</w:t>
              </w:r>
            </w:hyperlink>
          </w:p>
        </w:tc>
        <w:tc>
          <w:tcPr>
            <w:tcW w:w="680" w:type="dxa"/>
            <w:vAlign w:val="bottom"/>
          </w:tcPr>
          <w:p>
            <w:pPr>
              <w:spacing w:after="0"/>
              <w:rPr>
                <w:sz w:val="14"/>
                <w:szCs w:val="14"/>
                <w:color w:val="auto"/>
              </w:rPr>
            </w:pPr>
          </w:p>
        </w:tc>
      </w:tr>
      <w:tr>
        <w:trPr>
          <w:trHeight w:val="28"/>
        </w:trPr>
        <w:tc>
          <w:tcPr>
            <w:tcW w:w="56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r>
      <w:tr>
        <w:trPr>
          <w:trHeight w:val="191"/>
        </w:trPr>
        <w:tc>
          <w:tcPr>
            <w:tcW w:w="560" w:type="dxa"/>
            <w:vAlign w:val="bottom"/>
          </w:tcPr>
          <w:p>
            <w:pPr>
              <w:spacing w:after="0"/>
              <w:rPr>
                <w:sz w:val="16"/>
                <w:szCs w:val="16"/>
                <w:color w:val="auto"/>
              </w:rPr>
            </w:pPr>
          </w:p>
        </w:tc>
        <w:tc>
          <w:tcPr>
            <w:tcW w:w="7560" w:type="dxa"/>
            <w:vAlign w:val="bottom"/>
            <w:tcBorders>
              <w:bottom w:val="single" w:sz="8" w:color="E9E9E9"/>
            </w:tcBorders>
            <w:shd w:val="clear" w:color="auto" w:fill="E9E9E9"/>
          </w:tcPr>
          <w:p>
            <w:pPr>
              <w:ind w:left="60"/>
              <w:spacing w:after="0" w:line="175" w:lineRule="exact"/>
              <w:rPr>
                <w:sz w:val="20"/>
                <w:szCs w:val="20"/>
                <w:color w:val="auto"/>
              </w:rPr>
            </w:pPr>
            <w:r>
              <w:rPr>
                <w:rFonts w:ascii="Arial" w:cs="Arial" w:eastAsia="Arial" w:hAnsi="Arial"/>
                <w:sz w:val="16"/>
                <w:szCs w:val="16"/>
                <w:color w:val="auto"/>
              </w:rPr>
              <w:t>Risk Management and Risk Assessment</w:t>
            </w:r>
          </w:p>
        </w:tc>
        <w:tc>
          <w:tcPr>
            <w:tcW w:w="1920" w:type="dxa"/>
            <w:vAlign w:val="bottom"/>
            <w:tcBorders>
              <w:bottom w:val="single" w:sz="8" w:color="E9E9E9"/>
              <w:right w:val="single" w:sz="8" w:color="E9E9E9"/>
            </w:tcBorders>
            <w:gridSpan w:val="2"/>
            <w:shd w:val="clear" w:color="auto" w:fill="E9E9E9"/>
          </w:tcPr>
          <w:p>
            <w:pPr>
              <w:spacing w:after="0"/>
              <w:rPr>
                <w:sz w:val="16"/>
                <w:szCs w:val="16"/>
                <w:color w:val="auto"/>
              </w:rPr>
            </w:pPr>
          </w:p>
        </w:tc>
        <w:tc>
          <w:tcPr>
            <w:tcW w:w="80" w:type="dxa"/>
            <w:vAlign w:val="bottom"/>
            <w:tcBorders>
              <w:bottom w:val="single" w:sz="8" w:color="auto"/>
            </w:tcBorders>
            <w:shd w:val="clear" w:color="auto" w:fill="E9E9E9"/>
          </w:tcPr>
          <w:p>
            <w:pPr>
              <w:jc w:val="right"/>
              <w:spacing w:after="0"/>
              <w:rPr>
                <w:rFonts w:ascii="Arial" w:cs="Arial" w:eastAsia="Arial" w:hAnsi="Arial"/>
                <w:sz w:val="7"/>
                <w:szCs w:val="7"/>
                <w:color w:val="auto"/>
                <w:w w:val="76"/>
              </w:rPr>
            </w:pPr>
            <w:hyperlink w:anchor="page17">
              <w:r>
                <w:rPr>
                  <w:rFonts w:ascii="Arial" w:cs="Arial" w:eastAsia="Arial" w:hAnsi="Arial"/>
                  <w:sz w:val="7"/>
                  <w:szCs w:val="7"/>
                  <w:color w:val="auto"/>
                  <w:w w:val="76"/>
                </w:rPr>
                <w:t>10</w:t>
              </w:r>
            </w:hyperlink>
          </w:p>
        </w:tc>
        <w:tc>
          <w:tcPr>
            <w:tcW w:w="680" w:type="dxa"/>
            <w:vAlign w:val="bottom"/>
            <w:tcBorders>
              <w:left w:val="single" w:sz="8" w:color="E9E9E9"/>
            </w:tcBorders>
          </w:tcPr>
          <w:p>
            <w:pPr>
              <w:spacing w:after="0"/>
              <w:rPr>
                <w:sz w:val="16"/>
                <w:szCs w:val="16"/>
                <w:color w:val="auto"/>
              </w:rPr>
            </w:pPr>
          </w:p>
        </w:tc>
      </w:tr>
      <w:tr>
        <w:trPr>
          <w:trHeight w:val="175"/>
        </w:trPr>
        <w:tc>
          <w:tcPr>
            <w:tcW w:w="560" w:type="dxa"/>
            <w:vAlign w:val="bottom"/>
          </w:tcPr>
          <w:p>
            <w:pPr>
              <w:spacing w:after="0"/>
              <w:rPr>
                <w:sz w:val="15"/>
                <w:szCs w:val="15"/>
                <w:color w:val="auto"/>
              </w:rPr>
            </w:pPr>
          </w:p>
        </w:tc>
        <w:tc>
          <w:tcPr>
            <w:tcW w:w="7560" w:type="dxa"/>
            <w:vAlign w:val="bottom"/>
          </w:tcPr>
          <w:p>
            <w:pPr>
              <w:ind w:left="60"/>
              <w:spacing w:after="0" w:line="168" w:lineRule="exact"/>
              <w:rPr>
                <w:sz w:val="20"/>
                <w:szCs w:val="20"/>
                <w:color w:val="auto"/>
              </w:rPr>
            </w:pPr>
            <w:r>
              <w:rPr>
                <w:rFonts w:ascii="Arial" w:cs="Arial" w:eastAsia="Arial" w:hAnsi="Arial"/>
                <w:sz w:val="16"/>
                <w:szCs w:val="16"/>
                <w:color w:val="auto"/>
              </w:rPr>
              <w:t>Communicating with the Board of Directors</w:t>
            </w:r>
          </w:p>
        </w:tc>
        <w:tc>
          <w:tcPr>
            <w:tcW w:w="1920" w:type="dxa"/>
            <w:vAlign w:val="bottom"/>
            <w:gridSpan w:val="2"/>
          </w:tcPr>
          <w:p>
            <w:pPr>
              <w:spacing w:after="0"/>
              <w:rPr>
                <w:sz w:val="15"/>
                <w:szCs w:val="15"/>
                <w:color w:val="auto"/>
              </w:rPr>
            </w:pPr>
          </w:p>
        </w:tc>
        <w:tc>
          <w:tcPr>
            <w:tcW w:w="80" w:type="dxa"/>
            <w:vAlign w:val="bottom"/>
            <w:tcBorders>
              <w:bottom w:val="single" w:sz="8" w:color="auto"/>
            </w:tcBorders>
          </w:tcPr>
          <w:p>
            <w:pPr>
              <w:jc w:val="right"/>
              <w:spacing w:after="0"/>
              <w:rPr>
                <w:rFonts w:ascii="Arial" w:cs="Arial" w:eastAsia="Arial" w:hAnsi="Arial"/>
                <w:sz w:val="7"/>
                <w:szCs w:val="7"/>
                <w:color w:val="auto"/>
                <w:w w:val="76"/>
              </w:rPr>
            </w:pPr>
            <w:hyperlink w:anchor="page17">
              <w:r>
                <w:rPr>
                  <w:rFonts w:ascii="Arial" w:cs="Arial" w:eastAsia="Arial" w:hAnsi="Arial"/>
                  <w:sz w:val="7"/>
                  <w:szCs w:val="7"/>
                  <w:color w:val="auto"/>
                  <w:w w:val="76"/>
                </w:rPr>
                <w:t>10</w:t>
              </w:r>
            </w:hyperlink>
          </w:p>
        </w:tc>
        <w:tc>
          <w:tcPr>
            <w:tcW w:w="680" w:type="dxa"/>
            <w:vAlign w:val="bottom"/>
          </w:tcPr>
          <w:p>
            <w:pPr>
              <w:spacing w:after="0"/>
              <w:rPr>
                <w:sz w:val="15"/>
                <w:szCs w:val="15"/>
                <w:color w:val="auto"/>
              </w:rPr>
            </w:pPr>
          </w:p>
        </w:tc>
      </w:tr>
      <w:tr>
        <w:trPr>
          <w:trHeight w:val="191"/>
        </w:trPr>
        <w:tc>
          <w:tcPr>
            <w:tcW w:w="560" w:type="dxa"/>
            <w:vAlign w:val="bottom"/>
          </w:tcPr>
          <w:p>
            <w:pPr>
              <w:spacing w:after="0"/>
              <w:rPr>
                <w:sz w:val="16"/>
                <w:szCs w:val="16"/>
                <w:color w:val="auto"/>
              </w:rPr>
            </w:pPr>
          </w:p>
        </w:tc>
        <w:tc>
          <w:tcPr>
            <w:tcW w:w="7560" w:type="dxa"/>
            <w:vAlign w:val="bottom"/>
            <w:tcBorders>
              <w:bottom w:val="single" w:sz="8" w:color="E9E9E9"/>
            </w:tcBorders>
            <w:shd w:val="clear" w:color="auto" w:fill="E9E9E9"/>
          </w:tcPr>
          <w:p>
            <w:pPr>
              <w:ind w:left="60"/>
              <w:spacing w:after="0" w:line="175" w:lineRule="exact"/>
              <w:rPr>
                <w:sz w:val="20"/>
                <w:szCs w:val="20"/>
                <w:color w:val="auto"/>
              </w:rPr>
            </w:pPr>
            <w:r>
              <w:rPr>
                <w:rFonts w:ascii="Arial" w:cs="Arial" w:eastAsia="Arial" w:hAnsi="Arial"/>
                <w:sz w:val="16"/>
                <w:szCs w:val="16"/>
                <w:color w:val="auto"/>
              </w:rPr>
              <w:t>Codes of Conduct</w:t>
            </w:r>
          </w:p>
        </w:tc>
        <w:tc>
          <w:tcPr>
            <w:tcW w:w="1920" w:type="dxa"/>
            <w:vAlign w:val="bottom"/>
            <w:tcBorders>
              <w:bottom w:val="single" w:sz="8" w:color="E9E9E9"/>
              <w:right w:val="single" w:sz="8" w:color="E9E9E9"/>
            </w:tcBorders>
            <w:gridSpan w:val="2"/>
            <w:shd w:val="clear" w:color="auto" w:fill="E9E9E9"/>
          </w:tcPr>
          <w:p>
            <w:pPr>
              <w:spacing w:after="0"/>
              <w:rPr>
                <w:sz w:val="16"/>
                <w:szCs w:val="16"/>
                <w:color w:val="auto"/>
              </w:rPr>
            </w:pPr>
          </w:p>
        </w:tc>
        <w:tc>
          <w:tcPr>
            <w:tcW w:w="80" w:type="dxa"/>
            <w:vAlign w:val="bottom"/>
            <w:tcBorders>
              <w:bottom w:val="single" w:sz="8" w:color="auto"/>
            </w:tcBorders>
            <w:shd w:val="clear" w:color="auto" w:fill="E9E9E9"/>
          </w:tcPr>
          <w:p>
            <w:pPr>
              <w:jc w:val="right"/>
              <w:spacing w:after="0"/>
              <w:rPr>
                <w:rFonts w:ascii="Arial" w:cs="Arial" w:eastAsia="Arial" w:hAnsi="Arial"/>
                <w:sz w:val="7"/>
                <w:szCs w:val="7"/>
                <w:color w:val="auto"/>
                <w:w w:val="76"/>
              </w:rPr>
            </w:pPr>
            <w:hyperlink w:anchor="page17">
              <w:r>
                <w:rPr>
                  <w:rFonts w:ascii="Arial" w:cs="Arial" w:eastAsia="Arial" w:hAnsi="Arial"/>
                  <w:sz w:val="7"/>
                  <w:szCs w:val="7"/>
                  <w:color w:val="auto"/>
                  <w:w w:val="76"/>
                </w:rPr>
                <w:t>10</w:t>
              </w:r>
            </w:hyperlink>
          </w:p>
        </w:tc>
        <w:tc>
          <w:tcPr>
            <w:tcW w:w="680" w:type="dxa"/>
            <w:vAlign w:val="bottom"/>
            <w:tcBorders>
              <w:left w:val="single" w:sz="8" w:color="E9E9E9"/>
            </w:tcBorders>
          </w:tcPr>
          <w:p>
            <w:pPr>
              <w:spacing w:after="0"/>
              <w:rPr>
                <w:sz w:val="16"/>
                <w:szCs w:val="16"/>
                <w:color w:val="auto"/>
              </w:rPr>
            </w:pPr>
          </w:p>
        </w:tc>
      </w:tr>
      <w:tr>
        <w:trPr>
          <w:trHeight w:val="167"/>
        </w:trPr>
        <w:tc>
          <w:tcPr>
            <w:tcW w:w="560" w:type="dxa"/>
            <w:vAlign w:val="bottom"/>
          </w:tcPr>
          <w:p>
            <w:pPr>
              <w:spacing w:after="0"/>
              <w:rPr>
                <w:sz w:val="14"/>
                <w:szCs w:val="14"/>
                <w:color w:val="auto"/>
              </w:rPr>
            </w:pPr>
          </w:p>
        </w:tc>
        <w:tc>
          <w:tcPr>
            <w:tcW w:w="7560" w:type="dxa"/>
            <w:vAlign w:val="bottom"/>
          </w:tcPr>
          <w:p>
            <w:pPr>
              <w:ind w:left="60"/>
              <w:spacing w:after="0" w:line="168" w:lineRule="exact"/>
              <w:rPr>
                <w:sz w:val="20"/>
                <w:szCs w:val="20"/>
                <w:color w:val="auto"/>
              </w:rPr>
            </w:pPr>
            <w:r>
              <w:rPr>
                <w:rFonts w:ascii="Arial" w:cs="Arial" w:eastAsia="Arial" w:hAnsi="Arial"/>
                <w:sz w:val="16"/>
                <w:szCs w:val="16"/>
                <w:color w:val="auto"/>
              </w:rPr>
              <w:t>Board of Directors Meetings</w:t>
            </w:r>
          </w:p>
        </w:tc>
        <w:tc>
          <w:tcPr>
            <w:tcW w:w="2000" w:type="dxa"/>
            <w:vAlign w:val="bottom"/>
            <w:gridSpan w:val="3"/>
          </w:tcPr>
          <w:p>
            <w:pPr>
              <w:jc w:val="right"/>
              <w:spacing w:after="0" w:line="168" w:lineRule="exact"/>
              <w:rPr>
                <w:rFonts w:ascii="Arial" w:cs="Arial" w:eastAsia="Arial" w:hAnsi="Arial"/>
                <w:sz w:val="16"/>
                <w:szCs w:val="16"/>
                <w:color w:val="auto"/>
              </w:rPr>
            </w:pPr>
            <w:hyperlink w:anchor="page18">
              <w:r>
                <w:rPr>
                  <w:rFonts w:ascii="Arial" w:cs="Arial" w:eastAsia="Arial" w:hAnsi="Arial"/>
                  <w:sz w:val="16"/>
                  <w:szCs w:val="16"/>
                  <w:color w:val="auto"/>
                </w:rPr>
                <w:t>11</w:t>
              </w:r>
            </w:hyperlink>
          </w:p>
        </w:tc>
        <w:tc>
          <w:tcPr>
            <w:tcW w:w="680" w:type="dxa"/>
            <w:vAlign w:val="bottom"/>
          </w:tcPr>
          <w:p>
            <w:pPr>
              <w:spacing w:after="0"/>
              <w:rPr>
                <w:sz w:val="14"/>
                <w:szCs w:val="14"/>
                <w:color w:val="auto"/>
              </w:rPr>
            </w:pPr>
          </w:p>
        </w:tc>
      </w:tr>
      <w:tr>
        <w:trPr>
          <w:trHeight w:val="28"/>
        </w:trPr>
        <w:tc>
          <w:tcPr>
            <w:tcW w:w="56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r>
      <w:tr>
        <w:trPr>
          <w:trHeight w:val="175"/>
        </w:trPr>
        <w:tc>
          <w:tcPr>
            <w:tcW w:w="560" w:type="dxa"/>
            <w:vAlign w:val="bottom"/>
          </w:tcPr>
          <w:p>
            <w:pPr>
              <w:spacing w:after="0"/>
              <w:rPr>
                <w:sz w:val="15"/>
                <w:szCs w:val="15"/>
                <w:color w:val="auto"/>
              </w:rPr>
            </w:pPr>
          </w:p>
        </w:tc>
        <w:tc>
          <w:tcPr>
            <w:tcW w:w="7560" w:type="dxa"/>
            <w:vAlign w:val="bottom"/>
            <w:shd w:val="clear" w:color="auto" w:fill="E9E9E9"/>
          </w:tcPr>
          <w:p>
            <w:pPr>
              <w:ind w:left="60"/>
              <w:spacing w:after="0" w:line="175" w:lineRule="exact"/>
              <w:rPr>
                <w:sz w:val="20"/>
                <w:szCs w:val="20"/>
                <w:color w:val="auto"/>
              </w:rPr>
            </w:pPr>
            <w:r>
              <w:rPr>
                <w:rFonts w:ascii="Arial" w:cs="Arial" w:eastAsia="Arial" w:hAnsi="Arial"/>
                <w:sz w:val="16"/>
                <w:szCs w:val="16"/>
                <w:color w:val="auto"/>
              </w:rPr>
              <w:t>Committees of the Board of Directors</w:t>
            </w:r>
          </w:p>
        </w:tc>
        <w:tc>
          <w:tcPr>
            <w:tcW w:w="2000" w:type="dxa"/>
            <w:vAlign w:val="bottom"/>
            <w:gridSpan w:val="3"/>
            <w:shd w:val="clear" w:color="auto" w:fill="E9E9E9"/>
          </w:tcPr>
          <w:p>
            <w:pPr>
              <w:jc w:val="right"/>
              <w:spacing w:after="0" w:line="175" w:lineRule="exact"/>
              <w:rPr>
                <w:rFonts w:ascii="Arial" w:cs="Arial" w:eastAsia="Arial" w:hAnsi="Arial"/>
                <w:sz w:val="16"/>
                <w:szCs w:val="16"/>
                <w:color w:val="auto"/>
              </w:rPr>
            </w:pPr>
            <w:hyperlink w:anchor="page18">
              <w:r>
                <w:rPr>
                  <w:rFonts w:ascii="Arial" w:cs="Arial" w:eastAsia="Arial" w:hAnsi="Arial"/>
                  <w:sz w:val="16"/>
                  <w:szCs w:val="16"/>
                  <w:color w:val="auto"/>
                </w:rPr>
                <w:t>11</w:t>
              </w:r>
            </w:hyperlink>
          </w:p>
        </w:tc>
        <w:tc>
          <w:tcPr>
            <w:tcW w:w="680" w:type="dxa"/>
            <w:vAlign w:val="bottom"/>
            <w:tcBorders>
              <w:left w:val="single" w:sz="8" w:color="E9E9E9"/>
            </w:tcBorders>
          </w:tcPr>
          <w:p>
            <w:pPr>
              <w:spacing w:after="0"/>
              <w:rPr>
                <w:sz w:val="15"/>
                <w:szCs w:val="15"/>
                <w:color w:val="auto"/>
              </w:rPr>
            </w:pPr>
          </w:p>
        </w:tc>
      </w:tr>
      <w:tr>
        <w:trPr>
          <w:trHeight w:val="36"/>
        </w:trPr>
        <w:tc>
          <w:tcPr>
            <w:tcW w:w="560" w:type="dxa"/>
            <w:vAlign w:val="bottom"/>
          </w:tcPr>
          <w:p>
            <w:pPr>
              <w:spacing w:after="0"/>
              <w:rPr>
                <w:sz w:val="3"/>
                <w:szCs w:val="3"/>
                <w:color w:val="auto"/>
              </w:rPr>
            </w:pPr>
          </w:p>
        </w:tc>
        <w:tc>
          <w:tcPr>
            <w:tcW w:w="7560" w:type="dxa"/>
            <w:vAlign w:val="bottom"/>
            <w:shd w:val="clear" w:color="auto" w:fill="E9E9E9"/>
          </w:tcPr>
          <w:p>
            <w:pPr>
              <w:spacing w:after="0"/>
              <w:rPr>
                <w:sz w:val="3"/>
                <w:szCs w:val="3"/>
                <w:color w:val="auto"/>
              </w:rPr>
            </w:pPr>
          </w:p>
        </w:tc>
        <w:tc>
          <w:tcPr>
            <w:tcW w:w="1680" w:type="dxa"/>
            <w:vAlign w:val="bottom"/>
            <w:shd w:val="clear" w:color="auto" w:fill="E9E9E9"/>
          </w:tcPr>
          <w:p>
            <w:pPr>
              <w:spacing w:after="0"/>
              <w:rPr>
                <w:sz w:val="3"/>
                <w:szCs w:val="3"/>
                <w:color w:val="auto"/>
              </w:rPr>
            </w:pPr>
          </w:p>
        </w:tc>
        <w:tc>
          <w:tcPr>
            <w:tcW w:w="240" w:type="dxa"/>
            <w:vAlign w:val="bottom"/>
            <w:tcBorders>
              <w:right w:val="single" w:sz="8" w:color="auto"/>
            </w:tcBorders>
            <w:shd w:val="clear" w:color="auto" w:fill="E9E9E9"/>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80" w:type="dxa"/>
            <w:vAlign w:val="bottom"/>
            <w:tcBorders>
              <w:left w:val="single" w:sz="8" w:color="E9E9E9"/>
            </w:tcBorders>
          </w:tcPr>
          <w:p>
            <w:pPr>
              <w:spacing w:after="0"/>
              <w:rPr>
                <w:sz w:val="3"/>
                <w:szCs w:val="3"/>
                <w:color w:val="auto"/>
              </w:rPr>
            </w:pPr>
          </w:p>
        </w:tc>
      </w:tr>
      <w:tr>
        <w:trPr>
          <w:trHeight w:val="167"/>
        </w:trPr>
        <w:tc>
          <w:tcPr>
            <w:tcW w:w="560" w:type="dxa"/>
            <w:vAlign w:val="bottom"/>
          </w:tcPr>
          <w:p>
            <w:pPr>
              <w:spacing w:after="0"/>
              <w:rPr>
                <w:sz w:val="14"/>
                <w:szCs w:val="14"/>
                <w:color w:val="auto"/>
              </w:rPr>
            </w:pPr>
          </w:p>
        </w:tc>
        <w:tc>
          <w:tcPr>
            <w:tcW w:w="7560" w:type="dxa"/>
            <w:vAlign w:val="bottom"/>
          </w:tcPr>
          <w:p>
            <w:pPr>
              <w:ind w:left="60"/>
              <w:spacing w:after="0" w:line="168" w:lineRule="exact"/>
              <w:rPr>
                <w:sz w:val="20"/>
                <w:szCs w:val="20"/>
                <w:color w:val="auto"/>
              </w:rPr>
            </w:pPr>
            <w:r>
              <w:rPr>
                <w:rFonts w:ascii="Arial" w:cs="Arial" w:eastAsia="Arial" w:hAnsi="Arial"/>
                <w:sz w:val="16"/>
                <w:szCs w:val="16"/>
                <w:color w:val="auto"/>
              </w:rPr>
              <w:t>Audit Committee</w:t>
            </w:r>
          </w:p>
        </w:tc>
        <w:tc>
          <w:tcPr>
            <w:tcW w:w="2000" w:type="dxa"/>
            <w:vAlign w:val="bottom"/>
            <w:gridSpan w:val="3"/>
          </w:tcPr>
          <w:p>
            <w:pPr>
              <w:jc w:val="right"/>
              <w:spacing w:after="0" w:line="168" w:lineRule="exact"/>
              <w:rPr>
                <w:rFonts w:ascii="Arial" w:cs="Arial" w:eastAsia="Arial" w:hAnsi="Arial"/>
                <w:sz w:val="16"/>
                <w:szCs w:val="16"/>
                <w:color w:val="auto"/>
              </w:rPr>
            </w:pPr>
            <w:hyperlink w:anchor="page18">
              <w:r>
                <w:rPr>
                  <w:rFonts w:ascii="Arial" w:cs="Arial" w:eastAsia="Arial" w:hAnsi="Arial"/>
                  <w:sz w:val="16"/>
                  <w:szCs w:val="16"/>
                  <w:color w:val="auto"/>
                </w:rPr>
                <w:t>11</w:t>
              </w:r>
            </w:hyperlink>
          </w:p>
        </w:tc>
        <w:tc>
          <w:tcPr>
            <w:tcW w:w="680" w:type="dxa"/>
            <w:vAlign w:val="bottom"/>
          </w:tcPr>
          <w:p>
            <w:pPr>
              <w:spacing w:after="0"/>
              <w:rPr>
                <w:sz w:val="14"/>
                <w:szCs w:val="14"/>
                <w:color w:val="auto"/>
              </w:rPr>
            </w:pPr>
          </w:p>
        </w:tc>
      </w:tr>
      <w:tr>
        <w:trPr>
          <w:trHeight w:val="28"/>
        </w:trPr>
        <w:tc>
          <w:tcPr>
            <w:tcW w:w="56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r>
      <w:tr>
        <w:trPr>
          <w:trHeight w:val="191"/>
        </w:trPr>
        <w:tc>
          <w:tcPr>
            <w:tcW w:w="560" w:type="dxa"/>
            <w:vAlign w:val="bottom"/>
          </w:tcPr>
          <w:p>
            <w:pPr>
              <w:spacing w:after="0"/>
              <w:rPr>
                <w:sz w:val="16"/>
                <w:szCs w:val="16"/>
                <w:color w:val="auto"/>
              </w:rPr>
            </w:pPr>
          </w:p>
        </w:tc>
        <w:tc>
          <w:tcPr>
            <w:tcW w:w="7560" w:type="dxa"/>
            <w:vAlign w:val="bottom"/>
            <w:tcBorders>
              <w:bottom w:val="single" w:sz="8" w:color="E9E9E9"/>
            </w:tcBorders>
            <w:shd w:val="clear" w:color="auto" w:fill="E9E9E9"/>
          </w:tcPr>
          <w:p>
            <w:pPr>
              <w:ind w:left="60"/>
              <w:spacing w:after="0" w:line="175" w:lineRule="exact"/>
              <w:rPr>
                <w:sz w:val="20"/>
                <w:szCs w:val="20"/>
                <w:color w:val="auto"/>
              </w:rPr>
            </w:pPr>
            <w:r>
              <w:rPr>
                <w:rFonts w:ascii="Arial" w:cs="Arial" w:eastAsia="Arial" w:hAnsi="Arial"/>
                <w:sz w:val="16"/>
                <w:szCs w:val="16"/>
                <w:color w:val="auto"/>
              </w:rPr>
              <w:t>Compensation Committee</w:t>
            </w:r>
          </w:p>
        </w:tc>
        <w:tc>
          <w:tcPr>
            <w:tcW w:w="1920" w:type="dxa"/>
            <w:vAlign w:val="bottom"/>
            <w:tcBorders>
              <w:bottom w:val="single" w:sz="8" w:color="E9E9E9"/>
              <w:right w:val="single" w:sz="8" w:color="E9E9E9"/>
            </w:tcBorders>
            <w:gridSpan w:val="2"/>
            <w:shd w:val="clear" w:color="auto" w:fill="E9E9E9"/>
          </w:tcPr>
          <w:p>
            <w:pPr>
              <w:spacing w:after="0"/>
              <w:rPr>
                <w:sz w:val="16"/>
                <w:szCs w:val="16"/>
                <w:color w:val="auto"/>
              </w:rPr>
            </w:pPr>
          </w:p>
        </w:tc>
        <w:tc>
          <w:tcPr>
            <w:tcW w:w="80" w:type="dxa"/>
            <w:vAlign w:val="bottom"/>
            <w:tcBorders>
              <w:bottom w:val="single" w:sz="8" w:color="auto"/>
            </w:tcBorders>
            <w:shd w:val="clear" w:color="auto" w:fill="E9E9E9"/>
          </w:tcPr>
          <w:p>
            <w:pPr>
              <w:jc w:val="right"/>
              <w:spacing w:after="0"/>
              <w:rPr>
                <w:rFonts w:ascii="Arial" w:cs="Arial" w:eastAsia="Arial" w:hAnsi="Arial"/>
                <w:sz w:val="7"/>
                <w:szCs w:val="7"/>
                <w:color w:val="auto"/>
                <w:w w:val="76"/>
              </w:rPr>
            </w:pPr>
            <w:hyperlink w:anchor="page19">
              <w:r>
                <w:rPr>
                  <w:rFonts w:ascii="Arial" w:cs="Arial" w:eastAsia="Arial" w:hAnsi="Arial"/>
                  <w:sz w:val="7"/>
                  <w:szCs w:val="7"/>
                  <w:color w:val="auto"/>
                  <w:w w:val="76"/>
                </w:rPr>
                <w:t>12</w:t>
              </w:r>
            </w:hyperlink>
          </w:p>
        </w:tc>
        <w:tc>
          <w:tcPr>
            <w:tcW w:w="680" w:type="dxa"/>
            <w:vAlign w:val="bottom"/>
            <w:tcBorders>
              <w:left w:val="single" w:sz="8" w:color="E9E9E9"/>
            </w:tcBorders>
          </w:tcPr>
          <w:p>
            <w:pPr>
              <w:spacing w:after="0"/>
              <w:rPr>
                <w:sz w:val="16"/>
                <w:szCs w:val="16"/>
                <w:color w:val="auto"/>
              </w:rPr>
            </w:pPr>
          </w:p>
        </w:tc>
      </w:tr>
      <w:tr>
        <w:trPr>
          <w:trHeight w:val="175"/>
        </w:trPr>
        <w:tc>
          <w:tcPr>
            <w:tcW w:w="560" w:type="dxa"/>
            <w:vAlign w:val="bottom"/>
          </w:tcPr>
          <w:p>
            <w:pPr>
              <w:spacing w:after="0"/>
              <w:rPr>
                <w:sz w:val="15"/>
                <w:szCs w:val="15"/>
                <w:color w:val="auto"/>
              </w:rPr>
            </w:pPr>
          </w:p>
        </w:tc>
        <w:tc>
          <w:tcPr>
            <w:tcW w:w="7560" w:type="dxa"/>
            <w:vAlign w:val="bottom"/>
          </w:tcPr>
          <w:p>
            <w:pPr>
              <w:ind w:left="60"/>
              <w:spacing w:after="0" w:line="168" w:lineRule="exact"/>
              <w:rPr>
                <w:sz w:val="20"/>
                <w:szCs w:val="20"/>
                <w:color w:val="auto"/>
              </w:rPr>
            </w:pPr>
            <w:r>
              <w:rPr>
                <w:rFonts w:ascii="Arial" w:cs="Arial" w:eastAsia="Arial" w:hAnsi="Arial"/>
                <w:sz w:val="16"/>
                <w:szCs w:val="16"/>
                <w:color w:val="auto"/>
              </w:rPr>
              <w:t>Corporate Governance Committee</w:t>
            </w:r>
          </w:p>
        </w:tc>
        <w:tc>
          <w:tcPr>
            <w:tcW w:w="1920" w:type="dxa"/>
            <w:vAlign w:val="bottom"/>
            <w:gridSpan w:val="2"/>
          </w:tcPr>
          <w:p>
            <w:pPr>
              <w:spacing w:after="0"/>
              <w:rPr>
                <w:sz w:val="15"/>
                <w:szCs w:val="15"/>
                <w:color w:val="auto"/>
              </w:rPr>
            </w:pPr>
          </w:p>
        </w:tc>
        <w:tc>
          <w:tcPr>
            <w:tcW w:w="80" w:type="dxa"/>
            <w:vAlign w:val="bottom"/>
            <w:tcBorders>
              <w:bottom w:val="single" w:sz="8" w:color="auto"/>
            </w:tcBorders>
          </w:tcPr>
          <w:p>
            <w:pPr>
              <w:jc w:val="right"/>
              <w:spacing w:after="0"/>
              <w:rPr>
                <w:rFonts w:ascii="Arial" w:cs="Arial" w:eastAsia="Arial" w:hAnsi="Arial"/>
                <w:sz w:val="7"/>
                <w:szCs w:val="7"/>
                <w:color w:val="auto"/>
                <w:w w:val="76"/>
              </w:rPr>
            </w:pPr>
            <w:hyperlink w:anchor="page19">
              <w:r>
                <w:rPr>
                  <w:rFonts w:ascii="Arial" w:cs="Arial" w:eastAsia="Arial" w:hAnsi="Arial"/>
                  <w:sz w:val="7"/>
                  <w:szCs w:val="7"/>
                  <w:color w:val="auto"/>
                  <w:w w:val="76"/>
                </w:rPr>
                <w:t>12</w:t>
              </w:r>
            </w:hyperlink>
          </w:p>
        </w:tc>
        <w:tc>
          <w:tcPr>
            <w:tcW w:w="680" w:type="dxa"/>
            <w:vAlign w:val="bottom"/>
          </w:tcPr>
          <w:p>
            <w:pPr>
              <w:spacing w:after="0"/>
              <w:rPr>
                <w:sz w:val="15"/>
                <w:szCs w:val="15"/>
                <w:color w:val="auto"/>
              </w:rPr>
            </w:pPr>
          </w:p>
        </w:tc>
      </w:tr>
      <w:tr>
        <w:trPr>
          <w:trHeight w:val="191"/>
        </w:trPr>
        <w:tc>
          <w:tcPr>
            <w:tcW w:w="560" w:type="dxa"/>
            <w:vAlign w:val="bottom"/>
          </w:tcPr>
          <w:p>
            <w:pPr>
              <w:spacing w:after="0"/>
              <w:rPr>
                <w:sz w:val="16"/>
                <w:szCs w:val="16"/>
                <w:color w:val="auto"/>
              </w:rPr>
            </w:pPr>
          </w:p>
        </w:tc>
        <w:tc>
          <w:tcPr>
            <w:tcW w:w="7560" w:type="dxa"/>
            <w:vAlign w:val="bottom"/>
            <w:tcBorders>
              <w:bottom w:val="single" w:sz="8" w:color="E9E9E9"/>
            </w:tcBorders>
            <w:shd w:val="clear" w:color="auto" w:fill="E9E9E9"/>
          </w:tcPr>
          <w:p>
            <w:pPr>
              <w:ind w:left="60"/>
              <w:spacing w:after="0" w:line="175" w:lineRule="exact"/>
              <w:rPr>
                <w:sz w:val="20"/>
                <w:szCs w:val="20"/>
                <w:color w:val="auto"/>
              </w:rPr>
            </w:pPr>
            <w:r>
              <w:rPr>
                <w:rFonts w:ascii="Arial" w:cs="Arial" w:eastAsia="Arial" w:hAnsi="Arial"/>
                <w:sz w:val="16"/>
                <w:szCs w:val="16"/>
                <w:color w:val="auto"/>
              </w:rPr>
              <w:t>Executive Committee</w:t>
            </w:r>
          </w:p>
        </w:tc>
        <w:tc>
          <w:tcPr>
            <w:tcW w:w="1920" w:type="dxa"/>
            <w:vAlign w:val="bottom"/>
            <w:tcBorders>
              <w:bottom w:val="single" w:sz="8" w:color="E9E9E9"/>
              <w:right w:val="single" w:sz="8" w:color="E9E9E9"/>
            </w:tcBorders>
            <w:gridSpan w:val="2"/>
            <w:shd w:val="clear" w:color="auto" w:fill="E9E9E9"/>
          </w:tcPr>
          <w:p>
            <w:pPr>
              <w:spacing w:after="0"/>
              <w:rPr>
                <w:sz w:val="16"/>
                <w:szCs w:val="16"/>
                <w:color w:val="auto"/>
              </w:rPr>
            </w:pPr>
          </w:p>
        </w:tc>
        <w:tc>
          <w:tcPr>
            <w:tcW w:w="80" w:type="dxa"/>
            <w:vAlign w:val="bottom"/>
            <w:tcBorders>
              <w:bottom w:val="single" w:sz="8" w:color="auto"/>
            </w:tcBorders>
            <w:shd w:val="clear" w:color="auto" w:fill="E9E9E9"/>
          </w:tcPr>
          <w:p>
            <w:pPr>
              <w:jc w:val="right"/>
              <w:spacing w:after="0"/>
              <w:rPr>
                <w:rFonts w:ascii="Arial" w:cs="Arial" w:eastAsia="Arial" w:hAnsi="Arial"/>
                <w:sz w:val="7"/>
                <w:szCs w:val="7"/>
                <w:color w:val="auto"/>
                <w:w w:val="76"/>
              </w:rPr>
            </w:pPr>
            <w:hyperlink w:anchor="page20">
              <w:r>
                <w:rPr>
                  <w:rFonts w:ascii="Arial" w:cs="Arial" w:eastAsia="Arial" w:hAnsi="Arial"/>
                  <w:sz w:val="7"/>
                  <w:szCs w:val="7"/>
                  <w:color w:val="auto"/>
                  <w:w w:val="76"/>
                </w:rPr>
                <w:t>13</w:t>
              </w:r>
            </w:hyperlink>
          </w:p>
        </w:tc>
        <w:tc>
          <w:tcPr>
            <w:tcW w:w="680" w:type="dxa"/>
            <w:vAlign w:val="bottom"/>
            <w:tcBorders>
              <w:left w:val="single" w:sz="8" w:color="E9E9E9"/>
            </w:tcBorders>
          </w:tcPr>
          <w:p>
            <w:pPr>
              <w:spacing w:after="0"/>
              <w:rPr>
                <w:sz w:val="16"/>
                <w:szCs w:val="16"/>
                <w:color w:val="auto"/>
              </w:rPr>
            </w:pPr>
          </w:p>
        </w:tc>
      </w:tr>
      <w:tr>
        <w:trPr>
          <w:trHeight w:val="175"/>
        </w:trPr>
        <w:tc>
          <w:tcPr>
            <w:tcW w:w="560" w:type="dxa"/>
            <w:vAlign w:val="bottom"/>
          </w:tcPr>
          <w:p>
            <w:pPr>
              <w:spacing w:after="0"/>
              <w:rPr>
                <w:sz w:val="15"/>
                <w:szCs w:val="15"/>
                <w:color w:val="auto"/>
              </w:rPr>
            </w:pPr>
          </w:p>
        </w:tc>
        <w:tc>
          <w:tcPr>
            <w:tcW w:w="7560" w:type="dxa"/>
            <w:vAlign w:val="bottom"/>
          </w:tcPr>
          <w:p>
            <w:pPr>
              <w:ind w:left="60"/>
              <w:spacing w:after="0" w:line="168" w:lineRule="exact"/>
              <w:rPr>
                <w:sz w:val="20"/>
                <w:szCs w:val="20"/>
                <w:color w:val="auto"/>
              </w:rPr>
            </w:pPr>
            <w:r>
              <w:rPr>
                <w:rFonts w:ascii="Arial" w:cs="Arial" w:eastAsia="Arial" w:hAnsi="Arial"/>
                <w:sz w:val="16"/>
                <w:szCs w:val="16"/>
                <w:color w:val="auto"/>
              </w:rPr>
              <w:t>Succession Planning</w:t>
            </w:r>
          </w:p>
        </w:tc>
        <w:tc>
          <w:tcPr>
            <w:tcW w:w="1920" w:type="dxa"/>
            <w:vAlign w:val="bottom"/>
            <w:gridSpan w:val="2"/>
          </w:tcPr>
          <w:p>
            <w:pPr>
              <w:spacing w:after="0"/>
              <w:rPr>
                <w:sz w:val="15"/>
                <w:szCs w:val="15"/>
                <w:color w:val="auto"/>
              </w:rPr>
            </w:pPr>
          </w:p>
        </w:tc>
        <w:tc>
          <w:tcPr>
            <w:tcW w:w="80" w:type="dxa"/>
            <w:vAlign w:val="bottom"/>
            <w:tcBorders>
              <w:bottom w:val="single" w:sz="8" w:color="auto"/>
            </w:tcBorders>
          </w:tcPr>
          <w:p>
            <w:pPr>
              <w:jc w:val="right"/>
              <w:spacing w:after="0"/>
              <w:rPr>
                <w:rFonts w:ascii="Arial" w:cs="Arial" w:eastAsia="Arial" w:hAnsi="Arial"/>
                <w:sz w:val="7"/>
                <w:szCs w:val="7"/>
                <w:color w:val="auto"/>
                <w:w w:val="76"/>
              </w:rPr>
            </w:pPr>
            <w:hyperlink w:anchor="page20">
              <w:r>
                <w:rPr>
                  <w:rFonts w:ascii="Arial" w:cs="Arial" w:eastAsia="Arial" w:hAnsi="Arial"/>
                  <w:sz w:val="7"/>
                  <w:szCs w:val="7"/>
                  <w:color w:val="auto"/>
                  <w:w w:val="76"/>
                </w:rPr>
                <w:t>13</w:t>
              </w:r>
            </w:hyperlink>
          </w:p>
        </w:tc>
        <w:tc>
          <w:tcPr>
            <w:tcW w:w="680" w:type="dxa"/>
            <w:vAlign w:val="bottom"/>
          </w:tcPr>
          <w:p>
            <w:pPr>
              <w:spacing w:after="0"/>
              <w:rPr>
                <w:sz w:val="15"/>
                <w:szCs w:val="15"/>
                <w:color w:val="auto"/>
              </w:rPr>
            </w:pPr>
          </w:p>
        </w:tc>
      </w:tr>
      <w:tr>
        <w:trPr>
          <w:trHeight w:val="191"/>
        </w:trPr>
        <w:tc>
          <w:tcPr>
            <w:tcW w:w="560" w:type="dxa"/>
            <w:vAlign w:val="bottom"/>
          </w:tcPr>
          <w:p>
            <w:pPr>
              <w:spacing w:after="0"/>
              <w:rPr>
                <w:sz w:val="16"/>
                <w:szCs w:val="16"/>
                <w:color w:val="auto"/>
              </w:rPr>
            </w:pPr>
          </w:p>
        </w:tc>
        <w:tc>
          <w:tcPr>
            <w:tcW w:w="7560" w:type="dxa"/>
            <w:vAlign w:val="bottom"/>
            <w:tcBorders>
              <w:bottom w:val="single" w:sz="8" w:color="E9E9E9"/>
            </w:tcBorders>
            <w:shd w:val="clear" w:color="auto" w:fill="E9E9E9"/>
          </w:tcPr>
          <w:p>
            <w:pPr>
              <w:ind w:left="60"/>
              <w:spacing w:after="0" w:line="175" w:lineRule="exact"/>
              <w:rPr>
                <w:sz w:val="20"/>
                <w:szCs w:val="20"/>
                <w:color w:val="auto"/>
              </w:rPr>
            </w:pPr>
            <w:r>
              <w:rPr>
                <w:rFonts w:ascii="Arial" w:cs="Arial" w:eastAsia="Arial" w:hAnsi="Arial"/>
                <w:sz w:val="16"/>
                <w:szCs w:val="16"/>
                <w:color w:val="auto"/>
              </w:rPr>
              <w:t>Related Person Transactions</w:t>
            </w:r>
          </w:p>
        </w:tc>
        <w:tc>
          <w:tcPr>
            <w:tcW w:w="1920" w:type="dxa"/>
            <w:vAlign w:val="bottom"/>
            <w:tcBorders>
              <w:bottom w:val="single" w:sz="8" w:color="E9E9E9"/>
              <w:right w:val="single" w:sz="8" w:color="E9E9E9"/>
            </w:tcBorders>
            <w:gridSpan w:val="2"/>
            <w:shd w:val="clear" w:color="auto" w:fill="E9E9E9"/>
          </w:tcPr>
          <w:p>
            <w:pPr>
              <w:spacing w:after="0"/>
              <w:rPr>
                <w:sz w:val="16"/>
                <w:szCs w:val="16"/>
                <w:color w:val="auto"/>
              </w:rPr>
            </w:pPr>
          </w:p>
        </w:tc>
        <w:tc>
          <w:tcPr>
            <w:tcW w:w="80" w:type="dxa"/>
            <w:vAlign w:val="bottom"/>
            <w:tcBorders>
              <w:bottom w:val="single" w:sz="8" w:color="auto"/>
            </w:tcBorders>
            <w:shd w:val="clear" w:color="auto" w:fill="E9E9E9"/>
          </w:tcPr>
          <w:p>
            <w:pPr>
              <w:jc w:val="right"/>
              <w:spacing w:after="0"/>
              <w:rPr>
                <w:rFonts w:ascii="Arial" w:cs="Arial" w:eastAsia="Arial" w:hAnsi="Arial"/>
                <w:sz w:val="7"/>
                <w:szCs w:val="7"/>
                <w:color w:val="auto"/>
                <w:w w:val="76"/>
              </w:rPr>
            </w:pPr>
            <w:hyperlink w:anchor="page20">
              <w:r>
                <w:rPr>
                  <w:rFonts w:ascii="Arial" w:cs="Arial" w:eastAsia="Arial" w:hAnsi="Arial"/>
                  <w:sz w:val="7"/>
                  <w:szCs w:val="7"/>
                  <w:color w:val="auto"/>
                  <w:w w:val="76"/>
                </w:rPr>
                <w:t>13</w:t>
              </w:r>
            </w:hyperlink>
          </w:p>
        </w:tc>
        <w:tc>
          <w:tcPr>
            <w:tcW w:w="680" w:type="dxa"/>
            <w:vAlign w:val="bottom"/>
            <w:tcBorders>
              <w:left w:val="single" w:sz="8" w:color="E9E9E9"/>
            </w:tcBorders>
          </w:tcPr>
          <w:p>
            <w:pPr>
              <w:spacing w:after="0"/>
              <w:rPr>
                <w:sz w:val="16"/>
                <w:szCs w:val="16"/>
                <w:color w:val="auto"/>
              </w:rPr>
            </w:pPr>
          </w:p>
        </w:tc>
      </w:tr>
      <w:tr>
        <w:trPr>
          <w:trHeight w:val="175"/>
        </w:trPr>
        <w:tc>
          <w:tcPr>
            <w:tcW w:w="560" w:type="dxa"/>
            <w:vAlign w:val="bottom"/>
          </w:tcPr>
          <w:p>
            <w:pPr>
              <w:spacing w:after="0"/>
              <w:rPr>
                <w:sz w:val="15"/>
                <w:szCs w:val="15"/>
                <w:color w:val="auto"/>
              </w:rPr>
            </w:pPr>
          </w:p>
        </w:tc>
        <w:tc>
          <w:tcPr>
            <w:tcW w:w="7560" w:type="dxa"/>
            <w:vAlign w:val="bottom"/>
          </w:tcPr>
          <w:p>
            <w:pPr>
              <w:ind w:left="60"/>
              <w:spacing w:after="0" w:line="168" w:lineRule="exact"/>
              <w:rPr>
                <w:sz w:val="20"/>
                <w:szCs w:val="20"/>
                <w:color w:val="auto"/>
              </w:rPr>
            </w:pPr>
            <w:r>
              <w:rPr>
                <w:rFonts w:ascii="Arial" w:cs="Arial" w:eastAsia="Arial" w:hAnsi="Arial"/>
                <w:sz w:val="16"/>
                <w:szCs w:val="16"/>
                <w:color w:val="auto"/>
              </w:rPr>
              <w:t>Shareholder Engagement</w:t>
            </w:r>
          </w:p>
        </w:tc>
        <w:tc>
          <w:tcPr>
            <w:tcW w:w="1920" w:type="dxa"/>
            <w:vAlign w:val="bottom"/>
            <w:gridSpan w:val="2"/>
          </w:tcPr>
          <w:p>
            <w:pPr>
              <w:spacing w:after="0"/>
              <w:rPr>
                <w:sz w:val="15"/>
                <w:szCs w:val="15"/>
                <w:color w:val="auto"/>
              </w:rPr>
            </w:pPr>
          </w:p>
        </w:tc>
        <w:tc>
          <w:tcPr>
            <w:tcW w:w="80" w:type="dxa"/>
            <w:vAlign w:val="bottom"/>
            <w:tcBorders>
              <w:bottom w:val="single" w:sz="8" w:color="auto"/>
            </w:tcBorders>
          </w:tcPr>
          <w:p>
            <w:pPr>
              <w:jc w:val="right"/>
              <w:spacing w:after="0"/>
              <w:rPr>
                <w:rFonts w:ascii="Arial" w:cs="Arial" w:eastAsia="Arial" w:hAnsi="Arial"/>
                <w:sz w:val="7"/>
                <w:szCs w:val="7"/>
                <w:color w:val="auto"/>
                <w:w w:val="76"/>
              </w:rPr>
            </w:pPr>
            <w:hyperlink w:anchor="page21">
              <w:r>
                <w:rPr>
                  <w:rFonts w:ascii="Arial" w:cs="Arial" w:eastAsia="Arial" w:hAnsi="Arial"/>
                  <w:sz w:val="7"/>
                  <w:szCs w:val="7"/>
                  <w:color w:val="auto"/>
                  <w:w w:val="76"/>
                </w:rPr>
                <w:t>14</w:t>
              </w:r>
            </w:hyperlink>
          </w:p>
        </w:tc>
        <w:tc>
          <w:tcPr>
            <w:tcW w:w="680" w:type="dxa"/>
            <w:vAlign w:val="bottom"/>
          </w:tcPr>
          <w:p>
            <w:pPr>
              <w:spacing w:after="0"/>
              <w:rPr>
                <w:sz w:val="15"/>
                <w:szCs w:val="15"/>
                <w:color w:val="auto"/>
              </w:rPr>
            </w:pPr>
          </w:p>
        </w:tc>
      </w:tr>
      <w:tr>
        <w:trPr>
          <w:trHeight w:val="191"/>
        </w:trPr>
        <w:tc>
          <w:tcPr>
            <w:tcW w:w="560" w:type="dxa"/>
            <w:vAlign w:val="bottom"/>
          </w:tcPr>
          <w:p>
            <w:pPr>
              <w:spacing w:after="0"/>
              <w:rPr>
                <w:sz w:val="16"/>
                <w:szCs w:val="16"/>
                <w:color w:val="auto"/>
              </w:rPr>
            </w:pPr>
          </w:p>
        </w:tc>
        <w:tc>
          <w:tcPr>
            <w:tcW w:w="7560" w:type="dxa"/>
            <w:vAlign w:val="bottom"/>
            <w:tcBorders>
              <w:bottom w:val="single" w:sz="8" w:color="E9E9E9"/>
            </w:tcBorders>
            <w:shd w:val="clear" w:color="auto" w:fill="E9E9E9"/>
          </w:tcPr>
          <w:p>
            <w:pPr>
              <w:ind w:left="60"/>
              <w:spacing w:after="0" w:line="175" w:lineRule="exact"/>
              <w:rPr>
                <w:sz w:val="20"/>
                <w:szCs w:val="20"/>
                <w:color w:val="auto"/>
              </w:rPr>
            </w:pPr>
            <w:r>
              <w:rPr>
                <w:rFonts w:ascii="Arial" w:cs="Arial" w:eastAsia="Arial" w:hAnsi="Arial"/>
                <w:sz w:val="16"/>
                <w:szCs w:val="16"/>
                <w:b w:val="1"/>
                <w:bCs w:val="1"/>
                <w:color w:val="auto"/>
              </w:rPr>
              <w:t>Security Ownership of Certain Beneficial Owners</w:t>
            </w:r>
          </w:p>
        </w:tc>
        <w:tc>
          <w:tcPr>
            <w:tcW w:w="1920" w:type="dxa"/>
            <w:vAlign w:val="bottom"/>
            <w:tcBorders>
              <w:bottom w:val="single" w:sz="8" w:color="E9E9E9"/>
              <w:right w:val="single" w:sz="8" w:color="E9E9E9"/>
            </w:tcBorders>
            <w:gridSpan w:val="2"/>
            <w:shd w:val="clear" w:color="auto" w:fill="E9E9E9"/>
          </w:tcPr>
          <w:p>
            <w:pPr>
              <w:spacing w:after="0"/>
              <w:rPr>
                <w:sz w:val="16"/>
                <w:szCs w:val="16"/>
                <w:color w:val="auto"/>
              </w:rPr>
            </w:pPr>
          </w:p>
        </w:tc>
        <w:tc>
          <w:tcPr>
            <w:tcW w:w="80" w:type="dxa"/>
            <w:vAlign w:val="bottom"/>
            <w:tcBorders>
              <w:bottom w:val="single" w:sz="8" w:color="auto"/>
            </w:tcBorders>
            <w:shd w:val="clear" w:color="auto" w:fill="E9E9E9"/>
          </w:tcPr>
          <w:p>
            <w:pPr>
              <w:jc w:val="right"/>
              <w:spacing w:after="0"/>
              <w:rPr>
                <w:rFonts w:ascii="Arial" w:cs="Arial" w:eastAsia="Arial" w:hAnsi="Arial"/>
                <w:sz w:val="7"/>
                <w:szCs w:val="7"/>
                <w:color w:val="auto"/>
                <w:w w:val="76"/>
              </w:rPr>
            </w:pPr>
            <w:hyperlink w:anchor="page22">
              <w:r>
                <w:rPr>
                  <w:rFonts w:ascii="Arial" w:cs="Arial" w:eastAsia="Arial" w:hAnsi="Arial"/>
                  <w:sz w:val="7"/>
                  <w:szCs w:val="7"/>
                  <w:color w:val="auto"/>
                  <w:w w:val="76"/>
                </w:rPr>
                <w:t>15</w:t>
              </w:r>
            </w:hyperlink>
          </w:p>
        </w:tc>
        <w:tc>
          <w:tcPr>
            <w:tcW w:w="680" w:type="dxa"/>
            <w:vAlign w:val="bottom"/>
            <w:tcBorders>
              <w:left w:val="single" w:sz="8" w:color="E9E9E9"/>
            </w:tcBorders>
          </w:tcPr>
          <w:p>
            <w:pPr>
              <w:spacing w:after="0"/>
              <w:rPr>
                <w:sz w:val="16"/>
                <w:szCs w:val="16"/>
                <w:color w:val="auto"/>
              </w:rPr>
            </w:pPr>
          </w:p>
        </w:tc>
      </w:tr>
      <w:tr>
        <w:trPr>
          <w:trHeight w:val="175"/>
        </w:trPr>
        <w:tc>
          <w:tcPr>
            <w:tcW w:w="560" w:type="dxa"/>
            <w:vAlign w:val="bottom"/>
          </w:tcPr>
          <w:p>
            <w:pPr>
              <w:spacing w:after="0"/>
              <w:rPr>
                <w:sz w:val="15"/>
                <w:szCs w:val="15"/>
                <w:color w:val="auto"/>
              </w:rPr>
            </w:pPr>
          </w:p>
        </w:tc>
        <w:tc>
          <w:tcPr>
            <w:tcW w:w="7560" w:type="dxa"/>
            <w:vAlign w:val="bottom"/>
          </w:tcPr>
          <w:p>
            <w:pPr>
              <w:ind w:left="60"/>
              <w:spacing w:after="0" w:line="168" w:lineRule="exact"/>
              <w:rPr>
                <w:sz w:val="20"/>
                <w:szCs w:val="20"/>
                <w:color w:val="auto"/>
              </w:rPr>
            </w:pPr>
            <w:r>
              <w:rPr>
                <w:rFonts w:ascii="Arial" w:cs="Arial" w:eastAsia="Arial" w:hAnsi="Arial"/>
                <w:sz w:val="16"/>
                <w:szCs w:val="16"/>
                <w:b w:val="1"/>
                <w:bCs w:val="1"/>
                <w:color w:val="auto"/>
              </w:rPr>
              <w:t>Section 16(a) Beneficial Ownership Reporting Compliance</w:t>
            </w:r>
          </w:p>
        </w:tc>
        <w:tc>
          <w:tcPr>
            <w:tcW w:w="1920" w:type="dxa"/>
            <w:vAlign w:val="bottom"/>
            <w:gridSpan w:val="2"/>
          </w:tcPr>
          <w:p>
            <w:pPr>
              <w:spacing w:after="0"/>
              <w:rPr>
                <w:sz w:val="15"/>
                <w:szCs w:val="15"/>
                <w:color w:val="auto"/>
              </w:rPr>
            </w:pPr>
          </w:p>
        </w:tc>
        <w:tc>
          <w:tcPr>
            <w:tcW w:w="80" w:type="dxa"/>
            <w:vAlign w:val="bottom"/>
            <w:tcBorders>
              <w:bottom w:val="single" w:sz="8" w:color="auto"/>
            </w:tcBorders>
          </w:tcPr>
          <w:p>
            <w:pPr>
              <w:jc w:val="right"/>
              <w:spacing w:after="0"/>
              <w:rPr>
                <w:rFonts w:ascii="Arial" w:cs="Arial" w:eastAsia="Arial" w:hAnsi="Arial"/>
                <w:sz w:val="7"/>
                <w:szCs w:val="7"/>
                <w:color w:val="auto"/>
                <w:w w:val="76"/>
              </w:rPr>
            </w:pPr>
            <w:hyperlink w:anchor="page24">
              <w:r>
                <w:rPr>
                  <w:rFonts w:ascii="Arial" w:cs="Arial" w:eastAsia="Arial" w:hAnsi="Arial"/>
                  <w:sz w:val="7"/>
                  <w:szCs w:val="7"/>
                  <w:color w:val="auto"/>
                  <w:w w:val="76"/>
                </w:rPr>
                <w:t>17</w:t>
              </w:r>
            </w:hyperlink>
          </w:p>
        </w:tc>
        <w:tc>
          <w:tcPr>
            <w:tcW w:w="680" w:type="dxa"/>
            <w:vAlign w:val="bottom"/>
          </w:tcPr>
          <w:p>
            <w:pPr>
              <w:spacing w:after="0"/>
              <w:rPr>
                <w:sz w:val="15"/>
                <w:szCs w:val="15"/>
                <w:color w:val="auto"/>
              </w:rPr>
            </w:pPr>
          </w:p>
        </w:tc>
      </w:tr>
      <w:tr>
        <w:trPr>
          <w:trHeight w:val="191"/>
        </w:trPr>
        <w:tc>
          <w:tcPr>
            <w:tcW w:w="560" w:type="dxa"/>
            <w:vAlign w:val="bottom"/>
          </w:tcPr>
          <w:p>
            <w:pPr>
              <w:spacing w:after="0"/>
              <w:rPr>
                <w:sz w:val="16"/>
                <w:szCs w:val="16"/>
                <w:color w:val="auto"/>
              </w:rPr>
            </w:pPr>
          </w:p>
        </w:tc>
        <w:tc>
          <w:tcPr>
            <w:tcW w:w="7560" w:type="dxa"/>
            <w:vAlign w:val="bottom"/>
            <w:tcBorders>
              <w:bottom w:val="single" w:sz="8" w:color="E9E9E9"/>
            </w:tcBorders>
            <w:shd w:val="clear" w:color="auto" w:fill="E9E9E9"/>
          </w:tcPr>
          <w:p>
            <w:pPr>
              <w:ind w:left="60"/>
              <w:spacing w:after="0" w:line="175" w:lineRule="exact"/>
              <w:rPr>
                <w:sz w:val="20"/>
                <w:szCs w:val="20"/>
                <w:color w:val="auto"/>
              </w:rPr>
            </w:pPr>
            <w:r>
              <w:rPr>
                <w:rFonts w:ascii="Arial" w:cs="Arial" w:eastAsia="Arial" w:hAnsi="Arial"/>
                <w:sz w:val="16"/>
                <w:szCs w:val="16"/>
                <w:b w:val="1"/>
                <w:bCs w:val="1"/>
                <w:color w:val="auto"/>
              </w:rPr>
              <w:t>Executive Officers</w:t>
            </w:r>
          </w:p>
        </w:tc>
        <w:tc>
          <w:tcPr>
            <w:tcW w:w="1920" w:type="dxa"/>
            <w:vAlign w:val="bottom"/>
            <w:tcBorders>
              <w:bottom w:val="single" w:sz="8" w:color="E9E9E9"/>
              <w:right w:val="single" w:sz="8" w:color="E9E9E9"/>
            </w:tcBorders>
            <w:gridSpan w:val="2"/>
            <w:shd w:val="clear" w:color="auto" w:fill="E9E9E9"/>
          </w:tcPr>
          <w:p>
            <w:pPr>
              <w:spacing w:after="0"/>
              <w:rPr>
                <w:sz w:val="16"/>
                <w:szCs w:val="16"/>
                <w:color w:val="auto"/>
              </w:rPr>
            </w:pPr>
          </w:p>
        </w:tc>
        <w:tc>
          <w:tcPr>
            <w:tcW w:w="80" w:type="dxa"/>
            <w:vAlign w:val="bottom"/>
            <w:tcBorders>
              <w:bottom w:val="single" w:sz="8" w:color="auto"/>
            </w:tcBorders>
            <w:shd w:val="clear" w:color="auto" w:fill="E9E9E9"/>
          </w:tcPr>
          <w:p>
            <w:pPr>
              <w:jc w:val="right"/>
              <w:spacing w:after="0"/>
              <w:rPr>
                <w:rFonts w:ascii="Arial" w:cs="Arial" w:eastAsia="Arial" w:hAnsi="Arial"/>
                <w:sz w:val="7"/>
                <w:szCs w:val="7"/>
                <w:color w:val="auto"/>
                <w:w w:val="76"/>
              </w:rPr>
            </w:pPr>
            <w:hyperlink w:anchor="page24">
              <w:r>
                <w:rPr>
                  <w:rFonts w:ascii="Arial" w:cs="Arial" w:eastAsia="Arial" w:hAnsi="Arial"/>
                  <w:sz w:val="7"/>
                  <w:szCs w:val="7"/>
                  <w:color w:val="auto"/>
                  <w:w w:val="76"/>
                </w:rPr>
                <w:t>17</w:t>
              </w:r>
            </w:hyperlink>
          </w:p>
        </w:tc>
        <w:tc>
          <w:tcPr>
            <w:tcW w:w="680" w:type="dxa"/>
            <w:vAlign w:val="bottom"/>
            <w:tcBorders>
              <w:left w:val="single" w:sz="8" w:color="E9E9E9"/>
            </w:tcBorders>
          </w:tcPr>
          <w:p>
            <w:pPr>
              <w:spacing w:after="0"/>
              <w:rPr>
                <w:sz w:val="16"/>
                <w:szCs w:val="16"/>
                <w:color w:val="auto"/>
              </w:rPr>
            </w:pPr>
          </w:p>
        </w:tc>
      </w:tr>
      <w:tr>
        <w:trPr>
          <w:trHeight w:val="167"/>
        </w:trPr>
        <w:tc>
          <w:tcPr>
            <w:tcW w:w="560" w:type="dxa"/>
            <w:vAlign w:val="bottom"/>
          </w:tcPr>
          <w:p>
            <w:pPr>
              <w:spacing w:after="0"/>
              <w:rPr>
                <w:sz w:val="14"/>
                <w:szCs w:val="14"/>
                <w:color w:val="auto"/>
              </w:rPr>
            </w:pPr>
          </w:p>
        </w:tc>
        <w:tc>
          <w:tcPr>
            <w:tcW w:w="7560" w:type="dxa"/>
            <w:vAlign w:val="bottom"/>
          </w:tcPr>
          <w:p>
            <w:pPr>
              <w:ind w:left="60"/>
              <w:spacing w:after="0" w:line="168" w:lineRule="exact"/>
              <w:rPr>
                <w:sz w:val="20"/>
                <w:szCs w:val="20"/>
                <w:color w:val="auto"/>
              </w:rPr>
            </w:pPr>
            <w:r>
              <w:rPr>
                <w:rFonts w:ascii="Arial" w:cs="Arial" w:eastAsia="Arial" w:hAnsi="Arial"/>
                <w:sz w:val="16"/>
                <w:szCs w:val="16"/>
                <w:b w:val="1"/>
                <w:bCs w:val="1"/>
                <w:color w:val="auto"/>
              </w:rPr>
              <w:t>Executive Compensation</w:t>
            </w:r>
          </w:p>
        </w:tc>
        <w:tc>
          <w:tcPr>
            <w:tcW w:w="2000" w:type="dxa"/>
            <w:vAlign w:val="bottom"/>
            <w:gridSpan w:val="3"/>
          </w:tcPr>
          <w:p>
            <w:pPr>
              <w:jc w:val="right"/>
              <w:spacing w:after="0" w:line="168" w:lineRule="exact"/>
              <w:rPr>
                <w:rFonts w:ascii="Arial" w:cs="Arial" w:eastAsia="Arial" w:hAnsi="Arial"/>
                <w:sz w:val="16"/>
                <w:szCs w:val="16"/>
                <w:color w:val="auto"/>
              </w:rPr>
            </w:pPr>
            <w:hyperlink w:anchor="page26">
              <w:r>
                <w:rPr>
                  <w:rFonts w:ascii="Arial" w:cs="Arial" w:eastAsia="Arial" w:hAnsi="Arial"/>
                  <w:sz w:val="16"/>
                  <w:szCs w:val="16"/>
                  <w:color w:val="auto"/>
                </w:rPr>
                <w:t>19</w:t>
              </w:r>
            </w:hyperlink>
          </w:p>
        </w:tc>
        <w:tc>
          <w:tcPr>
            <w:tcW w:w="680" w:type="dxa"/>
            <w:vAlign w:val="bottom"/>
          </w:tcPr>
          <w:p>
            <w:pPr>
              <w:spacing w:after="0"/>
              <w:rPr>
                <w:sz w:val="14"/>
                <w:szCs w:val="14"/>
                <w:color w:val="auto"/>
              </w:rPr>
            </w:pPr>
          </w:p>
        </w:tc>
      </w:tr>
      <w:tr>
        <w:trPr>
          <w:trHeight w:val="20"/>
        </w:trPr>
        <w:tc>
          <w:tcPr>
            <w:tcW w:w="560" w:type="dxa"/>
            <w:vAlign w:val="bottom"/>
          </w:tcPr>
          <w:p>
            <w:pPr>
              <w:spacing w:after="0" w:line="20" w:lineRule="exact"/>
              <w:rPr>
                <w:sz w:val="1"/>
                <w:szCs w:val="1"/>
                <w:color w:val="auto"/>
              </w:rPr>
            </w:pPr>
          </w:p>
        </w:tc>
        <w:tc>
          <w:tcPr>
            <w:tcW w:w="75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1"/>
        </w:trPr>
        <w:tc>
          <w:tcPr>
            <w:tcW w:w="560" w:type="dxa"/>
            <w:vAlign w:val="bottom"/>
          </w:tcPr>
          <w:p>
            <w:pPr>
              <w:spacing w:after="0"/>
              <w:rPr>
                <w:sz w:val="14"/>
                <w:szCs w:val="14"/>
                <w:color w:val="auto"/>
              </w:rPr>
            </w:pPr>
          </w:p>
        </w:tc>
        <w:tc>
          <w:tcPr>
            <w:tcW w:w="7560" w:type="dxa"/>
            <w:vAlign w:val="bottom"/>
            <w:tcBorders>
              <w:bottom w:val="single" w:sz="8" w:color="E9E9E9"/>
            </w:tcBorders>
            <w:shd w:val="clear" w:color="auto" w:fill="E9E9E9"/>
          </w:tcPr>
          <w:p>
            <w:pPr>
              <w:ind w:left="60"/>
              <w:spacing w:after="0" w:line="155" w:lineRule="exact"/>
              <w:rPr>
                <w:sz w:val="20"/>
                <w:szCs w:val="20"/>
                <w:color w:val="auto"/>
              </w:rPr>
            </w:pPr>
            <w:r>
              <w:rPr>
                <w:rFonts w:ascii="Arial" w:cs="Arial" w:eastAsia="Arial" w:hAnsi="Arial"/>
                <w:sz w:val="16"/>
                <w:szCs w:val="16"/>
                <w:color w:val="auto"/>
              </w:rPr>
              <w:t>Compensation Discussion and Analysis</w:t>
            </w:r>
          </w:p>
        </w:tc>
        <w:tc>
          <w:tcPr>
            <w:tcW w:w="1920" w:type="dxa"/>
            <w:vAlign w:val="bottom"/>
            <w:tcBorders>
              <w:bottom w:val="single" w:sz="8" w:color="E9E9E9"/>
              <w:right w:val="single" w:sz="8" w:color="E9E9E9"/>
            </w:tcBorders>
            <w:gridSpan w:val="2"/>
            <w:shd w:val="clear" w:color="auto" w:fill="E9E9E9"/>
          </w:tcPr>
          <w:p>
            <w:pPr>
              <w:spacing w:after="0"/>
              <w:rPr>
                <w:sz w:val="14"/>
                <w:szCs w:val="14"/>
                <w:color w:val="auto"/>
              </w:rPr>
            </w:pPr>
          </w:p>
        </w:tc>
        <w:tc>
          <w:tcPr>
            <w:tcW w:w="80" w:type="dxa"/>
            <w:vAlign w:val="bottom"/>
            <w:tcBorders>
              <w:bottom w:val="single" w:sz="8" w:color="auto"/>
            </w:tcBorders>
            <w:shd w:val="clear" w:color="auto" w:fill="E9E9E9"/>
          </w:tcPr>
          <w:p>
            <w:pPr>
              <w:jc w:val="right"/>
              <w:spacing w:after="0"/>
              <w:rPr>
                <w:rFonts w:ascii="Arial" w:cs="Arial" w:eastAsia="Arial" w:hAnsi="Arial"/>
                <w:sz w:val="7"/>
                <w:szCs w:val="7"/>
                <w:color w:val="auto"/>
                <w:w w:val="76"/>
              </w:rPr>
            </w:pPr>
            <w:hyperlink w:anchor="page26">
              <w:r>
                <w:rPr>
                  <w:rFonts w:ascii="Arial" w:cs="Arial" w:eastAsia="Arial" w:hAnsi="Arial"/>
                  <w:sz w:val="7"/>
                  <w:szCs w:val="7"/>
                  <w:color w:val="auto"/>
                  <w:w w:val="76"/>
                </w:rPr>
                <w:t>19</w:t>
              </w:r>
            </w:hyperlink>
          </w:p>
        </w:tc>
        <w:tc>
          <w:tcPr>
            <w:tcW w:w="680" w:type="dxa"/>
            <w:vAlign w:val="bottom"/>
            <w:tcBorders>
              <w:left w:val="single" w:sz="8" w:color="E9E9E9"/>
            </w:tcBorders>
          </w:tcPr>
          <w:p>
            <w:pPr>
              <w:spacing w:after="0"/>
              <w:rPr>
                <w:sz w:val="14"/>
                <w:szCs w:val="14"/>
                <w:color w:val="auto"/>
              </w:rPr>
            </w:pPr>
          </w:p>
        </w:tc>
      </w:tr>
      <w:tr>
        <w:trPr>
          <w:trHeight w:val="175"/>
        </w:trPr>
        <w:tc>
          <w:tcPr>
            <w:tcW w:w="560" w:type="dxa"/>
            <w:vAlign w:val="bottom"/>
          </w:tcPr>
          <w:p>
            <w:pPr>
              <w:spacing w:after="0"/>
              <w:rPr>
                <w:sz w:val="15"/>
                <w:szCs w:val="15"/>
                <w:color w:val="auto"/>
              </w:rPr>
            </w:pPr>
          </w:p>
        </w:tc>
        <w:tc>
          <w:tcPr>
            <w:tcW w:w="7560" w:type="dxa"/>
            <w:vAlign w:val="bottom"/>
          </w:tcPr>
          <w:p>
            <w:pPr>
              <w:ind w:left="60"/>
              <w:spacing w:after="0" w:line="168" w:lineRule="exact"/>
              <w:rPr>
                <w:sz w:val="20"/>
                <w:szCs w:val="20"/>
                <w:color w:val="auto"/>
              </w:rPr>
            </w:pPr>
            <w:r>
              <w:rPr>
                <w:rFonts w:ascii="Arial" w:cs="Arial" w:eastAsia="Arial" w:hAnsi="Arial"/>
                <w:sz w:val="16"/>
                <w:szCs w:val="16"/>
                <w:color w:val="auto"/>
              </w:rPr>
              <w:t>Summary Compensation Table</w:t>
            </w:r>
          </w:p>
        </w:tc>
        <w:tc>
          <w:tcPr>
            <w:tcW w:w="1920" w:type="dxa"/>
            <w:vAlign w:val="bottom"/>
            <w:gridSpan w:val="2"/>
          </w:tcPr>
          <w:p>
            <w:pPr>
              <w:spacing w:after="0"/>
              <w:rPr>
                <w:sz w:val="15"/>
                <w:szCs w:val="15"/>
                <w:color w:val="auto"/>
              </w:rPr>
            </w:pPr>
          </w:p>
        </w:tc>
        <w:tc>
          <w:tcPr>
            <w:tcW w:w="80" w:type="dxa"/>
            <w:vAlign w:val="bottom"/>
            <w:tcBorders>
              <w:bottom w:val="single" w:sz="8" w:color="auto"/>
            </w:tcBorders>
          </w:tcPr>
          <w:p>
            <w:pPr>
              <w:jc w:val="right"/>
              <w:spacing w:after="0"/>
              <w:rPr>
                <w:rFonts w:ascii="Arial" w:cs="Arial" w:eastAsia="Arial" w:hAnsi="Arial"/>
                <w:sz w:val="7"/>
                <w:szCs w:val="7"/>
                <w:color w:val="auto"/>
                <w:w w:val="76"/>
              </w:rPr>
            </w:pPr>
            <w:hyperlink w:anchor="page36">
              <w:r>
                <w:rPr>
                  <w:rFonts w:ascii="Arial" w:cs="Arial" w:eastAsia="Arial" w:hAnsi="Arial"/>
                  <w:sz w:val="7"/>
                  <w:szCs w:val="7"/>
                  <w:color w:val="auto"/>
                  <w:w w:val="76"/>
                </w:rPr>
                <w:t>29</w:t>
              </w:r>
            </w:hyperlink>
          </w:p>
        </w:tc>
        <w:tc>
          <w:tcPr>
            <w:tcW w:w="680" w:type="dxa"/>
            <w:vAlign w:val="bottom"/>
          </w:tcPr>
          <w:p>
            <w:pPr>
              <w:spacing w:after="0"/>
              <w:rPr>
                <w:sz w:val="15"/>
                <w:szCs w:val="15"/>
                <w:color w:val="auto"/>
              </w:rPr>
            </w:pPr>
          </w:p>
        </w:tc>
      </w:tr>
      <w:tr>
        <w:trPr>
          <w:trHeight w:val="191"/>
        </w:trPr>
        <w:tc>
          <w:tcPr>
            <w:tcW w:w="560" w:type="dxa"/>
            <w:vAlign w:val="bottom"/>
          </w:tcPr>
          <w:p>
            <w:pPr>
              <w:spacing w:after="0"/>
              <w:rPr>
                <w:sz w:val="16"/>
                <w:szCs w:val="16"/>
                <w:color w:val="auto"/>
              </w:rPr>
            </w:pPr>
          </w:p>
        </w:tc>
        <w:tc>
          <w:tcPr>
            <w:tcW w:w="7560" w:type="dxa"/>
            <w:vAlign w:val="bottom"/>
            <w:tcBorders>
              <w:bottom w:val="single" w:sz="8" w:color="E9E9E9"/>
            </w:tcBorders>
            <w:shd w:val="clear" w:color="auto" w:fill="E9E9E9"/>
          </w:tcPr>
          <w:p>
            <w:pPr>
              <w:ind w:left="60"/>
              <w:spacing w:after="0" w:line="175" w:lineRule="exact"/>
              <w:rPr>
                <w:sz w:val="20"/>
                <w:szCs w:val="20"/>
                <w:color w:val="auto"/>
              </w:rPr>
            </w:pPr>
            <w:r>
              <w:rPr>
                <w:rFonts w:ascii="Arial" w:cs="Arial" w:eastAsia="Arial" w:hAnsi="Arial"/>
                <w:sz w:val="16"/>
                <w:szCs w:val="16"/>
                <w:color w:val="auto"/>
              </w:rPr>
              <w:t>Grants of Plan-Based Awards Table</w:t>
            </w:r>
          </w:p>
        </w:tc>
        <w:tc>
          <w:tcPr>
            <w:tcW w:w="1920" w:type="dxa"/>
            <w:vAlign w:val="bottom"/>
            <w:tcBorders>
              <w:bottom w:val="single" w:sz="8" w:color="E9E9E9"/>
              <w:right w:val="single" w:sz="8" w:color="E9E9E9"/>
            </w:tcBorders>
            <w:gridSpan w:val="2"/>
            <w:shd w:val="clear" w:color="auto" w:fill="E9E9E9"/>
          </w:tcPr>
          <w:p>
            <w:pPr>
              <w:spacing w:after="0"/>
              <w:rPr>
                <w:sz w:val="16"/>
                <w:szCs w:val="16"/>
                <w:color w:val="auto"/>
              </w:rPr>
            </w:pPr>
          </w:p>
        </w:tc>
        <w:tc>
          <w:tcPr>
            <w:tcW w:w="80" w:type="dxa"/>
            <w:vAlign w:val="bottom"/>
            <w:tcBorders>
              <w:bottom w:val="single" w:sz="8" w:color="auto"/>
            </w:tcBorders>
            <w:shd w:val="clear" w:color="auto" w:fill="E9E9E9"/>
          </w:tcPr>
          <w:p>
            <w:pPr>
              <w:jc w:val="right"/>
              <w:spacing w:after="0"/>
              <w:rPr>
                <w:rFonts w:ascii="Arial" w:cs="Arial" w:eastAsia="Arial" w:hAnsi="Arial"/>
                <w:sz w:val="7"/>
                <w:szCs w:val="7"/>
                <w:color w:val="auto"/>
                <w:w w:val="76"/>
              </w:rPr>
            </w:pPr>
            <w:hyperlink w:anchor="page39">
              <w:r>
                <w:rPr>
                  <w:rFonts w:ascii="Arial" w:cs="Arial" w:eastAsia="Arial" w:hAnsi="Arial"/>
                  <w:sz w:val="7"/>
                  <w:szCs w:val="7"/>
                  <w:color w:val="auto"/>
                  <w:w w:val="76"/>
                </w:rPr>
                <w:t>32</w:t>
              </w:r>
            </w:hyperlink>
          </w:p>
        </w:tc>
        <w:tc>
          <w:tcPr>
            <w:tcW w:w="680" w:type="dxa"/>
            <w:vAlign w:val="bottom"/>
            <w:tcBorders>
              <w:left w:val="single" w:sz="8" w:color="E9E9E9"/>
            </w:tcBorders>
          </w:tcPr>
          <w:p>
            <w:pPr>
              <w:spacing w:after="0"/>
              <w:rPr>
                <w:sz w:val="16"/>
                <w:szCs w:val="16"/>
                <w:color w:val="auto"/>
              </w:rPr>
            </w:pPr>
          </w:p>
        </w:tc>
      </w:tr>
      <w:tr>
        <w:trPr>
          <w:trHeight w:val="175"/>
        </w:trPr>
        <w:tc>
          <w:tcPr>
            <w:tcW w:w="560" w:type="dxa"/>
            <w:vAlign w:val="bottom"/>
          </w:tcPr>
          <w:p>
            <w:pPr>
              <w:spacing w:after="0"/>
              <w:rPr>
                <w:sz w:val="15"/>
                <w:szCs w:val="15"/>
                <w:color w:val="auto"/>
              </w:rPr>
            </w:pPr>
          </w:p>
        </w:tc>
        <w:tc>
          <w:tcPr>
            <w:tcW w:w="7560" w:type="dxa"/>
            <w:vAlign w:val="bottom"/>
          </w:tcPr>
          <w:p>
            <w:pPr>
              <w:ind w:left="60"/>
              <w:spacing w:after="0" w:line="168" w:lineRule="exact"/>
              <w:rPr>
                <w:sz w:val="20"/>
                <w:szCs w:val="20"/>
                <w:color w:val="auto"/>
              </w:rPr>
            </w:pPr>
            <w:r>
              <w:rPr>
                <w:rFonts w:ascii="Arial" w:cs="Arial" w:eastAsia="Arial" w:hAnsi="Arial"/>
                <w:sz w:val="16"/>
                <w:szCs w:val="16"/>
                <w:color w:val="auto"/>
              </w:rPr>
              <w:t>Outstanding Equity Awards at Year-End Table</w:t>
            </w:r>
          </w:p>
        </w:tc>
        <w:tc>
          <w:tcPr>
            <w:tcW w:w="1920" w:type="dxa"/>
            <w:vAlign w:val="bottom"/>
            <w:gridSpan w:val="2"/>
          </w:tcPr>
          <w:p>
            <w:pPr>
              <w:spacing w:after="0"/>
              <w:rPr>
                <w:sz w:val="15"/>
                <w:szCs w:val="15"/>
                <w:color w:val="auto"/>
              </w:rPr>
            </w:pPr>
          </w:p>
        </w:tc>
        <w:tc>
          <w:tcPr>
            <w:tcW w:w="80" w:type="dxa"/>
            <w:vAlign w:val="bottom"/>
            <w:tcBorders>
              <w:bottom w:val="single" w:sz="8" w:color="auto"/>
            </w:tcBorders>
          </w:tcPr>
          <w:p>
            <w:pPr>
              <w:jc w:val="right"/>
              <w:spacing w:after="0"/>
              <w:rPr>
                <w:rFonts w:ascii="Arial" w:cs="Arial" w:eastAsia="Arial" w:hAnsi="Arial"/>
                <w:sz w:val="7"/>
                <w:szCs w:val="7"/>
                <w:color w:val="auto"/>
                <w:w w:val="76"/>
              </w:rPr>
            </w:pPr>
            <w:hyperlink w:anchor="page40">
              <w:r>
                <w:rPr>
                  <w:rFonts w:ascii="Arial" w:cs="Arial" w:eastAsia="Arial" w:hAnsi="Arial"/>
                  <w:sz w:val="7"/>
                  <w:szCs w:val="7"/>
                  <w:color w:val="auto"/>
                  <w:w w:val="76"/>
                </w:rPr>
                <w:t>33</w:t>
              </w:r>
            </w:hyperlink>
          </w:p>
        </w:tc>
        <w:tc>
          <w:tcPr>
            <w:tcW w:w="680" w:type="dxa"/>
            <w:vAlign w:val="bottom"/>
          </w:tcPr>
          <w:p>
            <w:pPr>
              <w:spacing w:after="0"/>
              <w:rPr>
                <w:sz w:val="15"/>
                <w:szCs w:val="15"/>
                <w:color w:val="auto"/>
              </w:rPr>
            </w:pPr>
          </w:p>
        </w:tc>
      </w:tr>
      <w:tr>
        <w:trPr>
          <w:trHeight w:val="191"/>
        </w:trPr>
        <w:tc>
          <w:tcPr>
            <w:tcW w:w="560" w:type="dxa"/>
            <w:vAlign w:val="bottom"/>
          </w:tcPr>
          <w:p>
            <w:pPr>
              <w:spacing w:after="0"/>
              <w:rPr>
                <w:sz w:val="16"/>
                <w:szCs w:val="16"/>
                <w:color w:val="auto"/>
              </w:rPr>
            </w:pPr>
          </w:p>
        </w:tc>
        <w:tc>
          <w:tcPr>
            <w:tcW w:w="7560" w:type="dxa"/>
            <w:vAlign w:val="bottom"/>
            <w:tcBorders>
              <w:bottom w:val="single" w:sz="8" w:color="E9E9E9"/>
            </w:tcBorders>
            <w:shd w:val="clear" w:color="auto" w:fill="E9E9E9"/>
          </w:tcPr>
          <w:p>
            <w:pPr>
              <w:ind w:left="60"/>
              <w:spacing w:after="0" w:line="175" w:lineRule="exact"/>
              <w:rPr>
                <w:sz w:val="20"/>
                <w:szCs w:val="20"/>
                <w:color w:val="auto"/>
              </w:rPr>
            </w:pPr>
            <w:r>
              <w:rPr>
                <w:rFonts w:ascii="Arial" w:cs="Arial" w:eastAsia="Arial" w:hAnsi="Arial"/>
                <w:sz w:val="16"/>
                <w:szCs w:val="16"/>
                <w:color w:val="auto"/>
              </w:rPr>
              <w:t>Option Exercises and Stock Vested Table</w:t>
            </w:r>
          </w:p>
        </w:tc>
        <w:tc>
          <w:tcPr>
            <w:tcW w:w="1920" w:type="dxa"/>
            <w:vAlign w:val="bottom"/>
            <w:tcBorders>
              <w:bottom w:val="single" w:sz="8" w:color="E9E9E9"/>
              <w:right w:val="single" w:sz="8" w:color="E9E9E9"/>
            </w:tcBorders>
            <w:gridSpan w:val="2"/>
            <w:shd w:val="clear" w:color="auto" w:fill="E9E9E9"/>
          </w:tcPr>
          <w:p>
            <w:pPr>
              <w:spacing w:after="0"/>
              <w:rPr>
                <w:sz w:val="16"/>
                <w:szCs w:val="16"/>
                <w:color w:val="auto"/>
              </w:rPr>
            </w:pPr>
          </w:p>
        </w:tc>
        <w:tc>
          <w:tcPr>
            <w:tcW w:w="80" w:type="dxa"/>
            <w:vAlign w:val="bottom"/>
            <w:tcBorders>
              <w:bottom w:val="single" w:sz="8" w:color="auto"/>
            </w:tcBorders>
            <w:shd w:val="clear" w:color="auto" w:fill="E9E9E9"/>
          </w:tcPr>
          <w:p>
            <w:pPr>
              <w:jc w:val="right"/>
              <w:spacing w:after="0"/>
              <w:rPr>
                <w:rFonts w:ascii="Arial" w:cs="Arial" w:eastAsia="Arial" w:hAnsi="Arial"/>
                <w:sz w:val="7"/>
                <w:szCs w:val="7"/>
                <w:color w:val="auto"/>
                <w:w w:val="76"/>
              </w:rPr>
            </w:pPr>
            <w:hyperlink w:anchor="page41">
              <w:r>
                <w:rPr>
                  <w:rFonts w:ascii="Arial" w:cs="Arial" w:eastAsia="Arial" w:hAnsi="Arial"/>
                  <w:sz w:val="7"/>
                  <w:szCs w:val="7"/>
                  <w:color w:val="auto"/>
                  <w:w w:val="76"/>
                </w:rPr>
                <w:t>34</w:t>
              </w:r>
            </w:hyperlink>
          </w:p>
        </w:tc>
        <w:tc>
          <w:tcPr>
            <w:tcW w:w="680" w:type="dxa"/>
            <w:vAlign w:val="bottom"/>
            <w:tcBorders>
              <w:left w:val="single" w:sz="8" w:color="E9E9E9"/>
            </w:tcBorders>
          </w:tcPr>
          <w:p>
            <w:pPr>
              <w:spacing w:after="0"/>
              <w:rPr>
                <w:sz w:val="16"/>
                <w:szCs w:val="16"/>
                <w:color w:val="auto"/>
              </w:rPr>
            </w:pPr>
          </w:p>
        </w:tc>
      </w:tr>
      <w:tr>
        <w:trPr>
          <w:trHeight w:val="175"/>
        </w:trPr>
        <w:tc>
          <w:tcPr>
            <w:tcW w:w="560" w:type="dxa"/>
            <w:vAlign w:val="bottom"/>
          </w:tcPr>
          <w:p>
            <w:pPr>
              <w:spacing w:after="0"/>
              <w:rPr>
                <w:sz w:val="15"/>
                <w:szCs w:val="15"/>
                <w:color w:val="auto"/>
              </w:rPr>
            </w:pPr>
          </w:p>
        </w:tc>
        <w:tc>
          <w:tcPr>
            <w:tcW w:w="7560" w:type="dxa"/>
            <w:vAlign w:val="bottom"/>
          </w:tcPr>
          <w:p>
            <w:pPr>
              <w:ind w:left="60"/>
              <w:spacing w:after="0" w:line="168" w:lineRule="exact"/>
              <w:rPr>
                <w:sz w:val="20"/>
                <w:szCs w:val="20"/>
                <w:color w:val="auto"/>
              </w:rPr>
            </w:pPr>
            <w:r>
              <w:rPr>
                <w:rFonts w:ascii="Arial" w:cs="Arial" w:eastAsia="Arial" w:hAnsi="Arial"/>
                <w:sz w:val="16"/>
                <w:szCs w:val="16"/>
                <w:color w:val="auto"/>
              </w:rPr>
              <w:t>Pension Benefits Table</w:t>
            </w:r>
          </w:p>
        </w:tc>
        <w:tc>
          <w:tcPr>
            <w:tcW w:w="1920" w:type="dxa"/>
            <w:vAlign w:val="bottom"/>
            <w:gridSpan w:val="2"/>
          </w:tcPr>
          <w:p>
            <w:pPr>
              <w:spacing w:after="0"/>
              <w:rPr>
                <w:sz w:val="15"/>
                <w:szCs w:val="15"/>
                <w:color w:val="auto"/>
              </w:rPr>
            </w:pPr>
          </w:p>
        </w:tc>
        <w:tc>
          <w:tcPr>
            <w:tcW w:w="80" w:type="dxa"/>
            <w:vAlign w:val="bottom"/>
            <w:tcBorders>
              <w:bottom w:val="single" w:sz="8" w:color="auto"/>
            </w:tcBorders>
          </w:tcPr>
          <w:p>
            <w:pPr>
              <w:jc w:val="right"/>
              <w:spacing w:after="0"/>
              <w:rPr>
                <w:rFonts w:ascii="Arial" w:cs="Arial" w:eastAsia="Arial" w:hAnsi="Arial"/>
                <w:sz w:val="7"/>
                <w:szCs w:val="7"/>
                <w:color w:val="auto"/>
                <w:w w:val="76"/>
              </w:rPr>
            </w:pPr>
            <w:hyperlink w:anchor="page42">
              <w:r>
                <w:rPr>
                  <w:rFonts w:ascii="Arial" w:cs="Arial" w:eastAsia="Arial" w:hAnsi="Arial"/>
                  <w:sz w:val="7"/>
                  <w:szCs w:val="7"/>
                  <w:color w:val="auto"/>
                  <w:w w:val="76"/>
                </w:rPr>
                <w:t>35</w:t>
              </w:r>
            </w:hyperlink>
          </w:p>
        </w:tc>
        <w:tc>
          <w:tcPr>
            <w:tcW w:w="680" w:type="dxa"/>
            <w:vAlign w:val="bottom"/>
          </w:tcPr>
          <w:p>
            <w:pPr>
              <w:spacing w:after="0"/>
              <w:rPr>
                <w:sz w:val="15"/>
                <w:szCs w:val="15"/>
                <w:color w:val="auto"/>
              </w:rPr>
            </w:pPr>
          </w:p>
        </w:tc>
      </w:tr>
      <w:tr>
        <w:trPr>
          <w:trHeight w:val="191"/>
        </w:trPr>
        <w:tc>
          <w:tcPr>
            <w:tcW w:w="560" w:type="dxa"/>
            <w:vAlign w:val="bottom"/>
          </w:tcPr>
          <w:p>
            <w:pPr>
              <w:spacing w:after="0"/>
              <w:rPr>
                <w:sz w:val="16"/>
                <w:szCs w:val="16"/>
                <w:color w:val="auto"/>
              </w:rPr>
            </w:pPr>
          </w:p>
        </w:tc>
        <w:tc>
          <w:tcPr>
            <w:tcW w:w="7560" w:type="dxa"/>
            <w:vAlign w:val="bottom"/>
            <w:tcBorders>
              <w:bottom w:val="single" w:sz="8" w:color="E9E9E9"/>
            </w:tcBorders>
            <w:shd w:val="clear" w:color="auto" w:fill="E9E9E9"/>
          </w:tcPr>
          <w:p>
            <w:pPr>
              <w:ind w:left="60"/>
              <w:spacing w:after="0" w:line="175" w:lineRule="exact"/>
              <w:rPr>
                <w:sz w:val="20"/>
                <w:szCs w:val="20"/>
                <w:color w:val="auto"/>
              </w:rPr>
            </w:pPr>
            <w:r>
              <w:rPr>
                <w:rFonts w:ascii="Arial" w:cs="Arial" w:eastAsia="Arial" w:hAnsi="Arial"/>
                <w:sz w:val="16"/>
                <w:szCs w:val="16"/>
                <w:color w:val="auto"/>
              </w:rPr>
              <w:t>Non-qualified Deferred Compensation Table</w:t>
            </w:r>
          </w:p>
        </w:tc>
        <w:tc>
          <w:tcPr>
            <w:tcW w:w="1920" w:type="dxa"/>
            <w:vAlign w:val="bottom"/>
            <w:tcBorders>
              <w:bottom w:val="single" w:sz="8" w:color="E9E9E9"/>
              <w:right w:val="single" w:sz="8" w:color="E9E9E9"/>
            </w:tcBorders>
            <w:gridSpan w:val="2"/>
            <w:shd w:val="clear" w:color="auto" w:fill="E9E9E9"/>
          </w:tcPr>
          <w:p>
            <w:pPr>
              <w:spacing w:after="0"/>
              <w:rPr>
                <w:sz w:val="16"/>
                <w:szCs w:val="16"/>
                <w:color w:val="auto"/>
              </w:rPr>
            </w:pPr>
          </w:p>
        </w:tc>
        <w:tc>
          <w:tcPr>
            <w:tcW w:w="80" w:type="dxa"/>
            <w:vAlign w:val="bottom"/>
            <w:tcBorders>
              <w:bottom w:val="single" w:sz="8" w:color="auto"/>
            </w:tcBorders>
            <w:shd w:val="clear" w:color="auto" w:fill="E9E9E9"/>
          </w:tcPr>
          <w:p>
            <w:pPr>
              <w:jc w:val="right"/>
              <w:spacing w:after="0"/>
              <w:rPr>
                <w:rFonts w:ascii="Arial" w:cs="Arial" w:eastAsia="Arial" w:hAnsi="Arial"/>
                <w:sz w:val="7"/>
                <w:szCs w:val="7"/>
                <w:color w:val="auto"/>
                <w:w w:val="76"/>
              </w:rPr>
            </w:pPr>
            <w:hyperlink w:anchor="page42">
              <w:r>
                <w:rPr>
                  <w:rFonts w:ascii="Arial" w:cs="Arial" w:eastAsia="Arial" w:hAnsi="Arial"/>
                  <w:sz w:val="7"/>
                  <w:szCs w:val="7"/>
                  <w:color w:val="auto"/>
                  <w:w w:val="76"/>
                </w:rPr>
                <w:t>35</w:t>
              </w:r>
            </w:hyperlink>
          </w:p>
        </w:tc>
        <w:tc>
          <w:tcPr>
            <w:tcW w:w="680" w:type="dxa"/>
            <w:vAlign w:val="bottom"/>
            <w:tcBorders>
              <w:left w:val="single" w:sz="8" w:color="E9E9E9"/>
            </w:tcBorders>
          </w:tcPr>
          <w:p>
            <w:pPr>
              <w:spacing w:after="0"/>
              <w:rPr>
                <w:sz w:val="16"/>
                <w:szCs w:val="16"/>
                <w:color w:val="auto"/>
              </w:rPr>
            </w:pPr>
          </w:p>
        </w:tc>
      </w:tr>
      <w:tr>
        <w:trPr>
          <w:trHeight w:val="175"/>
        </w:trPr>
        <w:tc>
          <w:tcPr>
            <w:tcW w:w="560" w:type="dxa"/>
            <w:vAlign w:val="bottom"/>
          </w:tcPr>
          <w:p>
            <w:pPr>
              <w:spacing w:after="0"/>
              <w:rPr>
                <w:sz w:val="15"/>
                <w:szCs w:val="15"/>
                <w:color w:val="auto"/>
              </w:rPr>
            </w:pPr>
          </w:p>
        </w:tc>
        <w:tc>
          <w:tcPr>
            <w:tcW w:w="7560" w:type="dxa"/>
            <w:vAlign w:val="bottom"/>
          </w:tcPr>
          <w:p>
            <w:pPr>
              <w:ind w:left="60"/>
              <w:spacing w:after="0" w:line="168" w:lineRule="exact"/>
              <w:rPr>
                <w:sz w:val="20"/>
                <w:szCs w:val="20"/>
                <w:color w:val="auto"/>
              </w:rPr>
            </w:pPr>
            <w:r>
              <w:rPr>
                <w:rFonts w:ascii="Arial" w:cs="Arial" w:eastAsia="Arial" w:hAnsi="Arial"/>
                <w:sz w:val="16"/>
                <w:szCs w:val="16"/>
                <w:color w:val="auto"/>
              </w:rPr>
              <w:t>Employment Agreements and Other Arrangements</w:t>
            </w:r>
          </w:p>
        </w:tc>
        <w:tc>
          <w:tcPr>
            <w:tcW w:w="1920" w:type="dxa"/>
            <w:vAlign w:val="bottom"/>
            <w:gridSpan w:val="2"/>
          </w:tcPr>
          <w:p>
            <w:pPr>
              <w:spacing w:after="0"/>
              <w:rPr>
                <w:sz w:val="15"/>
                <w:szCs w:val="15"/>
                <w:color w:val="auto"/>
              </w:rPr>
            </w:pPr>
          </w:p>
        </w:tc>
        <w:tc>
          <w:tcPr>
            <w:tcW w:w="80" w:type="dxa"/>
            <w:vAlign w:val="bottom"/>
            <w:tcBorders>
              <w:bottom w:val="single" w:sz="8" w:color="auto"/>
            </w:tcBorders>
          </w:tcPr>
          <w:p>
            <w:pPr>
              <w:jc w:val="right"/>
              <w:spacing w:after="0"/>
              <w:rPr>
                <w:rFonts w:ascii="Arial" w:cs="Arial" w:eastAsia="Arial" w:hAnsi="Arial"/>
                <w:sz w:val="7"/>
                <w:szCs w:val="7"/>
                <w:color w:val="auto"/>
                <w:w w:val="76"/>
              </w:rPr>
            </w:pPr>
            <w:hyperlink w:anchor="page43">
              <w:r>
                <w:rPr>
                  <w:rFonts w:ascii="Arial" w:cs="Arial" w:eastAsia="Arial" w:hAnsi="Arial"/>
                  <w:sz w:val="7"/>
                  <w:szCs w:val="7"/>
                  <w:color w:val="auto"/>
                  <w:w w:val="76"/>
                </w:rPr>
                <w:t>36</w:t>
              </w:r>
            </w:hyperlink>
          </w:p>
        </w:tc>
        <w:tc>
          <w:tcPr>
            <w:tcW w:w="680" w:type="dxa"/>
            <w:vAlign w:val="bottom"/>
          </w:tcPr>
          <w:p>
            <w:pPr>
              <w:spacing w:after="0"/>
              <w:rPr>
                <w:sz w:val="15"/>
                <w:szCs w:val="15"/>
                <w:color w:val="auto"/>
              </w:rPr>
            </w:pPr>
          </w:p>
        </w:tc>
      </w:tr>
      <w:tr>
        <w:trPr>
          <w:trHeight w:val="191"/>
        </w:trPr>
        <w:tc>
          <w:tcPr>
            <w:tcW w:w="560" w:type="dxa"/>
            <w:vAlign w:val="bottom"/>
          </w:tcPr>
          <w:p>
            <w:pPr>
              <w:spacing w:after="0"/>
              <w:rPr>
                <w:sz w:val="16"/>
                <w:szCs w:val="16"/>
                <w:color w:val="auto"/>
              </w:rPr>
            </w:pPr>
          </w:p>
        </w:tc>
        <w:tc>
          <w:tcPr>
            <w:tcW w:w="7560" w:type="dxa"/>
            <w:vAlign w:val="bottom"/>
            <w:tcBorders>
              <w:bottom w:val="single" w:sz="8" w:color="E9E9E9"/>
            </w:tcBorders>
            <w:shd w:val="clear" w:color="auto" w:fill="E9E9E9"/>
          </w:tcPr>
          <w:p>
            <w:pPr>
              <w:ind w:left="60"/>
              <w:spacing w:after="0" w:line="175" w:lineRule="exact"/>
              <w:rPr>
                <w:sz w:val="20"/>
                <w:szCs w:val="20"/>
                <w:color w:val="auto"/>
              </w:rPr>
            </w:pPr>
            <w:r>
              <w:rPr>
                <w:rFonts w:ascii="Arial" w:cs="Arial" w:eastAsia="Arial" w:hAnsi="Arial"/>
                <w:sz w:val="16"/>
                <w:szCs w:val="16"/>
                <w:color w:val="auto"/>
              </w:rPr>
              <w:t>Termination, Severance and Change of Control Arrangements</w:t>
            </w:r>
          </w:p>
        </w:tc>
        <w:tc>
          <w:tcPr>
            <w:tcW w:w="1920" w:type="dxa"/>
            <w:vAlign w:val="bottom"/>
            <w:tcBorders>
              <w:bottom w:val="single" w:sz="8" w:color="E9E9E9"/>
              <w:right w:val="single" w:sz="8" w:color="E9E9E9"/>
            </w:tcBorders>
            <w:gridSpan w:val="2"/>
            <w:shd w:val="clear" w:color="auto" w:fill="E9E9E9"/>
          </w:tcPr>
          <w:p>
            <w:pPr>
              <w:spacing w:after="0"/>
              <w:rPr>
                <w:sz w:val="16"/>
                <w:szCs w:val="16"/>
                <w:color w:val="auto"/>
              </w:rPr>
            </w:pPr>
          </w:p>
        </w:tc>
        <w:tc>
          <w:tcPr>
            <w:tcW w:w="80" w:type="dxa"/>
            <w:vAlign w:val="bottom"/>
            <w:tcBorders>
              <w:bottom w:val="single" w:sz="8" w:color="auto"/>
            </w:tcBorders>
            <w:shd w:val="clear" w:color="auto" w:fill="E9E9E9"/>
          </w:tcPr>
          <w:p>
            <w:pPr>
              <w:jc w:val="right"/>
              <w:spacing w:after="0"/>
              <w:rPr>
                <w:rFonts w:ascii="Arial" w:cs="Arial" w:eastAsia="Arial" w:hAnsi="Arial"/>
                <w:sz w:val="7"/>
                <w:szCs w:val="7"/>
                <w:color w:val="auto"/>
                <w:w w:val="76"/>
              </w:rPr>
            </w:pPr>
            <w:hyperlink w:anchor="page46">
              <w:r>
                <w:rPr>
                  <w:rFonts w:ascii="Arial" w:cs="Arial" w:eastAsia="Arial" w:hAnsi="Arial"/>
                  <w:sz w:val="7"/>
                  <w:szCs w:val="7"/>
                  <w:color w:val="auto"/>
                  <w:w w:val="76"/>
                </w:rPr>
                <w:t>39</w:t>
              </w:r>
            </w:hyperlink>
          </w:p>
        </w:tc>
        <w:tc>
          <w:tcPr>
            <w:tcW w:w="680" w:type="dxa"/>
            <w:vAlign w:val="bottom"/>
            <w:tcBorders>
              <w:left w:val="single" w:sz="8" w:color="E9E9E9"/>
            </w:tcBorders>
          </w:tcPr>
          <w:p>
            <w:pPr>
              <w:spacing w:after="0"/>
              <w:rPr>
                <w:sz w:val="16"/>
                <w:szCs w:val="16"/>
                <w:color w:val="auto"/>
              </w:rPr>
            </w:pPr>
          </w:p>
        </w:tc>
      </w:tr>
      <w:tr>
        <w:trPr>
          <w:trHeight w:val="175"/>
        </w:trPr>
        <w:tc>
          <w:tcPr>
            <w:tcW w:w="560" w:type="dxa"/>
            <w:vAlign w:val="bottom"/>
          </w:tcPr>
          <w:p>
            <w:pPr>
              <w:spacing w:after="0"/>
              <w:rPr>
                <w:sz w:val="15"/>
                <w:szCs w:val="15"/>
                <w:color w:val="auto"/>
              </w:rPr>
            </w:pPr>
          </w:p>
        </w:tc>
        <w:tc>
          <w:tcPr>
            <w:tcW w:w="7560" w:type="dxa"/>
            <w:vAlign w:val="bottom"/>
          </w:tcPr>
          <w:p>
            <w:pPr>
              <w:ind w:left="60"/>
              <w:spacing w:after="0" w:line="168" w:lineRule="exact"/>
              <w:rPr>
                <w:sz w:val="20"/>
                <w:szCs w:val="20"/>
                <w:color w:val="auto"/>
              </w:rPr>
            </w:pPr>
            <w:r>
              <w:rPr>
                <w:rFonts w:ascii="Arial" w:cs="Arial" w:eastAsia="Arial" w:hAnsi="Arial"/>
                <w:sz w:val="16"/>
                <w:szCs w:val="16"/>
                <w:b w:val="1"/>
                <w:bCs w:val="1"/>
                <w:color w:val="auto"/>
              </w:rPr>
              <w:t>2014 Director Compensation</w:t>
            </w:r>
          </w:p>
        </w:tc>
        <w:tc>
          <w:tcPr>
            <w:tcW w:w="1920" w:type="dxa"/>
            <w:vAlign w:val="bottom"/>
            <w:gridSpan w:val="2"/>
          </w:tcPr>
          <w:p>
            <w:pPr>
              <w:spacing w:after="0"/>
              <w:rPr>
                <w:sz w:val="15"/>
                <w:szCs w:val="15"/>
                <w:color w:val="auto"/>
              </w:rPr>
            </w:pPr>
          </w:p>
        </w:tc>
        <w:tc>
          <w:tcPr>
            <w:tcW w:w="80" w:type="dxa"/>
            <w:vAlign w:val="bottom"/>
            <w:tcBorders>
              <w:bottom w:val="single" w:sz="8" w:color="auto"/>
            </w:tcBorders>
          </w:tcPr>
          <w:p>
            <w:pPr>
              <w:jc w:val="right"/>
              <w:spacing w:after="0"/>
              <w:rPr>
                <w:rFonts w:ascii="Arial" w:cs="Arial" w:eastAsia="Arial" w:hAnsi="Arial"/>
                <w:sz w:val="7"/>
                <w:szCs w:val="7"/>
                <w:color w:val="auto"/>
                <w:w w:val="76"/>
              </w:rPr>
            </w:pPr>
            <w:hyperlink w:anchor="page48">
              <w:r>
                <w:rPr>
                  <w:rFonts w:ascii="Arial" w:cs="Arial" w:eastAsia="Arial" w:hAnsi="Arial"/>
                  <w:sz w:val="7"/>
                  <w:szCs w:val="7"/>
                  <w:color w:val="auto"/>
                  <w:w w:val="76"/>
                </w:rPr>
                <w:t>41</w:t>
              </w:r>
            </w:hyperlink>
          </w:p>
        </w:tc>
        <w:tc>
          <w:tcPr>
            <w:tcW w:w="680" w:type="dxa"/>
            <w:vAlign w:val="bottom"/>
          </w:tcPr>
          <w:p>
            <w:pPr>
              <w:spacing w:after="0"/>
              <w:rPr>
                <w:sz w:val="15"/>
                <w:szCs w:val="15"/>
                <w:color w:val="auto"/>
              </w:rPr>
            </w:pPr>
          </w:p>
        </w:tc>
      </w:tr>
      <w:tr>
        <w:trPr>
          <w:trHeight w:val="191"/>
        </w:trPr>
        <w:tc>
          <w:tcPr>
            <w:tcW w:w="560" w:type="dxa"/>
            <w:vAlign w:val="bottom"/>
          </w:tcPr>
          <w:p>
            <w:pPr>
              <w:spacing w:after="0"/>
              <w:rPr>
                <w:sz w:val="16"/>
                <w:szCs w:val="16"/>
                <w:color w:val="auto"/>
              </w:rPr>
            </w:pPr>
          </w:p>
        </w:tc>
        <w:tc>
          <w:tcPr>
            <w:tcW w:w="7560" w:type="dxa"/>
            <w:vAlign w:val="bottom"/>
            <w:tcBorders>
              <w:bottom w:val="single" w:sz="8" w:color="E9E9E9"/>
            </w:tcBorders>
            <w:shd w:val="clear" w:color="auto" w:fill="E9E9E9"/>
          </w:tcPr>
          <w:p>
            <w:pPr>
              <w:ind w:left="60"/>
              <w:spacing w:after="0" w:line="175" w:lineRule="exact"/>
              <w:rPr>
                <w:sz w:val="20"/>
                <w:szCs w:val="20"/>
                <w:color w:val="auto"/>
              </w:rPr>
            </w:pPr>
            <w:r>
              <w:rPr>
                <w:rFonts w:ascii="Arial" w:cs="Arial" w:eastAsia="Arial" w:hAnsi="Arial"/>
                <w:sz w:val="16"/>
                <w:szCs w:val="16"/>
                <w:b w:val="1"/>
                <w:bCs w:val="1"/>
                <w:color w:val="auto"/>
              </w:rPr>
              <w:t>Report of Audit Committee</w:t>
            </w:r>
          </w:p>
        </w:tc>
        <w:tc>
          <w:tcPr>
            <w:tcW w:w="1920" w:type="dxa"/>
            <w:vAlign w:val="bottom"/>
            <w:tcBorders>
              <w:bottom w:val="single" w:sz="8" w:color="E9E9E9"/>
              <w:right w:val="single" w:sz="8" w:color="E9E9E9"/>
            </w:tcBorders>
            <w:gridSpan w:val="2"/>
            <w:shd w:val="clear" w:color="auto" w:fill="E9E9E9"/>
          </w:tcPr>
          <w:p>
            <w:pPr>
              <w:spacing w:after="0"/>
              <w:rPr>
                <w:sz w:val="16"/>
                <w:szCs w:val="16"/>
                <w:color w:val="auto"/>
              </w:rPr>
            </w:pPr>
          </w:p>
        </w:tc>
        <w:tc>
          <w:tcPr>
            <w:tcW w:w="80" w:type="dxa"/>
            <w:vAlign w:val="bottom"/>
            <w:tcBorders>
              <w:bottom w:val="single" w:sz="8" w:color="auto"/>
            </w:tcBorders>
            <w:shd w:val="clear" w:color="auto" w:fill="E9E9E9"/>
          </w:tcPr>
          <w:p>
            <w:pPr>
              <w:jc w:val="right"/>
              <w:spacing w:after="0"/>
              <w:rPr>
                <w:rFonts w:ascii="Arial" w:cs="Arial" w:eastAsia="Arial" w:hAnsi="Arial"/>
                <w:sz w:val="7"/>
                <w:szCs w:val="7"/>
                <w:color w:val="auto"/>
                <w:w w:val="76"/>
              </w:rPr>
            </w:pPr>
            <w:hyperlink w:anchor="page50">
              <w:r>
                <w:rPr>
                  <w:rFonts w:ascii="Arial" w:cs="Arial" w:eastAsia="Arial" w:hAnsi="Arial"/>
                  <w:sz w:val="7"/>
                  <w:szCs w:val="7"/>
                  <w:color w:val="auto"/>
                  <w:w w:val="76"/>
                </w:rPr>
                <w:t>43</w:t>
              </w:r>
            </w:hyperlink>
          </w:p>
        </w:tc>
        <w:tc>
          <w:tcPr>
            <w:tcW w:w="680" w:type="dxa"/>
            <w:vAlign w:val="bottom"/>
            <w:tcBorders>
              <w:left w:val="single" w:sz="8" w:color="E9E9E9"/>
            </w:tcBorders>
          </w:tcPr>
          <w:p>
            <w:pPr>
              <w:spacing w:after="0"/>
              <w:rPr>
                <w:sz w:val="16"/>
                <w:szCs w:val="16"/>
                <w:color w:val="auto"/>
              </w:rPr>
            </w:pPr>
          </w:p>
        </w:tc>
      </w:tr>
      <w:tr>
        <w:trPr>
          <w:trHeight w:val="167"/>
        </w:trPr>
        <w:tc>
          <w:tcPr>
            <w:tcW w:w="560" w:type="dxa"/>
            <w:vAlign w:val="bottom"/>
          </w:tcPr>
          <w:p>
            <w:pPr>
              <w:spacing w:after="0"/>
              <w:rPr>
                <w:sz w:val="14"/>
                <w:szCs w:val="14"/>
                <w:color w:val="auto"/>
              </w:rPr>
            </w:pPr>
          </w:p>
        </w:tc>
        <w:tc>
          <w:tcPr>
            <w:tcW w:w="7560" w:type="dxa"/>
            <w:vAlign w:val="bottom"/>
          </w:tcPr>
          <w:p>
            <w:pPr>
              <w:ind w:left="60"/>
              <w:spacing w:after="0" w:line="168" w:lineRule="exact"/>
              <w:rPr>
                <w:sz w:val="20"/>
                <w:szCs w:val="20"/>
                <w:color w:val="auto"/>
              </w:rPr>
            </w:pPr>
            <w:r>
              <w:rPr>
                <w:rFonts w:ascii="Arial" w:cs="Arial" w:eastAsia="Arial" w:hAnsi="Arial"/>
                <w:sz w:val="16"/>
                <w:szCs w:val="16"/>
                <w:b w:val="1"/>
                <w:bCs w:val="1"/>
                <w:color w:val="auto"/>
              </w:rPr>
              <w:t>Proposals to Be Voted On at Meeting</w:t>
            </w:r>
          </w:p>
        </w:tc>
        <w:tc>
          <w:tcPr>
            <w:tcW w:w="2000" w:type="dxa"/>
            <w:vAlign w:val="bottom"/>
            <w:gridSpan w:val="3"/>
          </w:tcPr>
          <w:p>
            <w:pPr>
              <w:jc w:val="right"/>
              <w:spacing w:after="0" w:line="168" w:lineRule="exact"/>
              <w:rPr>
                <w:rFonts w:ascii="Arial" w:cs="Arial" w:eastAsia="Arial" w:hAnsi="Arial"/>
                <w:sz w:val="16"/>
                <w:szCs w:val="16"/>
                <w:color w:val="auto"/>
              </w:rPr>
            </w:pPr>
            <w:hyperlink w:anchor="page51">
              <w:r>
                <w:rPr>
                  <w:rFonts w:ascii="Arial" w:cs="Arial" w:eastAsia="Arial" w:hAnsi="Arial"/>
                  <w:sz w:val="16"/>
                  <w:szCs w:val="16"/>
                  <w:color w:val="auto"/>
                </w:rPr>
                <w:t>44</w:t>
              </w:r>
            </w:hyperlink>
          </w:p>
        </w:tc>
        <w:tc>
          <w:tcPr>
            <w:tcW w:w="680" w:type="dxa"/>
            <w:vAlign w:val="bottom"/>
          </w:tcPr>
          <w:p>
            <w:pPr>
              <w:spacing w:after="0"/>
              <w:rPr>
                <w:sz w:val="14"/>
                <w:szCs w:val="14"/>
                <w:color w:val="auto"/>
              </w:rPr>
            </w:pPr>
          </w:p>
        </w:tc>
      </w:tr>
      <w:tr>
        <w:trPr>
          <w:trHeight w:val="20"/>
        </w:trPr>
        <w:tc>
          <w:tcPr>
            <w:tcW w:w="560" w:type="dxa"/>
            <w:vAlign w:val="bottom"/>
          </w:tcPr>
          <w:p>
            <w:pPr>
              <w:spacing w:after="0" w:line="20" w:lineRule="exact"/>
              <w:rPr>
                <w:sz w:val="1"/>
                <w:szCs w:val="1"/>
                <w:color w:val="auto"/>
              </w:rPr>
            </w:pPr>
          </w:p>
        </w:tc>
        <w:tc>
          <w:tcPr>
            <w:tcW w:w="75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1"/>
        </w:trPr>
        <w:tc>
          <w:tcPr>
            <w:tcW w:w="560" w:type="dxa"/>
            <w:vAlign w:val="bottom"/>
          </w:tcPr>
          <w:p>
            <w:pPr>
              <w:spacing w:after="0"/>
              <w:rPr>
                <w:sz w:val="14"/>
                <w:szCs w:val="14"/>
                <w:color w:val="auto"/>
              </w:rPr>
            </w:pPr>
          </w:p>
        </w:tc>
        <w:tc>
          <w:tcPr>
            <w:tcW w:w="7560" w:type="dxa"/>
            <w:vAlign w:val="bottom"/>
            <w:tcBorders>
              <w:bottom w:val="single" w:sz="8" w:color="E9E9E9"/>
            </w:tcBorders>
            <w:shd w:val="clear" w:color="auto" w:fill="E9E9E9"/>
          </w:tcPr>
          <w:p>
            <w:pPr>
              <w:ind w:left="60"/>
              <w:spacing w:after="0" w:line="155" w:lineRule="exact"/>
              <w:rPr>
                <w:sz w:val="20"/>
                <w:szCs w:val="20"/>
                <w:color w:val="auto"/>
              </w:rPr>
            </w:pPr>
            <w:r>
              <w:rPr>
                <w:rFonts w:ascii="Arial" w:cs="Arial" w:eastAsia="Arial" w:hAnsi="Arial"/>
                <w:sz w:val="16"/>
                <w:szCs w:val="16"/>
                <w:color w:val="auto"/>
              </w:rPr>
              <w:t>Proposal No. 1: Election of Directors</w:t>
            </w:r>
          </w:p>
        </w:tc>
        <w:tc>
          <w:tcPr>
            <w:tcW w:w="1920" w:type="dxa"/>
            <w:vAlign w:val="bottom"/>
            <w:tcBorders>
              <w:bottom w:val="single" w:sz="8" w:color="E9E9E9"/>
              <w:right w:val="single" w:sz="8" w:color="E9E9E9"/>
            </w:tcBorders>
            <w:gridSpan w:val="2"/>
            <w:shd w:val="clear" w:color="auto" w:fill="E9E9E9"/>
          </w:tcPr>
          <w:p>
            <w:pPr>
              <w:spacing w:after="0"/>
              <w:rPr>
                <w:sz w:val="14"/>
                <w:szCs w:val="14"/>
                <w:color w:val="auto"/>
              </w:rPr>
            </w:pPr>
          </w:p>
        </w:tc>
        <w:tc>
          <w:tcPr>
            <w:tcW w:w="80" w:type="dxa"/>
            <w:vAlign w:val="bottom"/>
            <w:tcBorders>
              <w:bottom w:val="single" w:sz="8" w:color="auto"/>
            </w:tcBorders>
            <w:shd w:val="clear" w:color="auto" w:fill="E9E9E9"/>
          </w:tcPr>
          <w:p>
            <w:pPr>
              <w:jc w:val="right"/>
              <w:spacing w:after="0"/>
              <w:rPr>
                <w:rFonts w:ascii="Arial" w:cs="Arial" w:eastAsia="Arial" w:hAnsi="Arial"/>
                <w:sz w:val="7"/>
                <w:szCs w:val="7"/>
                <w:color w:val="auto"/>
                <w:w w:val="76"/>
              </w:rPr>
            </w:pPr>
            <w:hyperlink w:anchor="page51">
              <w:r>
                <w:rPr>
                  <w:rFonts w:ascii="Arial" w:cs="Arial" w:eastAsia="Arial" w:hAnsi="Arial"/>
                  <w:sz w:val="7"/>
                  <w:szCs w:val="7"/>
                  <w:color w:val="auto"/>
                  <w:w w:val="76"/>
                </w:rPr>
                <w:t>44</w:t>
              </w:r>
            </w:hyperlink>
          </w:p>
        </w:tc>
        <w:tc>
          <w:tcPr>
            <w:tcW w:w="680" w:type="dxa"/>
            <w:vAlign w:val="bottom"/>
            <w:tcBorders>
              <w:left w:val="single" w:sz="8" w:color="E9E9E9"/>
            </w:tcBorders>
          </w:tcPr>
          <w:p>
            <w:pPr>
              <w:spacing w:after="0"/>
              <w:rPr>
                <w:sz w:val="14"/>
                <w:szCs w:val="14"/>
                <w:color w:val="auto"/>
              </w:rPr>
            </w:pPr>
          </w:p>
        </w:tc>
      </w:tr>
      <w:tr>
        <w:trPr>
          <w:trHeight w:val="175"/>
        </w:trPr>
        <w:tc>
          <w:tcPr>
            <w:tcW w:w="560" w:type="dxa"/>
            <w:vAlign w:val="bottom"/>
          </w:tcPr>
          <w:p>
            <w:pPr>
              <w:spacing w:after="0"/>
              <w:rPr>
                <w:sz w:val="15"/>
                <w:szCs w:val="15"/>
                <w:color w:val="auto"/>
              </w:rPr>
            </w:pPr>
          </w:p>
        </w:tc>
        <w:tc>
          <w:tcPr>
            <w:tcW w:w="7560" w:type="dxa"/>
            <w:vAlign w:val="bottom"/>
          </w:tcPr>
          <w:p>
            <w:pPr>
              <w:ind w:left="60"/>
              <w:spacing w:after="0" w:line="168" w:lineRule="exact"/>
              <w:rPr>
                <w:sz w:val="20"/>
                <w:szCs w:val="20"/>
                <w:color w:val="auto"/>
              </w:rPr>
            </w:pPr>
            <w:r>
              <w:rPr>
                <w:rFonts w:ascii="Arial" w:cs="Arial" w:eastAsia="Arial" w:hAnsi="Arial"/>
                <w:sz w:val="16"/>
                <w:szCs w:val="16"/>
                <w:color w:val="auto"/>
              </w:rPr>
              <w:t>Proposal No. 2: Ratification of Appointment of Auditors</w:t>
            </w:r>
          </w:p>
        </w:tc>
        <w:tc>
          <w:tcPr>
            <w:tcW w:w="1920" w:type="dxa"/>
            <w:vAlign w:val="bottom"/>
            <w:gridSpan w:val="2"/>
          </w:tcPr>
          <w:p>
            <w:pPr>
              <w:spacing w:after="0"/>
              <w:rPr>
                <w:sz w:val="15"/>
                <w:szCs w:val="15"/>
                <w:color w:val="auto"/>
              </w:rPr>
            </w:pPr>
          </w:p>
        </w:tc>
        <w:tc>
          <w:tcPr>
            <w:tcW w:w="80" w:type="dxa"/>
            <w:vAlign w:val="bottom"/>
            <w:tcBorders>
              <w:bottom w:val="single" w:sz="8" w:color="auto"/>
            </w:tcBorders>
          </w:tcPr>
          <w:p>
            <w:pPr>
              <w:jc w:val="right"/>
              <w:spacing w:after="0"/>
              <w:rPr>
                <w:rFonts w:ascii="Arial" w:cs="Arial" w:eastAsia="Arial" w:hAnsi="Arial"/>
                <w:sz w:val="7"/>
                <w:szCs w:val="7"/>
                <w:color w:val="auto"/>
                <w:w w:val="76"/>
              </w:rPr>
            </w:pPr>
            <w:hyperlink w:anchor="page51">
              <w:r>
                <w:rPr>
                  <w:rFonts w:ascii="Arial" w:cs="Arial" w:eastAsia="Arial" w:hAnsi="Arial"/>
                  <w:sz w:val="7"/>
                  <w:szCs w:val="7"/>
                  <w:color w:val="auto"/>
                  <w:w w:val="76"/>
                </w:rPr>
                <w:t>44</w:t>
              </w:r>
            </w:hyperlink>
          </w:p>
        </w:tc>
        <w:tc>
          <w:tcPr>
            <w:tcW w:w="680" w:type="dxa"/>
            <w:vAlign w:val="bottom"/>
          </w:tcPr>
          <w:p>
            <w:pPr>
              <w:spacing w:after="0"/>
              <w:rPr>
                <w:sz w:val="15"/>
                <w:szCs w:val="15"/>
                <w:color w:val="auto"/>
              </w:rPr>
            </w:pPr>
          </w:p>
        </w:tc>
      </w:tr>
      <w:tr>
        <w:trPr>
          <w:trHeight w:val="191"/>
        </w:trPr>
        <w:tc>
          <w:tcPr>
            <w:tcW w:w="560" w:type="dxa"/>
            <w:vAlign w:val="bottom"/>
          </w:tcPr>
          <w:p>
            <w:pPr>
              <w:spacing w:after="0"/>
              <w:rPr>
                <w:sz w:val="16"/>
                <w:szCs w:val="16"/>
                <w:color w:val="auto"/>
              </w:rPr>
            </w:pPr>
          </w:p>
        </w:tc>
        <w:tc>
          <w:tcPr>
            <w:tcW w:w="7560" w:type="dxa"/>
            <w:vAlign w:val="bottom"/>
            <w:tcBorders>
              <w:bottom w:val="single" w:sz="8" w:color="E9E9E9"/>
            </w:tcBorders>
            <w:shd w:val="clear" w:color="auto" w:fill="E9E9E9"/>
          </w:tcPr>
          <w:p>
            <w:pPr>
              <w:ind w:left="60"/>
              <w:spacing w:after="0" w:line="175" w:lineRule="exact"/>
              <w:rPr>
                <w:sz w:val="20"/>
                <w:szCs w:val="20"/>
                <w:color w:val="auto"/>
              </w:rPr>
            </w:pPr>
            <w:r>
              <w:rPr>
                <w:rFonts w:ascii="Arial" w:cs="Arial" w:eastAsia="Arial" w:hAnsi="Arial"/>
                <w:sz w:val="16"/>
                <w:szCs w:val="16"/>
                <w:color w:val="auto"/>
              </w:rPr>
              <w:t>Proposal No. 3: Advisory Approval of the Compensation of Our Named Executive Officers</w:t>
            </w:r>
          </w:p>
        </w:tc>
        <w:tc>
          <w:tcPr>
            <w:tcW w:w="1920" w:type="dxa"/>
            <w:vAlign w:val="bottom"/>
            <w:tcBorders>
              <w:bottom w:val="single" w:sz="8" w:color="E9E9E9"/>
              <w:right w:val="single" w:sz="8" w:color="E9E9E9"/>
            </w:tcBorders>
            <w:gridSpan w:val="2"/>
            <w:shd w:val="clear" w:color="auto" w:fill="E9E9E9"/>
          </w:tcPr>
          <w:p>
            <w:pPr>
              <w:spacing w:after="0"/>
              <w:rPr>
                <w:sz w:val="16"/>
                <w:szCs w:val="16"/>
                <w:color w:val="auto"/>
              </w:rPr>
            </w:pPr>
          </w:p>
        </w:tc>
        <w:tc>
          <w:tcPr>
            <w:tcW w:w="80" w:type="dxa"/>
            <w:vAlign w:val="bottom"/>
            <w:tcBorders>
              <w:bottom w:val="single" w:sz="8" w:color="auto"/>
            </w:tcBorders>
            <w:shd w:val="clear" w:color="auto" w:fill="E9E9E9"/>
          </w:tcPr>
          <w:p>
            <w:pPr>
              <w:jc w:val="right"/>
              <w:spacing w:after="0"/>
              <w:rPr>
                <w:rFonts w:ascii="Arial" w:cs="Arial" w:eastAsia="Arial" w:hAnsi="Arial"/>
                <w:sz w:val="7"/>
                <w:szCs w:val="7"/>
                <w:color w:val="auto"/>
                <w:w w:val="76"/>
              </w:rPr>
            </w:pPr>
            <w:hyperlink w:anchor="page53">
              <w:r>
                <w:rPr>
                  <w:rFonts w:ascii="Arial" w:cs="Arial" w:eastAsia="Arial" w:hAnsi="Arial"/>
                  <w:sz w:val="7"/>
                  <w:szCs w:val="7"/>
                  <w:color w:val="auto"/>
                  <w:w w:val="76"/>
                </w:rPr>
                <w:t>46</w:t>
              </w:r>
            </w:hyperlink>
          </w:p>
        </w:tc>
        <w:tc>
          <w:tcPr>
            <w:tcW w:w="680" w:type="dxa"/>
            <w:vAlign w:val="bottom"/>
            <w:tcBorders>
              <w:left w:val="single" w:sz="8" w:color="E9E9E9"/>
            </w:tcBorders>
          </w:tcPr>
          <w:p>
            <w:pPr>
              <w:spacing w:after="0"/>
              <w:rPr>
                <w:sz w:val="16"/>
                <w:szCs w:val="16"/>
                <w:color w:val="auto"/>
              </w:rPr>
            </w:pPr>
          </w:p>
        </w:tc>
      </w:tr>
      <w:tr>
        <w:trPr>
          <w:trHeight w:val="175"/>
        </w:trPr>
        <w:tc>
          <w:tcPr>
            <w:tcW w:w="560" w:type="dxa"/>
            <w:vAlign w:val="bottom"/>
          </w:tcPr>
          <w:p>
            <w:pPr>
              <w:spacing w:after="0"/>
              <w:rPr>
                <w:sz w:val="15"/>
                <w:szCs w:val="15"/>
                <w:color w:val="auto"/>
              </w:rPr>
            </w:pPr>
          </w:p>
        </w:tc>
        <w:tc>
          <w:tcPr>
            <w:tcW w:w="7560" w:type="dxa"/>
            <w:vAlign w:val="bottom"/>
          </w:tcPr>
          <w:p>
            <w:pPr>
              <w:ind w:left="60"/>
              <w:spacing w:after="0" w:line="168" w:lineRule="exact"/>
              <w:rPr>
                <w:sz w:val="20"/>
                <w:szCs w:val="20"/>
                <w:color w:val="auto"/>
              </w:rPr>
            </w:pPr>
            <w:r>
              <w:rPr>
                <w:rFonts w:ascii="Arial" w:cs="Arial" w:eastAsia="Arial" w:hAnsi="Arial"/>
                <w:sz w:val="16"/>
                <w:szCs w:val="16"/>
                <w:b w:val="1"/>
                <w:bCs w:val="1"/>
                <w:color w:val="auto"/>
              </w:rPr>
              <w:t>Stockholder Proposals for 2016 Annual Meeting</w:t>
            </w:r>
          </w:p>
        </w:tc>
        <w:tc>
          <w:tcPr>
            <w:tcW w:w="1920" w:type="dxa"/>
            <w:vAlign w:val="bottom"/>
            <w:gridSpan w:val="2"/>
          </w:tcPr>
          <w:p>
            <w:pPr>
              <w:spacing w:after="0"/>
              <w:rPr>
                <w:sz w:val="15"/>
                <w:szCs w:val="15"/>
                <w:color w:val="auto"/>
              </w:rPr>
            </w:pPr>
          </w:p>
        </w:tc>
        <w:tc>
          <w:tcPr>
            <w:tcW w:w="80" w:type="dxa"/>
            <w:vAlign w:val="bottom"/>
            <w:tcBorders>
              <w:bottom w:val="single" w:sz="8" w:color="auto"/>
            </w:tcBorders>
          </w:tcPr>
          <w:p>
            <w:pPr>
              <w:jc w:val="right"/>
              <w:spacing w:after="0"/>
              <w:rPr>
                <w:rFonts w:ascii="Arial" w:cs="Arial" w:eastAsia="Arial" w:hAnsi="Arial"/>
                <w:sz w:val="7"/>
                <w:szCs w:val="7"/>
                <w:color w:val="auto"/>
                <w:w w:val="76"/>
              </w:rPr>
            </w:pPr>
            <w:hyperlink w:anchor="page54">
              <w:r>
                <w:rPr>
                  <w:rFonts w:ascii="Arial" w:cs="Arial" w:eastAsia="Arial" w:hAnsi="Arial"/>
                  <w:sz w:val="7"/>
                  <w:szCs w:val="7"/>
                  <w:color w:val="auto"/>
                  <w:w w:val="76"/>
                </w:rPr>
                <w:t>47</w:t>
              </w:r>
            </w:hyperlink>
          </w:p>
        </w:tc>
        <w:tc>
          <w:tcPr>
            <w:tcW w:w="680" w:type="dxa"/>
            <w:vAlign w:val="bottom"/>
          </w:tcPr>
          <w:p>
            <w:pPr>
              <w:spacing w:after="0"/>
              <w:rPr>
                <w:sz w:val="15"/>
                <w:szCs w:val="15"/>
                <w:color w:val="auto"/>
              </w:rPr>
            </w:pPr>
          </w:p>
        </w:tc>
      </w:tr>
      <w:tr>
        <w:trPr>
          <w:trHeight w:val="191"/>
        </w:trPr>
        <w:tc>
          <w:tcPr>
            <w:tcW w:w="560" w:type="dxa"/>
            <w:vAlign w:val="bottom"/>
          </w:tcPr>
          <w:p>
            <w:pPr>
              <w:spacing w:after="0"/>
              <w:rPr>
                <w:sz w:val="16"/>
                <w:szCs w:val="16"/>
                <w:color w:val="auto"/>
              </w:rPr>
            </w:pPr>
          </w:p>
        </w:tc>
        <w:tc>
          <w:tcPr>
            <w:tcW w:w="7560" w:type="dxa"/>
            <w:vAlign w:val="bottom"/>
            <w:shd w:val="clear" w:color="auto" w:fill="E9E9E9"/>
          </w:tcPr>
          <w:p>
            <w:pPr>
              <w:ind w:left="60"/>
              <w:spacing w:after="0" w:line="175" w:lineRule="exact"/>
              <w:rPr>
                <w:sz w:val="20"/>
                <w:szCs w:val="20"/>
                <w:color w:val="auto"/>
              </w:rPr>
            </w:pPr>
            <w:r>
              <w:rPr>
                <w:rFonts w:ascii="Arial" w:cs="Arial" w:eastAsia="Arial" w:hAnsi="Arial"/>
                <w:sz w:val="16"/>
                <w:szCs w:val="16"/>
                <w:b w:val="1"/>
                <w:bCs w:val="1"/>
                <w:color w:val="auto"/>
              </w:rPr>
              <w:t>Additional Information</w:t>
            </w:r>
          </w:p>
        </w:tc>
        <w:tc>
          <w:tcPr>
            <w:tcW w:w="2000" w:type="dxa"/>
            <w:vAlign w:val="bottom"/>
            <w:gridSpan w:val="3"/>
            <w:shd w:val="clear" w:color="auto" w:fill="E9E9E9"/>
          </w:tcPr>
          <w:p>
            <w:pPr>
              <w:jc w:val="right"/>
              <w:spacing w:after="0" w:line="175" w:lineRule="exact"/>
              <w:rPr>
                <w:rFonts w:ascii="Arial" w:cs="Arial" w:eastAsia="Arial" w:hAnsi="Arial"/>
                <w:sz w:val="16"/>
                <w:szCs w:val="16"/>
                <w:color w:val="auto"/>
              </w:rPr>
            </w:pPr>
            <w:hyperlink w:anchor="page54">
              <w:r>
                <w:rPr>
                  <w:rFonts w:ascii="Arial" w:cs="Arial" w:eastAsia="Arial" w:hAnsi="Arial"/>
                  <w:sz w:val="16"/>
                  <w:szCs w:val="16"/>
                  <w:color w:val="auto"/>
                </w:rPr>
                <w:t>47</w:t>
              </w:r>
            </w:hyperlink>
          </w:p>
        </w:tc>
        <w:tc>
          <w:tcPr>
            <w:tcW w:w="680" w:type="dxa"/>
            <w:vAlign w:val="bottom"/>
            <w:tcBorders>
              <w:left w:val="single" w:sz="8" w:color="E9E9E9"/>
            </w:tcBorders>
          </w:tcPr>
          <w:p>
            <w:pPr>
              <w:spacing w:after="0"/>
              <w:rPr>
                <w:sz w:val="16"/>
                <w:szCs w:val="16"/>
                <w:color w:val="auto"/>
              </w:rPr>
            </w:pPr>
          </w:p>
        </w:tc>
      </w:tr>
      <w:tr>
        <w:trPr>
          <w:trHeight w:val="127"/>
        </w:trPr>
        <w:tc>
          <w:tcPr>
            <w:tcW w:w="560" w:type="dxa"/>
            <w:vAlign w:val="bottom"/>
            <w:tcBorders>
              <w:bottom w:val="single" w:sz="8" w:color="808080"/>
            </w:tcBorders>
          </w:tcPr>
          <w:p>
            <w:pPr>
              <w:spacing w:after="0"/>
              <w:rPr>
                <w:sz w:val="11"/>
                <w:szCs w:val="11"/>
                <w:color w:val="auto"/>
              </w:rPr>
            </w:pPr>
          </w:p>
        </w:tc>
        <w:tc>
          <w:tcPr>
            <w:tcW w:w="7560" w:type="dxa"/>
            <w:vAlign w:val="bottom"/>
            <w:tcBorders>
              <w:top w:val="single" w:sz="8" w:color="E9E9E9"/>
              <w:bottom w:val="single" w:sz="8" w:color="808080"/>
            </w:tcBorders>
          </w:tcPr>
          <w:p>
            <w:pPr>
              <w:spacing w:after="0"/>
              <w:rPr>
                <w:sz w:val="11"/>
                <w:szCs w:val="11"/>
                <w:color w:val="auto"/>
              </w:rPr>
            </w:pPr>
          </w:p>
        </w:tc>
        <w:tc>
          <w:tcPr>
            <w:tcW w:w="1680" w:type="dxa"/>
            <w:vAlign w:val="bottom"/>
            <w:tcBorders>
              <w:top w:val="single" w:sz="8" w:color="E9E9E9"/>
              <w:bottom w:val="single" w:sz="8" w:color="808080"/>
            </w:tcBorders>
          </w:tcPr>
          <w:p>
            <w:pPr>
              <w:spacing w:after="0"/>
              <w:rPr>
                <w:sz w:val="11"/>
                <w:szCs w:val="11"/>
                <w:color w:val="auto"/>
              </w:rPr>
            </w:pPr>
          </w:p>
        </w:tc>
        <w:tc>
          <w:tcPr>
            <w:tcW w:w="240" w:type="dxa"/>
            <w:vAlign w:val="bottom"/>
            <w:tcBorders>
              <w:top w:val="single" w:sz="8" w:color="E9E9E9"/>
              <w:bottom w:val="single" w:sz="8" w:color="808080"/>
            </w:tcBorders>
          </w:tcPr>
          <w:p>
            <w:pPr>
              <w:spacing w:after="0"/>
              <w:rPr>
                <w:sz w:val="11"/>
                <w:szCs w:val="11"/>
                <w:color w:val="auto"/>
              </w:rPr>
            </w:pPr>
          </w:p>
        </w:tc>
        <w:tc>
          <w:tcPr>
            <w:tcW w:w="80" w:type="dxa"/>
            <w:vAlign w:val="bottom"/>
            <w:tcBorders>
              <w:top w:val="single" w:sz="8" w:color="auto"/>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6843395</wp:posOffset>
            </wp:positionH>
            <wp:positionV relativeFrom="paragraph">
              <wp:posOffset>-34925</wp:posOffset>
            </wp:positionV>
            <wp:extent cx="12700" cy="35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-34925</wp:posOffset>
            </wp:positionV>
            <wp:extent cx="12700" cy="35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ectPr>
          <w:pgSz w:w="11900" w:h="16838" w:orient="portrait"/>
          <w:cols w:equalWidth="0" w:num="1">
            <w:col w:w="10800"/>
          </w:cols>
          <w:pgMar w:left="820" w:top="438" w:right="279" w:bottom="1440" w:gutter="0" w:footer="0" w:header="0"/>
        </w:sectPr>
      </w:pPr>
    </w:p>
    <w:bookmarkStart w:id="4" w:name="page5"/>
    <w:bookmarkEnd w:id="4"/>
    <w:p>
      <w:pPr>
        <w:ind w:left="109"/>
        <w:spacing w:after="0"/>
        <w:rPr>
          <w:sz w:val="20"/>
          <w:szCs w:val="20"/>
          <w:color w:val="auto"/>
        </w:rPr>
      </w:pPr>
      <w:r>
        <w:rPr>
          <w:rFonts w:ascii="Arial" w:cs="Arial" w:eastAsia="Arial" w:hAnsi="Arial"/>
          <w:sz w:val="16"/>
          <w:szCs w:val="16"/>
          <w:color w:val="auto"/>
        </w:rPr>
        <w:t>2015 Proxy Summary</w:t>
      </w:r>
    </w:p>
    <w:p>
      <w:pPr>
        <w:spacing w:after="0" w:line="258" w:lineRule="exact"/>
        <w:rPr>
          <w:sz w:val="20"/>
          <w:szCs w:val="20"/>
          <w:color w:val="auto"/>
        </w:rPr>
      </w:pPr>
    </w:p>
    <w:p>
      <w:pPr>
        <w:ind w:left="109" w:right="400"/>
        <w:spacing w:after="0" w:line="291" w:lineRule="auto"/>
        <w:rPr>
          <w:sz w:val="20"/>
          <w:szCs w:val="20"/>
          <w:color w:val="auto"/>
        </w:rPr>
      </w:pPr>
      <w:r>
        <w:rPr>
          <w:rFonts w:ascii="Arial" w:cs="Arial" w:eastAsia="Arial" w:hAnsi="Arial"/>
          <w:sz w:val="16"/>
          <w:szCs w:val="16"/>
          <w:i w:val="1"/>
          <w:iCs w:val="1"/>
          <w:color w:val="auto"/>
        </w:rPr>
        <w:t>This summary highlights information contained elsewhere in this proxy statement. This summary does not contain all of the information that you should consider and you should read the entire proxy statement carefully before voting.</w:t>
      </w:r>
    </w:p>
    <w:p>
      <w:pPr>
        <w:spacing w:after="0" w:line="183" w:lineRule="exact"/>
        <w:rPr>
          <w:sz w:val="20"/>
          <w:szCs w:val="20"/>
          <w:color w:val="auto"/>
        </w:rPr>
      </w:pPr>
    </w:p>
    <w:tbl>
      <w:tblPr>
        <w:tblLayout w:type="fixed"/>
        <w:tblInd w:w="109" w:type="dxa"/>
        <w:tblCellMar>
          <w:top w:w="0" w:type="dxa"/>
          <w:left w:w="0" w:type="dxa"/>
          <w:bottom w:w="0" w:type="dxa"/>
          <w:right w:w="0" w:type="dxa"/>
        </w:tblCellMar>
      </w:tblPr>
      <w:tr>
        <w:trPr>
          <w:trHeight w:val="208"/>
        </w:trPr>
        <w:tc>
          <w:tcPr>
            <w:tcW w:w="6040" w:type="dxa"/>
            <w:vAlign w:val="bottom"/>
            <w:gridSpan w:val="3"/>
          </w:tcPr>
          <w:p>
            <w:pPr>
              <w:spacing w:after="0"/>
              <w:rPr>
                <w:sz w:val="20"/>
                <w:szCs w:val="20"/>
                <w:color w:val="auto"/>
              </w:rPr>
            </w:pPr>
            <w:r>
              <w:rPr>
                <w:rFonts w:ascii="Arial" w:cs="Arial" w:eastAsia="Arial" w:hAnsi="Arial"/>
                <w:sz w:val="16"/>
                <w:szCs w:val="16"/>
                <w:b w:val="1"/>
                <w:bCs w:val="1"/>
                <w:color w:val="auto"/>
              </w:rPr>
              <w:t>Annual Meeting of Stockholders</w:t>
            </w:r>
          </w:p>
        </w:tc>
      </w:tr>
      <w:tr>
        <w:trPr>
          <w:trHeight w:val="370"/>
        </w:trPr>
        <w:tc>
          <w:tcPr>
            <w:tcW w:w="240" w:type="dxa"/>
            <w:vAlign w:val="bottom"/>
          </w:tcPr>
          <w:p>
            <w:pPr>
              <w:ind w:left="60"/>
              <w:spacing w:after="0"/>
              <w:rPr>
                <w:sz w:val="20"/>
                <w:szCs w:val="20"/>
                <w:color w:val="auto"/>
              </w:rPr>
            </w:pPr>
            <w:r>
              <w:rPr>
                <w:rFonts w:ascii="Arial" w:cs="Arial" w:eastAsia="Arial" w:hAnsi="Arial"/>
                <w:sz w:val="16"/>
                <w:szCs w:val="16"/>
                <w:color w:val="auto"/>
              </w:rPr>
              <w:t>•</w:t>
            </w:r>
          </w:p>
        </w:tc>
        <w:tc>
          <w:tcPr>
            <w:tcW w:w="1440" w:type="dxa"/>
            <w:vAlign w:val="bottom"/>
          </w:tcPr>
          <w:p>
            <w:pPr>
              <w:ind w:left="120"/>
              <w:spacing w:after="0"/>
              <w:rPr>
                <w:sz w:val="20"/>
                <w:szCs w:val="20"/>
                <w:color w:val="auto"/>
              </w:rPr>
            </w:pPr>
            <w:r>
              <w:rPr>
                <w:rFonts w:ascii="Arial" w:cs="Arial" w:eastAsia="Arial" w:hAnsi="Arial"/>
                <w:sz w:val="16"/>
                <w:szCs w:val="16"/>
                <w:color w:val="auto"/>
              </w:rPr>
              <w:t>Date and Time</w:t>
            </w:r>
          </w:p>
        </w:tc>
        <w:tc>
          <w:tcPr>
            <w:tcW w:w="4360" w:type="dxa"/>
            <w:vAlign w:val="bottom"/>
          </w:tcPr>
          <w:p>
            <w:pPr>
              <w:ind w:left="360"/>
              <w:spacing w:after="0"/>
              <w:rPr>
                <w:sz w:val="20"/>
                <w:szCs w:val="20"/>
                <w:color w:val="auto"/>
              </w:rPr>
            </w:pPr>
            <w:r>
              <w:rPr>
                <w:rFonts w:ascii="Arial" w:cs="Arial" w:eastAsia="Arial" w:hAnsi="Arial"/>
                <w:sz w:val="16"/>
                <w:szCs w:val="16"/>
                <w:color w:val="auto"/>
              </w:rPr>
              <w:t>May 19, 2015, 11:00 a.m., Eastern Time</w:t>
            </w:r>
          </w:p>
        </w:tc>
      </w:tr>
      <w:tr>
        <w:trPr>
          <w:trHeight w:val="203"/>
        </w:trPr>
        <w:tc>
          <w:tcPr>
            <w:tcW w:w="240" w:type="dxa"/>
            <w:vAlign w:val="bottom"/>
          </w:tcPr>
          <w:p>
            <w:pPr>
              <w:ind w:left="60"/>
              <w:spacing w:after="0"/>
              <w:rPr>
                <w:sz w:val="20"/>
                <w:szCs w:val="20"/>
                <w:color w:val="auto"/>
              </w:rPr>
            </w:pPr>
            <w:r>
              <w:rPr>
                <w:rFonts w:ascii="Arial" w:cs="Arial" w:eastAsia="Arial" w:hAnsi="Arial"/>
                <w:sz w:val="16"/>
                <w:szCs w:val="16"/>
                <w:color w:val="auto"/>
              </w:rPr>
              <w:t>•</w:t>
            </w:r>
          </w:p>
        </w:tc>
        <w:tc>
          <w:tcPr>
            <w:tcW w:w="1440" w:type="dxa"/>
            <w:vAlign w:val="bottom"/>
          </w:tcPr>
          <w:p>
            <w:pPr>
              <w:ind w:left="120"/>
              <w:spacing w:after="0"/>
              <w:rPr>
                <w:sz w:val="20"/>
                <w:szCs w:val="20"/>
                <w:color w:val="auto"/>
              </w:rPr>
            </w:pPr>
            <w:r>
              <w:rPr>
                <w:rFonts w:ascii="Arial" w:cs="Arial" w:eastAsia="Arial" w:hAnsi="Arial"/>
                <w:sz w:val="16"/>
                <w:szCs w:val="16"/>
                <w:color w:val="auto"/>
              </w:rPr>
              <w:t>Place</w:t>
            </w:r>
          </w:p>
        </w:tc>
        <w:tc>
          <w:tcPr>
            <w:tcW w:w="4360" w:type="dxa"/>
            <w:vAlign w:val="bottom"/>
          </w:tcPr>
          <w:p>
            <w:pPr>
              <w:ind w:left="360"/>
              <w:spacing w:after="0"/>
              <w:rPr>
                <w:sz w:val="20"/>
                <w:szCs w:val="20"/>
                <w:color w:val="auto"/>
              </w:rPr>
            </w:pPr>
            <w:r>
              <w:rPr>
                <w:rFonts w:ascii="Arial" w:cs="Arial" w:eastAsia="Arial" w:hAnsi="Arial"/>
                <w:sz w:val="16"/>
                <w:szCs w:val="16"/>
                <w:color w:val="auto"/>
                <w:w w:val="94"/>
              </w:rPr>
              <w:t>DoubleTree by Hilton Downtown Wilmington—Legal District</w:t>
            </w:r>
          </w:p>
        </w:tc>
      </w:tr>
      <w:tr>
        <w:trPr>
          <w:trHeight w:val="203"/>
        </w:trPr>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360" w:type="dxa"/>
            <w:vAlign w:val="bottom"/>
          </w:tcPr>
          <w:p>
            <w:pPr>
              <w:ind w:left="360"/>
              <w:spacing w:after="0"/>
              <w:rPr>
                <w:sz w:val="20"/>
                <w:szCs w:val="20"/>
                <w:color w:val="auto"/>
              </w:rPr>
            </w:pPr>
            <w:r>
              <w:rPr>
                <w:rFonts w:ascii="Arial" w:cs="Arial" w:eastAsia="Arial" w:hAnsi="Arial"/>
                <w:sz w:val="16"/>
                <w:szCs w:val="16"/>
                <w:color w:val="auto"/>
              </w:rPr>
              <w:t>700 N. King Street</w:t>
            </w:r>
          </w:p>
        </w:tc>
      </w:tr>
      <w:tr>
        <w:trPr>
          <w:trHeight w:val="203"/>
        </w:trPr>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360" w:type="dxa"/>
            <w:vAlign w:val="bottom"/>
          </w:tcPr>
          <w:p>
            <w:pPr>
              <w:ind w:left="360"/>
              <w:spacing w:after="0"/>
              <w:rPr>
                <w:sz w:val="20"/>
                <w:szCs w:val="20"/>
                <w:color w:val="auto"/>
              </w:rPr>
            </w:pPr>
            <w:r>
              <w:rPr>
                <w:rFonts w:ascii="Arial" w:cs="Arial" w:eastAsia="Arial" w:hAnsi="Arial"/>
                <w:sz w:val="16"/>
                <w:szCs w:val="16"/>
                <w:color w:val="auto"/>
              </w:rPr>
              <w:t>Wilmington, Delaware 19801</w:t>
            </w:r>
          </w:p>
        </w:tc>
      </w:tr>
      <w:tr>
        <w:trPr>
          <w:trHeight w:val="204"/>
        </w:trPr>
        <w:tc>
          <w:tcPr>
            <w:tcW w:w="240" w:type="dxa"/>
            <w:vAlign w:val="bottom"/>
          </w:tcPr>
          <w:p>
            <w:pPr>
              <w:ind w:left="60"/>
              <w:spacing w:after="0"/>
              <w:rPr>
                <w:sz w:val="20"/>
                <w:szCs w:val="20"/>
                <w:color w:val="auto"/>
              </w:rPr>
            </w:pPr>
            <w:r>
              <w:rPr>
                <w:rFonts w:ascii="Arial" w:cs="Arial" w:eastAsia="Arial" w:hAnsi="Arial"/>
                <w:sz w:val="16"/>
                <w:szCs w:val="16"/>
                <w:color w:val="auto"/>
              </w:rPr>
              <w:t>•</w:t>
            </w:r>
          </w:p>
        </w:tc>
        <w:tc>
          <w:tcPr>
            <w:tcW w:w="1440" w:type="dxa"/>
            <w:vAlign w:val="bottom"/>
          </w:tcPr>
          <w:p>
            <w:pPr>
              <w:ind w:left="120"/>
              <w:spacing w:after="0"/>
              <w:rPr>
                <w:sz w:val="20"/>
                <w:szCs w:val="20"/>
                <w:color w:val="auto"/>
              </w:rPr>
            </w:pPr>
            <w:r>
              <w:rPr>
                <w:rFonts w:ascii="Arial" w:cs="Arial" w:eastAsia="Arial" w:hAnsi="Arial"/>
                <w:sz w:val="16"/>
                <w:szCs w:val="16"/>
                <w:color w:val="auto"/>
              </w:rPr>
              <w:t>Record Date</w:t>
            </w:r>
          </w:p>
        </w:tc>
        <w:tc>
          <w:tcPr>
            <w:tcW w:w="4360" w:type="dxa"/>
            <w:vAlign w:val="bottom"/>
          </w:tcPr>
          <w:p>
            <w:pPr>
              <w:ind w:left="360"/>
              <w:spacing w:after="0"/>
              <w:rPr>
                <w:sz w:val="20"/>
                <w:szCs w:val="20"/>
                <w:color w:val="auto"/>
              </w:rPr>
            </w:pPr>
            <w:r>
              <w:rPr>
                <w:rFonts w:ascii="Arial" w:cs="Arial" w:eastAsia="Arial" w:hAnsi="Arial"/>
                <w:sz w:val="16"/>
                <w:szCs w:val="16"/>
                <w:color w:val="auto"/>
              </w:rPr>
              <w:t>March 23, 2015</w:t>
            </w:r>
          </w:p>
        </w:tc>
      </w:tr>
    </w:tbl>
    <w:p>
      <w:pPr>
        <w:spacing w:after="0" w:line="234" w:lineRule="exact"/>
        <w:rPr>
          <w:sz w:val="20"/>
          <w:szCs w:val="20"/>
          <w:color w:val="auto"/>
        </w:rPr>
      </w:pPr>
    </w:p>
    <w:tbl>
      <w:tblPr>
        <w:tblLayout w:type="fixed"/>
        <w:tblInd w:w="109" w:type="dxa"/>
        <w:tblCellMar>
          <w:top w:w="0" w:type="dxa"/>
          <w:left w:w="0" w:type="dxa"/>
          <w:bottom w:w="0" w:type="dxa"/>
          <w:right w:w="0" w:type="dxa"/>
        </w:tblCellMar>
      </w:tblPr>
      <w:tr>
        <w:trPr>
          <w:trHeight w:val="208"/>
        </w:trPr>
        <w:tc>
          <w:tcPr>
            <w:tcW w:w="4720" w:type="dxa"/>
            <w:vAlign w:val="bottom"/>
          </w:tcPr>
          <w:p>
            <w:pPr>
              <w:spacing w:after="0"/>
              <w:rPr>
                <w:sz w:val="20"/>
                <w:szCs w:val="20"/>
                <w:color w:val="auto"/>
              </w:rPr>
            </w:pPr>
            <w:r>
              <w:rPr>
                <w:rFonts w:ascii="Arial" w:cs="Arial" w:eastAsia="Arial" w:hAnsi="Arial"/>
                <w:sz w:val="16"/>
                <w:szCs w:val="16"/>
                <w:b w:val="1"/>
                <w:bCs w:val="1"/>
                <w:color w:val="auto"/>
              </w:rPr>
              <w:t>Voting Matters and Vote Recommendations</w:t>
            </w:r>
          </w:p>
        </w:tc>
        <w:tc>
          <w:tcPr>
            <w:tcW w:w="164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366"/>
        </w:trPr>
        <w:tc>
          <w:tcPr>
            <w:tcW w:w="4720" w:type="dxa"/>
            <w:vAlign w:val="bottom"/>
          </w:tcPr>
          <w:p>
            <w:pPr>
              <w:spacing w:after="0"/>
              <w:rPr>
                <w:sz w:val="24"/>
                <w:szCs w:val="24"/>
                <w:color w:val="auto"/>
              </w:rPr>
            </w:pPr>
          </w:p>
        </w:tc>
        <w:tc>
          <w:tcPr>
            <w:tcW w:w="1640" w:type="dxa"/>
            <w:vAlign w:val="bottom"/>
          </w:tcPr>
          <w:p>
            <w:pPr>
              <w:jc w:val="center"/>
              <w:ind w:right="40"/>
              <w:spacing w:after="0"/>
              <w:rPr>
                <w:sz w:val="20"/>
                <w:szCs w:val="20"/>
                <w:color w:val="auto"/>
              </w:rPr>
            </w:pPr>
            <w:r>
              <w:rPr>
                <w:rFonts w:ascii="Arial" w:cs="Arial" w:eastAsia="Arial" w:hAnsi="Arial"/>
                <w:sz w:val="16"/>
                <w:szCs w:val="16"/>
                <w:b w:val="1"/>
                <w:bCs w:val="1"/>
                <w:color w:val="auto"/>
                <w:w w:val="87"/>
              </w:rPr>
              <w:t>Proposal</w:t>
            </w:r>
          </w:p>
        </w:tc>
        <w:tc>
          <w:tcPr>
            <w:tcW w:w="3260" w:type="dxa"/>
            <w:vAlign w:val="bottom"/>
          </w:tcPr>
          <w:p>
            <w:pPr>
              <w:jc w:val="center"/>
              <w:spacing w:after="0"/>
              <w:rPr>
                <w:sz w:val="20"/>
                <w:szCs w:val="20"/>
                <w:color w:val="auto"/>
              </w:rPr>
            </w:pPr>
            <w:r>
              <w:rPr>
                <w:rFonts w:ascii="Arial" w:cs="Arial" w:eastAsia="Arial" w:hAnsi="Arial"/>
                <w:sz w:val="16"/>
                <w:szCs w:val="16"/>
                <w:b w:val="1"/>
                <w:bCs w:val="1"/>
                <w:color w:val="auto"/>
                <w:w w:val="91"/>
              </w:rPr>
              <w:t>Our Board's Vote</w:t>
            </w:r>
          </w:p>
        </w:tc>
      </w:tr>
      <w:tr>
        <w:trPr>
          <w:trHeight w:val="208"/>
        </w:trPr>
        <w:tc>
          <w:tcPr>
            <w:tcW w:w="47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Voting Matters</w:t>
            </w:r>
          </w:p>
        </w:tc>
        <w:tc>
          <w:tcPr>
            <w:tcW w:w="164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2"/>
              </w:rPr>
              <w:t>No.</w:t>
            </w: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Recommendation</w:t>
            </w:r>
          </w:p>
        </w:tc>
      </w:tr>
      <w:tr>
        <w:trPr>
          <w:trHeight w:val="195"/>
        </w:trPr>
        <w:tc>
          <w:tcPr>
            <w:tcW w:w="4720" w:type="dxa"/>
            <w:vAlign w:val="bottom"/>
            <w:shd w:val="clear" w:color="auto" w:fill="E9E9E9"/>
          </w:tcPr>
          <w:p>
            <w:pPr>
              <w:ind w:left="60"/>
              <w:spacing w:after="0"/>
              <w:rPr>
                <w:sz w:val="20"/>
                <w:szCs w:val="20"/>
                <w:color w:val="auto"/>
              </w:rPr>
            </w:pPr>
            <w:r>
              <w:rPr>
                <w:rFonts w:ascii="Arial" w:cs="Arial" w:eastAsia="Arial" w:hAnsi="Arial"/>
                <w:sz w:val="16"/>
                <w:szCs w:val="16"/>
                <w:color w:val="auto"/>
              </w:rPr>
              <w:t>Election of Directors (page 44)</w:t>
            </w:r>
          </w:p>
        </w:tc>
        <w:tc>
          <w:tcPr>
            <w:tcW w:w="1640" w:type="dxa"/>
            <w:vAlign w:val="bottom"/>
            <w:shd w:val="clear" w:color="auto" w:fill="E9E9E9"/>
          </w:tcPr>
          <w:p>
            <w:pPr>
              <w:jc w:val="center"/>
              <w:ind w:right="40"/>
              <w:spacing w:after="0"/>
              <w:rPr>
                <w:sz w:val="20"/>
                <w:szCs w:val="20"/>
                <w:color w:val="auto"/>
              </w:rPr>
            </w:pPr>
            <w:r>
              <w:rPr>
                <w:rFonts w:ascii="Arial" w:cs="Arial" w:eastAsia="Arial" w:hAnsi="Arial"/>
                <w:sz w:val="16"/>
                <w:szCs w:val="16"/>
                <w:color w:val="auto"/>
                <w:w w:val="89"/>
              </w:rPr>
              <w:t>1</w:t>
            </w:r>
          </w:p>
        </w:tc>
        <w:tc>
          <w:tcPr>
            <w:tcW w:w="32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1"/>
              </w:rPr>
              <w:t>"FOR" all ten director nominees</w:t>
            </w:r>
          </w:p>
        </w:tc>
      </w:tr>
      <w:tr>
        <w:trPr>
          <w:trHeight w:val="203"/>
        </w:trPr>
        <w:tc>
          <w:tcPr>
            <w:tcW w:w="4720" w:type="dxa"/>
            <w:vAlign w:val="bottom"/>
          </w:tcPr>
          <w:p>
            <w:pPr>
              <w:ind w:left="60"/>
              <w:spacing w:after="0"/>
              <w:rPr>
                <w:sz w:val="20"/>
                <w:szCs w:val="20"/>
                <w:color w:val="auto"/>
              </w:rPr>
            </w:pPr>
            <w:r>
              <w:rPr>
                <w:rFonts w:ascii="Arial" w:cs="Arial" w:eastAsia="Arial" w:hAnsi="Arial"/>
                <w:sz w:val="16"/>
                <w:szCs w:val="16"/>
                <w:color w:val="auto"/>
              </w:rPr>
              <w:t>Ratification of Appointment of Auditors</w:t>
            </w:r>
          </w:p>
        </w:tc>
        <w:tc>
          <w:tcPr>
            <w:tcW w:w="164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204"/>
        </w:trPr>
        <w:tc>
          <w:tcPr>
            <w:tcW w:w="4720" w:type="dxa"/>
            <w:vAlign w:val="bottom"/>
          </w:tcPr>
          <w:p>
            <w:pPr>
              <w:ind w:left="60"/>
              <w:spacing w:after="0"/>
              <w:rPr>
                <w:sz w:val="20"/>
                <w:szCs w:val="20"/>
                <w:color w:val="auto"/>
              </w:rPr>
            </w:pPr>
            <w:r>
              <w:rPr>
                <w:rFonts w:ascii="Arial" w:cs="Arial" w:eastAsia="Arial" w:hAnsi="Arial"/>
                <w:sz w:val="16"/>
                <w:szCs w:val="16"/>
                <w:color w:val="auto"/>
              </w:rPr>
              <w:t>(pages 44-45)</w:t>
            </w:r>
          </w:p>
        </w:tc>
        <w:tc>
          <w:tcPr>
            <w:tcW w:w="1640" w:type="dxa"/>
            <w:vAlign w:val="bottom"/>
          </w:tcPr>
          <w:p>
            <w:pPr>
              <w:jc w:val="center"/>
              <w:ind w:right="40"/>
              <w:spacing w:after="0"/>
              <w:rPr>
                <w:sz w:val="20"/>
                <w:szCs w:val="20"/>
                <w:color w:val="auto"/>
              </w:rPr>
            </w:pPr>
            <w:r>
              <w:rPr>
                <w:rFonts w:ascii="Arial" w:cs="Arial" w:eastAsia="Arial" w:hAnsi="Arial"/>
                <w:sz w:val="16"/>
                <w:szCs w:val="16"/>
                <w:color w:val="auto"/>
                <w:w w:val="89"/>
              </w:rPr>
              <w:t>2</w:t>
            </w:r>
          </w:p>
        </w:tc>
        <w:tc>
          <w:tcPr>
            <w:tcW w:w="3260" w:type="dxa"/>
            <w:vAlign w:val="bottom"/>
          </w:tcPr>
          <w:p>
            <w:pPr>
              <w:jc w:val="center"/>
              <w:spacing w:after="0"/>
              <w:rPr>
                <w:sz w:val="20"/>
                <w:szCs w:val="20"/>
                <w:color w:val="auto"/>
              </w:rPr>
            </w:pPr>
            <w:r>
              <w:rPr>
                <w:rFonts w:ascii="Arial" w:cs="Arial" w:eastAsia="Arial" w:hAnsi="Arial"/>
                <w:sz w:val="16"/>
                <w:szCs w:val="16"/>
                <w:color w:val="auto"/>
                <w:w w:val="97"/>
              </w:rPr>
              <w:t>"FOR"</w:t>
            </w:r>
          </w:p>
        </w:tc>
      </w:tr>
      <w:tr>
        <w:trPr>
          <w:trHeight w:val="203"/>
        </w:trPr>
        <w:tc>
          <w:tcPr>
            <w:tcW w:w="4720" w:type="dxa"/>
            <w:vAlign w:val="bottom"/>
            <w:shd w:val="clear" w:color="auto" w:fill="E9E9E9"/>
          </w:tcPr>
          <w:p>
            <w:pPr>
              <w:ind w:left="60"/>
              <w:spacing w:after="0"/>
              <w:rPr>
                <w:sz w:val="20"/>
                <w:szCs w:val="20"/>
                <w:color w:val="auto"/>
              </w:rPr>
            </w:pPr>
            <w:r>
              <w:rPr>
                <w:rFonts w:ascii="Arial" w:cs="Arial" w:eastAsia="Arial" w:hAnsi="Arial"/>
                <w:sz w:val="16"/>
                <w:szCs w:val="16"/>
                <w:color w:val="auto"/>
              </w:rPr>
              <w:t>Advisory Approval of the Compensation of our Named Executive</w:t>
            </w:r>
          </w:p>
        </w:tc>
        <w:tc>
          <w:tcPr>
            <w:tcW w:w="1640" w:type="dxa"/>
            <w:vAlign w:val="bottom"/>
            <w:shd w:val="clear" w:color="auto" w:fill="E9E9E9"/>
          </w:tcPr>
          <w:p>
            <w:pPr>
              <w:spacing w:after="0"/>
              <w:rPr>
                <w:sz w:val="17"/>
                <w:szCs w:val="17"/>
                <w:color w:val="auto"/>
              </w:rPr>
            </w:pPr>
          </w:p>
        </w:tc>
        <w:tc>
          <w:tcPr>
            <w:tcW w:w="3260" w:type="dxa"/>
            <w:vAlign w:val="bottom"/>
            <w:shd w:val="clear" w:color="auto" w:fill="E9E9E9"/>
          </w:tcPr>
          <w:p>
            <w:pPr>
              <w:spacing w:after="0"/>
              <w:rPr>
                <w:sz w:val="17"/>
                <w:szCs w:val="17"/>
                <w:color w:val="auto"/>
              </w:rPr>
            </w:pPr>
          </w:p>
        </w:tc>
      </w:tr>
      <w:tr>
        <w:trPr>
          <w:trHeight w:val="204"/>
        </w:trPr>
        <w:tc>
          <w:tcPr>
            <w:tcW w:w="4720" w:type="dxa"/>
            <w:vAlign w:val="bottom"/>
            <w:shd w:val="clear" w:color="auto" w:fill="E9E9E9"/>
          </w:tcPr>
          <w:p>
            <w:pPr>
              <w:ind w:left="60"/>
              <w:spacing w:after="0"/>
              <w:rPr>
                <w:sz w:val="20"/>
                <w:szCs w:val="20"/>
                <w:color w:val="auto"/>
              </w:rPr>
            </w:pPr>
            <w:r>
              <w:rPr>
                <w:rFonts w:ascii="Arial" w:cs="Arial" w:eastAsia="Arial" w:hAnsi="Arial"/>
                <w:sz w:val="16"/>
                <w:szCs w:val="16"/>
                <w:color w:val="auto"/>
              </w:rPr>
              <w:t>Officers (page 46)</w:t>
            </w:r>
          </w:p>
        </w:tc>
        <w:tc>
          <w:tcPr>
            <w:tcW w:w="1640" w:type="dxa"/>
            <w:vAlign w:val="bottom"/>
            <w:shd w:val="clear" w:color="auto" w:fill="E9E9E9"/>
          </w:tcPr>
          <w:p>
            <w:pPr>
              <w:jc w:val="center"/>
              <w:ind w:right="40"/>
              <w:spacing w:after="0"/>
              <w:rPr>
                <w:sz w:val="20"/>
                <w:szCs w:val="20"/>
                <w:color w:val="auto"/>
              </w:rPr>
            </w:pPr>
            <w:r>
              <w:rPr>
                <w:rFonts w:ascii="Arial" w:cs="Arial" w:eastAsia="Arial" w:hAnsi="Arial"/>
                <w:sz w:val="16"/>
                <w:szCs w:val="16"/>
                <w:color w:val="auto"/>
                <w:w w:val="89"/>
              </w:rPr>
              <w:t>3</w:t>
            </w:r>
          </w:p>
        </w:tc>
        <w:tc>
          <w:tcPr>
            <w:tcW w:w="32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7"/>
              </w:rPr>
              <w:t>"FOR"</w:t>
            </w:r>
          </w:p>
        </w:tc>
      </w:tr>
    </w:tbl>
    <w:p>
      <w:pPr>
        <w:spacing w:after="0" w:line="222" w:lineRule="exact"/>
        <w:rPr>
          <w:sz w:val="20"/>
          <w:szCs w:val="20"/>
          <w:color w:val="auto"/>
        </w:rPr>
      </w:pPr>
    </w:p>
    <w:tbl>
      <w:tblPr>
        <w:tblLayout w:type="fixed"/>
        <w:tblInd w:w="9" w:type="dxa"/>
        <w:tblCellMar>
          <w:top w:w="0" w:type="dxa"/>
          <w:left w:w="0" w:type="dxa"/>
          <w:bottom w:w="0" w:type="dxa"/>
          <w:right w:w="0" w:type="dxa"/>
        </w:tblCellMar>
      </w:tblPr>
      <w:tr>
        <w:trPr>
          <w:trHeight w:val="208"/>
        </w:trPr>
        <w:tc>
          <w:tcPr>
            <w:tcW w:w="8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Corporate Governance Highlights</w:t>
            </w:r>
          </w:p>
        </w:tc>
        <w:tc>
          <w:tcPr>
            <w:tcW w:w="6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80" w:type="dxa"/>
            <w:vAlign w:val="bottom"/>
          </w:tcPr>
          <w:p>
            <w:pPr>
              <w:spacing w:after="0"/>
              <w:rPr>
                <w:sz w:val="20"/>
                <w:szCs w:val="20"/>
                <w:color w:val="auto"/>
              </w:rPr>
            </w:pPr>
            <w:r>
              <w:rPr>
                <w:rFonts w:ascii="Arial" w:cs="Arial" w:eastAsia="Arial" w:hAnsi="Arial"/>
                <w:sz w:val="16"/>
                <w:szCs w:val="16"/>
                <w:color w:val="auto"/>
              </w:rPr>
              <w:t>•</w:t>
            </w:r>
          </w:p>
        </w:tc>
        <w:tc>
          <w:tcPr>
            <w:tcW w:w="4540" w:type="dxa"/>
            <w:vAlign w:val="bottom"/>
          </w:tcPr>
          <w:p>
            <w:pPr>
              <w:ind w:left="520"/>
              <w:spacing w:after="0"/>
              <w:rPr>
                <w:sz w:val="20"/>
                <w:szCs w:val="20"/>
                <w:color w:val="auto"/>
              </w:rPr>
            </w:pPr>
            <w:r>
              <w:rPr>
                <w:rFonts w:ascii="Arial" w:cs="Arial" w:eastAsia="Arial" w:hAnsi="Arial"/>
                <w:sz w:val="16"/>
                <w:szCs w:val="16"/>
                <w:color w:val="auto"/>
              </w:rPr>
              <w:t>90% of directors are independent</w:t>
            </w:r>
          </w:p>
        </w:tc>
        <w:tc>
          <w:tcPr>
            <w:tcW w:w="620" w:type="dxa"/>
            <w:vAlign w:val="bottom"/>
          </w:tcPr>
          <w:p>
            <w:pPr>
              <w:ind w:left="280"/>
              <w:spacing w:after="0"/>
              <w:rPr>
                <w:sz w:val="20"/>
                <w:szCs w:val="20"/>
                <w:color w:val="auto"/>
              </w:rPr>
            </w:pPr>
            <w:r>
              <w:rPr>
                <w:rFonts w:ascii="Arial" w:cs="Arial" w:eastAsia="Arial" w:hAnsi="Arial"/>
                <w:sz w:val="16"/>
                <w:szCs w:val="16"/>
                <w:color w:val="auto"/>
              </w:rPr>
              <w:t>•</w:t>
            </w:r>
          </w:p>
        </w:tc>
        <w:tc>
          <w:tcPr>
            <w:tcW w:w="4140" w:type="dxa"/>
            <w:vAlign w:val="bottom"/>
          </w:tcPr>
          <w:p>
            <w:pPr>
              <w:ind w:left="260"/>
              <w:spacing w:after="0"/>
              <w:rPr>
                <w:sz w:val="20"/>
                <w:szCs w:val="20"/>
                <w:color w:val="auto"/>
              </w:rPr>
            </w:pPr>
            <w:r>
              <w:rPr>
                <w:rFonts w:ascii="Arial" w:cs="Arial" w:eastAsia="Arial" w:hAnsi="Arial"/>
                <w:sz w:val="16"/>
                <w:szCs w:val="16"/>
                <w:color w:val="auto"/>
                <w:w w:val="94"/>
              </w:rPr>
              <w:t>Robust executive and director stock ownership guidelines</w:t>
            </w:r>
          </w:p>
        </w:tc>
        <w:tc>
          <w:tcPr>
            <w:tcW w:w="0" w:type="dxa"/>
            <w:vAlign w:val="bottom"/>
          </w:tcPr>
          <w:p>
            <w:pPr>
              <w:spacing w:after="0"/>
              <w:rPr>
                <w:sz w:val="1"/>
                <w:szCs w:val="1"/>
                <w:color w:val="auto"/>
              </w:rPr>
            </w:pPr>
          </w:p>
        </w:tc>
      </w:tr>
      <w:tr>
        <w:trPr>
          <w:trHeight w:val="298"/>
        </w:trPr>
        <w:tc>
          <w:tcPr>
            <w:tcW w:w="80" w:type="dxa"/>
            <w:vAlign w:val="bottom"/>
          </w:tcPr>
          <w:p>
            <w:pPr>
              <w:spacing w:after="0"/>
              <w:rPr>
                <w:sz w:val="20"/>
                <w:szCs w:val="20"/>
                <w:color w:val="auto"/>
              </w:rPr>
            </w:pPr>
            <w:r>
              <w:rPr>
                <w:rFonts w:ascii="Arial" w:cs="Arial" w:eastAsia="Arial" w:hAnsi="Arial"/>
                <w:sz w:val="16"/>
                <w:szCs w:val="16"/>
                <w:color w:val="auto"/>
              </w:rPr>
              <w:t>•</w:t>
            </w:r>
          </w:p>
        </w:tc>
        <w:tc>
          <w:tcPr>
            <w:tcW w:w="4540" w:type="dxa"/>
            <w:vAlign w:val="bottom"/>
          </w:tcPr>
          <w:p>
            <w:pPr>
              <w:ind w:left="520"/>
              <w:spacing w:after="0"/>
              <w:rPr>
                <w:sz w:val="20"/>
                <w:szCs w:val="20"/>
                <w:color w:val="auto"/>
              </w:rPr>
            </w:pPr>
            <w:r>
              <w:rPr>
                <w:rFonts w:ascii="Arial" w:cs="Arial" w:eastAsia="Arial" w:hAnsi="Arial"/>
                <w:sz w:val="16"/>
                <w:szCs w:val="16"/>
                <w:color w:val="auto"/>
              </w:rPr>
              <w:t>Independent Presiding Director</w:t>
            </w:r>
          </w:p>
        </w:tc>
        <w:tc>
          <w:tcPr>
            <w:tcW w:w="620" w:type="dxa"/>
            <w:vAlign w:val="bottom"/>
          </w:tcPr>
          <w:p>
            <w:pPr>
              <w:ind w:left="280"/>
              <w:spacing w:after="0"/>
              <w:rPr>
                <w:sz w:val="20"/>
                <w:szCs w:val="20"/>
                <w:color w:val="auto"/>
              </w:rPr>
            </w:pPr>
            <w:r>
              <w:rPr>
                <w:rFonts w:ascii="Arial" w:cs="Arial" w:eastAsia="Arial" w:hAnsi="Arial"/>
                <w:sz w:val="16"/>
                <w:szCs w:val="16"/>
                <w:color w:val="auto"/>
              </w:rPr>
              <w:t>•</w:t>
            </w:r>
          </w:p>
        </w:tc>
        <w:tc>
          <w:tcPr>
            <w:tcW w:w="4140" w:type="dxa"/>
            <w:vAlign w:val="bottom"/>
          </w:tcPr>
          <w:p>
            <w:pPr>
              <w:ind w:left="260"/>
              <w:spacing w:after="0"/>
              <w:rPr>
                <w:sz w:val="20"/>
                <w:szCs w:val="20"/>
                <w:color w:val="auto"/>
              </w:rPr>
            </w:pPr>
            <w:r>
              <w:rPr>
                <w:rFonts w:ascii="Arial" w:cs="Arial" w:eastAsia="Arial" w:hAnsi="Arial"/>
                <w:sz w:val="16"/>
                <w:szCs w:val="16"/>
                <w:color w:val="auto"/>
                <w:w w:val="93"/>
              </w:rPr>
              <w:t>No director nominee attended less than 75% of Board and</w:t>
            </w:r>
          </w:p>
        </w:tc>
        <w:tc>
          <w:tcPr>
            <w:tcW w:w="0" w:type="dxa"/>
            <w:vAlign w:val="bottom"/>
          </w:tcPr>
          <w:p>
            <w:pPr>
              <w:spacing w:after="0"/>
              <w:rPr>
                <w:sz w:val="1"/>
                <w:szCs w:val="1"/>
                <w:color w:val="auto"/>
              </w:rPr>
            </w:pPr>
          </w:p>
        </w:tc>
      </w:tr>
      <w:tr>
        <w:trPr>
          <w:trHeight w:val="204"/>
        </w:trPr>
        <w:tc>
          <w:tcPr>
            <w:tcW w:w="80" w:type="dxa"/>
            <w:vAlign w:val="bottom"/>
            <w:vMerge w:val="restart"/>
          </w:tcPr>
          <w:p>
            <w:pPr>
              <w:spacing w:after="0"/>
              <w:rPr>
                <w:sz w:val="20"/>
                <w:szCs w:val="20"/>
                <w:color w:val="auto"/>
              </w:rPr>
            </w:pPr>
            <w:r>
              <w:rPr>
                <w:rFonts w:ascii="Arial" w:cs="Arial" w:eastAsia="Arial" w:hAnsi="Arial"/>
                <w:sz w:val="16"/>
                <w:szCs w:val="16"/>
                <w:color w:val="auto"/>
              </w:rPr>
              <w:t>•</w:t>
            </w:r>
          </w:p>
        </w:tc>
        <w:tc>
          <w:tcPr>
            <w:tcW w:w="4540" w:type="dxa"/>
            <w:vAlign w:val="bottom"/>
            <w:vMerge w:val="restart"/>
          </w:tcPr>
          <w:p>
            <w:pPr>
              <w:ind w:left="520"/>
              <w:spacing w:after="0"/>
              <w:rPr>
                <w:sz w:val="20"/>
                <w:szCs w:val="20"/>
                <w:color w:val="auto"/>
              </w:rPr>
            </w:pPr>
            <w:r>
              <w:rPr>
                <w:rFonts w:ascii="Arial" w:cs="Arial" w:eastAsia="Arial" w:hAnsi="Arial"/>
                <w:sz w:val="16"/>
                <w:szCs w:val="16"/>
                <w:color w:val="auto"/>
                <w:w w:val="95"/>
              </w:rPr>
              <w:t>All members of Compensation, Corporate Governance and</w:t>
            </w:r>
          </w:p>
        </w:tc>
        <w:tc>
          <w:tcPr>
            <w:tcW w:w="620" w:type="dxa"/>
            <w:vAlign w:val="bottom"/>
          </w:tcPr>
          <w:p>
            <w:pPr>
              <w:spacing w:after="0"/>
              <w:rPr>
                <w:sz w:val="17"/>
                <w:szCs w:val="17"/>
                <w:color w:val="auto"/>
              </w:rPr>
            </w:pPr>
          </w:p>
        </w:tc>
        <w:tc>
          <w:tcPr>
            <w:tcW w:w="4140" w:type="dxa"/>
            <w:vAlign w:val="bottom"/>
          </w:tcPr>
          <w:p>
            <w:pPr>
              <w:ind w:left="840"/>
              <w:spacing w:after="0"/>
              <w:rPr>
                <w:sz w:val="20"/>
                <w:szCs w:val="20"/>
                <w:color w:val="auto"/>
              </w:rPr>
            </w:pPr>
            <w:r>
              <w:rPr>
                <w:rFonts w:ascii="Arial" w:cs="Arial" w:eastAsia="Arial" w:hAnsi="Arial"/>
                <w:sz w:val="16"/>
                <w:szCs w:val="16"/>
                <w:color w:val="auto"/>
              </w:rPr>
              <w:t>Committee meetings held in 2014</w:t>
            </w:r>
          </w:p>
        </w:tc>
        <w:tc>
          <w:tcPr>
            <w:tcW w:w="0" w:type="dxa"/>
            <w:vAlign w:val="bottom"/>
          </w:tcPr>
          <w:p>
            <w:pPr>
              <w:spacing w:after="0"/>
              <w:rPr>
                <w:sz w:val="1"/>
                <w:szCs w:val="1"/>
                <w:color w:val="auto"/>
              </w:rPr>
            </w:pPr>
          </w:p>
        </w:tc>
      </w:tr>
      <w:tr>
        <w:trPr>
          <w:trHeight w:val="95"/>
        </w:trPr>
        <w:tc>
          <w:tcPr>
            <w:tcW w:w="80" w:type="dxa"/>
            <w:vAlign w:val="bottom"/>
            <w:vMerge w:val="continue"/>
          </w:tcPr>
          <w:p>
            <w:pPr>
              <w:spacing w:after="0"/>
              <w:rPr>
                <w:sz w:val="8"/>
                <w:szCs w:val="8"/>
                <w:color w:val="auto"/>
              </w:rPr>
            </w:pPr>
          </w:p>
        </w:tc>
        <w:tc>
          <w:tcPr>
            <w:tcW w:w="45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4540" w:type="dxa"/>
            <w:vAlign w:val="bottom"/>
          </w:tcPr>
          <w:p>
            <w:pPr>
              <w:ind w:left="1100"/>
              <w:spacing w:after="0"/>
              <w:rPr>
                <w:sz w:val="20"/>
                <w:szCs w:val="20"/>
                <w:color w:val="auto"/>
              </w:rPr>
            </w:pPr>
            <w:r>
              <w:rPr>
                <w:rFonts w:ascii="Arial" w:cs="Arial" w:eastAsia="Arial" w:hAnsi="Arial"/>
                <w:sz w:val="16"/>
                <w:szCs w:val="16"/>
                <w:color w:val="auto"/>
              </w:rPr>
              <w:t>Audit Committees are independent</w:t>
            </w:r>
          </w:p>
        </w:tc>
        <w:tc>
          <w:tcPr>
            <w:tcW w:w="620" w:type="dxa"/>
            <w:vAlign w:val="bottom"/>
          </w:tcPr>
          <w:p>
            <w:pPr>
              <w:ind w:left="280"/>
              <w:spacing w:after="0"/>
              <w:rPr>
                <w:sz w:val="20"/>
                <w:szCs w:val="20"/>
                <w:color w:val="auto"/>
              </w:rPr>
            </w:pPr>
            <w:r>
              <w:rPr>
                <w:rFonts w:ascii="Arial" w:cs="Arial" w:eastAsia="Arial" w:hAnsi="Arial"/>
                <w:sz w:val="16"/>
                <w:szCs w:val="16"/>
                <w:color w:val="auto"/>
              </w:rPr>
              <w:t>•</w:t>
            </w:r>
          </w:p>
        </w:tc>
        <w:tc>
          <w:tcPr>
            <w:tcW w:w="4140" w:type="dxa"/>
            <w:vAlign w:val="bottom"/>
          </w:tcPr>
          <w:p>
            <w:pPr>
              <w:ind w:left="260"/>
              <w:spacing w:after="0"/>
              <w:rPr>
                <w:sz w:val="20"/>
                <w:szCs w:val="20"/>
                <w:color w:val="auto"/>
              </w:rPr>
            </w:pPr>
            <w:r>
              <w:rPr>
                <w:rFonts w:ascii="Arial" w:cs="Arial" w:eastAsia="Arial" w:hAnsi="Arial"/>
                <w:sz w:val="16"/>
                <w:szCs w:val="16"/>
                <w:color w:val="auto"/>
                <w:w w:val="90"/>
              </w:rPr>
              <w:t>Policy requiring annual performance evaluation of the Board</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609" w:hanging="609"/>
        <w:spacing w:after="0"/>
        <w:tabs>
          <w:tab w:leader="none" w:pos="609" w:val="left"/>
        </w:tabs>
        <w:numPr>
          <w:ilvl w:val="0"/>
          <w:numId w:val="5"/>
        </w:numPr>
        <w:rPr>
          <w:rFonts w:ascii="Arial" w:cs="Arial" w:eastAsia="Arial" w:hAnsi="Arial"/>
          <w:sz w:val="16"/>
          <w:szCs w:val="16"/>
          <w:color w:val="auto"/>
        </w:rPr>
      </w:pPr>
      <w:r>
        <w:rPr>
          <w:rFonts w:ascii="Arial" w:cs="Arial" w:eastAsia="Arial" w:hAnsi="Arial"/>
          <w:sz w:val="16"/>
          <w:szCs w:val="16"/>
          <w:color w:val="auto"/>
        </w:rPr>
        <w:t>Annual election of the entire Board</w:t>
      </w:r>
    </w:p>
    <w:p>
      <w:pPr>
        <w:spacing w:after="0" w:line="114" w:lineRule="exact"/>
        <w:rPr>
          <w:rFonts w:ascii="Arial" w:cs="Arial" w:eastAsia="Arial" w:hAnsi="Arial"/>
          <w:sz w:val="16"/>
          <w:szCs w:val="16"/>
          <w:color w:val="auto"/>
        </w:rPr>
      </w:pPr>
    </w:p>
    <w:p>
      <w:pPr>
        <w:ind w:left="1189" w:right="5200" w:hanging="1189"/>
        <w:spacing w:after="0" w:line="291" w:lineRule="auto"/>
        <w:tabs>
          <w:tab w:leader="none" w:pos="615" w:val="left"/>
        </w:tabs>
        <w:numPr>
          <w:ilvl w:val="0"/>
          <w:numId w:val="5"/>
        </w:numPr>
        <w:rPr>
          <w:rFonts w:ascii="Arial" w:cs="Arial" w:eastAsia="Arial" w:hAnsi="Arial"/>
          <w:sz w:val="16"/>
          <w:szCs w:val="16"/>
          <w:color w:val="auto"/>
        </w:rPr>
      </w:pPr>
      <w:r>
        <w:rPr>
          <w:rFonts w:ascii="Arial" w:cs="Arial" w:eastAsia="Arial" w:hAnsi="Arial"/>
          <w:sz w:val="16"/>
          <w:szCs w:val="16"/>
          <w:color w:val="auto"/>
        </w:rPr>
        <w:t>Majority voting and a director resignation policy for directors in uncontested elections</w:t>
      </w:r>
    </w:p>
    <w:p>
      <w:pPr>
        <w:spacing w:after="0" w:line="56" w:lineRule="exact"/>
        <w:rPr>
          <w:sz w:val="20"/>
          <w:szCs w:val="20"/>
          <w:color w:val="auto"/>
        </w:rPr>
      </w:pPr>
    </w:p>
    <w:p>
      <w:pPr>
        <w:ind w:left="109"/>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70485</wp:posOffset>
            </wp:positionV>
            <wp:extent cx="6850380" cy="35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729"/>
          </w:cols>
          <w:pgMar w:left="1271" w:top="438" w:right="89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Executive Compensation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"Executive Compensation" for more information, including a definition and reconciliation of "Adjusted EBITDA."</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2014 Company Performance</w:t>
      </w:r>
    </w:p>
    <w:p>
      <w:pPr>
        <w:spacing w:after="0" w:line="26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Our Company experienced a record year in 2014. Our revenue increased 7% to $8.5 billion and our Adjusted EBITDA increased 14% to $876 million. We made further progress with respect to our key strategic initiatives. We achieved higher rental volume and increased year-over-year pricing in North America and increased margins worldwide, despite an uncertain and uneven economic environment. Reflecting our performance, our stock price increased 64% from December 31, 2013 to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1216025</wp:posOffset>
            </wp:positionH>
            <wp:positionV relativeFrom="paragraph">
              <wp:posOffset>227965</wp:posOffset>
            </wp:positionV>
            <wp:extent cx="3672840" cy="29216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72840" cy="2921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620"/>
          </w:cols>
          <w:pgMar w:left="1380" w:top="434" w:right="89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2014 Compensation for our Named Executive Officers</w:t>
      </w:r>
    </w:p>
    <w:p>
      <w:pPr>
        <w:spacing w:after="0" w:line="262"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Base salaries, and annual and long-term incentive opportunities for our named executive officers ("NEOs") in 2014 were generally consistent with 2013 levels, with the exception of the long-term incentives awarded to our Chief Executive Officer ("CEO") and President, International. The Compensation Committee approved increased long-term incentives in 2014 for these officers to recognize performance and in connection with the extension of our CEO's employment agreement and with our President, International's agreement to continue his foreign service assignment. Actual annual incentive payouts for 2014 reflect the achievement of 103% of the global Adjusted EBITDA goal and, with the exception of Latin America/Asia-Pacific, above-target regional performance.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As in prior years, compensation* for our NEOs in 2014 was significantly performance-based,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1132840</wp:posOffset>
            </wp:positionH>
            <wp:positionV relativeFrom="paragraph">
              <wp:posOffset>262890</wp:posOffset>
            </wp:positionV>
            <wp:extent cx="3839845" cy="1009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39845" cy="100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420" w:right="120" w:hanging="272"/>
        <w:spacing w:after="0" w:line="265" w:lineRule="auto"/>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Pay mix reflects values as disclosed in the Summary Compensation Table, excluding Other Compensation, which represented 6% or less of total compensation for each NEO other than our President, International, who received expatriate and relocation benefits in 2014, including expatriate tax reimbursement.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420"/>
          </w:cols>
          <w:pgMar w:left="1380" w:top="434" w:right="109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About the Annual Meeting</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Why am I receiving these proxy materials?</w:t>
      </w:r>
    </w:p>
    <w:p>
      <w:pPr>
        <w:spacing w:after="0" w:line="250"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The Board of Directors of Avis Budget Group, Inc. (the "Company" or "Avis Budget") is soliciting your vote at the 2015 Annual Meeting of Stockholders, and any adjournment or postponement thereof (the "Meeting"), to be held Tuesday, May 19, 2015 at 11:00 a.m. Eastern Time, at the DoubleTree by Hilton Downtown Wilmington—Legal District, 700 N. King Street, Wilmington, Delaware 19801, for the purposes set forth in this Proxy Statement. On or about March 30, 2015, the Company will first mail to certain stockholders of record the Notice of Internet Availability of Proxy Materials containing instructions on how to access this Proxy Statement online, or in the alternative, request a paper copy of the proxy materials and a proxy card, and also will first mail to certain other stockholders this Proxy Statement and proxy card.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020" w:type="dxa"/>
            <w:vAlign w:val="bottom"/>
          </w:tcPr>
          <w:p>
            <w:pPr>
              <w:spacing w:after="0"/>
              <w:rPr>
                <w:sz w:val="20"/>
                <w:szCs w:val="20"/>
                <w:color w:val="auto"/>
              </w:rPr>
            </w:pPr>
            <w:r>
              <w:rPr>
                <w:rFonts w:ascii="Arial" w:cs="Arial" w:eastAsia="Arial" w:hAnsi="Arial"/>
                <w:sz w:val="16"/>
                <w:szCs w:val="16"/>
                <w:b w:val="1"/>
                <w:bCs w:val="1"/>
                <w:color w:val="auto"/>
              </w:rPr>
              <w:t>What items will I be voting on and what are the Board's voting recommendations?</w:t>
            </w:r>
          </w:p>
        </w:tc>
        <w:tc>
          <w:tcPr>
            <w:tcW w:w="2600" w:type="dxa"/>
            <w:vAlign w:val="bottom"/>
          </w:tcPr>
          <w:p>
            <w:pPr>
              <w:spacing w:after="0"/>
              <w:rPr>
                <w:sz w:val="18"/>
                <w:szCs w:val="18"/>
                <w:color w:val="auto"/>
              </w:rPr>
            </w:pPr>
          </w:p>
        </w:tc>
      </w:tr>
      <w:tr>
        <w:trPr>
          <w:trHeight w:val="378"/>
        </w:trPr>
        <w:tc>
          <w:tcPr>
            <w:tcW w:w="7020" w:type="dxa"/>
            <w:vAlign w:val="bottom"/>
          </w:tcPr>
          <w:p>
            <w:pPr>
              <w:spacing w:after="0"/>
              <w:rPr>
                <w:sz w:val="24"/>
                <w:szCs w:val="24"/>
                <w:color w:val="auto"/>
              </w:rPr>
            </w:pPr>
          </w:p>
        </w:tc>
        <w:tc>
          <w:tcPr>
            <w:tcW w:w="2600" w:type="dxa"/>
            <w:vAlign w:val="bottom"/>
          </w:tcPr>
          <w:p>
            <w:pPr>
              <w:jc w:val="center"/>
              <w:ind w:left="460"/>
              <w:spacing w:after="0"/>
              <w:rPr>
                <w:sz w:val="20"/>
                <w:szCs w:val="20"/>
                <w:color w:val="auto"/>
              </w:rPr>
            </w:pPr>
            <w:r>
              <w:rPr>
                <w:rFonts w:ascii="Arial" w:cs="Arial" w:eastAsia="Arial" w:hAnsi="Arial"/>
                <w:sz w:val="16"/>
                <w:szCs w:val="16"/>
                <w:b w:val="1"/>
                <w:bCs w:val="1"/>
                <w:color w:val="auto"/>
                <w:w w:val="90"/>
              </w:rPr>
              <w:t>Board's Voting</w:t>
            </w:r>
          </w:p>
        </w:tc>
      </w:tr>
      <w:tr>
        <w:trPr>
          <w:trHeight w:val="208"/>
        </w:trPr>
        <w:tc>
          <w:tcPr>
            <w:tcW w:w="70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Proposal</w:t>
            </w:r>
          </w:p>
        </w:tc>
        <w:tc>
          <w:tcPr>
            <w:tcW w:w="2600" w:type="dxa"/>
            <w:vAlign w:val="bottom"/>
            <w:tcBorders>
              <w:bottom w:val="single" w:sz="8" w:color="auto"/>
            </w:tcBorders>
          </w:tcPr>
          <w:p>
            <w:pPr>
              <w:jc w:val="center"/>
              <w:ind w:left="480"/>
              <w:spacing w:after="0"/>
              <w:rPr>
                <w:sz w:val="20"/>
                <w:szCs w:val="20"/>
                <w:color w:val="auto"/>
              </w:rPr>
            </w:pPr>
            <w:r>
              <w:rPr>
                <w:rFonts w:ascii="Arial" w:cs="Arial" w:eastAsia="Arial" w:hAnsi="Arial"/>
                <w:sz w:val="16"/>
                <w:szCs w:val="16"/>
                <w:b w:val="1"/>
                <w:bCs w:val="1"/>
                <w:color w:val="auto"/>
                <w:w w:val="89"/>
              </w:rPr>
              <w:t>Recommendation</w:t>
            </w:r>
          </w:p>
        </w:tc>
      </w:tr>
      <w:tr>
        <w:trPr>
          <w:trHeight w:val="195"/>
        </w:trPr>
        <w:tc>
          <w:tcPr>
            <w:tcW w:w="7020" w:type="dxa"/>
            <w:vAlign w:val="bottom"/>
            <w:shd w:val="clear" w:color="auto" w:fill="E9E9E9"/>
          </w:tcPr>
          <w:p>
            <w:pPr>
              <w:ind w:left="60"/>
              <w:spacing w:after="0"/>
              <w:rPr>
                <w:sz w:val="20"/>
                <w:szCs w:val="20"/>
                <w:color w:val="auto"/>
              </w:rPr>
            </w:pPr>
            <w:r>
              <w:rPr>
                <w:rFonts w:ascii="Arial" w:cs="Arial" w:eastAsia="Arial" w:hAnsi="Arial"/>
                <w:sz w:val="16"/>
                <w:szCs w:val="16"/>
                <w:color w:val="auto"/>
              </w:rPr>
              <w:t>No. 1: Election of Directors (see page 44)</w:t>
            </w:r>
          </w:p>
        </w:tc>
        <w:tc>
          <w:tcPr>
            <w:tcW w:w="2600" w:type="dxa"/>
            <w:vAlign w:val="bottom"/>
            <w:shd w:val="clear" w:color="auto" w:fill="E9E9E9"/>
          </w:tcPr>
          <w:p>
            <w:pPr>
              <w:jc w:val="center"/>
              <w:ind w:left="480"/>
              <w:spacing w:after="0"/>
              <w:rPr>
                <w:sz w:val="20"/>
                <w:szCs w:val="20"/>
                <w:color w:val="auto"/>
              </w:rPr>
            </w:pPr>
            <w:r>
              <w:rPr>
                <w:rFonts w:ascii="Arial" w:cs="Arial" w:eastAsia="Arial" w:hAnsi="Arial"/>
                <w:sz w:val="16"/>
                <w:szCs w:val="16"/>
                <w:color w:val="auto"/>
                <w:w w:val="90"/>
              </w:rPr>
              <w:t>"FOR" each nominee</w:t>
            </w:r>
          </w:p>
        </w:tc>
      </w:tr>
      <w:tr>
        <w:trPr>
          <w:trHeight w:val="203"/>
        </w:trPr>
        <w:tc>
          <w:tcPr>
            <w:tcW w:w="7020" w:type="dxa"/>
            <w:vAlign w:val="bottom"/>
          </w:tcPr>
          <w:p>
            <w:pPr>
              <w:ind w:left="60"/>
              <w:spacing w:after="0"/>
              <w:rPr>
                <w:sz w:val="20"/>
                <w:szCs w:val="20"/>
                <w:color w:val="auto"/>
              </w:rPr>
            </w:pPr>
            <w:r>
              <w:rPr>
                <w:rFonts w:ascii="Arial" w:cs="Arial" w:eastAsia="Arial" w:hAnsi="Arial"/>
                <w:sz w:val="16"/>
                <w:szCs w:val="16"/>
                <w:color w:val="auto"/>
              </w:rPr>
              <w:t>No. 2: Ratification of Appointment of Auditors (see pages 44-45)</w:t>
            </w:r>
          </w:p>
        </w:tc>
        <w:tc>
          <w:tcPr>
            <w:tcW w:w="2600" w:type="dxa"/>
            <w:vAlign w:val="bottom"/>
          </w:tcPr>
          <w:p>
            <w:pPr>
              <w:jc w:val="center"/>
              <w:ind w:left="480"/>
              <w:spacing w:after="0"/>
              <w:rPr>
                <w:sz w:val="20"/>
                <w:szCs w:val="20"/>
                <w:color w:val="auto"/>
              </w:rPr>
            </w:pPr>
            <w:r>
              <w:rPr>
                <w:rFonts w:ascii="Arial" w:cs="Arial" w:eastAsia="Arial" w:hAnsi="Arial"/>
                <w:sz w:val="16"/>
                <w:szCs w:val="16"/>
                <w:color w:val="auto"/>
                <w:w w:val="97"/>
              </w:rPr>
              <w:t>"FOR"</w:t>
            </w:r>
          </w:p>
        </w:tc>
      </w:tr>
      <w:tr>
        <w:trPr>
          <w:trHeight w:val="203"/>
        </w:trPr>
        <w:tc>
          <w:tcPr>
            <w:tcW w:w="7020" w:type="dxa"/>
            <w:vAlign w:val="bottom"/>
            <w:shd w:val="clear" w:color="auto" w:fill="E9E9E9"/>
          </w:tcPr>
          <w:p>
            <w:pPr>
              <w:ind w:left="60"/>
              <w:spacing w:after="0"/>
              <w:rPr>
                <w:sz w:val="20"/>
                <w:szCs w:val="20"/>
                <w:color w:val="auto"/>
              </w:rPr>
            </w:pPr>
            <w:r>
              <w:rPr>
                <w:rFonts w:ascii="Arial" w:cs="Arial" w:eastAsia="Arial" w:hAnsi="Arial"/>
                <w:sz w:val="16"/>
                <w:szCs w:val="16"/>
                <w:color w:val="auto"/>
              </w:rPr>
              <w:t>No. 3: Advisory Approval of the Compensation of our Named Executive Officers (see page 46)</w:t>
            </w:r>
          </w:p>
        </w:tc>
        <w:tc>
          <w:tcPr>
            <w:tcW w:w="2600" w:type="dxa"/>
            <w:vAlign w:val="bottom"/>
            <w:shd w:val="clear" w:color="auto" w:fill="E9E9E9"/>
          </w:tcPr>
          <w:p>
            <w:pPr>
              <w:jc w:val="center"/>
              <w:ind w:left="480"/>
              <w:spacing w:after="0"/>
              <w:rPr>
                <w:sz w:val="20"/>
                <w:szCs w:val="20"/>
                <w:color w:val="auto"/>
              </w:rPr>
            </w:pPr>
            <w:r>
              <w:rPr>
                <w:rFonts w:ascii="Arial" w:cs="Arial" w:eastAsia="Arial" w:hAnsi="Arial"/>
                <w:sz w:val="16"/>
                <w:szCs w:val="16"/>
                <w:color w:val="auto"/>
                <w:w w:val="97"/>
              </w:rPr>
              <w:t>"FOR"</w:t>
            </w:r>
          </w:p>
        </w:tc>
      </w:tr>
      <w:tr>
        <w:trPr>
          <w:trHeight w:val="430"/>
        </w:trPr>
        <w:tc>
          <w:tcPr>
            <w:tcW w:w="7020" w:type="dxa"/>
            <w:vAlign w:val="bottom"/>
          </w:tcPr>
          <w:p>
            <w:pPr>
              <w:spacing w:after="0"/>
              <w:rPr>
                <w:sz w:val="20"/>
                <w:szCs w:val="20"/>
                <w:color w:val="auto"/>
              </w:rPr>
            </w:pPr>
            <w:r>
              <w:rPr>
                <w:rFonts w:ascii="Arial" w:cs="Arial" w:eastAsia="Arial" w:hAnsi="Arial"/>
                <w:sz w:val="16"/>
                <w:szCs w:val="16"/>
                <w:b w:val="1"/>
                <w:bCs w:val="1"/>
                <w:color w:val="auto"/>
              </w:rPr>
              <w:t>Could other matters be decided at the Meeting?</w:t>
            </w:r>
          </w:p>
        </w:tc>
        <w:tc>
          <w:tcPr>
            <w:tcW w:w="2600" w:type="dxa"/>
            <w:vAlign w:val="bottom"/>
          </w:tcPr>
          <w:p>
            <w:pPr>
              <w:spacing w:after="0"/>
              <w:rPr>
                <w:sz w:val="24"/>
                <w:szCs w:val="24"/>
                <w:color w:val="auto"/>
              </w:rPr>
            </w:pPr>
          </w:p>
        </w:tc>
      </w:tr>
    </w:tbl>
    <w:p>
      <w:pPr>
        <w:spacing w:after="0" w:line="226" w:lineRule="exact"/>
        <w:rPr>
          <w:sz w:val="20"/>
          <w:szCs w:val="20"/>
          <w:color w:val="auto"/>
        </w:rPr>
      </w:pPr>
    </w:p>
    <w:p>
      <w:pPr>
        <w:ind w:right="420"/>
        <w:spacing w:after="0" w:line="278" w:lineRule="auto"/>
        <w:rPr>
          <w:sz w:val="20"/>
          <w:szCs w:val="20"/>
          <w:color w:val="auto"/>
        </w:rPr>
      </w:pPr>
      <w:r>
        <w:rPr>
          <w:rFonts w:ascii="Arial" w:cs="Arial" w:eastAsia="Arial" w:hAnsi="Arial"/>
          <w:sz w:val="16"/>
          <w:szCs w:val="16"/>
          <w:color w:val="auto"/>
        </w:rPr>
        <w:t>The Board of Directors is not aware of any other matters to be brought before the Annual Meeting. However, if any other matters properly come before the Meeting, the individuals named as proxies, or their duly constituted substitutes acting at the Meeting, will be authorized to vote or otherwise act thereon in accordance with their judgment on such matters.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many votes do I have?</w:t>
      </w:r>
    </w:p>
    <w:p>
      <w:pPr>
        <w:spacing w:after="0" w:line="25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You will have one vote for every share of the Company's common stock, par value $0.01 per share (the "Common Stock"), you owned as of the close of business on March 23, 2015 (the "Record Date").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many votes can be cast by all stockholders?</w:t>
      </w:r>
    </w:p>
    <w:p>
      <w:pPr>
        <w:spacing w:after="0" w:line="26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106,137,074 votes, consisting of one vote for each of the Company's shares of Common Stock that were outstanding on the Record Date. There is no cumulative voting, and the holders of the Common Stock vote together as a single class.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many votes must be present to hold the Meeting?</w:t>
      </w:r>
    </w:p>
    <w:p>
      <w:pPr>
        <w:spacing w:after="0" w:line="250" w:lineRule="exact"/>
        <w:rPr>
          <w:sz w:val="20"/>
          <w:szCs w:val="20"/>
          <w:color w:val="auto"/>
        </w:rPr>
      </w:pPr>
    </w:p>
    <w:p>
      <w:pPr>
        <w:ind w:right="140"/>
        <w:spacing w:after="0" w:line="366" w:lineRule="auto"/>
        <w:rPr>
          <w:sz w:val="20"/>
          <w:szCs w:val="20"/>
          <w:color w:val="auto"/>
        </w:rPr>
      </w:pPr>
      <w:r>
        <w:rPr>
          <w:rFonts w:ascii="Arial" w:cs="Arial" w:eastAsia="Arial" w:hAnsi="Arial"/>
          <w:sz w:val="14"/>
          <w:szCs w:val="14"/>
          <w:color w:val="auto"/>
        </w:rPr>
        <w:t>One-third of the outstanding shares of Common Stock entitled to vote at the Meeting, or 35,379,025 votes, must be present, in person or by proxy, to constitute a quorum at the Meeting. Abstentions and broker non-votes will be counted for the purpose of determining whether a quorum is present.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620"/>
          </w:cols>
          <w:pgMar w:left="1380" w:top="438" w:right="89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How many votes are required to elect directors and adopt the other proposals?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0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Proposal</w:t>
            </w:r>
          </w:p>
        </w:tc>
        <w:tc>
          <w:tcPr>
            <w:tcW w:w="348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Vote Requirement</w:t>
            </w:r>
          </w:p>
        </w:tc>
        <w:tc>
          <w:tcPr>
            <w:tcW w:w="31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Impact of Abstentions</w:t>
            </w:r>
          </w:p>
        </w:tc>
      </w:tr>
      <w:tr>
        <w:trPr>
          <w:trHeight w:val="195"/>
        </w:trPr>
        <w:tc>
          <w:tcPr>
            <w:tcW w:w="3020" w:type="dxa"/>
            <w:vAlign w:val="bottom"/>
            <w:shd w:val="clear" w:color="auto" w:fill="E9E9E9"/>
          </w:tcPr>
          <w:p>
            <w:pPr>
              <w:ind w:left="60"/>
              <w:spacing w:after="0"/>
              <w:rPr>
                <w:sz w:val="20"/>
                <w:szCs w:val="20"/>
                <w:color w:val="auto"/>
              </w:rPr>
            </w:pPr>
            <w:r>
              <w:rPr>
                <w:rFonts w:ascii="Arial" w:cs="Arial" w:eastAsia="Arial" w:hAnsi="Arial"/>
                <w:sz w:val="16"/>
                <w:szCs w:val="16"/>
                <w:color w:val="auto"/>
              </w:rPr>
              <w:t>No. 1: Election of Directors</w:t>
            </w:r>
          </w:p>
        </w:tc>
        <w:tc>
          <w:tcPr>
            <w:tcW w:w="3480" w:type="dxa"/>
            <w:vAlign w:val="bottom"/>
            <w:shd w:val="clear" w:color="auto" w:fill="E9E9E9"/>
          </w:tcPr>
          <w:p>
            <w:pPr>
              <w:ind w:left="520"/>
              <w:spacing w:after="0"/>
              <w:rPr>
                <w:sz w:val="20"/>
                <w:szCs w:val="20"/>
                <w:color w:val="auto"/>
              </w:rPr>
            </w:pPr>
            <w:r>
              <w:rPr>
                <w:rFonts w:ascii="Arial" w:cs="Arial" w:eastAsia="Arial" w:hAnsi="Arial"/>
                <w:sz w:val="16"/>
                <w:szCs w:val="16"/>
                <w:color w:val="auto"/>
              </w:rPr>
              <w:t>•  Uncontested Election: Directors are</w:t>
            </w:r>
          </w:p>
        </w:tc>
        <w:tc>
          <w:tcPr>
            <w:tcW w:w="3120" w:type="dxa"/>
            <w:vAlign w:val="bottom"/>
            <w:shd w:val="clear" w:color="auto" w:fill="E9E9E9"/>
          </w:tcPr>
          <w:p>
            <w:pPr>
              <w:ind w:left="260"/>
              <w:spacing w:after="0"/>
              <w:rPr>
                <w:sz w:val="20"/>
                <w:szCs w:val="20"/>
                <w:color w:val="auto"/>
              </w:rPr>
            </w:pPr>
            <w:r>
              <w:rPr>
                <w:rFonts w:ascii="Arial" w:cs="Arial" w:eastAsia="Arial" w:hAnsi="Arial"/>
                <w:sz w:val="16"/>
                <w:szCs w:val="16"/>
                <w:color w:val="auto"/>
                <w:w w:val="93"/>
              </w:rPr>
              <w:t>Not counted as votes cast "for" or "against"</w:t>
            </w:r>
          </w:p>
        </w:tc>
      </w:tr>
      <w:tr>
        <w:trPr>
          <w:trHeight w:val="203"/>
        </w:trPr>
        <w:tc>
          <w:tcPr>
            <w:tcW w:w="3020" w:type="dxa"/>
            <w:vAlign w:val="bottom"/>
            <w:shd w:val="clear" w:color="auto" w:fill="E9E9E9"/>
          </w:tcPr>
          <w:p>
            <w:pPr>
              <w:spacing w:after="0"/>
              <w:rPr>
                <w:sz w:val="17"/>
                <w:szCs w:val="17"/>
                <w:color w:val="auto"/>
              </w:rPr>
            </w:pPr>
          </w:p>
        </w:tc>
        <w:tc>
          <w:tcPr>
            <w:tcW w:w="3480" w:type="dxa"/>
            <w:vAlign w:val="bottom"/>
            <w:shd w:val="clear" w:color="auto" w:fill="E9E9E9"/>
          </w:tcPr>
          <w:p>
            <w:pPr>
              <w:ind w:left="740"/>
              <w:spacing w:after="0"/>
              <w:rPr>
                <w:sz w:val="20"/>
                <w:szCs w:val="20"/>
                <w:color w:val="auto"/>
              </w:rPr>
            </w:pPr>
            <w:r>
              <w:rPr>
                <w:rFonts w:ascii="Arial" w:cs="Arial" w:eastAsia="Arial" w:hAnsi="Arial"/>
                <w:sz w:val="16"/>
                <w:szCs w:val="16"/>
                <w:color w:val="auto"/>
              </w:rPr>
              <w:t>elected by a majority of votes cast</w:t>
            </w:r>
          </w:p>
        </w:tc>
        <w:tc>
          <w:tcPr>
            <w:tcW w:w="3120" w:type="dxa"/>
            <w:vAlign w:val="bottom"/>
            <w:shd w:val="clear" w:color="auto" w:fill="E9E9E9"/>
          </w:tcPr>
          <w:p>
            <w:pPr>
              <w:ind w:left="260"/>
              <w:spacing w:after="0"/>
              <w:rPr>
                <w:sz w:val="20"/>
                <w:szCs w:val="20"/>
                <w:color w:val="auto"/>
              </w:rPr>
            </w:pPr>
            <w:r>
              <w:rPr>
                <w:rFonts w:ascii="Arial" w:cs="Arial" w:eastAsia="Arial" w:hAnsi="Arial"/>
                <w:sz w:val="16"/>
                <w:szCs w:val="16"/>
                <w:color w:val="auto"/>
              </w:rPr>
              <w:t>and will have no effect on the outcome</w:t>
            </w:r>
          </w:p>
        </w:tc>
      </w:tr>
      <w:tr>
        <w:trPr>
          <w:trHeight w:val="203"/>
        </w:trPr>
        <w:tc>
          <w:tcPr>
            <w:tcW w:w="3020" w:type="dxa"/>
            <w:vAlign w:val="bottom"/>
            <w:shd w:val="clear" w:color="auto" w:fill="E9E9E9"/>
          </w:tcPr>
          <w:p>
            <w:pPr>
              <w:spacing w:after="0"/>
              <w:rPr>
                <w:sz w:val="17"/>
                <w:szCs w:val="17"/>
                <w:color w:val="auto"/>
              </w:rPr>
            </w:pPr>
          </w:p>
        </w:tc>
        <w:tc>
          <w:tcPr>
            <w:tcW w:w="3480" w:type="dxa"/>
            <w:vAlign w:val="bottom"/>
            <w:shd w:val="clear" w:color="auto" w:fill="E9E9E9"/>
          </w:tcPr>
          <w:p>
            <w:pPr>
              <w:ind w:left="740"/>
              <w:spacing w:after="0"/>
              <w:rPr>
                <w:sz w:val="20"/>
                <w:szCs w:val="20"/>
                <w:color w:val="auto"/>
              </w:rPr>
            </w:pPr>
            <w:r>
              <w:rPr>
                <w:rFonts w:ascii="Arial" w:cs="Arial" w:eastAsia="Arial" w:hAnsi="Arial"/>
                <w:sz w:val="16"/>
                <w:szCs w:val="16"/>
                <w:color w:val="auto"/>
              </w:rPr>
              <w:t>(number of votes cast "for" each</w:t>
            </w:r>
          </w:p>
        </w:tc>
        <w:tc>
          <w:tcPr>
            <w:tcW w:w="3120" w:type="dxa"/>
            <w:vAlign w:val="bottom"/>
            <w:shd w:val="clear" w:color="auto" w:fill="E9E9E9"/>
          </w:tcPr>
          <w:p>
            <w:pPr>
              <w:spacing w:after="0"/>
              <w:rPr>
                <w:sz w:val="17"/>
                <w:szCs w:val="17"/>
                <w:color w:val="auto"/>
              </w:rPr>
            </w:pPr>
          </w:p>
        </w:tc>
      </w:tr>
      <w:tr>
        <w:trPr>
          <w:trHeight w:val="203"/>
        </w:trPr>
        <w:tc>
          <w:tcPr>
            <w:tcW w:w="3020" w:type="dxa"/>
            <w:vAlign w:val="bottom"/>
            <w:shd w:val="clear" w:color="auto" w:fill="E9E9E9"/>
          </w:tcPr>
          <w:p>
            <w:pPr>
              <w:spacing w:after="0"/>
              <w:rPr>
                <w:sz w:val="17"/>
                <w:szCs w:val="17"/>
                <w:color w:val="auto"/>
              </w:rPr>
            </w:pPr>
          </w:p>
        </w:tc>
        <w:tc>
          <w:tcPr>
            <w:tcW w:w="3480" w:type="dxa"/>
            <w:vAlign w:val="bottom"/>
            <w:shd w:val="clear" w:color="auto" w:fill="E9E9E9"/>
          </w:tcPr>
          <w:p>
            <w:pPr>
              <w:ind w:left="740"/>
              <w:spacing w:after="0"/>
              <w:rPr>
                <w:sz w:val="20"/>
                <w:szCs w:val="20"/>
                <w:color w:val="auto"/>
              </w:rPr>
            </w:pPr>
            <w:r>
              <w:rPr>
                <w:rFonts w:ascii="Arial" w:cs="Arial" w:eastAsia="Arial" w:hAnsi="Arial"/>
                <w:sz w:val="16"/>
                <w:szCs w:val="16"/>
                <w:color w:val="auto"/>
              </w:rPr>
              <w:t>nominee must exceed the number of</w:t>
            </w:r>
          </w:p>
        </w:tc>
        <w:tc>
          <w:tcPr>
            <w:tcW w:w="3120" w:type="dxa"/>
            <w:vAlign w:val="bottom"/>
            <w:shd w:val="clear" w:color="auto" w:fill="E9E9E9"/>
          </w:tcPr>
          <w:p>
            <w:pPr>
              <w:spacing w:after="0"/>
              <w:rPr>
                <w:sz w:val="17"/>
                <w:szCs w:val="17"/>
                <w:color w:val="auto"/>
              </w:rPr>
            </w:pPr>
          </w:p>
        </w:tc>
      </w:tr>
      <w:tr>
        <w:trPr>
          <w:trHeight w:val="204"/>
        </w:trPr>
        <w:tc>
          <w:tcPr>
            <w:tcW w:w="3020" w:type="dxa"/>
            <w:vAlign w:val="bottom"/>
            <w:shd w:val="clear" w:color="auto" w:fill="E9E9E9"/>
          </w:tcPr>
          <w:p>
            <w:pPr>
              <w:spacing w:after="0"/>
              <w:rPr>
                <w:sz w:val="17"/>
                <w:szCs w:val="17"/>
                <w:color w:val="auto"/>
              </w:rPr>
            </w:pPr>
          </w:p>
        </w:tc>
        <w:tc>
          <w:tcPr>
            <w:tcW w:w="3480" w:type="dxa"/>
            <w:vAlign w:val="bottom"/>
            <w:shd w:val="clear" w:color="auto" w:fill="E9E9E9"/>
          </w:tcPr>
          <w:p>
            <w:pPr>
              <w:ind w:left="740"/>
              <w:spacing w:after="0"/>
              <w:rPr>
                <w:sz w:val="20"/>
                <w:szCs w:val="20"/>
                <w:color w:val="auto"/>
              </w:rPr>
            </w:pPr>
            <w:r>
              <w:rPr>
                <w:rFonts w:ascii="Arial" w:cs="Arial" w:eastAsia="Arial" w:hAnsi="Arial"/>
                <w:sz w:val="16"/>
                <w:szCs w:val="16"/>
                <w:color w:val="auto"/>
              </w:rPr>
              <w:t>votes cast "against" that nominee)</w:t>
            </w:r>
          </w:p>
        </w:tc>
        <w:tc>
          <w:tcPr>
            <w:tcW w:w="3120" w:type="dxa"/>
            <w:vAlign w:val="bottom"/>
            <w:shd w:val="clear" w:color="auto" w:fill="E9E9E9"/>
          </w:tcPr>
          <w:p>
            <w:pPr>
              <w:spacing w:after="0"/>
              <w:rPr>
                <w:sz w:val="17"/>
                <w:szCs w:val="17"/>
                <w:color w:val="auto"/>
              </w:rPr>
            </w:pPr>
          </w:p>
        </w:tc>
      </w:tr>
      <w:tr>
        <w:trPr>
          <w:trHeight w:val="203"/>
        </w:trPr>
        <w:tc>
          <w:tcPr>
            <w:tcW w:w="3020" w:type="dxa"/>
            <w:vAlign w:val="bottom"/>
            <w:shd w:val="clear" w:color="auto" w:fill="E9E9E9"/>
          </w:tcPr>
          <w:p>
            <w:pPr>
              <w:spacing w:after="0"/>
              <w:rPr>
                <w:sz w:val="17"/>
                <w:szCs w:val="17"/>
                <w:color w:val="auto"/>
              </w:rPr>
            </w:pPr>
          </w:p>
        </w:tc>
        <w:tc>
          <w:tcPr>
            <w:tcW w:w="3480" w:type="dxa"/>
            <w:vAlign w:val="bottom"/>
            <w:shd w:val="clear" w:color="auto" w:fill="E9E9E9"/>
          </w:tcPr>
          <w:p>
            <w:pPr>
              <w:ind w:left="520"/>
              <w:spacing w:after="0"/>
              <w:rPr>
                <w:sz w:val="20"/>
                <w:szCs w:val="20"/>
                <w:color w:val="auto"/>
              </w:rPr>
            </w:pPr>
            <w:r>
              <w:rPr>
                <w:rFonts w:ascii="Arial" w:cs="Arial" w:eastAsia="Arial" w:hAnsi="Arial"/>
                <w:sz w:val="16"/>
                <w:szCs w:val="16"/>
                <w:color w:val="auto"/>
              </w:rPr>
              <w:t>•  Contested Election: Plurality of shares</w:t>
            </w:r>
          </w:p>
        </w:tc>
        <w:tc>
          <w:tcPr>
            <w:tcW w:w="3120" w:type="dxa"/>
            <w:vAlign w:val="bottom"/>
            <w:shd w:val="clear" w:color="auto" w:fill="E9E9E9"/>
          </w:tcPr>
          <w:p>
            <w:pPr>
              <w:spacing w:after="0"/>
              <w:rPr>
                <w:sz w:val="17"/>
                <w:szCs w:val="17"/>
                <w:color w:val="auto"/>
              </w:rPr>
            </w:pPr>
          </w:p>
        </w:tc>
      </w:tr>
      <w:tr>
        <w:trPr>
          <w:trHeight w:val="203"/>
        </w:trPr>
        <w:tc>
          <w:tcPr>
            <w:tcW w:w="3020" w:type="dxa"/>
            <w:vAlign w:val="bottom"/>
            <w:shd w:val="clear" w:color="auto" w:fill="E9E9E9"/>
          </w:tcPr>
          <w:p>
            <w:pPr>
              <w:spacing w:after="0"/>
              <w:rPr>
                <w:sz w:val="17"/>
                <w:szCs w:val="17"/>
                <w:color w:val="auto"/>
              </w:rPr>
            </w:pPr>
          </w:p>
        </w:tc>
        <w:tc>
          <w:tcPr>
            <w:tcW w:w="3480" w:type="dxa"/>
            <w:vAlign w:val="bottom"/>
            <w:shd w:val="clear" w:color="auto" w:fill="E9E9E9"/>
          </w:tcPr>
          <w:p>
            <w:pPr>
              <w:ind w:left="740"/>
              <w:spacing w:after="0"/>
              <w:rPr>
                <w:sz w:val="20"/>
                <w:szCs w:val="20"/>
                <w:color w:val="auto"/>
              </w:rPr>
            </w:pPr>
            <w:r>
              <w:rPr>
                <w:rFonts w:ascii="Arial" w:cs="Arial" w:eastAsia="Arial" w:hAnsi="Arial"/>
                <w:sz w:val="16"/>
                <w:szCs w:val="16"/>
                <w:color w:val="auto"/>
              </w:rPr>
              <w:t>present, in person or by proxy, and</w:t>
            </w:r>
          </w:p>
        </w:tc>
        <w:tc>
          <w:tcPr>
            <w:tcW w:w="3120" w:type="dxa"/>
            <w:vAlign w:val="bottom"/>
            <w:shd w:val="clear" w:color="auto" w:fill="E9E9E9"/>
          </w:tcPr>
          <w:p>
            <w:pPr>
              <w:spacing w:after="0"/>
              <w:rPr>
                <w:sz w:val="17"/>
                <w:szCs w:val="17"/>
                <w:color w:val="auto"/>
              </w:rPr>
            </w:pPr>
          </w:p>
        </w:tc>
      </w:tr>
      <w:tr>
        <w:trPr>
          <w:trHeight w:val="204"/>
        </w:trPr>
        <w:tc>
          <w:tcPr>
            <w:tcW w:w="3020" w:type="dxa"/>
            <w:vAlign w:val="bottom"/>
            <w:shd w:val="clear" w:color="auto" w:fill="E9E9E9"/>
          </w:tcPr>
          <w:p>
            <w:pPr>
              <w:spacing w:after="0"/>
              <w:rPr>
                <w:sz w:val="17"/>
                <w:szCs w:val="17"/>
                <w:color w:val="auto"/>
              </w:rPr>
            </w:pPr>
          </w:p>
        </w:tc>
        <w:tc>
          <w:tcPr>
            <w:tcW w:w="3480" w:type="dxa"/>
            <w:vAlign w:val="bottom"/>
            <w:shd w:val="clear" w:color="auto" w:fill="E9E9E9"/>
          </w:tcPr>
          <w:p>
            <w:pPr>
              <w:ind w:left="740"/>
              <w:spacing w:after="0"/>
              <w:rPr>
                <w:sz w:val="20"/>
                <w:szCs w:val="20"/>
                <w:color w:val="auto"/>
              </w:rPr>
            </w:pPr>
            <w:r>
              <w:rPr>
                <w:rFonts w:ascii="Arial" w:cs="Arial" w:eastAsia="Arial" w:hAnsi="Arial"/>
                <w:sz w:val="16"/>
                <w:szCs w:val="16"/>
                <w:color w:val="auto"/>
              </w:rPr>
              <w:t>entitled to vote</w:t>
            </w:r>
          </w:p>
        </w:tc>
        <w:tc>
          <w:tcPr>
            <w:tcW w:w="3120" w:type="dxa"/>
            <w:vAlign w:val="bottom"/>
            <w:shd w:val="clear" w:color="auto" w:fill="E9E9E9"/>
          </w:tcPr>
          <w:p>
            <w:pPr>
              <w:spacing w:after="0"/>
              <w:rPr>
                <w:sz w:val="17"/>
                <w:szCs w:val="17"/>
                <w:color w:val="auto"/>
              </w:rPr>
            </w:pPr>
          </w:p>
        </w:tc>
      </w:tr>
      <w:tr>
        <w:trPr>
          <w:trHeight w:val="203"/>
        </w:trPr>
        <w:tc>
          <w:tcPr>
            <w:tcW w:w="3020" w:type="dxa"/>
            <w:vAlign w:val="bottom"/>
          </w:tcPr>
          <w:p>
            <w:pPr>
              <w:ind w:left="60"/>
              <w:spacing w:after="0"/>
              <w:rPr>
                <w:sz w:val="20"/>
                <w:szCs w:val="20"/>
                <w:color w:val="auto"/>
              </w:rPr>
            </w:pPr>
            <w:r>
              <w:rPr>
                <w:rFonts w:ascii="Arial" w:cs="Arial" w:eastAsia="Arial" w:hAnsi="Arial"/>
                <w:sz w:val="16"/>
                <w:szCs w:val="16"/>
                <w:color w:val="auto"/>
              </w:rPr>
              <w:t>No. 2: Ratification of Appointment of</w:t>
            </w:r>
          </w:p>
        </w:tc>
        <w:tc>
          <w:tcPr>
            <w:tcW w:w="3480" w:type="dxa"/>
            <w:vAlign w:val="bottom"/>
          </w:tcPr>
          <w:p>
            <w:pPr>
              <w:ind w:left="440"/>
              <w:spacing w:after="0"/>
              <w:rPr>
                <w:sz w:val="20"/>
                <w:szCs w:val="20"/>
                <w:color w:val="auto"/>
              </w:rPr>
            </w:pPr>
            <w:r>
              <w:rPr>
                <w:rFonts w:ascii="Arial" w:cs="Arial" w:eastAsia="Arial" w:hAnsi="Arial"/>
                <w:sz w:val="16"/>
                <w:szCs w:val="16"/>
                <w:color w:val="auto"/>
              </w:rPr>
              <w:t>Majority of shares present, in person or by</w:t>
            </w:r>
          </w:p>
        </w:tc>
        <w:tc>
          <w:tcPr>
            <w:tcW w:w="3120" w:type="dxa"/>
            <w:vAlign w:val="bottom"/>
          </w:tcPr>
          <w:p>
            <w:pPr>
              <w:ind w:left="260"/>
              <w:spacing w:after="0"/>
              <w:rPr>
                <w:sz w:val="20"/>
                <w:szCs w:val="20"/>
                <w:color w:val="auto"/>
              </w:rPr>
            </w:pPr>
            <w:r>
              <w:rPr>
                <w:rFonts w:ascii="Arial" w:cs="Arial" w:eastAsia="Arial" w:hAnsi="Arial"/>
                <w:sz w:val="16"/>
                <w:szCs w:val="16"/>
                <w:color w:val="auto"/>
                <w:w w:val="92"/>
              </w:rPr>
              <w:t>Counted and will have the same effect as a</w:t>
            </w:r>
          </w:p>
        </w:tc>
      </w:tr>
      <w:tr>
        <w:trPr>
          <w:trHeight w:val="204"/>
        </w:trPr>
        <w:tc>
          <w:tcPr>
            <w:tcW w:w="3020" w:type="dxa"/>
            <w:vAlign w:val="bottom"/>
          </w:tcPr>
          <w:p>
            <w:pPr>
              <w:ind w:left="60"/>
              <w:spacing w:after="0"/>
              <w:rPr>
                <w:sz w:val="20"/>
                <w:szCs w:val="20"/>
                <w:color w:val="auto"/>
              </w:rPr>
            </w:pPr>
            <w:r>
              <w:rPr>
                <w:rFonts w:ascii="Arial" w:cs="Arial" w:eastAsia="Arial" w:hAnsi="Arial"/>
                <w:sz w:val="16"/>
                <w:szCs w:val="16"/>
                <w:color w:val="auto"/>
              </w:rPr>
              <w:t>Auditors</w:t>
            </w:r>
          </w:p>
        </w:tc>
        <w:tc>
          <w:tcPr>
            <w:tcW w:w="3480" w:type="dxa"/>
            <w:vAlign w:val="bottom"/>
          </w:tcPr>
          <w:p>
            <w:pPr>
              <w:ind w:left="440"/>
              <w:spacing w:after="0"/>
              <w:rPr>
                <w:sz w:val="20"/>
                <w:szCs w:val="20"/>
                <w:color w:val="auto"/>
              </w:rPr>
            </w:pPr>
            <w:r>
              <w:rPr>
                <w:rFonts w:ascii="Arial" w:cs="Arial" w:eastAsia="Arial" w:hAnsi="Arial"/>
                <w:sz w:val="16"/>
                <w:szCs w:val="16"/>
                <w:color w:val="auto"/>
              </w:rPr>
              <w:t>proxy, and entitled to vote</w:t>
            </w:r>
          </w:p>
        </w:tc>
        <w:tc>
          <w:tcPr>
            <w:tcW w:w="3120" w:type="dxa"/>
            <w:vAlign w:val="bottom"/>
          </w:tcPr>
          <w:p>
            <w:pPr>
              <w:ind w:left="260"/>
              <w:spacing w:after="0"/>
              <w:rPr>
                <w:sz w:val="20"/>
                <w:szCs w:val="20"/>
                <w:color w:val="auto"/>
              </w:rPr>
            </w:pPr>
            <w:r>
              <w:rPr>
                <w:rFonts w:ascii="Arial" w:cs="Arial" w:eastAsia="Arial" w:hAnsi="Arial"/>
                <w:sz w:val="16"/>
                <w:szCs w:val="16"/>
                <w:color w:val="auto"/>
              </w:rPr>
              <w:t>vote against such proposal</w:t>
            </w:r>
          </w:p>
        </w:tc>
      </w:tr>
      <w:tr>
        <w:trPr>
          <w:trHeight w:val="203"/>
        </w:trPr>
        <w:tc>
          <w:tcPr>
            <w:tcW w:w="3020" w:type="dxa"/>
            <w:vAlign w:val="bottom"/>
            <w:shd w:val="clear" w:color="auto" w:fill="E9E9E9"/>
          </w:tcPr>
          <w:p>
            <w:pPr>
              <w:ind w:left="60"/>
              <w:spacing w:after="0"/>
              <w:rPr>
                <w:sz w:val="20"/>
                <w:szCs w:val="20"/>
                <w:color w:val="auto"/>
              </w:rPr>
            </w:pPr>
            <w:r>
              <w:rPr>
                <w:rFonts w:ascii="Arial" w:cs="Arial" w:eastAsia="Arial" w:hAnsi="Arial"/>
                <w:sz w:val="16"/>
                <w:szCs w:val="16"/>
                <w:color w:val="auto"/>
              </w:rPr>
              <w:t>No. 3: Advisory Approval of the</w:t>
            </w:r>
          </w:p>
        </w:tc>
        <w:tc>
          <w:tcPr>
            <w:tcW w:w="3480" w:type="dxa"/>
            <w:vAlign w:val="bottom"/>
            <w:shd w:val="clear" w:color="auto" w:fill="E9E9E9"/>
          </w:tcPr>
          <w:p>
            <w:pPr>
              <w:ind w:left="440"/>
              <w:spacing w:after="0"/>
              <w:rPr>
                <w:sz w:val="20"/>
                <w:szCs w:val="20"/>
                <w:color w:val="auto"/>
              </w:rPr>
            </w:pPr>
            <w:r>
              <w:rPr>
                <w:rFonts w:ascii="Arial" w:cs="Arial" w:eastAsia="Arial" w:hAnsi="Arial"/>
                <w:sz w:val="16"/>
                <w:szCs w:val="16"/>
                <w:color w:val="auto"/>
              </w:rPr>
              <w:t>Majority of shares present, in person or by</w:t>
            </w:r>
          </w:p>
        </w:tc>
        <w:tc>
          <w:tcPr>
            <w:tcW w:w="3120" w:type="dxa"/>
            <w:vAlign w:val="bottom"/>
            <w:shd w:val="clear" w:color="auto" w:fill="E9E9E9"/>
          </w:tcPr>
          <w:p>
            <w:pPr>
              <w:ind w:left="260"/>
              <w:spacing w:after="0"/>
              <w:rPr>
                <w:sz w:val="20"/>
                <w:szCs w:val="20"/>
                <w:color w:val="auto"/>
              </w:rPr>
            </w:pPr>
            <w:r>
              <w:rPr>
                <w:rFonts w:ascii="Arial" w:cs="Arial" w:eastAsia="Arial" w:hAnsi="Arial"/>
                <w:sz w:val="16"/>
                <w:szCs w:val="16"/>
                <w:color w:val="auto"/>
                <w:w w:val="92"/>
              </w:rPr>
              <w:t>Counted and will have the same effect as a</w:t>
            </w:r>
          </w:p>
        </w:tc>
      </w:tr>
      <w:tr>
        <w:trPr>
          <w:trHeight w:val="203"/>
        </w:trPr>
        <w:tc>
          <w:tcPr>
            <w:tcW w:w="3020" w:type="dxa"/>
            <w:vAlign w:val="bottom"/>
            <w:shd w:val="clear" w:color="auto" w:fill="E9E9E9"/>
          </w:tcPr>
          <w:p>
            <w:pPr>
              <w:ind w:left="60"/>
              <w:spacing w:after="0"/>
              <w:rPr>
                <w:sz w:val="20"/>
                <w:szCs w:val="20"/>
                <w:color w:val="auto"/>
              </w:rPr>
            </w:pPr>
            <w:r>
              <w:rPr>
                <w:rFonts w:ascii="Arial" w:cs="Arial" w:eastAsia="Arial" w:hAnsi="Arial"/>
                <w:sz w:val="16"/>
                <w:szCs w:val="16"/>
                <w:color w:val="auto"/>
              </w:rPr>
              <w:t>Compensation of our Named Executive</w:t>
            </w:r>
          </w:p>
        </w:tc>
        <w:tc>
          <w:tcPr>
            <w:tcW w:w="3480" w:type="dxa"/>
            <w:vAlign w:val="bottom"/>
            <w:shd w:val="clear" w:color="auto" w:fill="E9E9E9"/>
          </w:tcPr>
          <w:p>
            <w:pPr>
              <w:ind w:left="440"/>
              <w:spacing w:after="0"/>
              <w:rPr>
                <w:sz w:val="20"/>
                <w:szCs w:val="20"/>
                <w:color w:val="auto"/>
              </w:rPr>
            </w:pPr>
            <w:r>
              <w:rPr>
                <w:rFonts w:ascii="Arial" w:cs="Arial" w:eastAsia="Arial" w:hAnsi="Arial"/>
                <w:sz w:val="16"/>
                <w:szCs w:val="16"/>
                <w:color w:val="auto"/>
              </w:rPr>
              <w:t>proxy, and entitled to vote</w:t>
            </w:r>
          </w:p>
        </w:tc>
        <w:tc>
          <w:tcPr>
            <w:tcW w:w="3120" w:type="dxa"/>
            <w:vAlign w:val="bottom"/>
            <w:shd w:val="clear" w:color="auto" w:fill="E9E9E9"/>
          </w:tcPr>
          <w:p>
            <w:pPr>
              <w:ind w:left="260"/>
              <w:spacing w:after="0"/>
              <w:rPr>
                <w:sz w:val="20"/>
                <w:szCs w:val="20"/>
                <w:color w:val="auto"/>
              </w:rPr>
            </w:pPr>
            <w:r>
              <w:rPr>
                <w:rFonts w:ascii="Arial" w:cs="Arial" w:eastAsia="Arial" w:hAnsi="Arial"/>
                <w:sz w:val="16"/>
                <w:szCs w:val="16"/>
                <w:color w:val="auto"/>
              </w:rPr>
              <w:t>vote against such proposal</w:t>
            </w:r>
          </w:p>
        </w:tc>
      </w:tr>
      <w:tr>
        <w:trPr>
          <w:trHeight w:val="204"/>
        </w:trPr>
        <w:tc>
          <w:tcPr>
            <w:tcW w:w="3020" w:type="dxa"/>
            <w:vAlign w:val="bottom"/>
            <w:tcBorders>
              <w:bottom w:val="single" w:sz="8" w:color="auto"/>
            </w:tcBorders>
            <w:shd w:val="clear" w:color="auto" w:fill="E9E9E9"/>
          </w:tcPr>
          <w:p>
            <w:pPr>
              <w:ind w:left="60"/>
              <w:spacing w:after="0"/>
              <w:rPr>
                <w:sz w:val="20"/>
                <w:szCs w:val="20"/>
                <w:color w:val="auto"/>
              </w:rPr>
            </w:pPr>
            <w:r>
              <w:rPr>
                <w:rFonts w:ascii="Arial" w:cs="Arial" w:eastAsia="Arial" w:hAnsi="Arial"/>
                <w:sz w:val="16"/>
                <w:szCs w:val="16"/>
                <w:color w:val="auto"/>
              </w:rPr>
              <w:t>Officers</w:t>
            </w:r>
          </w:p>
        </w:tc>
        <w:tc>
          <w:tcPr>
            <w:tcW w:w="3480" w:type="dxa"/>
            <w:vAlign w:val="bottom"/>
            <w:tcBorders>
              <w:bottom w:val="single" w:sz="8" w:color="auto"/>
            </w:tcBorders>
            <w:shd w:val="clear" w:color="auto" w:fill="E9E9E9"/>
          </w:tcPr>
          <w:p>
            <w:pPr>
              <w:spacing w:after="0"/>
              <w:rPr>
                <w:sz w:val="17"/>
                <w:szCs w:val="17"/>
                <w:color w:val="auto"/>
              </w:rPr>
            </w:pPr>
          </w:p>
        </w:tc>
        <w:tc>
          <w:tcPr>
            <w:tcW w:w="3120" w:type="dxa"/>
            <w:vAlign w:val="bottom"/>
            <w:tcBorders>
              <w:bottom w:val="single" w:sz="8" w:color="auto"/>
            </w:tcBorders>
            <w:shd w:val="clear" w:color="auto" w:fill="E9E9E9"/>
          </w:tcPr>
          <w:p>
            <w:pPr>
              <w:spacing w:after="0"/>
              <w:rPr>
                <w:sz w:val="17"/>
                <w:szCs w:val="17"/>
                <w:color w:val="auto"/>
              </w:rPr>
            </w:pPr>
          </w:p>
        </w:tc>
      </w:tr>
    </w:tbl>
    <w:p>
      <w:pPr>
        <w:spacing w:after="0" w:line="226" w:lineRule="exact"/>
        <w:rPr>
          <w:sz w:val="20"/>
          <w:szCs w:val="20"/>
          <w:color w:val="auto"/>
        </w:rPr>
      </w:pPr>
    </w:p>
    <w:p>
      <w:pPr>
        <w:ind w:right="300"/>
        <w:spacing w:after="0" w:line="297" w:lineRule="auto"/>
        <w:rPr>
          <w:sz w:val="20"/>
          <w:szCs w:val="20"/>
          <w:color w:val="auto"/>
        </w:rPr>
      </w:pPr>
      <w:r>
        <w:rPr>
          <w:rFonts w:ascii="Arial" w:cs="Arial" w:eastAsia="Arial" w:hAnsi="Arial"/>
          <w:sz w:val="15"/>
          <w:szCs w:val="15"/>
          <w:color w:val="auto"/>
        </w:rPr>
        <w:t>Under the by-laws of the Company, each incumbent director is required to submit a contingent, irrevocable resignation that the Board of Directors may accept if the director fails to receive the required vote for election or re-election in an uncontested election. The Corporate Governance Committee is required to make a recommendation to the Board as to the action to be taken with respect to the tendered resignation. The Board is required to act on the resignation within 90 days of the date of certification of election results.</w:t>
      </w:r>
    </w:p>
    <w:p>
      <w:pPr>
        <w:spacing w:after="0" w:line="186"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A broker non-vote occurs when a broker does not have discretion to vote on a particular proposal and the broker has not received instructions from the beneficial owner of the shares of common stock as to how to vote on such proposal. If you hold your shares of Common Stock in "street name" and do not provide voting instructions to your broker within the required time frame before the Annual Meeting, your shares of Common Stock will not be voted by the broker for Proposal Nos. 1 or 3, but the broker will have the discretion to vote your shares of Common Stock on Proposal No. 2. As a result, broker non-votes will have no effect on the outcome of Proposal Nos. 1 or 3.</w:t>
      </w:r>
    </w:p>
    <w:p>
      <w:pPr>
        <w:spacing w:after="0" w:line="198" w:lineRule="exact"/>
        <w:rPr>
          <w:sz w:val="20"/>
          <w:szCs w:val="20"/>
          <w:color w:val="auto"/>
        </w:rPr>
      </w:pPr>
    </w:p>
    <w:p>
      <w:pPr>
        <w:ind w:right="400"/>
        <w:spacing w:after="0" w:line="296" w:lineRule="auto"/>
        <w:rPr>
          <w:sz w:val="20"/>
          <w:szCs w:val="20"/>
          <w:color w:val="auto"/>
        </w:rPr>
      </w:pPr>
      <w:r>
        <w:rPr>
          <w:rFonts w:ascii="Arial" w:cs="Arial" w:eastAsia="Arial" w:hAnsi="Arial"/>
          <w:sz w:val="16"/>
          <w:szCs w:val="16"/>
          <w:b w:val="1"/>
          <w:bCs w:val="1"/>
          <w:color w:val="auto"/>
        </w:rPr>
        <w:t>Why did certain stockholders receive in the mail a one-page Notice regarding Internet availability of this Proxy Statement rather than a printed copy?</w:t>
      </w:r>
    </w:p>
    <w:p>
      <w:pPr>
        <w:spacing w:after="0" w:line="184"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To conserve natural resources and reduce costs, we are sending to a portion of our stockholders a Notice containing instructions on how to access this Proxy Statement online, as permitted by the Securities and Exchange Commission ("SEC") rules. If you received a Notice of Internet Availability by mail, you will not receive a printed copy of this Proxy Statement in the mail. Instructions on how to access this Proxy Statement over the Internet or how to obtain printed copies, if you prefer, are set forth in such Notice.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vote?</w:t>
      </w:r>
    </w:p>
    <w:p>
      <w:pPr>
        <w:spacing w:after="0" w:line="262" w:lineRule="exact"/>
        <w:rPr>
          <w:sz w:val="20"/>
          <w:szCs w:val="20"/>
          <w:color w:val="auto"/>
        </w:rPr>
      </w:pPr>
    </w:p>
    <w:p>
      <w:pPr>
        <w:ind w:right="60"/>
        <w:spacing w:after="0" w:line="324" w:lineRule="auto"/>
        <w:rPr>
          <w:sz w:val="20"/>
          <w:szCs w:val="20"/>
          <w:color w:val="auto"/>
        </w:rPr>
      </w:pPr>
      <w:r>
        <w:rPr>
          <w:rFonts w:ascii="Arial" w:cs="Arial" w:eastAsia="Arial" w:hAnsi="Arial"/>
          <w:sz w:val="14"/>
          <w:szCs w:val="14"/>
          <w:color w:val="auto"/>
        </w:rPr>
        <w:t>You should submit your proxy or voting instructions as soon as possible. If you received or requested printed copies of the proxy materials by mail, the materials will include a proxy card, for registered stockholders (that is, if you hold your stock directly in your name through our transfer agent), or a vote instruction form ("VIF") for beneficial owners (if your shares are held in "street name" such as in a stock brokerage account, by a bank or other nominee). Whether you are a registered stockholder or hold any of your shares in "street name," you may vote in the following ways:</w:t>
      </w:r>
    </w:p>
    <w:p>
      <w:pPr>
        <w:spacing w:after="0" w:line="107" w:lineRule="exact"/>
        <w:rPr>
          <w:sz w:val="20"/>
          <w:szCs w:val="20"/>
          <w:color w:val="auto"/>
        </w:rPr>
      </w:pPr>
    </w:p>
    <w:p>
      <w:pPr>
        <w:ind w:left="60"/>
        <w:spacing w:after="0"/>
        <w:tabs>
          <w:tab w:leader="none" w:pos="5160" w:val="left"/>
        </w:tabs>
        <w:rPr>
          <w:sz w:val="20"/>
          <w:szCs w:val="20"/>
          <w:color w:val="auto"/>
        </w:rPr>
      </w:pPr>
      <w:r>
        <w:rPr>
          <w:rFonts w:ascii="Arial" w:cs="Arial" w:eastAsia="Arial" w:hAnsi="Arial"/>
          <w:sz w:val="16"/>
          <w:szCs w:val="16"/>
          <w:b w:val="1"/>
          <w:bCs w:val="1"/>
          <w:color w:val="auto"/>
        </w:rPr>
        <w:t>By Phone</w:t>
      </w:r>
      <w:r>
        <w:rPr>
          <w:sz w:val="20"/>
          <w:szCs w:val="20"/>
          <w:color w:val="auto"/>
        </w:rPr>
        <w:tab/>
      </w:r>
      <w:r>
        <w:rPr>
          <w:rFonts w:ascii="Arial" w:cs="Arial" w:eastAsia="Arial" w:hAnsi="Arial"/>
          <w:sz w:val="14"/>
          <w:szCs w:val="14"/>
          <w:b w:val="1"/>
          <w:bCs w:val="1"/>
          <w:color w:val="auto"/>
        </w:rPr>
        <w:t>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10108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01080" cy="7620"/>
                    </a:xfrm>
                    <a:prstGeom prst="rect">
                      <a:avLst/>
                    </a:prstGeom>
                    <a:noFill/>
                  </pic:spPr>
                </pic:pic>
              </a:graphicData>
            </a:graphic>
          </wp:anchor>
        </w:drawing>
      </w:r>
    </w:p>
    <w:p>
      <w:pPr>
        <w:sectPr>
          <w:pgSz w:w="11900" w:h="16838" w:orient="portrait"/>
          <w:cols w:equalWidth="0" w:num="1">
            <w:col w:w="9620"/>
          </w:cols>
          <w:pgMar w:left="1380" w:top="434" w:right="899" w:bottom="1440" w:gutter="0" w:footer="0" w:header="0"/>
        </w:sectPr>
      </w:pPr>
    </w:p>
    <w:p>
      <w:pPr>
        <w:spacing w:after="0" w:line="35" w:lineRule="exact"/>
        <w:rPr>
          <w:sz w:val="20"/>
          <w:szCs w:val="20"/>
          <w:color w:val="auto"/>
        </w:rPr>
      </w:pPr>
    </w:p>
    <w:p>
      <w:pPr>
        <w:jc w:val="both"/>
        <w:ind w:left="60" w:right="240"/>
        <w:spacing w:after="0" w:line="268" w:lineRule="auto"/>
        <w:rPr>
          <w:sz w:val="20"/>
          <w:szCs w:val="20"/>
          <w:color w:val="auto"/>
        </w:rPr>
      </w:pPr>
      <w:r>
        <w:rPr>
          <w:rFonts w:ascii="Arial" w:cs="Arial" w:eastAsia="Arial" w:hAnsi="Arial"/>
          <w:sz w:val="16"/>
          <w:szCs w:val="16"/>
          <w:color w:val="auto"/>
        </w:rPr>
        <w:t>If you received or requested printed copies of the proxy materials by mail, in the U.S. or Canada, vote by dialing the number on the proxy card/VIF</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Follow the instructions included on the proxy card/VIF or Notice of Internet 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-3286760</wp:posOffset>
            </wp:positionH>
            <wp:positionV relativeFrom="paragraph">
              <wp:posOffset>-282575</wp:posOffset>
            </wp:positionV>
            <wp:extent cx="6101080" cy="394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01080" cy="394335"/>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4460" w:space="720"/>
            <w:col w:w="4440"/>
          </w:cols>
          <w:pgMar w:left="1380" w:top="434" w:right="899" w:bottom="1440" w:gutter="0" w:footer="0" w:header="0"/>
          <w:type w:val="continuous"/>
        </w:sectPr>
      </w:pPr>
    </w:p>
    <w:p>
      <w:pPr>
        <w:ind w:left="60"/>
        <w:spacing w:after="0"/>
        <w:tabs>
          <w:tab w:leader="none" w:pos="5160" w:val="left"/>
        </w:tabs>
        <w:rPr>
          <w:sz w:val="20"/>
          <w:szCs w:val="20"/>
          <w:color w:val="auto"/>
        </w:rPr>
      </w:pPr>
      <w:r>
        <w:rPr>
          <w:rFonts w:ascii="Arial" w:cs="Arial" w:eastAsia="Arial" w:hAnsi="Arial"/>
          <w:sz w:val="16"/>
          <w:szCs w:val="16"/>
          <w:b w:val="1"/>
          <w:bCs w:val="1"/>
          <w:color w:val="auto"/>
        </w:rPr>
        <w:t>By Mail</w:t>
      </w:r>
      <w:r>
        <w:rPr>
          <w:sz w:val="20"/>
          <w:szCs w:val="20"/>
          <w:color w:val="auto"/>
        </w:rPr>
        <w:tab/>
      </w:r>
      <w:r>
        <w:rPr>
          <w:rFonts w:ascii="Arial" w:cs="Arial" w:eastAsia="Arial" w:hAnsi="Arial"/>
          <w:sz w:val="14"/>
          <w:szCs w:val="14"/>
          <w:b w:val="1"/>
          <w:bCs w:val="1"/>
          <w:color w:val="auto"/>
        </w:rPr>
        <w:t>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10108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01080" cy="7620"/>
                    </a:xfrm>
                    <a:prstGeom prst="rect">
                      <a:avLst/>
                    </a:prstGeom>
                    <a:noFill/>
                  </pic:spPr>
                </pic:pic>
              </a:graphicData>
            </a:graphic>
          </wp:anchor>
        </w:drawing>
      </w:r>
    </w:p>
    <w:p>
      <w:pPr>
        <w:sectPr>
          <w:pgSz w:w="11900" w:h="16838" w:orient="portrait"/>
          <w:cols w:equalWidth="0" w:num="1">
            <w:col w:w="9620"/>
          </w:cols>
          <w:pgMar w:left="1380" w:top="434" w:right="899" w:bottom="1440" w:gutter="0" w:footer="0" w:header="0"/>
          <w:type w:val="continuous"/>
        </w:sectPr>
      </w:pPr>
    </w:p>
    <w:p>
      <w:pPr>
        <w:spacing w:after="0" w:line="35" w:lineRule="exact"/>
        <w:rPr>
          <w:sz w:val="20"/>
          <w:szCs w:val="20"/>
          <w:color w:val="auto"/>
        </w:rPr>
      </w:pPr>
    </w:p>
    <w:p>
      <w:pPr>
        <w:ind w:left="60" w:right="240"/>
        <w:spacing w:after="0" w:line="334" w:lineRule="auto"/>
        <w:rPr>
          <w:sz w:val="20"/>
          <w:szCs w:val="20"/>
          <w:color w:val="auto"/>
        </w:rPr>
      </w:pPr>
      <w:r>
        <w:rPr>
          <w:rFonts w:ascii="Arial" w:cs="Arial" w:eastAsia="Arial" w:hAnsi="Arial"/>
          <w:sz w:val="14"/>
          <w:szCs w:val="14"/>
          <w:color w:val="auto"/>
        </w:rPr>
        <w:t>If you received or requested printed copies of the proxy materials by mail, vote by marking, dating and signing the proxy card or VIF and returning it promptly in the envelope provided</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60"/>
        <w:spacing w:after="0" w:line="304" w:lineRule="auto"/>
        <w:rPr>
          <w:sz w:val="20"/>
          <w:szCs w:val="20"/>
          <w:color w:val="auto"/>
        </w:rPr>
      </w:pPr>
      <w:r>
        <w:rPr>
          <w:rFonts w:ascii="Arial" w:cs="Arial" w:eastAsia="Arial" w:hAnsi="Arial"/>
          <w:sz w:val="15"/>
          <w:szCs w:val="15"/>
          <w:color w:val="auto"/>
        </w:rPr>
        <w:t>Attend the Meeting and vote in person. If you hold any shares in "street name," you may not vote in person unless you bring with you a legal proxy from the organization that holds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-3286760</wp:posOffset>
            </wp:positionH>
            <wp:positionV relativeFrom="paragraph">
              <wp:posOffset>-415290</wp:posOffset>
            </wp:positionV>
            <wp:extent cx="6101080" cy="394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01080" cy="394335"/>
                    </a:xfrm>
                    <a:prstGeom prst="rect">
                      <a:avLst/>
                    </a:prstGeom>
                    <a:noFill/>
                  </pic:spPr>
                </pic:pic>
              </a:graphicData>
            </a:graphic>
          </wp:anchor>
        </w:drawing>
      </w:r>
    </w:p>
    <w:p>
      <w:pPr>
        <w:spacing w:after="0" w:line="192" w:lineRule="exact"/>
        <w:rPr>
          <w:sz w:val="20"/>
          <w:szCs w:val="20"/>
          <w:color w:val="auto"/>
        </w:rPr>
      </w:pPr>
    </w:p>
    <w:p>
      <w:pPr>
        <w:sectPr>
          <w:pgSz w:w="11900" w:h="16838" w:orient="portrait"/>
          <w:cols w:equalWidth="0" w:num="2">
            <w:col w:w="4460" w:space="720"/>
            <w:col w:w="4440"/>
          </w:cols>
          <w:pgMar w:left="1380" w:top="434" w:right="899" w:bottom="1440" w:gutter="0" w:footer="0" w:header="0"/>
          <w:type w:val="continuous"/>
        </w:sectPr>
      </w:pPr>
    </w:p>
    <w:p>
      <w:pPr>
        <w:spacing w:after="0"/>
        <w:rPr>
          <w:sz w:val="20"/>
          <w:szCs w:val="20"/>
          <w:color w:val="auto"/>
        </w:rPr>
      </w:pPr>
      <w:r>
        <w:rPr>
          <w:rFonts w:ascii="Arial" w:cs="Arial" w:eastAsia="Arial" w:hAnsi="Arial"/>
          <w:sz w:val="14"/>
          <w:szCs w:val="14"/>
          <w:color w:val="auto"/>
        </w:rPr>
        <w:t>In all cases, the deadline for voting by telephone or via the Internet is 11:59 p.m., Eastern Time, on May 18, 2015.</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620"/>
          </w:cols>
          <w:pgMar w:left="1380" w:top="434" w:right="899" w:bottom="1440" w:gutter="0" w:footer="0" w:header="0"/>
          <w:type w:val="continuous"/>
        </w:sectPr>
      </w:pPr>
    </w:p>
    <w:bookmarkStart w:id="9" w:name="page10"/>
    <w:bookmarkEnd w:id="9"/>
    <w:p>
      <w:pPr>
        <w:ind w:left="332"/>
        <w:spacing w:after="0"/>
        <w:rPr>
          <w:sz w:val="20"/>
          <w:szCs w:val="20"/>
          <w:color w:val="auto"/>
        </w:rPr>
      </w:pPr>
      <w:r>
        <w:rPr>
          <w:rFonts w:ascii="Arial" w:cs="Arial" w:eastAsia="Arial" w:hAnsi="Arial"/>
          <w:sz w:val="16"/>
          <w:szCs w:val="16"/>
          <w:b w:val="1"/>
          <w:bCs w:val="1"/>
          <w:color w:val="auto"/>
        </w:rPr>
        <w:t>Can I change my vote?</w:t>
      </w:r>
    </w:p>
    <w:p>
      <w:pPr>
        <w:spacing w:after="0" w:line="262" w:lineRule="exact"/>
        <w:rPr>
          <w:sz w:val="20"/>
          <w:szCs w:val="20"/>
          <w:color w:val="auto"/>
        </w:rPr>
      </w:pPr>
    </w:p>
    <w:p>
      <w:pPr>
        <w:jc w:val="center"/>
        <w:ind w:right="-11"/>
        <w:spacing w:after="0"/>
        <w:rPr>
          <w:sz w:val="20"/>
          <w:szCs w:val="20"/>
          <w:color w:val="auto"/>
        </w:rPr>
      </w:pPr>
      <w:r>
        <w:rPr>
          <w:rFonts w:ascii="Arial" w:cs="Arial" w:eastAsia="Arial" w:hAnsi="Arial"/>
          <w:sz w:val="15"/>
          <w:szCs w:val="15"/>
          <w:color w:val="auto"/>
        </w:rPr>
        <w:t>Yes. You may revoke your proxy at any time prior to the voting at the Meeting if, in accordance with the voting procedures described above, you:</w:t>
      </w:r>
    </w:p>
    <w:p>
      <w:pPr>
        <w:spacing w:after="0" w:line="258" w:lineRule="exact"/>
        <w:rPr>
          <w:sz w:val="20"/>
          <w:szCs w:val="20"/>
          <w:color w:val="auto"/>
        </w:rPr>
      </w:pPr>
    </w:p>
    <w:p>
      <w:pPr>
        <w:ind w:left="612" w:hanging="612"/>
        <w:spacing w:after="0"/>
        <w:tabs>
          <w:tab w:leader="none" w:pos="612" w:val="left"/>
        </w:tabs>
        <w:numPr>
          <w:ilvl w:val="0"/>
          <w:numId w:val="7"/>
        </w:numPr>
        <w:rPr>
          <w:rFonts w:ascii="Arial" w:cs="Arial" w:eastAsia="Arial" w:hAnsi="Arial"/>
          <w:sz w:val="16"/>
          <w:szCs w:val="16"/>
          <w:color w:val="auto"/>
        </w:rPr>
      </w:pPr>
      <w:r>
        <w:rPr>
          <w:rFonts w:ascii="Arial" w:cs="Arial" w:eastAsia="Arial" w:hAnsi="Arial"/>
          <w:sz w:val="16"/>
          <w:szCs w:val="16"/>
          <w:color w:val="auto"/>
        </w:rPr>
        <w:t>vote again (including by phone or Internet by the applicable deadline); or</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complete, sign, date and return a new proxy card or VIF with a later date; or</w:t>
      </w:r>
    </w:p>
    <w:p>
      <w:pPr>
        <w:spacing w:after="0" w:line="258" w:lineRule="exact"/>
        <w:rPr>
          <w:rFonts w:ascii="Arial" w:cs="Arial" w:eastAsia="Arial" w:hAnsi="Arial"/>
          <w:sz w:val="16"/>
          <w:szCs w:val="16"/>
          <w:color w:val="auto"/>
        </w:rPr>
      </w:pPr>
    </w:p>
    <w:p>
      <w:pPr>
        <w:ind w:left="612" w:hanging="612"/>
        <w:spacing w:after="0"/>
        <w:tabs>
          <w:tab w:leader="none" w:pos="612" w:val="left"/>
        </w:tabs>
        <w:numPr>
          <w:ilvl w:val="0"/>
          <w:numId w:val="7"/>
        </w:numPr>
        <w:rPr>
          <w:rFonts w:ascii="Arial" w:cs="Arial" w:eastAsia="Arial" w:hAnsi="Arial"/>
          <w:sz w:val="16"/>
          <w:szCs w:val="16"/>
          <w:color w:val="auto"/>
        </w:rPr>
      </w:pPr>
      <w:r>
        <w:rPr>
          <w:rFonts w:ascii="Arial" w:cs="Arial" w:eastAsia="Arial" w:hAnsi="Arial"/>
          <w:sz w:val="16"/>
          <w:szCs w:val="16"/>
          <w:color w:val="auto"/>
        </w:rPr>
        <w:t>give timely written notice of such revocation to our Corporate Secretary at 6 Sylvan Way, Parsippany, N.J. 07054; or</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7"/>
        </w:numPr>
        <w:rPr>
          <w:rFonts w:ascii="Arial" w:cs="Arial" w:eastAsia="Arial" w:hAnsi="Arial"/>
          <w:sz w:val="16"/>
          <w:szCs w:val="16"/>
          <w:color w:val="auto"/>
        </w:rPr>
      </w:pPr>
      <w:r>
        <w:rPr>
          <w:rFonts w:ascii="Arial" w:cs="Arial" w:eastAsia="Arial" w:hAnsi="Arial"/>
          <w:sz w:val="16"/>
          <w:szCs w:val="16"/>
          <w:color w:val="auto"/>
        </w:rPr>
        <w:t>attend the Meeting and vote in person.</w:t>
      </w:r>
    </w:p>
    <w:p>
      <w:pPr>
        <w:spacing w:after="0" w:line="242"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What if I do not vote for some of the proposals?</w:t>
      </w:r>
    </w:p>
    <w:p>
      <w:pPr>
        <w:spacing w:after="0" w:line="262" w:lineRule="exact"/>
        <w:rPr>
          <w:sz w:val="20"/>
          <w:szCs w:val="20"/>
          <w:color w:val="auto"/>
        </w:rPr>
      </w:pPr>
    </w:p>
    <w:p>
      <w:pPr>
        <w:jc w:val="both"/>
        <w:ind w:left="332" w:right="180"/>
        <w:spacing w:after="0" w:line="366" w:lineRule="auto"/>
        <w:rPr>
          <w:sz w:val="20"/>
          <w:szCs w:val="20"/>
          <w:color w:val="auto"/>
        </w:rPr>
      </w:pPr>
      <w:r>
        <w:rPr>
          <w:rFonts w:ascii="Arial" w:cs="Arial" w:eastAsia="Arial" w:hAnsi="Arial"/>
          <w:sz w:val="14"/>
          <w:szCs w:val="14"/>
          <w:color w:val="auto"/>
        </w:rPr>
        <w:t>Shares of Common Stock represented by proxies received by the Company (whether through the return of a proxy card or VIF), that do not contain voting instructions, or if you vote by telephone or electronically via the Internet without indicating how you want to vote, your shares will be voted:</w:t>
      </w:r>
    </w:p>
    <w:p>
      <w:pPr>
        <w:spacing w:after="0" w:line="142" w:lineRule="exact"/>
        <w:rPr>
          <w:sz w:val="20"/>
          <w:szCs w:val="20"/>
          <w:color w:val="auto"/>
        </w:rPr>
      </w:pPr>
    </w:p>
    <w:p>
      <w:pPr>
        <w:ind w:left="612" w:hanging="612"/>
        <w:spacing w:after="0"/>
        <w:tabs>
          <w:tab w:leader="none" w:pos="612"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the election of all ten nominees for the Board of Directors (Proposal No. 1);</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the ratification of the appointment of auditors (Proposal No. 2); and</w:t>
      </w:r>
    </w:p>
    <w:p>
      <w:pPr>
        <w:spacing w:after="0" w:line="258" w:lineRule="exact"/>
        <w:rPr>
          <w:rFonts w:ascii="Arial" w:cs="Arial" w:eastAsia="Arial" w:hAnsi="Arial"/>
          <w:sz w:val="16"/>
          <w:szCs w:val="16"/>
          <w:color w:val="auto"/>
        </w:rPr>
      </w:pPr>
    </w:p>
    <w:p>
      <w:pPr>
        <w:ind w:left="612" w:hanging="612"/>
        <w:spacing w:after="0"/>
        <w:tabs>
          <w:tab w:leader="none" w:pos="612"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the proposal regarding advisory approval of the compensation of our named executive officers (Proposal No. 3).</w:t>
      </w:r>
    </w:p>
    <w:p>
      <w:pPr>
        <w:spacing w:after="0" w:line="242"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How do participants in savings plans vote?</w:t>
      </w:r>
    </w:p>
    <w:p>
      <w:pPr>
        <w:spacing w:after="0" w:line="250" w:lineRule="exact"/>
        <w:rPr>
          <w:sz w:val="20"/>
          <w:szCs w:val="20"/>
          <w:color w:val="auto"/>
        </w:rPr>
      </w:pPr>
    </w:p>
    <w:p>
      <w:pPr>
        <w:ind w:left="332"/>
        <w:spacing w:after="0" w:line="288" w:lineRule="auto"/>
        <w:rPr>
          <w:sz w:val="20"/>
          <w:szCs w:val="20"/>
          <w:color w:val="auto"/>
        </w:rPr>
      </w:pPr>
      <w:r>
        <w:rPr>
          <w:rFonts w:ascii="Arial" w:cs="Arial" w:eastAsia="Arial" w:hAnsi="Arial"/>
          <w:sz w:val="15"/>
          <w:szCs w:val="15"/>
          <w:color w:val="auto"/>
        </w:rPr>
        <w:t>If you hold shares of Common Stock in the "Avis Budget Group, Inc. Employee Savings Plan" or the "AB Car Rental Services Retirement Savings Plan for Bargaining Hourly Employees" (collectively, the "Savings Plans"), you will receive a proxy card that covers shares of Common Stock held for you in the Savings Plans. In accordance with the provisions of the Savings Plans, the respective trustees will vote your shares of Common Stock as you have directed. To the extent such instructions are not received prior to noon, Eastern Time, on May 12, 2015, the trustees of the Savings Plans will vote the shares of Common Stock with respect to which it has not received instructions proportionately in accordance with the shares of Common Stock for which it has received instructions. Instructions given with respect to shares of Common Stock in accounts of the Savings Plans may be changed or revoked only in writing, and no such instructions may be revoked after noon, Eastern Time, on May 12, 2015. Participants in the Savings Plans are not entitled to vote in person at the Meeting.</w:t>
      </w:r>
    </w:p>
    <w:p>
      <w:pPr>
        <w:spacing w:after="0" w:line="204"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Do I need a ticket to attend the Meeting?</w:t>
      </w:r>
    </w:p>
    <w:p>
      <w:pPr>
        <w:spacing w:after="0" w:line="250" w:lineRule="exact"/>
        <w:rPr>
          <w:sz w:val="20"/>
          <w:szCs w:val="20"/>
          <w:color w:val="auto"/>
        </w:rPr>
      </w:pPr>
    </w:p>
    <w:p>
      <w:pPr>
        <w:ind w:left="332"/>
        <w:spacing w:after="0"/>
        <w:rPr>
          <w:sz w:val="20"/>
          <w:szCs w:val="20"/>
          <w:color w:val="auto"/>
        </w:rPr>
      </w:pPr>
      <w:r>
        <w:rPr>
          <w:rFonts w:ascii="Arial" w:cs="Arial" w:eastAsia="Arial" w:hAnsi="Arial"/>
          <w:sz w:val="16"/>
          <w:szCs w:val="16"/>
          <w:color w:val="auto"/>
        </w:rPr>
        <w:t>Yes. Admission will be by ticket only. Admission to the Meeting will be expedited if tickets are obtained in advance.</w:t>
      </w:r>
    </w:p>
    <w:p>
      <w:pPr>
        <w:spacing w:after="0" w:line="246" w:lineRule="exact"/>
        <w:rPr>
          <w:sz w:val="20"/>
          <w:szCs w:val="20"/>
          <w:color w:val="auto"/>
        </w:rPr>
      </w:pPr>
    </w:p>
    <w:p>
      <w:pPr>
        <w:ind w:left="1172" w:right="360" w:hanging="1172"/>
        <w:spacing w:after="0" w:line="291" w:lineRule="auto"/>
        <w:tabs>
          <w:tab w:leader="none" w:pos="598"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Registered stockholders</w:t>
      </w:r>
      <w:r>
        <w:rPr>
          <w:rFonts w:ascii="Arial" w:cs="Arial" w:eastAsia="Arial" w:hAnsi="Arial"/>
          <w:sz w:val="16"/>
          <w:szCs w:val="16"/>
          <w:color w:val="auto"/>
        </w:rPr>
        <w:t>: bring the bottom portion of the proxy card enclosed with this Proxy Statement (or obtained via the Internet) as your</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ticket. Notices will not be accepted as a Meeting ticket.</w:t>
      </w:r>
    </w:p>
    <w:p>
      <w:pPr>
        <w:spacing w:after="0" w:line="199" w:lineRule="exact"/>
        <w:rPr>
          <w:rFonts w:ascii="Arial" w:cs="Arial" w:eastAsia="Arial" w:hAnsi="Arial"/>
          <w:sz w:val="16"/>
          <w:szCs w:val="16"/>
          <w:color w:val="auto"/>
        </w:rPr>
      </w:pPr>
    </w:p>
    <w:p>
      <w:pPr>
        <w:ind w:left="1172" w:right="180" w:hanging="1172"/>
        <w:spacing w:after="0" w:line="273" w:lineRule="auto"/>
        <w:tabs>
          <w:tab w:leader="none" w:pos="598"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Beneficial owners</w:t>
      </w:r>
      <w:r>
        <w:rPr>
          <w:rFonts w:ascii="Arial" w:cs="Arial" w:eastAsia="Arial" w:hAnsi="Arial"/>
          <w:sz w:val="16"/>
          <w:szCs w:val="16"/>
          <w:color w:val="auto"/>
        </w:rPr>
        <w:t>: if you own shares of Common Stock through an intermediary, such as a bank or broker, request tickets in writing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Secretary at Avis Budget Group, Inc., 6 Sylvan Way, Parsippany, N.J. 07054. Please include proof of ownership, such as a bank or brokerage firm account statement or letter from the broker, trustee, bank or nominee holding their stock, confirming beneficial ownership as of the Record Date.</w:t>
      </w:r>
    </w:p>
    <w:p>
      <w:pPr>
        <w:spacing w:after="0" w:line="202" w:lineRule="exact"/>
        <w:rPr>
          <w:rFonts w:ascii="Arial" w:cs="Arial" w:eastAsia="Arial" w:hAnsi="Arial"/>
          <w:sz w:val="16"/>
          <w:szCs w:val="16"/>
          <w:color w:val="auto"/>
        </w:rPr>
      </w:pPr>
    </w:p>
    <w:p>
      <w:pPr>
        <w:ind w:left="1172" w:right="40" w:hanging="1172"/>
        <w:spacing w:after="0" w:line="291" w:lineRule="auto"/>
        <w:tabs>
          <w:tab w:leader="none" w:pos="598"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Stockholders without advance tickets</w:t>
      </w:r>
      <w:r>
        <w:rPr>
          <w:rFonts w:ascii="Arial" w:cs="Arial" w:eastAsia="Arial" w:hAnsi="Arial"/>
          <w:sz w:val="16"/>
          <w:szCs w:val="16"/>
          <w:color w:val="auto"/>
        </w:rPr>
        <w:t>: stockholders who do not obtain tickets in advance may obtain tickets on the Meeting date at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desk upon verifying their stock ownership as of the Record Date.</w:t>
      </w:r>
    </w:p>
    <w:p>
      <w:pPr>
        <w:spacing w:after="0" w:line="187" w:lineRule="exact"/>
        <w:rPr>
          <w:sz w:val="20"/>
          <w:szCs w:val="20"/>
          <w:color w:val="auto"/>
        </w:rPr>
      </w:pPr>
    </w:p>
    <w:p>
      <w:pPr>
        <w:ind w:left="332" w:right="120"/>
        <w:spacing w:after="0" w:line="273" w:lineRule="auto"/>
        <w:rPr>
          <w:sz w:val="20"/>
          <w:szCs w:val="20"/>
          <w:color w:val="auto"/>
        </w:rPr>
      </w:pPr>
      <w:r>
        <w:rPr>
          <w:rFonts w:ascii="Arial" w:cs="Arial" w:eastAsia="Arial" w:hAnsi="Arial"/>
          <w:sz w:val="16"/>
          <w:szCs w:val="16"/>
          <w:color w:val="auto"/>
        </w:rPr>
        <w:t>Attendance at the Meeting will be limited to stockholders as of the Record Date, their authorized representatives and guests of the Company. Tickets may be issued to others at the discretion of the Company. In accordance with the Company's security procedures, all persons attending the Meeting must present picture identification along with their admission ticket or proof of beneficial ownership in order to gain admission. Cameras and recording devices will not be permitted at the Meeting.</w:t>
      </w:r>
    </w:p>
    <w:p>
      <w:pPr>
        <w:spacing w:after="0" w:line="211"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How can I find the voting results of the Annual Meeting?</w:t>
      </w:r>
    </w:p>
    <w:p>
      <w:pPr>
        <w:spacing w:after="0" w:line="250" w:lineRule="exact"/>
        <w:rPr>
          <w:sz w:val="20"/>
          <w:szCs w:val="20"/>
          <w:color w:val="auto"/>
        </w:rPr>
      </w:pPr>
    </w:p>
    <w:p>
      <w:pPr>
        <w:ind w:left="332" w:right="120"/>
        <w:spacing w:after="0" w:line="291" w:lineRule="auto"/>
        <w:rPr>
          <w:sz w:val="20"/>
          <w:szCs w:val="20"/>
          <w:color w:val="auto"/>
        </w:rPr>
      </w:pPr>
      <w:r>
        <w:rPr>
          <w:rFonts w:ascii="Arial" w:cs="Arial" w:eastAsia="Arial" w:hAnsi="Arial"/>
          <w:sz w:val="16"/>
          <w:szCs w:val="16"/>
          <w:color w:val="auto"/>
        </w:rPr>
        <w:t>Voting results will be tallied by the inspector of election. The Company will report the final results in a Current Report on Form 8-K, to be filed with the SEC within four business days following the Meeting.</w:t>
      </w:r>
    </w:p>
    <w:p>
      <w:pPr>
        <w:spacing w:after="0" w:line="183"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How can I access the Company's proxy materials and annual report electronically?</w:t>
      </w:r>
    </w:p>
    <w:p>
      <w:pPr>
        <w:spacing w:after="0" w:line="262" w:lineRule="exact"/>
        <w:rPr>
          <w:sz w:val="20"/>
          <w:szCs w:val="20"/>
          <w:color w:val="auto"/>
        </w:rPr>
      </w:pPr>
    </w:p>
    <w:p>
      <w:pPr>
        <w:ind w:left="332" w:right="160"/>
        <w:spacing w:after="0" w:line="271" w:lineRule="auto"/>
        <w:rPr>
          <w:sz w:val="20"/>
          <w:szCs w:val="20"/>
          <w:color w:val="auto"/>
        </w:rPr>
      </w:pPr>
      <w:r>
        <w:rPr>
          <w:rFonts w:ascii="Arial" w:cs="Arial" w:eastAsia="Arial" w:hAnsi="Arial"/>
          <w:sz w:val="16"/>
          <w:szCs w:val="16"/>
          <w:color w:val="auto"/>
        </w:rPr>
        <w:t xml:space="preserve">This Proxy Statement and the Company's 2014 Annual Report may be viewed online at </w:t>
      </w:r>
      <w:r>
        <w:rPr>
          <w:rFonts w:ascii="Arial" w:cs="Arial" w:eastAsia="Arial" w:hAnsi="Arial"/>
          <w:sz w:val="16"/>
          <w:szCs w:val="16"/>
          <w:i w:val="1"/>
          <w:iCs w:val="1"/>
          <w:color w:val="auto"/>
        </w:rPr>
        <w:t>www.edocumentview.com/CAR</w:t>
      </w:r>
      <w:r>
        <w:rPr>
          <w:rFonts w:ascii="Arial" w:cs="Arial" w:eastAsia="Arial" w:hAnsi="Arial"/>
          <w:sz w:val="16"/>
          <w:szCs w:val="16"/>
          <w:color w:val="auto"/>
        </w:rPr>
        <w:t xml:space="preserve">. If you are a stockholder of record, you can elect to receive future annual reports and proxy statements electronically by following the instructions provided if you vote via the Internet or by telephone or by enrolling through the transfer agent's website at </w:t>
      </w:r>
      <w:r>
        <w:rPr>
          <w:rFonts w:ascii="Arial" w:cs="Arial" w:eastAsia="Arial" w:hAnsi="Arial"/>
          <w:sz w:val="16"/>
          <w:szCs w:val="16"/>
          <w:i w:val="1"/>
          <w:iCs w:val="1"/>
          <w:color w:val="auto"/>
        </w:rPr>
        <w:t>www.envisionreports.com/CAR</w:t>
      </w:r>
      <w:r>
        <w:rPr>
          <w:rFonts w:ascii="Arial" w:cs="Arial" w:eastAsia="Arial" w:hAnsi="Arial"/>
          <w:sz w:val="16"/>
          <w:szCs w:val="16"/>
          <w:color w:val="auto"/>
        </w:rPr>
        <w:t>. If you choose this option, you will receive a proxy form in April 2016 listing the website locations where proxy materials will be posted and your choice will remain in effect until you notify us by</w:t>
      </w:r>
    </w:p>
    <w:p>
      <w:pPr>
        <w:sectPr>
          <w:pgSz w:w="11900" w:h="16838" w:orient="portrait"/>
          <w:cols w:equalWidth="0" w:num="1">
            <w:col w:w="9932"/>
          </w:cols>
          <w:pgMar w:left="1048" w:top="434" w:right="919" w:bottom="1440" w:gutter="0" w:footer="0" w:header="0"/>
        </w:sectPr>
      </w:pPr>
    </w:p>
    <w:p>
      <w:pPr>
        <w:spacing w:after="0" w:line="120" w:lineRule="exact"/>
        <w:rPr>
          <w:sz w:val="20"/>
          <w:szCs w:val="20"/>
          <w:color w:val="auto"/>
        </w:rPr>
      </w:pPr>
    </w:p>
    <w:p>
      <w:pPr>
        <w:ind w:left="332"/>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85090</wp:posOffset>
            </wp:positionV>
            <wp:extent cx="6850380" cy="35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932"/>
          </w:cols>
          <w:pgMar w:left="1048" w:top="434" w:right="919" w:bottom="1440" w:gutter="0" w:footer="0" w:header="0"/>
          <w:type w:val="continuous"/>
        </w:sectPr>
      </w:pPr>
    </w:p>
    <w:bookmarkStart w:id="10" w:name="page11"/>
    <w:bookmarkEnd w:id="10"/>
    <w:p>
      <w:pPr>
        <w:ind w:right="40"/>
        <w:spacing w:after="0" w:line="291" w:lineRule="auto"/>
        <w:rPr>
          <w:sz w:val="20"/>
          <w:szCs w:val="20"/>
          <w:color w:val="auto"/>
        </w:rPr>
      </w:pPr>
      <w:r>
        <w:rPr>
          <w:rFonts w:ascii="Arial" w:cs="Arial" w:eastAsia="Arial" w:hAnsi="Arial"/>
          <w:sz w:val="16"/>
          <w:szCs w:val="16"/>
          <w:color w:val="auto"/>
        </w:rPr>
        <w:t>mail that you wish to resume mail delivery of these documents. If you hold your shares of Common Stock through a bank, broker or another holder of record, refer to the information provided by that entity for instructions on how to elect this option.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does a stockholder nominate someone to be a director?</w:t>
      </w:r>
    </w:p>
    <w:p>
      <w:pPr>
        <w:spacing w:after="0" w:line="250"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Director nominations may be made by a stockholder so long as the qualifying stockholder follows the procedures outlined in the amended and restated by-laws of the Company. Pursuant to our by-laws, for a nomination to be made by a stockholder, such stockholder must have given the proper notice within the specific time limits set forth in the relevant provision therein. For the 2016 annual meeting, the Company must receive this notice on or before February 19, 2016. Such notice and nomination should be submitted in writing to the Corporate Secretary of the Company and should include the information required for stockholder nominations set forth in the Company's by-laws.</w:t>
      </w:r>
    </w:p>
    <w:p>
      <w:pPr>
        <w:spacing w:after="0" w:line="190" w:lineRule="exact"/>
        <w:rPr>
          <w:sz w:val="20"/>
          <w:szCs w:val="20"/>
          <w:color w:val="auto"/>
        </w:rPr>
      </w:pPr>
    </w:p>
    <w:p>
      <w:pPr>
        <w:ind w:right="320"/>
        <w:spacing w:after="0" w:line="278" w:lineRule="auto"/>
        <w:rPr>
          <w:sz w:val="20"/>
          <w:szCs w:val="20"/>
          <w:color w:val="auto"/>
        </w:rPr>
      </w:pPr>
      <w:r>
        <w:rPr>
          <w:rFonts w:ascii="Arial" w:cs="Arial" w:eastAsia="Arial" w:hAnsi="Arial"/>
          <w:sz w:val="16"/>
          <w:szCs w:val="16"/>
          <w:color w:val="auto"/>
        </w:rPr>
        <w:t xml:space="preserve">A copy of the full text of the Company's by-law provision describing the procedure for stockholder nominations may be accessed in the "Investor Relations—Corporate Governance" section of the Company's website at </w:t>
      </w:r>
      <w:r>
        <w:rPr>
          <w:rFonts w:ascii="Arial" w:cs="Arial" w:eastAsia="Arial" w:hAnsi="Arial"/>
          <w:sz w:val="16"/>
          <w:szCs w:val="16"/>
          <w:i w:val="1"/>
          <w:iCs w:val="1"/>
          <w:color w:val="auto"/>
        </w:rPr>
        <w:t>www.avisbudgetgroup.com</w:t>
      </w:r>
      <w:r>
        <w:rPr>
          <w:rFonts w:ascii="Arial" w:cs="Arial" w:eastAsia="Arial" w:hAnsi="Arial"/>
          <w:sz w:val="16"/>
          <w:szCs w:val="16"/>
          <w:color w:val="auto"/>
        </w:rPr>
        <w:t>. Nothing contained in any section of the Company's website is incorporated by reference into this Proxy Statement.</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600"/>
          </w:cols>
          <w:pgMar w:left="1380" w:top="438" w:right="919" w:bottom="1440" w:gutter="0" w:footer="0" w:header="0"/>
        </w:sectPr>
      </w:pPr>
    </w:p>
    <w:bookmarkStart w:id="11" w:name="page12"/>
    <w:bookmarkEnd w:id="11"/>
    <w:p>
      <w:pPr>
        <w:ind w:left="332"/>
        <w:spacing w:after="0"/>
        <w:rPr>
          <w:sz w:val="20"/>
          <w:szCs w:val="20"/>
          <w:color w:val="auto"/>
        </w:rPr>
      </w:pPr>
      <w:r>
        <w:rPr>
          <w:rFonts w:ascii="Arial" w:cs="Arial" w:eastAsia="Arial" w:hAnsi="Arial"/>
          <w:sz w:val="16"/>
          <w:szCs w:val="16"/>
          <w:color w:val="auto"/>
        </w:rPr>
        <w:t>Corporate Governance</w:t>
      </w:r>
    </w:p>
    <w:p>
      <w:pPr>
        <w:spacing w:after="0" w:line="254"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Board of Directors</w:t>
      </w:r>
    </w:p>
    <w:p>
      <w:pPr>
        <w:spacing w:after="0" w:line="250" w:lineRule="exact"/>
        <w:rPr>
          <w:sz w:val="20"/>
          <w:szCs w:val="20"/>
          <w:color w:val="auto"/>
        </w:rPr>
      </w:pPr>
    </w:p>
    <w:p>
      <w:pPr>
        <w:ind w:left="332"/>
        <w:spacing w:after="0" w:line="315" w:lineRule="auto"/>
        <w:rPr>
          <w:sz w:val="20"/>
          <w:szCs w:val="20"/>
          <w:color w:val="auto"/>
        </w:rPr>
      </w:pPr>
      <w:r>
        <w:rPr>
          <w:rFonts w:ascii="Arial" w:cs="Arial" w:eastAsia="Arial" w:hAnsi="Arial"/>
          <w:sz w:val="14"/>
          <w:szCs w:val="14"/>
          <w:color w:val="auto"/>
        </w:rPr>
        <w:t>The Board of Directors (the "Board") currently consists of ten members. Each of the directors elected at the Meeting will serve for a term of one year expiring at the 2016 annual meeting of stockholders and until his or her successor is duly elected and qualified or until his or her earlier resignation or removal. The name of each present director, his or her position with the Company, and principal occupations and directorships held with other public companies during the past five years are set forth below. In addition to the information presented below regarding each director's experience, skills and attributes that contribute to the effectiveness of the Board as a whole, each director possesses valuable business management and leadership experience, demonstrates an ability to exercise sound judgment and business acumen, and brings unique perspective to the Board.</w:t>
      </w:r>
    </w:p>
    <w:p>
      <w:pPr>
        <w:spacing w:after="0" w:line="174"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Biographical Information for Nominees</w:t>
      </w:r>
    </w:p>
    <w:p>
      <w:pPr>
        <w:spacing w:after="0" w:line="262" w:lineRule="exact"/>
        <w:rPr>
          <w:sz w:val="20"/>
          <w:szCs w:val="20"/>
          <w:color w:val="auto"/>
        </w:rPr>
      </w:pPr>
    </w:p>
    <w:p>
      <w:pPr>
        <w:ind w:left="332"/>
        <w:spacing w:after="0"/>
        <w:rPr>
          <w:sz w:val="20"/>
          <w:szCs w:val="20"/>
          <w:color w:val="auto"/>
        </w:rPr>
      </w:pPr>
      <w:r>
        <w:rPr>
          <w:rFonts w:ascii="Arial" w:cs="Arial" w:eastAsia="Arial" w:hAnsi="Arial"/>
          <w:sz w:val="16"/>
          <w:szCs w:val="16"/>
          <w:b w:val="1"/>
          <w:bCs w:val="1"/>
          <w:i w:val="1"/>
          <w:iCs w:val="1"/>
          <w:color w:val="auto"/>
        </w:rPr>
        <w:t>MR. 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98425</wp:posOffset>
            </wp:positionV>
            <wp:extent cx="6126480"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26480" cy="4064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Chairman since August 2006</w:t>
      </w:r>
    </w:p>
    <w:p>
      <w:pPr>
        <w:spacing w:after="0" w:line="24"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Board Committees: Executive (Chair)</w:t>
      </w:r>
    </w:p>
    <w:p>
      <w:pPr>
        <w:spacing w:after="0" w:line="257" w:lineRule="exact"/>
        <w:rPr>
          <w:sz w:val="20"/>
          <w:szCs w:val="20"/>
          <w:color w:val="auto"/>
        </w:rPr>
      </w:pPr>
    </w:p>
    <w:p>
      <w:pPr>
        <w:ind w:left="332"/>
        <w:spacing w:after="0" w:line="315" w:lineRule="auto"/>
        <w:rPr>
          <w:sz w:val="20"/>
          <w:szCs w:val="20"/>
          <w:color w:val="auto"/>
        </w:rPr>
      </w:pPr>
      <w:r>
        <w:rPr>
          <w:rFonts w:ascii="Arial" w:cs="Arial" w:eastAsia="Arial" w:hAnsi="Arial"/>
          <w:sz w:val="14"/>
          <w:szCs w:val="14"/>
          <w:color w:val="auto"/>
        </w:rPr>
        <w:t>Mr. Nelson, age 62, has been Chairman and Chief Executive Officer of Avis Budget Group, Inc. since August 2006, and was a member of the Board of Cendant Corporation (as we were previously known) from April 2003 to August 2006. Mr. Nelson held several executive finance and operating roles, starting in April 2003, with Cendant Corporation, including as Chief Financial Officer and President. From November 1994 to March 2003, Mr. Nelson was Co-Chief Operating Officer of DreamWorks SKG. Prior thereto, he was Executive Vice President, Chief Financial Officer and a director at Paramount Communications, Inc., formerly Gulf + Western Industries, Inc. Mr. Nelson serves on the boards of Convergys Corporation and Hanesbrands, Inc., which both file reports pursuant to the Securities Exchange Act of 1934, as amended (the "Exchange Act").</w:t>
      </w:r>
    </w:p>
    <w:p>
      <w:pPr>
        <w:spacing w:after="0" w:line="174"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Specific Qualifications, Attributes, Skills and Experience:</w:t>
      </w:r>
    </w:p>
    <w:p>
      <w:pPr>
        <w:spacing w:after="0" w:line="250" w:lineRule="exact"/>
        <w:rPr>
          <w:sz w:val="20"/>
          <w:szCs w:val="20"/>
          <w:color w:val="auto"/>
        </w:rPr>
      </w:pPr>
    </w:p>
    <w:p>
      <w:pPr>
        <w:ind w:left="612" w:hanging="612"/>
        <w:spacing w:after="0"/>
        <w:tabs>
          <w:tab w:leader="none" w:pos="612"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Chief Executive Officer, Chief Financial Officer and Chief Operating Officer experience</w:t>
      </w:r>
    </w:p>
    <w:p>
      <w:pPr>
        <w:spacing w:after="0" w:line="258" w:lineRule="exact"/>
        <w:rPr>
          <w:rFonts w:ascii="Arial" w:cs="Arial" w:eastAsia="Arial" w:hAnsi="Arial"/>
          <w:sz w:val="16"/>
          <w:szCs w:val="16"/>
          <w:color w:val="auto"/>
        </w:rPr>
      </w:pPr>
    </w:p>
    <w:p>
      <w:pPr>
        <w:ind w:left="612" w:hanging="612"/>
        <w:spacing w:after="0"/>
        <w:tabs>
          <w:tab w:leader="none" w:pos="612"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Extensive Company and industry experience</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10"/>
        </w:numPr>
        <w:rPr>
          <w:rFonts w:ascii="Arial" w:cs="Arial" w:eastAsia="Arial" w:hAnsi="Arial"/>
          <w:sz w:val="16"/>
          <w:szCs w:val="16"/>
          <w:color w:val="auto"/>
        </w:rPr>
      </w:pPr>
      <w:r>
        <w:rPr>
          <w:rFonts w:ascii="Arial" w:cs="Arial" w:eastAsia="Arial" w:hAnsi="Arial"/>
          <w:sz w:val="16"/>
          <w:szCs w:val="16"/>
          <w:color w:val="auto"/>
        </w:rPr>
        <w:t>Significant operating and financial experience</w:t>
      </w:r>
    </w:p>
    <w:p>
      <w:pPr>
        <w:spacing w:after="0" w:line="246" w:lineRule="exact"/>
        <w:rPr>
          <w:sz w:val="20"/>
          <w:szCs w:val="20"/>
          <w:color w:val="auto"/>
        </w:rPr>
      </w:pPr>
    </w:p>
    <w:p>
      <w:pPr>
        <w:ind w:left="332"/>
        <w:spacing w:after="0"/>
        <w:rPr>
          <w:sz w:val="20"/>
          <w:szCs w:val="20"/>
          <w:color w:val="auto"/>
        </w:rPr>
      </w:pPr>
      <w:r>
        <w:rPr>
          <w:rFonts w:ascii="Arial" w:cs="Arial" w:eastAsia="Arial" w:hAnsi="Arial"/>
          <w:sz w:val="16"/>
          <w:szCs w:val="16"/>
          <w:b w:val="1"/>
          <w:bCs w:val="1"/>
          <w:i w:val="1"/>
          <w:iCs w:val="1"/>
          <w:color w:val="auto"/>
        </w:rPr>
        <w:t>MR. ALUN CATHCART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106045</wp:posOffset>
            </wp:positionV>
            <wp:extent cx="6126480"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26480" cy="4064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Board Committees: Audit</w:t>
      </w:r>
    </w:p>
    <w:p>
      <w:pPr>
        <w:spacing w:after="0" w:line="250" w:lineRule="exact"/>
        <w:rPr>
          <w:sz w:val="20"/>
          <w:szCs w:val="20"/>
          <w:color w:val="auto"/>
        </w:rPr>
      </w:pPr>
    </w:p>
    <w:p>
      <w:pPr>
        <w:ind w:left="332"/>
        <w:spacing w:after="0" w:line="270" w:lineRule="auto"/>
        <w:rPr>
          <w:sz w:val="20"/>
          <w:szCs w:val="20"/>
          <w:color w:val="auto"/>
        </w:rPr>
      </w:pPr>
      <w:r>
        <w:rPr>
          <w:rFonts w:ascii="Arial" w:cs="Arial" w:eastAsia="Arial" w:hAnsi="Arial"/>
          <w:sz w:val="16"/>
          <w:szCs w:val="16"/>
          <w:color w:val="auto"/>
        </w:rPr>
        <w:t>Mr. Cathcart, age 71, has been a director since October 2011. Mr. Cathcart was non-executive Chairman of the Board of Avis Europe Plc from May 2004 through October 2011 and also served as Chairman of the Nominations Committee and a member of the Remuneration Committee. Mr. Cathcart served as a member of the Board of Avis Europe from 1997 until it was acquired by Avis Budget Group in 2011. From 1983 to 1999, Mr. Cathcart was Chairman and Chief Executive of Avis Europe and he also served as Interim Chief Executive from November 2003 until March 2004. Mr. Cathcart spent 14 years in executive positions in the transportation industry before joining Avis Europe in 1980. Mr. Cathcart serves as Chairman of Palletways Group Limited.</w:t>
      </w:r>
    </w:p>
    <w:p>
      <w:pPr>
        <w:spacing w:after="0" w:line="212"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Specific Qualifications, Attributes, Skills and Experience:</w:t>
      </w:r>
    </w:p>
    <w:p>
      <w:pPr>
        <w:spacing w:after="0" w:line="250" w:lineRule="exact"/>
        <w:rPr>
          <w:sz w:val="20"/>
          <w:szCs w:val="20"/>
          <w:color w:val="auto"/>
        </w:rPr>
      </w:pPr>
    </w:p>
    <w:p>
      <w:pPr>
        <w:ind w:left="612" w:hanging="612"/>
        <w:spacing w:after="0"/>
        <w:tabs>
          <w:tab w:leader="none" w:pos="6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Chief Executive Officer experience</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Extensive Company and industry experience</w:t>
      </w:r>
    </w:p>
    <w:p>
      <w:pPr>
        <w:spacing w:after="0" w:line="258" w:lineRule="exact"/>
        <w:rPr>
          <w:rFonts w:ascii="Arial" w:cs="Arial" w:eastAsia="Arial" w:hAnsi="Arial"/>
          <w:sz w:val="16"/>
          <w:szCs w:val="16"/>
          <w:color w:val="auto"/>
        </w:rPr>
      </w:pPr>
    </w:p>
    <w:p>
      <w:pPr>
        <w:ind w:left="612" w:hanging="612"/>
        <w:spacing w:after="0"/>
        <w:tabs>
          <w:tab w:leader="none" w:pos="6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Broad international experience, particularly in Europe</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Financial expertise</w:t>
      </w:r>
    </w:p>
    <w:p>
      <w:pPr>
        <w:spacing w:after="0" w:line="103" w:lineRule="exact"/>
        <w:rPr>
          <w:sz w:val="20"/>
          <w:szCs w:val="20"/>
          <w:color w:val="auto"/>
        </w:rPr>
      </w:pPr>
    </w:p>
    <w:p>
      <w:pPr>
        <w:ind w:left="332"/>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70485</wp:posOffset>
            </wp:positionV>
            <wp:extent cx="6850380" cy="35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892"/>
          </w:cols>
          <w:pgMar w:left="1048" w:top="438" w:right="959" w:bottom="1440" w:gutter="0" w:footer="0" w:header="0"/>
        </w:sectPr>
      </w:pPr>
    </w:p>
    <w:bookmarkStart w:id="12" w:name="page13"/>
    <w:bookmarkEnd w:id="12"/>
    <w:p>
      <w:pPr>
        <w:ind w:left="332"/>
        <w:spacing w:after="0"/>
        <w:rPr>
          <w:sz w:val="20"/>
          <w:szCs w:val="20"/>
          <w:color w:val="auto"/>
        </w:rPr>
      </w:pPr>
      <w:r>
        <w:rPr>
          <w:rFonts w:ascii="Arial" w:cs="Arial" w:eastAsia="Arial" w:hAnsi="Arial"/>
          <w:sz w:val="16"/>
          <w:szCs w:val="16"/>
          <w:b w:val="1"/>
          <w:bCs w:val="1"/>
          <w:i w:val="1"/>
          <w:iCs w:val="1"/>
          <w:color w:val="auto"/>
        </w:rPr>
        <w:t>MS. MARY C. CHOKSI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106045</wp:posOffset>
            </wp:positionV>
            <wp:extent cx="612648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26480" cy="4064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Board Committees: Audit, Corporate Governance</w:t>
      </w:r>
    </w:p>
    <w:p>
      <w:pPr>
        <w:spacing w:after="0" w:line="250" w:lineRule="exact"/>
        <w:rPr>
          <w:sz w:val="20"/>
          <w:szCs w:val="20"/>
          <w:color w:val="auto"/>
        </w:rPr>
      </w:pPr>
    </w:p>
    <w:p>
      <w:pPr>
        <w:ind w:left="332" w:right="60"/>
        <w:spacing w:after="0" w:line="287" w:lineRule="auto"/>
        <w:rPr>
          <w:sz w:val="20"/>
          <w:szCs w:val="20"/>
          <w:color w:val="auto"/>
        </w:rPr>
      </w:pPr>
      <w:r>
        <w:rPr>
          <w:rFonts w:ascii="Arial" w:cs="Arial" w:eastAsia="Arial" w:hAnsi="Arial"/>
          <w:sz w:val="15"/>
          <w:szCs w:val="15"/>
          <w:color w:val="auto"/>
        </w:rPr>
        <w:t>Ms. Choksi, age 64, has been a director since March 2007. Ms. Choksi is a founding partner and Senior Managing Director of Strategic Investment Group, an investment management group founded in 1987, which designs and implements global investment strategies for large institutional and individual investors. Within Strategic, Ms. Choksi is a member of the investment strategy group charged with overseeing the asset mix of globally diversified client portfolios, supervises reporting to all clients and has responsibilities in corporate planning. Ms. Choksi was also a founding partner and, until May 2011, a Managing Director at Emerging Markets Investors Corporation ("EMI"). EMI and its successor, Ashmore EMM, manage portfolios of marketable equities in the emerging markets of Asia, Europe, Latin America, Africa and the Middle East on behalf of institutional and private investors. Prior to the establishment of Strategic and EMI, Ms. Choksi worked in the Pension Investment Division of the World Bank, which was responsible for investing the institution's pension plan. Before joining the Bank's finance complex, she worked for nine years in the development arm of the Bank, working on South and Southeast Asia. Ms. Choksi also serves on the board of Omnicom Group Inc., which files reports pursuant to the Exchange Act, and is a member of Omnicom's Audit and Finance Committees. Ms. Choksi also serves as a trustee of various mutual funds in the Franklin Funds family.</w:t>
      </w:r>
    </w:p>
    <w:p>
      <w:pPr>
        <w:spacing w:after="0" w:line="201"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Specific Qualifications, Attributes, Skills and Experience:</w:t>
      </w:r>
    </w:p>
    <w:p>
      <w:pPr>
        <w:spacing w:after="0" w:line="250" w:lineRule="exact"/>
        <w:rPr>
          <w:sz w:val="20"/>
          <w:szCs w:val="20"/>
          <w:color w:val="auto"/>
        </w:rPr>
      </w:pPr>
    </w:p>
    <w:p>
      <w:pPr>
        <w:ind w:left="612" w:hanging="612"/>
        <w:spacing w:after="0"/>
        <w:tabs>
          <w:tab w:leader="none" w:pos="6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Financial and executive management expertise</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Broad international experience</w:t>
      </w:r>
    </w:p>
    <w:p>
      <w:pPr>
        <w:spacing w:after="0" w:line="258" w:lineRule="exact"/>
        <w:rPr>
          <w:rFonts w:ascii="Arial" w:cs="Arial" w:eastAsia="Arial" w:hAnsi="Arial"/>
          <w:sz w:val="16"/>
          <w:szCs w:val="16"/>
          <w:color w:val="auto"/>
        </w:rPr>
      </w:pPr>
    </w:p>
    <w:p>
      <w:pPr>
        <w:ind w:left="612" w:hanging="612"/>
        <w:spacing w:after="0"/>
        <w:tabs>
          <w:tab w:leader="none" w:pos="6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Diverse personal background</w:t>
      </w:r>
    </w:p>
    <w:p>
      <w:pPr>
        <w:spacing w:after="0" w:line="246" w:lineRule="exact"/>
        <w:rPr>
          <w:sz w:val="20"/>
          <w:szCs w:val="20"/>
          <w:color w:val="auto"/>
        </w:rPr>
      </w:pPr>
    </w:p>
    <w:p>
      <w:pPr>
        <w:ind w:left="332"/>
        <w:spacing w:after="0"/>
        <w:rPr>
          <w:sz w:val="20"/>
          <w:szCs w:val="20"/>
          <w:color w:val="auto"/>
        </w:rPr>
      </w:pPr>
      <w:r>
        <w:rPr>
          <w:rFonts w:ascii="Arial" w:cs="Arial" w:eastAsia="Arial" w:hAnsi="Arial"/>
          <w:sz w:val="16"/>
          <w:szCs w:val="16"/>
          <w:b w:val="1"/>
          <w:bCs w:val="1"/>
          <w:i w:val="1"/>
          <w:iCs w:val="1"/>
          <w:color w:val="auto"/>
        </w:rPr>
        <w:t>MR. LEONARD S.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98425</wp:posOffset>
            </wp:positionV>
            <wp:extent cx="6126480"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26480" cy="4064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Presiding Director</w:t>
      </w:r>
    </w:p>
    <w:p>
      <w:pPr>
        <w:spacing w:after="0" w:line="246"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Board Committees: Compensation, Corporate Governance (Chair)</w:t>
      </w:r>
    </w:p>
    <w:p>
      <w:pPr>
        <w:spacing w:after="0" w:line="250" w:lineRule="exact"/>
        <w:rPr>
          <w:sz w:val="20"/>
          <w:szCs w:val="20"/>
          <w:color w:val="auto"/>
        </w:rPr>
      </w:pPr>
    </w:p>
    <w:p>
      <w:pPr>
        <w:ind w:left="332"/>
        <w:spacing w:after="0" w:line="287" w:lineRule="auto"/>
        <w:rPr>
          <w:sz w:val="20"/>
          <w:szCs w:val="20"/>
          <w:color w:val="auto"/>
        </w:rPr>
      </w:pPr>
      <w:r>
        <w:rPr>
          <w:rFonts w:ascii="Arial" w:cs="Arial" w:eastAsia="Arial" w:hAnsi="Arial"/>
          <w:sz w:val="15"/>
          <w:szCs w:val="15"/>
          <w:color w:val="auto"/>
        </w:rPr>
        <w:t>Mr. Coleman, age 66, has been a member of the Board of Avis Budget Group, Inc. since August 2006, and was a member of the Board of Cendant Corporation (as we were previously known) from 1997 to August 2006. Mr. Coleman was a Senior Advisor to Major League Baseball from 1999 to December 2005. Mr. Coleman was the President of The National League of Professional Baseball Clubs from 1994 to 1999, having served from 1992 to 1994 as Executive Director, Market Development of Major League Baseball. Previously, Mr. Coleman was a municipal finance banker for Kidder, Peabody &amp; Company. Prior to joining Kidder, Mr. Coleman served as commissioner of the New Jersey Department of Community Affairs and the Department of Energy, and chairman of the Hackensack Meadowlands Development Commission and the New Jersey Housing and Mortgage Finance Agency. He also served as the vice chairman of the State Commission on Ethical Standards, and a member of the Economic Development Authority, Urban Enterprise Zone Authority, Urban Development Authority, State Planning Commission and New Jersey Public Television Commission. Mr. Coleman is also a director of the following corporations which file reports pursuant to the Exchange Act: Aramark Holdings Corporation, Electronic Arts Inc. and Omnicom Group Inc.</w:t>
      </w:r>
    </w:p>
    <w:p>
      <w:pPr>
        <w:spacing w:after="0" w:line="204"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Specific Qualifications, Attributes, Skills and Experience:</w:t>
      </w:r>
    </w:p>
    <w:p>
      <w:pPr>
        <w:spacing w:after="0" w:line="250" w:lineRule="exact"/>
        <w:rPr>
          <w:sz w:val="20"/>
          <w:szCs w:val="20"/>
          <w:color w:val="auto"/>
        </w:rPr>
      </w:pPr>
    </w:p>
    <w:p>
      <w:pPr>
        <w:ind w:left="612" w:hanging="612"/>
        <w:spacing w:after="0"/>
        <w:tabs>
          <w:tab w:leader="none" w:pos="612" w:val="left"/>
        </w:tabs>
        <w:numPr>
          <w:ilvl w:val="0"/>
          <w:numId w:val="13"/>
        </w:numPr>
        <w:rPr>
          <w:rFonts w:ascii="Arial" w:cs="Arial" w:eastAsia="Arial" w:hAnsi="Arial"/>
          <w:sz w:val="16"/>
          <w:szCs w:val="16"/>
          <w:color w:val="auto"/>
        </w:rPr>
      </w:pPr>
      <w:r>
        <w:rPr>
          <w:rFonts w:ascii="Arial" w:cs="Arial" w:eastAsia="Arial" w:hAnsi="Arial"/>
          <w:sz w:val="16"/>
          <w:szCs w:val="16"/>
          <w:color w:val="auto"/>
        </w:rPr>
        <w:t>History with the Company</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13"/>
        </w:numPr>
        <w:rPr>
          <w:rFonts w:ascii="Arial" w:cs="Arial" w:eastAsia="Arial" w:hAnsi="Arial"/>
          <w:sz w:val="16"/>
          <w:szCs w:val="16"/>
          <w:color w:val="auto"/>
        </w:rPr>
      </w:pPr>
      <w:r>
        <w:rPr>
          <w:rFonts w:ascii="Arial" w:cs="Arial" w:eastAsia="Arial" w:hAnsi="Arial"/>
          <w:sz w:val="16"/>
          <w:szCs w:val="16"/>
          <w:color w:val="auto"/>
        </w:rPr>
        <w:t>Public service background</w:t>
      </w:r>
    </w:p>
    <w:p>
      <w:pPr>
        <w:spacing w:after="0" w:line="258" w:lineRule="exact"/>
        <w:rPr>
          <w:rFonts w:ascii="Arial" w:cs="Arial" w:eastAsia="Arial" w:hAnsi="Arial"/>
          <w:sz w:val="16"/>
          <w:szCs w:val="16"/>
          <w:color w:val="auto"/>
        </w:rPr>
      </w:pPr>
    </w:p>
    <w:p>
      <w:pPr>
        <w:ind w:left="612" w:hanging="612"/>
        <w:spacing w:after="0"/>
        <w:tabs>
          <w:tab w:leader="none" w:pos="612"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Executive management experience</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International experience</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Diverse personal background</w:t>
      </w:r>
    </w:p>
    <w:p>
      <w:pPr>
        <w:spacing w:after="0" w:line="103" w:lineRule="exact"/>
        <w:rPr>
          <w:sz w:val="20"/>
          <w:szCs w:val="20"/>
          <w:color w:val="auto"/>
        </w:rPr>
      </w:pPr>
    </w:p>
    <w:p>
      <w:pPr>
        <w:ind w:left="332"/>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70485</wp:posOffset>
            </wp:positionV>
            <wp:extent cx="6850380" cy="35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912"/>
          </w:cols>
          <w:pgMar w:left="1048" w:top="438" w:right="939" w:bottom="1440" w:gutter="0" w:footer="0" w:header="0"/>
        </w:sectPr>
      </w:pPr>
    </w:p>
    <w:bookmarkStart w:id="13" w:name="page14"/>
    <w:bookmarkEnd w:id="13"/>
    <w:p>
      <w:pPr>
        <w:ind w:left="332"/>
        <w:spacing w:after="0"/>
        <w:rPr>
          <w:sz w:val="20"/>
          <w:szCs w:val="20"/>
          <w:color w:val="auto"/>
        </w:rPr>
      </w:pPr>
      <w:r>
        <w:rPr>
          <w:rFonts w:ascii="Arial" w:cs="Arial" w:eastAsia="Arial" w:hAnsi="Arial"/>
          <w:sz w:val="16"/>
          <w:szCs w:val="16"/>
          <w:b w:val="1"/>
          <w:bCs w:val="1"/>
          <w:i w:val="1"/>
          <w:iCs w:val="1"/>
          <w:color w:val="auto"/>
        </w:rPr>
        <w:t>MR. JEFFREY H.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106045</wp:posOffset>
            </wp:positionV>
            <wp:extent cx="6126480"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26480" cy="4064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332"/>
        <w:spacing w:after="0" w:line="291" w:lineRule="auto"/>
        <w:rPr>
          <w:sz w:val="20"/>
          <w:szCs w:val="20"/>
          <w:color w:val="auto"/>
        </w:rPr>
      </w:pPr>
      <w:r>
        <w:rPr>
          <w:rFonts w:ascii="Arial" w:cs="Arial" w:eastAsia="Arial" w:hAnsi="Arial"/>
          <w:sz w:val="15"/>
          <w:szCs w:val="15"/>
          <w:color w:val="auto"/>
        </w:rPr>
        <w:t>Mr. Fox, age 53, has been a director since July 2013. Mr. Fox is a principal of The Circumference Group LLC, an investment and advisory firm which he founded in 2009. Mr. Fox was President and Chief Executive Officer of Convergys Corporation from 2010 to November 2012, and then Executive Chairman until April 2013. Previously, Mr. Fox worked for Alltel Corporation as Chief Operating Officer from 2007 through 2008, and as Group President from 2003 until 2007. Prior to joining Alltel, Mr. Fox worked in investment banking for ten years with Stephens Inc., preceded by two years with Merrill Lynch, specializing in mergers and acquisitions advisory services. Mr. Fox also currently serves as non-executive Chairman of the Board of Convergys Corporation, a company that files reports pursuant to the Exchange Act.</w:t>
      </w:r>
    </w:p>
    <w:p>
      <w:pPr>
        <w:spacing w:after="0" w:line="187"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Specific Qualifications, Attributes, Skills and Experience:</w:t>
      </w:r>
    </w:p>
    <w:p>
      <w:pPr>
        <w:spacing w:after="0" w:line="262" w:lineRule="exact"/>
        <w:rPr>
          <w:sz w:val="20"/>
          <w:szCs w:val="20"/>
          <w:color w:val="auto"/>
        </w:rPr>
      </w:pPr>
    </w:p>
    <w:p>
      <w:pPr>
        <w:ind w:left="612" w:hanging="612"/>
        <w:spacing w:after="0"/>
        <w:tabs>
          <w:tab w:leader="none" w:pos="612"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Chief Executive Officer and Chief Operating Officer experience</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Technology expertise</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14"/>
        </w:numPr>
        <w:rPr>
          <w:rFonts w:ascii="Arial" w:cs="Arial" w:eastAsia="Arial" w:hAnsi="Arial"/>
          <w:sz w:val="16"/>
          <w:szCs w:val="16"/>
          <w:color w:val="auto"/>
        </w:rPr>
      </w:pPr>
      <w:r>
        <w:rPr>
          <w:rFonts w:ascii="Arial" w:cs="Arial" w:eastAsia="Arial" w:hAnsi="Arial"/>
          <w:sz w:val="16"/>
          <w:szCs w:val="16"/>
          <w:color w:val="auto"/>
        </w:rPr>
        <w:t>Significant operating experience</w:t>
      </w:r>
    </w:p>
    <w:p>
      <w:pPr>
        <w:spacing w:after="0" w:line="258" w:lineRule="exact"/>
        <w:rPr>
          <w:rFonts w:ascii="Arial" w:cs="Arial" w:eastAsia="Arial" w:hAnsi="Arial"/>
          <w:sz w:val="16"/>
          <w:szCs w:val="16"/>
          <w:color w:val="auto"/>
        </w:rPr>
      </w:pPr>
    </w:p>
    <w:p>
      <w:pPr>
        <w:ind w:left="612" w:hanging="612"/>
        <w:spacing w:after="0"/>
        <w:tabs>
          <w:tab w:leader="none" w:pos="612" w:val="left"/>
        </w:tabs>
        <w:numPr>
          <w:ilvl w:val="0"/>
          <w:numId w:val="14"/>
        </w:numPr>
        <w:rPr>
          <w:rFonts w:ascii="Arial" w:cs="Arial" w:eastAsia="Arial" w:hAnsi="Arial"/>
          <w:sz w:val="16"/>
          <w:szCs w:val="16"/>
          <w:color w:val="auto"/>
        </w:rPr>
      </w:pPr>
      <w:r>
        <w:rPr>
          <w:rFonts w:ascii="Arial" w:cs="Arial" w:eastAsia="Arial" w:hAnsi="Arial"/>
          <w:sz w:val="16"/>
          <w:szCs w:val="16"/>
          <w:color w:val="auto"/>
        </w:rPr>
        <w:t>Financial expertise</w:t>
      </w:r>
    </w:p>
    <w:p>
      <w:pPr>
        <w:spacing w:after="0" w:line="246" w:lineRule="exact"/>
        <w:rPr>
          <w:sz w:val="20"/>
          <w:szCs w:val="20"/>
          <w:color w:val="auto"/>
        </w:rPr>
      </w:pPr>
    </w:p>
    <w:p>
      <w:pPr>
        <w:ind w:left="332"/>
        <w:spacing w:after="0"/>
        <w:rPr>
          <w:sz w:val="20"/>
          <w:szCs w:val="20"/>
          <w:color w:val="auto"/>
        </w:rPr>
      </w:pPr>
      <w:r>
        <w:rPr>
          <w:rFonts w:ascii="Arial" w:cs="Arial" w:eastAsia="Arial" w:hAnsi="Arial"/>
          <w:sz w:val="16"/>
          <w:szCs w:val="16"/>
          <w:b w:val="1"/>
          <w:bCs w:val="1"/>
          <w:i w:val="1"/>
          <w:iCs w:val="1"/>
          <w:color w:val="auto"/>
        </w:rPr>
        <w:t>MR. JOHN D. HARDY,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98425</wp:posOffset>
            </wp:positionV>
            <wp:extent cx="6126480"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26480" cy="4064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Board Committees: Compensation (Chair)</w:t>
      </w:r>
    </w:p>
    <w:p>
      <w:pPr>
        <w:spacing w:after="0" w:line="250" w:lineRule="exact"/>
        <w:rPr>
          <w:sz w:val="20"/>
          <w:szCs w:val="20"/>
          <w:color w:val="auto"/>
        </w:rPr>
      </w:pPr>
    </w:p>
    <w:p>
      <w:pPr>
        <w:ind w:left="332" w:right="40"/>
        <w:spacing w:after="0" w:line="273" w:lineRule="auto"/>
        <w:rPr>
          <w:sz w:val="20"/>
          <w:szCs w:val="20"/>
          <w:color w:val="auto"/>
        </w:rPr>
      </w:pPr>
      <w:r>
        <w:rPr>
          <w:rFonts w:ascii="Arial" w:cs="Arial" w:eastAsia="Arial" w:hAnsi="Arial"/>
          <w:sz w:val="16"/>
          <w:szCs w:val="16"/>
          <w:color w:val="auto"/>
        </w:rPr>
        <w:t>Mr. Hardy, 71, has been a director since April 2008. From 1973 until his retirement in 2008, Mr. Hardy was first an associate and later a partner at the law firm of O'Melveny &amp; Myers LLP where he practiced corporate and securities law and served on the firm's compensation and bonus committee. From June 2008 through June 2009, Mr. Hardy was a partner at the law firm of Venable LLP, where he focused on recruitment and practice development for the firm's West Coast business practice.</w:t>
      </w:r>
    </w:p>
    <w:p>
      <w:pPr>
        <w:spacing w:after="0" w:line="199"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Specific Qualifications, Attributes, Skills and Experience:</w:t>
      </w:r>
    </w:p>
    <w:p>
      <w:pPr>
        <w:spacing w:after="0" w:line="262" w:lineRule="exact"/>
        <w:rPr>
          <w:sz w:val="20"/>
          <w:szCs w:val="20"/>
          <w:color w:val="auto"/>
        </w:rPr>
      </w:pPr>
    </w:p>
    <w:p>
      <w:pPr>
        <w:ind w:left="612" w:hanging="612"/>
        <w:spacing w:after="0"/>
        <w:tabs>
          <w:tab w:leader="none" w:pos="612"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Extensive legal background</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15"/>
        </w:numPr>
        <w:rPr>
          <w:rFonts w:ascii="Arial" w:cs="Arial" w:eastAsia="Arial" w:hAnsi="Arial"/>
          <w:sz w:val="16"/>
          <w:szCs w:val="16"/>
          <w:color w:val="auto"/>
        </w:rPr>
      </w:pPr>
      <w:r>
        <w:rPr>
          <w:rFonts w:ascii="Arial" w:cs="Arial" w:eastAsia="Arial" w:hAnsi="Arial"/>
          <w:sz w:val="16"/>
          <w:szCs w:val="16"/>
          <w:color w:val="auto"/>
        </w:rPr>
        <w:t>Significant securities law expertise</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Compensation experience</w:t>
      </w:r>
    </w:p>
    <w:p>
      <w:pPr>
        <w:spacing w:after="0" w:line="200" w:lineRule="exact"/>
        <w:rPr>
          <w:sz w:val="20"/>
          <w:szCs w:val="20"/>
          <w:color w:val="auto"/>
        </w:rPr>
      </w:pPr>
    </w:p>
    <w:p>
      <w:pPr>
        <w:spacing w:after="0" w:line="285" w:lineRule="exact"/>
        <w:rPr>
          <w:sz w:val="20"/>
          <w:szCs w:val="20"/>
          <w:color w:val="auto"/>
        </w:rPr>
      </w:pPr>
    </w:p>
    <w:p>
      <w:pPr>
        <w:ind w:left="332"/>
        <w:spacing w:after="0"/>
        <w:rPr>
          <w:sz w:val="20"/>
          <w:szCs w:val="20"/>
          <w:color w:val="auto"/>
        </w:rPr>
      </w:pPr>
      <w:r>
        <w:rPr>
          <w:rFonts w:ascii="Arial" w:cs="Arial" w:eastAsia="Arial" w:hAnsi="Arial"/>
          <w:sz w:val="16"/>
          <w:szCs w:val="16"/>
          <w:b w:val="1"/>
          <w:bCs w:val="1"/>
          <w:i w:val="1"/>
          <w:iCs w:val="1"/>
          <w:color w:val="auto"/>
        </w:rPr>
        <w:t>MS. LYNN KROMINGA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98425</wp:posOffset>
            </wp:positionV>
            <wp:extent cx="6126480"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26480" cy="4064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Board Committees: Audit, Compensation</w:t>
      </w:r>
    </w:p>
    <w:p>
      <w:pPr>
        <w:spacing w:after="0" w:line="250" w:lineRule="exact"/>
        <w:rPr>
          <w:sz w:val="20"/>
          <w:szCs w:val="20"/>
          <w:color w:val="auto"/>
        </w:rPr>
      </w:pPr>
    </w:p>
    <w:p>
      <w:pPr>
        <w:ind w:left="332"/>
        <w:spacing w:after="0" w:line="287" w:lineRule="auto"/>
        <w:rPr>
          <w:sz w:val="20"/>
          <w:szCs w:val="20"/>
          <w:color w:val="auto"/>
        </w:rPr>
      </w:pPr>
      <w:r>
        <w:rPr>
          <w:rFonts w:ascii="Arial" w:cs="Arial" w:eastAsia="Arial" w:hAnsi="Arial"/>
          <w:sz w:val="15"/>
          <w:szCs w:val="15"/>
          <w:color w:val="auto"/>
        </w:rPr>
        <w:t>Ms. Krominga, age 64, has been a director since October 2006. Ms. Krominga is a management consultant and attorney. Since 1999, Ms. Krominga has been a consultant to private equity and venture capital investors, in which capacity she served in a number of operating and board positions, including Chief Executive Officer of Fashion Wire Daily, Inc.; Director and member of the Audit Committee of AHAVA, a global cosmeceuticals company; and advisor to London-based Apax Partners for acquisitions in Israel and the United States. She is the former President (and founder) of the Revlon Worldwide Licensing Division, and previously served as General Counsel and as International Counsel for Revlon's global operations. Until January 2013 (when the company was sold), Ms. Krominga served as Lead Director of Sunrise Senior Living, Inc. From March through November 2008, she served as Chairman of the Board of Sunrise Senior Living (until the former CEO assumed that role); as Chairman of the Compensation Committee from 2008 to 2011; and as a member of the Audit, Compensation and Governance Committees from 2007 to 2013. Prior to joining Revlon, she was an attorney at American Express Company and an associate at Cleary, Gottlieb, Steen &amp; Hamilton. Ms. Krominga also currently serves on the Board of Advisors of the University of Minnesota Law School.</w:t>
      </w:r>
    </w:p>
    <w:p>
      <w:pPr>
        <w:spacing w:after="0" w:line="192"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Specific Qualifications, Attributes, Skills and Experience:</w:t>
      </w:r>
    </w:p>
    <w:p>
      <w:pPr>
        <w:spacing w:after="0" w:line="262" w:lineRule="exact"/>
        <w:rPr>
          <w:sz w:val="20"/>
          <w:szCs w:val="20"/>
          <w:color w:val="auto"/>
        </w:rPr>
      </w:pPr>
    </w:p>
    <w:p>
      <w:pPr>
        <w:ind w:left="612" w:hanging="612"/>
        <w:spacing w:after="0"/>
        <w:tabs>
          <w:tab w:leader="none" w:pos="612" w:val="left"/>
        </w:tabs>
        <w:numPr>
          <w:ilvl w:val="0"/>
          <w:numId w:val="16"/>
        </w:numPr>
        <w:rPr>
          <w:rFonts w:ascii="Arial" w:cs="Arial" w:eastAsia="Arial" w:hAnsi="Arial"/>
          <w:sz w:val="16"/>
          <w:szCs w:val="16"/>
          <w:color w:val="auto"/>
        </w:rPr>
      </w:pPr>
      <w:r>
        <w:rPr>
          <w:rFonts w:ascii="Arial" w:cs="Arial" w:eastAsia="Arial" w:hAnsi="Arial"/>
          <w:sz w:val="16"/>
          <w:szCs w:val="16"/>
          <w:color w:val="auto"/>
        </w:rPr>
        <w:t>Significant legal, governance, licensing and regulatory expertise</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International experience</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Executive management experience and financial expertise</w:t>
      </w:r>
    </w:p>
    <w:p>
      <w:pPr>
        <w:spacing w:after="0" w:line="258" w:lineRule="exact"/>
        <w:rPr>
          <w:rFonts w:ascii="Arial" w:cs="Arial" w:eastAsia="Arial" w:hAnsi="Arial"/>
          <w:sz w:val="16"/>
          <w:szCs w:val="16"/>
          <w:color w:val="auto"/>
        </w:rPr>
      </w:pPr>
    </w:p>
    <w:p>
      <w:pPr>
        <w:ind w:left="612" w:hanging="612"/>
        <w:spacing w:after="0"/>
        <w:tabs>
          <w:tab w:leader="none" w:pos="612"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Diverse personal background</w:t>
      </w:r>
    </w:p>
    <w:p>
      <w:pPr>
        <w:sectPr>
          <w:pgSz w:w="11900" w:h="16838" w:orient="portrait"/>
          <w:cols w:equalWidth="0" w:num="1">
            <w:col w:w="9912"/>
          </w:cols>
          <w:pgMar w:left="1048" w:top="438" w:right="939" w:bottom="1440" w:gutter="0" w:footer="0" w:header="0"/>
        </w:sectPr>
      </w:pPr>
    </w:p>
    <w:p>
      <w:pPr>
        <w:spacing w:after="0" w:line="103" w:lineRule="exact"/>
        <w:rPr>
          <w:sz w:val="20"/>
          <w:szCs w:val="20"/>
          <w:color w:val="auto"/>
        </w:rPr>
      </w:pPr>
    </w:p>
    <w:p>
      <w:pPr>
        <w:ind w:left="332"/>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85090</wp:posOffset>
            </wp:positionV>
            <wp:extent cx="6850380" cy="35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912"/>
          </w:cols>
          <w:pgMar w:left="1048" w:top="438" w:right="939" w:bottom="1440" w:gutter="0" w:footer="0" w:header="0"/>
          <w:type w:val="continuous"/>
        </w:sectPr>
      </w:pPr>
    </w:p>
    <w:bookmarkStart w:id="14" w:name="page15"/>
    <w:bookmarkEnd w:id="14"/>
    <w:p>
      <w:pPr>
        <w:ind w:left="332"/>
        <w:spacing w:after="0"/>
        <w:rPr>
          <w:sz w:val="20"/>
          <w:szCs w:val="20"/>
          <w:color w:val="auto"/>
        </w:rPr>
      </w:pPr>
      <w:r>
        <w:rPr>
          <w:rFonts w:ascii="Arial" w:cs="Arial" w:eastAsia="Arial" w:hAnsi="Arial"/>
          <w:sz w:val="16"/>
          <w:szCs w:val="16"/>
          <w:b w:val="1"/>
          <w:bCs w:val="1"/>
          <w:i w:val="1"/>
          <w:iCs w:val="1"/>
          <w:color w:val="auto"/>
        </w:rPr>
        <w:t>MR. EDUARDO G. MESTRE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106045</wp:posOffset>
            </wp:positionV>
            <wp:extent cx="6126480"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26480" cy="4064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Board Committees: Executive</w:t>
      </w:r>
    </w:p>
    <w:p>
      <w:pPr>
        <w:spacing w:after="0" w:line="250" w:lineRule="exact"/>
        <w:rPr>
          <w:sz w:val="20"/>
          <w:szCs w:val="20"/>
          <w:color w:val="auto"/>
        </w:rPr>
      </w:pPr>
    </w:p>
    <w:p>
      <w:pPr>
        <w:ind w:left="332" w:right="120"/>
        <w:spacing w:after="0" w:line="318" w:lineRule="auto"/>
        <w:rPr>
          <w:sz w:val="20"/>
          <w:szCs w:val="20"/>
          <w:color w:val="auto"/>
        </w:rPr>
      </w:pPr>
      <w:r>
        <w:rPr>
          <w:rFonts w:ascii="Arial" w:cs="Arial" w:eastAsia="Arial" w:hAnsi="Arial"/>
          <w:sz w:val="14"/>
          <w:szCs w:val="14"/>
          <w:color w:val="auto"/>
        </w:rPr>
        <w:t>Mr. Mestre, age 66, has been a director since July 2008. Mr. Mestre has been Senior Advisor of Global Advisory at Evercore Partners Inc., an independent investment banking advisory firm, since April 2014. From February 2012 until April 2014, he was a Senior Managing Director and Chairman of Global Advisory of Evercore Partners, and from October 2004 until February 2012, he was a Vice Chairman of Evercore Partners. Prior to joining Evercore, Mr. Mestre served as Chairman of Investment Banking at Citigroup, among numerous leadership positions he held during a 27-year career there. Mr. Mestre also serves as a director of Comcast Corporation, a company that files reports pursuant to the Exchange Act.</w:t>
      </w:r>
    </w:p>
    <w:p>
      <w:pPr>
        <w:spacing w:after="0" w:line="184"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Specific Qualifications, Attributes, Skills and Experience:</w:t>
      </w:r>
    </w:p>
    <w:p>
      <w:pPr>
        <w:spacing w:after="0" w:line="250" w:lineRule="exact"/>
        <w:rPr>
          <w:sz w:val="20"/>
          <w:szCs w:val="20"/>
          <w:color w:val="auto"/>
        </w:rPr>
      </w:pPr>
    </w:p>
    <w:p>
      <w:pPr>
        <w:ind w:left="612" w:hanging="612"/>
        <w:spacing w:after="0"/>
        <w:tabs>
          <w:tab w:leader="none" w:pos="612" w:val="left"/>
        </w:tabs>
        <w:numPr>
          <w:ilvl w:val="0"/>
          <w:numId w:val="17"/>
        </w:numPr>
        <w:rPr>
          <w:rFonts w:ascii="Arial" w:cs="Arial" w:eastAsia="Arial" w:hAnsi="Arial"/>
          <w:sz w:val="16"/>
          <w:szCs w:val="16"/>
          <w:color w:val="auto"/>
        </w:rPr>
      </w:pPr>
      <w:r>
        <w:rPr>
          <w:rFonts w:ascii="Arial" w:cs="Arial" w:eastAsia="Arial" w:hAnsi="Arial"/>
          <w:sz w:val="16"/>
          <w:szCs w:val="16"/>
          <w:color w:val="auto"/>
        </w:rPr>
        <w:t>Financial expertise</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Extensive advisory experience</w:t>
      </w:r>
    </w:p>
    <w:p>
      <w:pPr>
        <w:spacing w:after="0" w:line="258" w:lineRule="exact"/>
        <w:rPr>
          <w:rFonts w:ascii="Arial" w:cs="Arial" w:eastAsia="Arial" w:hAnsi="Arial"/>
          <w:sz w:val="16"/>
          <w:szCs w:val="16"/>
          <w:color w:val="auto"/>
        </w:rPr>
      </w:pPr>
    </w:p>
    <w:p>
      <w:pPr>
        <w:ind w:left="612" w:hanging="612"/>
        <w:spacing w:after="0"/>
        <w:tabs>
          <w:tab w:leader="none" w:pos="612"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Diverse personal background</w:t>
      </w:r>
    </w:p>
    <w:p>
      <w:pPr>
        <w:spacing w:after="0" w:line="246" w:lineRule="exact"/>
        <w:rPr>
          <w:sz w:val="20"/>
          <w:szCs w:val="20"/>
          <w:color w:val="auto"/>
        </w:rPr>
      </w:pPr>
    </w:p>
    <w:p>
      <w:pPr>
        <w:ind w:left="332"/>
        <w:spacing w:after="0"/>
        <w:rPr>
          <w:sz w:val="20"/>
          <w:szCs w:val="20"/>
          <w:color w:val="auto"/>
        </w:rPr>
      </w:pPr>
      <w:r>
        <w:rPr>
          <w:rFonts w:ascii="Arial" w:cs="Arial" w:eastAsia="Arial" w:hAnsi="Arial"/>
          <w:sz w:val="16"/>
          <w:szCs w:val="16"/>
          <w:b w:val="1"/>
          <w:bCs w:val="1"/>
          <w:i w:val="1"/>
          <w:iCs w:val="1"/>
          <w:color w:val="auto"/>
        </w:rPr>
        <w:t>MR. F. ROBERT SALERNO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98425</wp:posOffset>
            </wp:positionV>
            <wp:extent cx="6126480"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26480" cy="4064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Board Committees: Executive</w:t>
      </w:r>
    </w:p>
    <w:p>
      <w:pPr>
        <w:spacing w:after="0" w:line="250" w:lineRule="exact"/>
        <w:rPr>
          <w:sz w:val="20"/>
          <w:szCs w:val="20"/>
          <w:color w:val="auto"/>
        </w:rPr>
      </w:pPr>
    </w:p>
    <w:p>
      <w:pPr>
        <w:ind w:left="332" w:right="240"/>
        <w:spacing w:after="0" w:line="271" w:lineRule="auto"/>
        <w:rPr>
          <w:sz w:val="20"/>
          <w:szCs w:val="20"/>
          <w:color w:val="auto"/>
        </w:rPr>
      </w:pPr>
      <w:r>
        <w:rPr>
          <w:rFonts w:ascii="Arial" w:cs="Arial" w:eastAsia="Arial" w:hAnsi="Arial"/>
          <w:sz w:val="16"/>
          <w:szCs w:val="16"/>
          <w:color w:val="auto"/>
        </w:rPr>
        <w:t>Mr. Salerno, age 63, has been a director since August 2006. Mr. Salerno was previously Vice Chairman of the Company from June 2010 through December 2011, and President and Chief Operating Officer of the Company from August 2006 to June 2010. For nearly 30 years, Mr. Salerno held numerous leadership positions with the Company, including as chief executive of Cendant's vehicle rental business and as President and Chief Operating Officer of Avis from 1996 to November 2002. Mr. Salerno serves on the board of Norwegian Cruise Line Holdings, Ltd., which files reports pursuant to the Exchange Act.</w:t>
      </w:r>
    </w:p>
    <w:p>
      <w:pPr>
        <w:spacing w:after="0" w:line="200"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Specific Qualifications, Attributes, Skills and Experience:</w:t>
      </w:r>
    </w:p>
    <w:p>
      <w:pPr>
        <w:spacing w:after="0" w:line="262" w:lineRule="exact"/>
        <w:rPr>
          <w:sz w:val="20"/>
          <w:szCs w:val="20"/>
          <w:color w:val="auto"/>
        </w:rPr>
      </w:pPr>
    </w:p>
    <w:p>
      <w:pPr>
        <w:ind w:left="612" w:hanging="612"/>
        <w:spacing w:after="0"/>
        <w:tabs>
          <w:tab w:leader="none" w:pos="612"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Chief Operating Officer experience</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Extensive Company and industry experience</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18"/>
        </w:numPr>
        <w:rPr>
          <w:rFonts w:ascii="Arial" w:cs="Arial" w:eastAsia="Arial" w:hAnsi="Arial"/>
          <w:sz w:val="16"/>
          <w:szCs w:val="16"/>
          <w:color w:val="auto"/>
        </w:rPr>
      </w:pPr>
      <w:r>
        <w:rPr>
          <w:rFonts w:ascii="Arial" w:cs="Arial" w:eastAsia="Arial" w:hAnsi="Arial"/>
          <w:sz w:val="16"/>
          <w:szCs w:val="16"/>
          <w:color w:val="auto"/>
        </w:rPr>
        <w:t>Significant operating experience</w:t>
      </w:r>
    </w:p>
    <w:p>
      <w:pPr>
        <w:spacing w:after="0" w:line="258" w:lineRule="exact"/>
        <w:rPr>
          <w:sz w:val="20"/>
          <w:szCs w:val="20"/>
          <w:color w:val="auto"/>
        </w:rPr>
      </w:pPr>
    </w:p>
    <w:p>
      <w:pPr>
        <w:ind w:left="332"/>
        <w:spacing w:after="0"/>
        <w:rPr>
          <w:sz w:val="20"/>
          <w:szCs w:val="20"/>
          <w:color w:val="auto"/>
        </w:rPr>
      </w:pPr>
      <w:r>
        <w:rPr>
          <w:rFonts w:ascii="Arial" w:cs="Arial" w:eastAsia="Arial" w:hAnsi="Arial"/>
          <w:sz w:val="16"/>
          <w:szCs w:val="16"/>
          <w:b w:val="1"/>
          <w:bCs w:val="1"/>
          <w:i w:val="1"/>
          <w:iCs w:val="1"/>
          <w:color w:val="auto"/>
        </w:rPr>
        <w:t>MR. STENDER E.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98425</wp:posOffset>
            </wp:positionV>
            <wp:extent cx="6126480"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26480" cy="4064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Board Committees: Audit (Chair), Corporate Governance</w:t>
      </w:r>
    </w:p>
    <w:p>
      <w:pPr>
        <w:spacing w:after="0" w:line="262" w:lineRule="exact"/>
        <w:rPr>
          <w:sz w:val="20"/>
          <w:szCs w:val="20"/>
          <w:color w:val="auto"/>
        </w:rPr>
      </w:pPr>
    </w:p>
    <w:p>
      <w:pPr>
        <w:ind w:left="332"/>
        <w:spacing w:after="0" w:line="269" w:lineRule="auto"/>
        <w:rPr>
          <w:sz w:val="20"/>
          <w:szCs w:val="20"/>
          <w:color w:val="auto"/>
        </w:rPr>
      </w:pPr>
      <w:r>
        <w:rPr>
          <w:rFonts w:ascii="Arial" w:cs="Arial" w:eastAsia="Arial" w:hAnsi="Arial"/>
          <w:sz w:val="16"/>
          <w:szCs w:val="16"/>
          <w:color w:val="auto"/>
        </w:rPr>
        <w:t>Mr. Sweeney, age 76, has been a director since August 2006. Mr. Sweeney has been a financial advisor and equity investor in several privately held enterprises since 1998. In 1997, Mr. Sweeney served in a senior financial and operating capacity for a joint venture between DreamWorks SKG and Pacific Data Images. From 1995 to 1996, Mr. Sweeney was the Chief Executive Officer and a director of Vehicle Information Network, a database management and marketing company. From 1994 to 1995, Mr. Sweeney was the Chief Financial Officer and Principal of The Onyx Group, a shopping center development and management company. From 1968 to 1994, Mr. Sweeney served in various positions at The Times Mirror Company, the last eight years of which as Vice President, Finance. Mr. Sweeney serves on the board of the Payden &amp; Rygel Investment Group, which files reports pursuant to the Exchange Act.</w:t>
      </w:r>
    </w:p>
    <w:p>
      <w:pPr>
        <w:spacing w:after="0" w:line="202"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Specific Qualifications, Attributes, Skills and Experience:</w:t>
      </w:r>
    </w:p>
    <w:p>
      <w:pPr>
        <w:spacing w:after="0" w:line="250" w:lineRule="exact"/>
        <w:rPr>
          <w:sz w:val="20"/>
          <w:szCs w:val="20"/>
          <w:color w:val="auto"/>
        </w:rPr>
      </w:pPr>
    </w:p>
    <w:p>
      <w:pPr>
        <w:ind w:left="612" w:hanging="612"/>
        <w:spacing w:after="0"/>
        <w:tabs>
          <w:tab w:leader="none" w:pos="612" w:val="left"/>
        </w:tabs>
        <w:numPr>
          <w:ilvl w:val="0"/>
          <w:numId w:val="19"/>
        </w:numPr>
        <w:rPr>
          <w:rFonts w:ascii="Arial" w:cs="Arial" w:eastAsia="Arial" w:hAnsi="Arial"/>
          <w:sz w:val="16"/>
          <w:szCs w:val="16"/>
          <w:color w:val="auto"/>
        </w:rPr>
      </w:pPr>
      <w:r>
        <w:rPr>
          <w:rFonts w:ascii="Arial" w:cs="Arial" w:eastAsia="Arial" w:hAnsi="Arial"/>
          <w:sz w:val="16"/>
          <w:szCs w:val="16"/>
          <w:color w:val="auto"/>
        </w:rPr>
        <w:t>Operating experience</w:t>
      </w:r>
    </w:p>
    <w:p>
      <w:pPr>
        <w:spacing w:after="0" w:line="258" w:lineRule="exact"/>
        <w:rPr>
          <w:rFonts w:ascii="Arial" w:cs="Arial" w:eastAsia="Arial" w:hAnsi="Arial"/>
          <w:sz w:val="16"/>
          <w:szCs w:val="16"/>
          <w:color w:val="auto"/>
        </w:rPr>
      </w:pPr>
    </w:p>
    <w:p>
      <w:pPr>
        <w:ind w:left="612" w:hanging="612"/>
        <w:spacing w:after="0"/>
        <w:tabs>
          <w:tab w:leader="none" w:pos="612"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Accounting expertise</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19"/>
        </w:numPr>
        <w:rPr>
          <w:rFonts w:ascii="Arial" w:cs="Arial" w:eastAsia="Arial" w:hAnsi="Arial"/>
          <w:sz w:val="16"/>
          <w:szCs w:val="16"/>
          <w:color w:val="auto"/>
        </w:rPr>
      </w:pPr>
      <w:r>
        <w:rPr>
          <w:rFonts w:ascii="Arial" w:cs="Arial" w:eastAsia="Arial" w:hAnsi="Arial"/>
          <w:sz w:val="16"/>
          <w:szCs w:val="16"/>
          <w:color w:val="auto"/>
        </w:rPr>
        <w:t>Financial expertise</w:t>
      </w:r>
    </w:p>
    <w:p>
      <w:pPr>
        <w:spacing w:after="0" w:line="102"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70485</wp:posOffset>
            </wp:positionV>
            <wp:extent cx="6850380" cy="35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952"/>
          </w:cols>
          <w:pgMar w:left="1048" w:top="438" w:right="899" w:bottom="1440" w:gutter="0" w:footer="0" w:header="0"/>
        </w:sectPr>
      </w:pPr>
    </w:p>
    <w:bookmarkStart w:id="15" w:name="page16"/>
    <w:bookmarkEnd w:id="15"/>
    <w:p>
      <w:pPr>
        <w:ind w:left="332"/>
        <w:spacing w:after="0"/>
        <w:rPr>
          <w:sz w:val="20"/>
          <w:szCs w:val="20"/>
          <w:color w:val="auto"/>
        </w:rPr>
      </w:pPr>
      <w:r>
        <w:rPr>
          <w:rFonts w:ascii="Arial" w:cs="Arial" w:eastAsia="Arial" w:hAnsi="Arial"/>
          <w:sz w:val="16"/>
          <w:szCs w:val="16"/>
          <w:b w:val="1"/>
          <w:bCs w:val="1"/>
          <w:color w:val="auto"/>
        </w:rPr>
        <w:t>Functions and Meetings of the Board of Directors</w:t>
      </w:r>
    </w:p>
    <w:p>
      <w:pPr>
        <w:spacing w:after="0" w:line="262" w:lineRule="exact"/>
        <w:rPr>
          <w:sz w:val="20"/>
          <w:szCs w:val="20"/>
          <w:color w:val="auto"/>
        </w:rPr>
      </w:pPr>
    </w:p>
    <w:p>
      <w:pPr>
        <w:jc w:val="both"/>
        <w:ind w:left="332" w:right="220"/>
        <w:spacing w:after="0" w:line="278" w:lineRule="auto"/>
        <w:rPr>
          <w:sz w:val="20"/>
          <w:szCs w:val="20"/>
          <w:color w:val="auto"/>
        </w:rPr>
      </w:pPr>
      <w:r>
        <w:rPr>
          <w:rFonts w:ascii="Arial" w:cs="Arial" w:eastAsia="Arial" w:hAnsi="Arial"/>
          <w:sz w:val="16"/>
          <w:szCs w:val="16"/>
          <w:color w:val="auto"/>
        </w:rPr>
        <w:t xml:space="preserve">The Company's corporate governance guidelines, director independence criteria, committee charters, codes of conduct and other documents setting forth the Company's corporate governance practices can be accessed in the "Investor Relations—Corporate Governance" section of the Company's website at </w:t>
      </w:r>
      <w:r>
        <w:rPr>
          <w:rFonts w:ascii="Arial" w:cs="Arial" w:eastAsia="Arial" w:hAnsi="Arial"/>
          <w:sz w:val="16"/>
          <w:szCs w:val="16"/>
          <w:i w:val="1"/>
          <w:iCs w:val="1"/>
          <w:color w:val="auto"/>
        </w:rPr>
        <w:t>www.avisbudgetgroup.com</w:t>
      </w:r>
      <w:r>
        <w:rPr>
          <w:rFonts w:ascii="Arial" w:cs="Arial" w:eastAsia="Arial" w:hAnsi="Arial"/>
          <w:sz w:val="16"/>
          <w:szCs w:val="16"/>
          <w:color w:val="auto"/>
        </w:rPr>
        <w:t>.</w:t>
      </w:r>
    </w:p>
    <w:p>
      <w:pPr>
        <w:spacing w:after="0" w:line="193"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Director Independence</w:t>
      </w:r>
    </w:p>
    <w:p>
      <w:pPr>
        <w:spacing w:after="0" w:line="250" w:lineRule="exact"/>
        <w:rPr>
          <w:sz w:val="20"/>
          <w:szCs w:val="20"/>
          <w:color w:val="auto"/>
        </w:rPr>
      </w:pPr>
    </w:p>
    <w:p>
      <w:pPr>
        <w:ind w:left="332" w:right="60"/>
        <w:spacing w:after="0" w:line="291" w:lineRule="auto"/>
        <w:rPr>
          <w:sz w:val="20"/>
          <w:szCs w:val="20"/>
          <w:color w:val="auto"/>
        </w:rPr>
      </w:pPr>
      <w:r>
        <w:rPr>
          <w:rFonts w:ascii="Arial" w:cs="Arial" w:eastAsia="Arial" w:hAnsi="Arial"/>
          <w:sz w:val="15"/>
          <w:szCs w:val="15"/>
          <w:color w:val="auto"/>
        </w:rPr>
        <w:t xml:space="preserve">To determine director independence, our Board of Directors reviews commercial and charitable relationships of each director to evaluate such director's independence in accordance with the listing standards of the NASDAQ Stock Market LLC ("NASDAQ") and pursuant to our own director independence criteria, which can be accessed on our website at </w:t>
      </w:r>
      <w:r>
        <w:rPr>
          <w:rFonts w:ascii="Arial" w:cs="Arial" w:eastAsia="Arial" w:hAnsi="Arial"/>
          <w:sz w:val="15"/>
          <w:szCs w:val="15"/>
          <w:i w:val="1"/>
          <w:iCs w:val="1"/>
          <w:color w:val="auto"/>
        </w:rPr>
        <w:t>www.avisbudgetgroup.com</w:t>
      </w:r>
      <w:r>
        <w:rPr>
          <w:rFonts w:ascii="Arial" w:cs="Arial" w:eastAsia="Arial" w:hAnsi="Arial"/>
          <w:sz w:val="15"/>
          <w:szCs w:val="15"/>
          <w:color w:val="auto"/>
        </w:rPr>
        <w:t>. In conducting its review, the Board of Directors considers a number of factors, including the director's and his or her family members' relationships with the Company and its subsidiaries, affiliates, executive officers and auditors and his or her relationships with foundations, universities and other non-profit organizations to which the Company has made a certain level of contributions during the past three years.</w:t>
      </w:r>
    </w:p>
    <w:p>
      <w:pPr>
        <w:spacing w:after="0" w:line="203" w:lineRule="exact"/>
        <w:rPr>
          <w:sz w:val="20"/>
          <w:szCs w:val="20"/>
          <w:color w:val="auto"/>
        </w:rPr>
      </w:pPr>
    </w:p>
    <w:p>
      <w:pPr>
        <w:ind w:left="332" w:right="80"/>
        <w:spacing w:after="0" w:line="291" w:lineRule="auto"/>
        <w:rPr>
          <w:sz w:val="20"/>
          <w:szCs w:val="20"/>
          <w:color w:val="auto"/>
        </w:rPr>
      </w:pPr>
      <w:r>
        <w:rPr>
          <w:rFonts w:ascii="Arial" w:cs="Arial" w:eastAsia="Arial" w:hAnsi="Arial"/>
          <w:sz w:val="16"/>
          <w:szCs w:val="16"/>
          <w:color w:val="auto"/>
        </w:rPr>
        <w:t>After evaluating the factors described above, the Board of Directors has affirmatively determined that nine of our current directors are independent in accordance with NASDAQ corporate governance listing standards and our own director independence criteria.</w:t>
      </w:r>
    </w:p>
    <w:p>
      <w:pPr>
        <w:spacing w:after="0" w:line="123" w:lineRule="exact"/>
        <w:rPr>
          <w:sz w:val="20"/>
          <w:szCs w:val="20"/>
          <w:color w:val="auto"/>
        </w:rPr>
      </w:pPr>
    </w:p>
    <w:tbl>
      <w:tblPr>
        <w:tblLayout w:type="fixed"/>
        <w:tblInd w:w="2992" w:type="dxa"/>
        <w:tblCellMar>
          <w:top w:w="0" w:type="dxa"/>
          <w:left w:w="0" w:type="dxa"/>
          <w:bottom w:w="0" w:type="dxa"/>
          <w:right w:w="0" w:type="dxa"/>
        </w:tblCellMar>
      </w:tblPr>
      <w:tr>
        <w:trPr>
          <w:trHeight w:val="207"/>
        </w:trPr>
        <w:tc>
          <w:tcPr>
            <w:tcW w:w="1340" w:type="dxa"/>
            <w:vAlign w:val="bottom"/>
          </w:tcPr>
          <w:p>
            <w:pPr>
              <w:spacing w:after="0"/>
              <w:rPr>
                <w:sz w:val="18"/>
                <w:szCs w:val="18"/>
                <w:color w:val="auto"/>
              </w:rPr>
            </w:pPr>
          </w:p>
        </w:tc>
        <w:tc>
          <w:tcPr>
            <w:tcW w:w="2540" w:type="dxa"/>
            <w:vAlign w:val="bottom"/>
          </w:tcPr>
          <w:p>
            <w:pPr>
              <w:ind w:left="40"/>
              <w:spacing w:after="0"/>
              <w:rPr>
                <w:sz w:val="20"/>
                <w:szCs w:val="20"/>
                <w:color w:val="auto"/>
              </w:rPr>
            </w:pPr>
            <w:r>
              <w:rPr>
                <w:rFonts w:ascii="Arial" w:cs="Arial" w:eastAsia="Arial" w:hAnsi="Arial"/>
                <w:sz w:val="16"/>
                <w:szCs w:val="16"/>
                <w:b w:val="1"/>
                <w:bCs w:val="1"/>
                <w:color w:val="auto"/>
              </w:rPr>
              <w:t>Independent Directors</w:t>
            </w:r>
          </w:p>
        </w:tc>
      </w:tr>
      <w:tr>
        <w:trPr>
          <w:trHeight w:val="203"/>
        </w:trPr>
        <w:tc>
          <w:tcPr>
            <w:tcW w:w="1340" w:type="dxa"/>
            <w:vAlign w:val="bottom"/>
          </w:tcPr>
          <w:p>
            <w:pPr>
              <w:jc w:val="center"/>
              <w:spacing w:after="0"/>
              <w:rPr>
                <w:sz w:val="20"/>
                <w:szCs w:val="20"/>
                <w:color w:val="auto"/>
              </w:rPr>
            </w:pPr>
            <w:r>
              <w:rPr>
                <w:rFonts w:ascii="Arial" w:cs="Arial" w:eastAsia="Arial" w:hAnsi="Arial"/>
                <w:sz w:val="16"/>
                <w:szCs w:val="16"/>
                <w:color w:val="auto"/>
                <w:w w:val="90"/>
              </w:rPr>
              <w:t>Alun Cathcart</w:t>
            </w:r>
          </w:p>
        </w:tc>
        <w:tc>
          <w:tcPr>
            <w:tcW w:w="2540" w:type="dxa"/>
            <w:vAlign w:val="bottom"/>
          </w:tcPr>
          <w:p>
            <w:pPr>
              <w:ind w:left="1260"/>
              <w:spacing w:after="0"/>
              <w:rPr>
                <w:sz w:val="20"/>
                <w:szCs w:val="20"/>
                <w:color w:val="auto"/>
              </w:rPr>
            </w:pPr>
            <w:r>
              <w:rPr>
                <w:rFonts w:ascii="Arial" w:cs="Arial" w:eastAsia="Arial" w:hAnsi="Arial"/>
                <w:sz w:val="16"/>
                <w:szCs w:val="16"/>
                <w:color w:val="auto"/>
                <w:w w:val="97"/>
              </w:rPr>
              <w:t>John D. Hardy, Jr.</w:t>
            </w:r>
          </w:p>
        </w:tc>
      </w:tr>
      <w:tr>
        <w:trPr>
          <w:trHeight w:val="203"/>
        </w:trPr>
        <w:tc>
          <w:tcPr>
            <w:tcW w:w="1340" w:type="dxa"/>
            <w:vAlign w:val="bottom"/>
          </w:tcPr>
          <w:p>
            <w:pPr>
              <w:jc w:val="center"/>
              <w:spacing w:after="0"/>
              <w:rPr>
                <w:sz w:val="20"/>
                <w:szCs w:val="20"/>
                <w:color w:val="auto"/>
              </w:rPr>
            </w:pPr>
            <w:r>
              <w:rPr>
                <w:rFonts w:ascii="Arial" w:cs="Arial" w:eastAsia="Arial" w:hAnsi="Arial"/>
                <w:sz w:val="16"/>
                <w:szCs w:val="16"/>
                <w:color w:val="auto"/>
                <w:w w:val="95"/>
              </w:rPr>
              <w:t>Mary C. Choksi</w:t>
            </w:r>
          </w:p>
        </w:tc>
        <w:tc>
          <w:tcPr>
            <w:tcW w:w="2540" w:type="dxa"/>
            <w:vAlign w:val="bottom"/>
          </w:tcPr>
          <w:p>
            <w:pPr>
              <w:ind w:left="1260"/>
              <w:spacing w:after="0"/>
              <w:rPr>
                <w:sz w:val="20"/>
                <w:szCs w:val="20"/>
                <w:color w:val="auto"/>
              </w:rPr>
            </w:pPr>
            <w:r>
              <w:rPr>
                <w:rFonts w:ascii="Arial" w:cs="Arial" w:eastAsia="Arial" w:hAnsi="Arial"/>
                <w:sz w:val="16"/>
                <w:szCs w:val="16"/>
                <w:color w:val="auto"/>
              </w:rPr>
              <w:t>Lynn Krominga</w:t>
            </w:r>
          </w:p>
        </w:tc>
      </w:tr>
      <w:tr>
        <w:trPr>
          <w:trHeight w:val="203"/>
        </w:trPr>
        <w:tc>
          <w:tcPr>
            <w:tcW w:w="1340" w:type="dxa"/>
            <w:vAlign w:val="bottom"/>
          </w:tcPr>
          <w:p>
            <w:pPr>
              <w:jc w:val="center"/>
              <w:spacing w:after="0"/>
              <w:rPr>
                <w:sz w:val="20"/>
                <w:szCs w:val="20"/>
                <w:color w:val="auto"/>
              </w:rPr>
            </w:pPr>
            <w:r>
              <w:rPr>
                <w:rFonts w:ascii="Arial" w:cs="Arial" w:eastAsia="Arial" w:hAnsi="Arial"/>
                <w:sz w:val="16"/>
                <w:szCs w:val="16"/>
                <w:color w:val="auto"/>
                <w:w w:val="89"/>
              </w:rPr>
              <w:t>Leonard S. Coleman</w:t>
            </w:r>
          </w:p>
        </w:tc>
        <w:tc>
          <w:tcPr>
            <w:tcW w:w="2540" w:type="dxa"/>
            <w:vAlign w:val="bottom"/>
          </w:tcPr>
          <w:p>
            <w:pPr>
              <w:ind w:left="1260"/>
              <w:spacing w:after="0"/>
              <w:rPr>
                <w:sz w:val="20"/>
                <w:szCs w:val="20"/>
                <w:color w:val="auto"/>
              </w:rPr>
            </w:pPr>
            <w:r>
              <w:rPr>
                <w:rFonts w:ascii="Arial" w:cs="Arial" w:eastAsia="Arial" w:hAnsi="Arial"/>
                <w:sz w:val="16"/>
                <w:szCs w:val="16"/>
                <w:color w:val="auto"/>
                <w:w w:val="93"/>
              </w:rPr>
              <w:t>Eduardo G. Mestre</w:t>
            </w:r>
          </w:p>
        </w:tc>
      </w:tr>
      <w:tr>
        <w:trPr>
          <w:trHeight w:val="203"/>
        </w:trPr>
        <w:tc>
          <w:tcPr>
            <w:tcW w:w="1340" w:type="dxa"/>
            <w:vAlign w:val="bottom"/>
          </w:tcPr>
          <w:p>
            <w:pPr>
              <w:jc w:val="center"/>
              <w:spacing w:after="0"/>
              <w:rPr>
                <w:sz w:val="20"/>
                <w:szCs w:val="20"/>
                <w:color w:val="auto"/>
              </w:rPr>
            </w:pPr>
            <w:r>
              <w:rPr>
                <w:rFonts w:ascii="Arial" w:cs="Arial" w:eastAsia="Arial" w:hAnsi="Arial"/>
                <w:sz w:val="16"/>
                <w:szCs w:val="16"/>
                <w:color w:val="auto"/>
                <w:w w:val="92"/>
              </w:rPr>
              <w:t>Jeffrey H. Fox</w:t>
            </w:r>
          </w:p>
        </w:tc>
        <w:tc>
          <w:tcPr>
            <w:tcW w:w="2540" w:type="dxa"/>
            <w:vAlign w:val="bottom"/>
          </w:tcPr>
          <w:p>
            <w:pPr>
              <w:ind w:left="1260"/>
              <w:spacing w:after="0"/>
              <w:rPr>
                <w:sz w:val="20"/>
                <w:szCs w:val="20"/>
                <w:color w:val="auto"/>
              </w:rPr>
            </w:pPr>
            <w:r>
              <w:rPr>
                <w:rFonts w:ascii="Arial" w:cs="Arial" w:eastAsia="Arial" w:hAnsi="Arial"/>
                <w:sz w:val="16"/>
                <w:szCs w:val="16"/>
                <w:color w:val="auto"/>
                <w:w w:val="99"/>
              </w:rPr>
              <w:t>F. Robert Salerno</w:t>
            </w:r>
          </w:p>
        </w:tc>
      </w:tr>
      <w:tr>
        <w:trPr>
          <w:trHeight w:val="204"/>
        </w:trPr>
        <w:tc>
          <w:tcPr>
            <w:tcW w:w="1340" w:type="dxa"/>
            <w:vAlign w:val="bottom"/>
          </w:tcPr>
          <w:p>
            <w:pPr>
              <w:spacing w:after="0"/>
              <w:rPr>
                <w:sz w:val="17"/>
                <w:szCs w:val="17"/>
                <w:color w:val="auto"/>
              </w:rPr>
            </w:pPr>
          </w:p>
        </w:tc>
        <w:tc>
          <w:tcPr>
            <w:tcW w:w="2540" w:type="dxa"/>
            <w:vAlign w:val="bottom"/>
          </w:tcPr>
          <w:p>
            <w:pPr>
              <w:ind w:left="1260"/>
              <w:spacing w:after="0"/>
              <w:rPr>
                <w:sz w:val="20"/>
                <w:szCs w:val="20"/>
                <w:color w:val="auto"/>
              </w:rPr>
            </w:pPr>
            <w:r>
              <w:rPr>
                <w:rFonts w:ascii="Arial" w:cs="Arial" w:eastAsia="Arial" w:hAnsi="Arial"/>
                <w:sz w:val="16"/>
                <w:szCs w:val="16"/>
                <w:color w:val="auto"/>
                <w:w w:val="86"/>
              </w:rPr>
              <w:t>Stender E. Sweeney</w:t>
            </w:r>
          </w:p>
        </w:tc>
      </w:tr>
    </w:tbl>
    <w:p>
      <w:pPr>
        <w:spacing w:after="0" w:line="226" w:lineRule="exact"/>
        <w:rPr>
          <w:sz w:val="20"/>
          <w:szCs w:val="20"/>
          <w:color w:val="auto"/>
        </w:rPr>
      </w:pPr>
    </w:p>
    <w:p>
      <w:pPr>
        <w:ind w:left="332" w:right="100"/>
        <w:spacing w:after="0" w:line="326" w:lineRule="auto"/>
        <w:rPr>
          <w:sz w:val="20"/>
          <w:szCs w:val="20"/>
          <w:color w:val="auto"/>
        </w:rPr>
      </w:pPr>
      <w:r>
        <w:rPr>
          <w:rFonts w:ascii="Arial" w:cs="Arial" w:eastAsia="Arial" w:hAnsi="Arial"/>
          <w:sz w:val="15"/>
          <w:szCs w:val="15"/>
          <w:color w:val="auto"/>
        </w:rPr>
        <w:t>We also maintain a Corporate Governance Committee, a Compensation Committee and an Audit Committee, and all of the directors serving on these committees are independent based upon NASDAQ corporate governance listing standards and our own director independence criteria.</w:t>
      </w:r>
    </w:p>
    <w:p>
      <w:pPr>
        <w:spacing w:after="0" w:line="173"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Board Leadership Structure</w:t>
      </w:r>
    </w:p>
    <w:p>
      <w:pPr>
        <w:spacing w:after="0" w:line="250" w:lineRule="exact"/>
        <w:rPr>
          <w:sz w:val="20"/>
          <w:szCs w:val="20"/>
          <w:color w:val="auto"/>
        </w:rPr>
      </w:pPr>
    </w:p>
    <w:p>
      <w:pPr>
        <w:ind w:left="332"/>
        <w:spacing w:after="0"/>
        <w:rPr>
          <w:sz w:val="20"/>
          <w:szCs w:val="20"/>
          <w:color w:val="auto"/>
        </w:rPr>
      </w:pPr>
      <w:r>
        <w:rPr>
          <w:rFonts w:ascii="Arial" w:cs="Arial" w:eastAsia="Arial" w:hAnsi="Arial"/>
          <w:sz w:val="16"/>
          <w:szCs w:val="16"/>
          <w:color w:val="auto"/>
        </w:rPr>
        <w:t>Our current Board leadership structure consists of:</w:t>
      </w:r>
    </w:p>
    <w:p>
      <w:pPr>
        <w:spacing w:after="0" w:line="246" w:lineRule="exact"/>
        <w:rPr>
          <w:sz w:val="20"/>
          <w:szCs w:val="20"/>
          <w:color w:val="auto"/>
        </w:rPr>
      </w:pPr>
    </w:p>
    <w:p>
      <w:pPr>
        <w:ind w:left="612" w:hanging="612"/>
        <w:spacing w:after="0"/>
        <w:tabs>
          <w:tab w:leader="none" w:pos="612"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Chairman of the Board and CEO: Ronald L. Nelson;</w:t>
      </w:r>
    </w:p>
    <w:p>
      <w:pPr>
        <w:spacing w:after="0" w:line="258" w:lineRule="exact"/>
        <w:rPr>
          <w:rFonts w:ascii="Arial" w:cs="Arial" w:eastAsia="Arial" w:hAnsi="Arial"/>
          <w:sz w:val="16"/>
          <w:szCs w:val="16"/>
          <w:color w:val="auto"/>
        </w:rPr>
      </w:pPr>
    </w:p>
    <w:p>
      <w:pPr>
        <w:ind w:left="612" w:hanging="612"/>
        <w:spacing w:after="0"/>
        <w:tabs>
          <w:tab w:leader="none" w:pos="612"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Presiding Director (our independent lead director): Leonard S. Coleman; and</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20"/>
        </w:numPr>
        <w:rPr>
          <w:rFonts w:ascii="Arial" w:cs="Arial" w:eastAsia="Arial" w:hAnsi="Arial"/>
          <w:sz w:val="16"/>
          <w:szCs w:val="16"/>
          <w:color w:val="auto"/>
        </w:rPr>
      </w:pPr>
      <w:r>
        <w:rPr>
          <w:rFonts w:ascii="Arial" w:cs="Arial" w:eastAsia="Arial" w:hAnsi="Arial"/>
          <w:sz w:val="16"/>
          <w:szCs w:val="16"/>
          <w:color w:val="auto"/>
        </w:rPr>
        <w:t>Fully independent Compensation, Corporate Governance and Audit Committees.</w:t>
      </w:r>
    </w:p>
    <w:p>
      <w:pPr>
        <w:spacing w:after="0" w:line="246" w:lineRule="exact"/>
        <w:rPr>
          <w:sz w:val="20"/>
          <w:szCs w:val="20"/>
          <w:color w:val="auto"/>
        </w:rPr>
      </w:pPr>
    </w:p>
    <w:p>
      <w:pPr>
        <w:ind w:left="332" w:right="60"/>
        <w:spacing w:after="0" w:line="271" w:lineRule="auto"/>
        <w:rPr>
          <w:sz w:val="20"/>
          <w:szCs w:val="20"/>
          <w:color w:val="auto"/>
        </w:rPr>
      </w:pPr>
      <w:r>
        <w:rPr>
          <w:rFonts w:ascii="Arial" w:cs="Arial" w:eastAsia="Arial" w:hAnsi="Arial"/>
          <w:sz w:val="16"/>
          <w:szCs w:val="16"/>
          <w:color w:val="auto"/>
        </w:rPr>
        <w:t>The Board of Directors, which is comprised of individuals who have extensive experience with board processes, has determined that the current leadership structure, as described above, best serves the Company and its stockholders. The Board of Directors believes that a combined Chairman of the Board and Chief Executive Officer, at this time, promotes unified direction for the Company and demonstrates for all stakeholders that the Company is under strong leadership by allowing a single person to have primary responsibility for managing operations and a clear focus on executing business plans and strategic initiatives.</w:t>
      </w:r>
    </w:p>
    <w:p>
      <w:pPr>
        <w:spacing w:after="0" w:line="216" w:lineRule="exact"/>
        <w:rPr>
          <w:sz w:val="20"/>
          <w:szCs w:val="20"/>
          <w:color w:val="auto"/>
        </w:rPr>
      </w:pPr>
    </w:p>
    <w:p>
      <w:pPr>
        <w:jc w:val="both"/>
        <w:ind w:left="332" w:right="200"/>
        <w:spacing w:after="0" w:line="303" w:lineRule="auto"/>
        <w:rPr>
          <w:sz w:val="20"/>
          <w:szCs w:val="20"/>
          <w:color w:val="auto"/>
        </w:rPr>
      </w:pPr>
      <w:r>
        <w:rPr>
          <w:rFonts w:ascii="Arial" w:cs="Arial" w:eastAsia="Arial" w:hAnsi="Arial"/>
          <w:sz w:val="14"/>
          <w:szCs w:val="14"/>
          <w:color w:val="auto"/>
        </w:rPr>
        <w:t>Having a Chairman who also serves as CEO allows timely communication with the Board on critical business matters given the global reach of our business. A combined CEO/Chairman of the Board position also eliminates the potential for confusion or a duplication of efforts and the role of an independent lead director, as further discussed below, adequately addresses any concerns over maintaining such a combined leadership role. Mr.</w:t>
      </w:r>
    </w:p>
    <w:p>
      <w:pPr>
        <w:jc w:val="both"/>
        <w:ind w:left="332"/>
        <w:spacing w:after="0" w:line="277" w:lineRule="auto"/>
        <w:rPr>
          <w:sz w:val="20"/>
          <w:szCs w:val="20"/>
          <w:color w:val="auto"/>
        </w:rPr>
      </w:pPr>
      <w:r>
        <w:rPr>
          <w:rFonts w:ascii="Arial" w:cs="Arial" w:eastAsia="Arial" w:hAnsi="Arial"/>
          <w:sz w:val="16"/>
          <w:szCs w:val="16"/>
          <w:color w:val="auto"/>
        </w:rPr>
        <w:t>Nelson, who possesses extensive financial, operating and management experience, and brings significant executive and leadership experience with the Company as well as substantial board experience, has served in the dual role of Chairman of the Board and Chief Executive Officer since 2006. Under Mr. Nelson's leadership, the Company has grown significantly and has become a global enterprise.</w:t>
      </w:r>
    </w:p>
    <w:p>
      <w:pPr>
        <w:spacing w:after="0" w:line="199" w:lineRule="exact"/>
        <w:rPr>
          <w:sz w:val="20"/>
          <w:szCs w:val="20"/>
          <w:color w:val="auto"/>
        </w:rPr>
      </w:pPr>
    </w:p>
    <w:p>
      <w:pPr>
        <w:ind w:left="332" w:right="60"/>
        <w:spacing w:after="0" w:line="291" w:lineRule="auto"/>
        <w:rPr>
          <w:sz w:val="20"/>
          <w:szCs w:val="20"/>
          <w:color w:val="auto"/>
        </w:rPr>
      </w:pPr>
      <w:r>
        <w:rPr>
          <w:rFonts w:ascii="Arial" w:cs="Arial" w:eastAsia="Arial" w:hAnsi="Arial"/>
          <w:sz w:val="16"/>
          <w:szCs w:val="16"/>
          <w:color w:val="auto"/>
        </w:rPr>
        <w:t>The position of Presiding Director was established by the Board of Directors to designate an independent lead director whose primary responsibilities include:</w:t>
      </w:r>
    </w:p>
    <w:p>
      <w:pPr>
        <w:spacing w:after="0" w:line="187" w:lineRule="exact"/>
        <w:rPr>
          <w:sz w:val="20"/>
          <w:szCs w:val="20"/>
          <w:color w:val="auto"/>
        </w:rPr>
      </w:pPr>
    </w:p>
    <w:p>
      <w:pPr>
        <w:ind w:left="1172" w:right="40" w:hanging="1172"/>
        <w:spacing w:after="0" w:line="291" w:lineRule="auto"/>
        <w:tabs>
          <w:tab w:leader="none" w:pos="598"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presiding at all meetings of the Board at which the Chairman of the Board is not present, including periodic executive sessions of the independent members of the Board of Directors;</w:t>
      </w:r>
    </w:p>
    <w:p>
      <w:pPr>
        <w:spacing w:after="0" w:line="199" w:lineRule="exact"/>
        <w:rPr>
          <w:rFonts w:ascii="Arial" w:cs="Arial" w:eastAsia="Arial" w:hAnsi="Arial"/>
          <w:sz w:val="16"/>
          <w:szCs w:val="16"/>
          <w:color w:val="auto"/>
        </w:rPr>
      </w:pPr>
    </w:p>
    <w:p>
      <w:pPr>
        <w:ind w:left="612" w:hanging="612"/>
        <w:spacing w:after="0"/>
        <w:tabs>
          <w:tab w:leader="none" w:pos="612"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serving as liaison between the Chairman of the Board and the independent directors;</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advising the Chairman of the Board with respect to information, meeting schedules and agendas sent to the Board;</w:t>
      </w:r>
    </w:p>
    <w:p>
      <w:pPr>
        <w:spacing w:after="0" w:line="246" w:lineRule="exact"/>
        <w:rPr>
          <w:rFonts w:ascii="Arial" w:cs="Arial" w:eastAsia="Arial" w:hAnsi="Arial"/>
          <w:sz w:val="16"/>
          <w:szCs w:val="16"/>
          <w:color w:val="auto"/>
        </w:rPr>
      </w:pPr>
    </w:p>
    <w:p>
      <w:pPr>
        <w:ind w:left="1172" w:right="100" w:hanging="1172"/>
        <w:spacing w:after="0" w:line="278" w:lineRule="auto"/>
        <w:tabs>
          <w:tab w:leader="none" w:pos="598"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providing advice with respect to the selection of committee chairs and performing other duties that the Board of Directors may from time to time delegate to assist it in the fulfillment of its responsibilities, including the authority to call meetings of the independent directors of the Board; and</w:t>
      </w:r>
    </w:p>
    <w:p>
      <w:pPr>
        <w:spacing w:after="0" w:line="209" w:lineRule="exact"/>
        <w:rPr>
          <w:rFonts w:ascii="Arial" w:cs="Arial" w:eastAsia="Arial" w:hAnsi="Arial"/>
          <w:sz w:val="16"/>
          <w:szCs w:val="16"/>
          <w:color w:val="auto"/>
        </w:rPr>
      </w:pPr>
    </w:p>
    <w:p>
      <w:pPr>
        <w:ind w:left="612" w:hanging="612"/>
        <w:spacing w:after="0"/>
        <w:tabs>
          <w:tab w:leader="none" w:pos="612"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serving as the principal liaison for stockholder communications directed specifically to the Board.</w:t>
      </w:r>
    </w:p>
    <w:p>
      <w:pPr>
        <w:spacing w:after="0" w:line="246" w:lineRule="exact"/>
        <w:rPr>
          <w:sz w:val="20"/>
          <w:szCs w:val="20"/>
          <w:color w:val="auto"/>
        </w:rPr>
      </w:pPr>
    </w:p>
    <w:p>
      <w:pPr>
        <w:ind w:left="332"/>
        <w:spacing w:after="0"/>
        <w:rPr>
          <w:sz w:val="20"/>
          <w:szCs w:val="20"/>
          <w:color w:val="auto"/>
        </w:rPr>
      </w:pPr>
      <w:r>
        <w:rPr>
          <w:rFonts w:ascii="Arial" w:cs="Arial" w:eastAsia="Arial" w:hAnsi="Arial"/>
          <w:sz w:val="16"/>
          <w:szCs w:val="16"/>
          <w:color w:val="auto"/>
        </w:rPr>
        <w:t>Such delegation of well-defined responsibilities to a lead independent director helps ensure that an appropriate</w:t>
      </w:r>
    </w:p>
    <w:p>
      <w:pPr>
        <w:sectPr>
          <w:pgSz w:w="11900" w:h="16838" w:orient="portrait"/>
          <w:cols w:equalWidth="0" w:num="1">
            <w:col w:w="9932"/>
          </w:cols>
          <w:pgMar w:left="1048" w:top="434" w:right="919" w:bottom="1440" w:gutter="0" w:footer="0" w:header="0"/>
        </w:sectPr>
      </w:pPr>
    </w:p>
    <w:p>
      <w:pPr>
        <w:spacing w:after="0" w:line="163" w:lineRule="exact"/>
        <w:rPr>
          <w:sz w:val="20"/>
          <w:szCs w:val="20"/>
          <w:color w:val="auto"/>
        </w:rPr>
      </w:pPr>
    </w:p>
    <w:p>
      <w:pPr>
        <w:ind w:left="332"/>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85090</wp:posOffset>
            </wp:positionV>
            <wp:extent cx="6850380" cy="35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932"/>
          </w:cols>
          <w:pgMar w:left="1048" w:top="434" w:right="919" w:bottom="1440" w:gutter="0" w:footer="0" w:header="0"/>
          <w:type w:val="continuous"/>
        </w:sectPr>
      </w:pPr>
    </w:p>
    <w:bookmarkStart w:id="16" w:name="page17"/>
    <w:bookmarkEnd w:id="16"/>
    <w:p>
      <w:pPr>
        <w:ind w:left="332" w:right="200"/>
        <w:spacing w:after="0" w:line="326" w:lineRule="auto"/>
        <w:rPr>
          <w:sz w:val="20"/>
          <w:szCs w:val="20"/>
          <w:color w:val="auto"/>
        </w:rPr>
      </w:pPr>
      <w:r>
        <w:rPr>
          <w:rFonts w:ascii="Arial" w:cs="Arial" w:eastAsia="Arial" w:hAnsi="Arial"/>
          <w:sz w:val="15"/>
          <w:szCs w:val="15"/>
          <w:color w:val="auto"/>
        </w:rPr>
        <w:t>counter-balancing leadership structure is in place. The independent members of the Board of Directors have designated Mr. Coleman to serve in the position of Presiding Director. Mr. Coleman brings a history of leadership experience as a lead independent director.</w:t>
      </w:r>
    </w:p>
    <w:p>
      <w:pPr>
        <w:spacing w:after="0" w:line="173"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Risk Management and Risk Assessment</w:t>
      </w:r>
    </w:p>
    <w:p>
      <w:pPr>
        <w:spacing w:after="0" w:line="250" w:lineRule="exact"/>
        <w:rPr>
          <w:sz w:val="20"/>
          <w:szCs w:val="20"/>
          <w:color w:val="auto"/>
        </w:rPr>
      </w:pPr>
    </w:p>
    <w:p>
      <w:pPr>
        <w:ind w:left="332" w:right="180"/>
        <w:spacing w:after="0" w:line="291" w:lineRule="auto"/>
        <w:rPr>
          <w:sz w:val="20"/>
          <w:szCs w:val="20"/>
          <w:color w:val="auto"/>
        </w:rPr>
      </w:pPr>
      <w:r>
        <w:rPr>
          <w:rFonts w:ascii="Arial" w:cs="Arial" w:eastAsia="Arial" w:hAnsi="Arial"/>
          <w:sz w:val="16"/>
          <w:szCs w:val="16"/>
          <w:color w:val="auto"/>
        </w:rPr>
        <w:t>Management is responsible for assessing risk and for day-to-day risk management activities. The Board executes its oversight responsibility for risk assessment and risk management, acting directly and through its Committees, as follows:</w:t>
      </w:r>
    </w:p>
    <w:p>
      <w:pPr>
        <w:spacing w:after="0" w:line="123" w:lineRule="exact"/>
        <w:rPr>
          <w:sz w:val="20"/>
          <w:szCs w:val="20"/>
          <w:color w:val="auto"/>
        </w:rPr>
      </w:pPr>
    </w:p>
    <w:tbl>
      <w:tblPr>
        <w:tblLayout w:type="fixed"/>
        <w:tblInd w:w="332" w:type="dxa"/>
        <w:tblCellMar>
          <w:top w:w="0" w:type="dxa"/>
          <w:left w:w="0" w:type="dxa"/>
          <w:bottom w:w="0" w:type="dxa"/>
          <w:right w:w="0" w:type="dxa"/>
        </w:tblCellMar>
      </w:tblPr>
      <w:tr>
        <w:trPr>
          <w:trHeight w:val="208"/>
        </w:trPr>
        <w:tc>
          <w:tcPr>
            <w:tcW w:w="25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Board/Committee</w:t>
            </w:r>
          </w:p>
        </w:tc>
        <w:tc>
          <w:tcPr>
            <w:tcW w:w="710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Responsibility/Role</w:t>
            </w:r>
          </w:p>
        </w:tc>
      </w:tr>
      <w:tr>
        <w:trPr>
          <w:trHeight w:val="195"/>
        </w:trPr>
        <w:tc>
          <w:tcPr>
            <w:tcW w:w="2520" w:type="dxa"/>
            <w:vAlign w:val="bottom"/>
            <w:shd w:val="clear" w:color="auto" w:fill="E9E9E9"/>
          </w:tcPr>
          <w:p>
            <w:pPr>
              <w:ind w:left="60"/>
              <w:spacing w:after="0"/>
              <w:rPr>
                <w:sz w:val="20"/>
                <w:szCs w:val="20"/>
                <w:color w:val="auto"/>
              </w:rPr>
            </w:pPr>
            <w:r>
              <w:rPr>
                <w:rFonts w:ascii="Arial" w:cs="Arial" w:eastAsia="Arial" w:hAnsi="Arial"/>
                <w:sz w:val="16"/>
                <w:szCs w:val="16"/>
                <w:color w:val="auto"/>
              </w:rPr>
              <w:t>Audit Committee</w:t>
            </w:r>
          </w:p>
        </w:tc>
        <w:tc>
          <w:tcPr>
            <w:tcW w:w="540" w:type="dxa"/>
            <w:vAlign w:val="bottom"/>
            <w:shd w:val="clear" w:color="auto" w:fill="E9E9E9"/>
          </w:tcPr>
          <w:p>
            <w:pPr>
              <w:ind w:left="360"/>
              <w:spacing w:after="0"/>
              <w:rPr>
                <w:sz w:val="20"/>
                <w:szCs w:val="20"/>
                <w:color w:val="auto"/>
              </w:rPr>
            </w:pPr>
            <w:r>
              <w:rPr>
                <w:rFonts w:ascii="Arial" w:cs="Arial" w:eastAsia="Arial" w:hAnsi="Arial"/>
                <w:sz w:val="16"/>
                <w:szCs w:val="16"/>
                <w:color w:val="auto"/>
              </w:rPr>
              <w:t>•</w:t>
            </w:r>
          </w:p>
        </w:tc>
        <w:tc>
          <w:tcPr>
            <w:tcW w:w="6560" w:type="dxa"/>
            <w:vAlign w:val="bottom"/>
            <w:gridSpan w:val="2"/>
            <w:shd w:val="clear" w:color="auto" w:fill="E9E9E9"/>
          </w:tcPr>
          <w:p>
            <w:pPr>
              <w:ind w:left="120"/>
              <w:spacing w:after="0"/>
              <w:rPr>
                <w:sz w:val="20"/>
                <w:szCs w:val="20"/>
                <w:color w:val="auto"/>
              </w:rPr>
            </w:pPr>
            <w:r>
              <w:rPr>
                <w:rFonts w:ascii="Arial" w:cs="Arial" w:eastAsia="Arial" w:hAnsi="Arial"/>
                <w:sz w:val="16"/>
                <w:szCs w:val="16"/>
                <w:color w:val="auto"/>
              </w:rPr>
              <w:t>Assists in the Board's oversight of the Company's:</w:t>
            </w:r>
          </w:p>
        </w:tc>
      </w:tr>
      <w:tr>
        <w:trPr>
          <w:trHeight w:val="203"/>
        </w:trPr>
        <w:tc>
          <w:tcPr>
            <w:tcW w:w="2520" w:type="dxa"/>
            <w:vAlign w:val="bottom"/>
            <w:shd w:val="clear" w:color="auto" w:fill="E9E9E9"/>
          </w:tcPr>
          <w:p>
            <w:pPr>
              <w:spacing w:after="0"/>
              <w:rPr>
                <w:sz w:val="17"/>
                <w:szCs w:val="17"/>
                <w:color w:val="auto"/>
              </w:rPr>
            </w:pPr>
          </w:p>
        </w:tc>
        <w:tc>
          <w:tcPr>
            <w:tcW w:w="540" w:type="dxa"/>
            <w:vAlign w:val="bottom"/>
            <w:shd w:val="clear" w:color="auto" w:fill="E9E9E9"/>
          </w:tcPr>
          <w:p>
            <w:pPr>
              <w:spacing w:after="0"/>
              <w:rPr>
                <w:sz w:val="17"/>
                <w:szCs w:val="17"/>
                <w:color w:val="auto"/>
              </w:rPr>
            </w:pPr>
          </w:p>
        </w:tc>
        <w:tc>
          <w:tcPr>
            <w:tcW w:w="320" w:type="dxa"/>
            <w:vAlign w:val="bottom"/>
            <w:shd w:val="clear" w:color="auto" w:fill="E9E9E9"/>
          </w:tcPr>
          <w:p>
            <w:pPr>
              <w:ind w:left="120"/>
              <w:spacing w:after="0"/>
              <w:rPr>
                <w:sz w:val="20"/>
                <w:szCs w:val="20"/>
                <w:color w:val="auto"/>
              </w:rPr>
            </w:pPr>
            <w:r>
              <w:rPr>
                <w:rFonts w:ascii="Arial" w:cs="Arial" w:eastAsia="Arial" w:hAnsi="Arial"/>
                <w:sz w:val="16"/>
                <w:szCs w:val="16"/>
                <w:color w:val="auto"/>
              </w:rPr>
              <w:t>•</w:t>
            </w:r>
          </w:p>
        </w:tc>
        <w:tc>
          <w:tcPr>
            <w:tcW w:w="6240" w:type="dxa"/>
            <w:vAlign w:val="bottom"/>
            <w:shd w:val="clear" w:color="auto" w:fill="E9E9E9"/>
          </w:tcPr>
          <w:p>
            <w:pPr>
              <w:ind w:left="120"/>
              <w:spacing w:after="0"/>
              <w:rPr>
                <w:sz w:val="20"/>
                <w:szCs w:val="20"/>
                <w:color w:val="auto"/>
              </w:rPr>
            </w:pPr>
            <w:r>
              <w:rPr>
                <w:rFonts w:ascii="Arial" w:cs="Arial" w:eastAsia="Arial" w:hAnsi="Arial"/>
                <w:sz w:val="16"/>
                <w:szCs w:val="16"/>
                <w:color w:val="auto"/>
                <w:w w:val="90"/>
              </w:rPr>
              <w:t>major financial risk exposures and the steps management has undertaken to control such risks;</w:t>
            </w:r>
          </w:p>
        </w:tc>
      </w:tr>
      <w:tr>
        <w:trPr>
          <w:trHeight w:val="204"/>
        </w:trPr>
        <w:tc>
          <w:tcPr>
            <w:tcW w:w="2520" w:type="dxa"/>
            <w:vAlign w:val="bottom"/>
            <w:shd w:val="clear" w:color="auto" w:fill="E9E9E9"/>
          </w:tcPr>
          <w:p>
            <w:pPr>
              <w:spacing w:after="0"/>
              <w:rPr>
                <w:sz w:val="17"/>
                <w:szCs w:val="17"/>
                <w:color w:val="auto"/>
              </w:rPr>
            </w:pPr>
          </w:p>
        </w:tc>
        <w:tc>
          <w:tcPr>
            <w:tcW w:w="540" w:type="dxa"/>
            <w:vAlign w:val="bottom"/>
            <w:shd w:val="clear" w:color="auto" w:fill="E9E9E9"/>
          </w:tcPr>
          <w:p>
            <w:pPr>
              <w:spacing w:after="0"/>
              <w:rPr>
                <w:sz w:val="17"/>
                <w:szCs w:val="17"/>
                <w:color w:val="auto"/>
              </w:rPr>
            </w:pPr>
          </w:p>
        </w:tc>
        <w:tc>
          <w:tcPr>
            <w:tcW w:w="320" w:type="dxa"/>
            <w:vAlign w:val="bottom"/>
            <w:shd w:val="clear" w:color="auto" w:fill="E9E9E9"/>
          </w:tcPr>
          <w:p>
            <w:pPr>
              <w:spacing w:after="0"/>
              <w:rPr>
                <w:sz w:val="17"/>
                <w:szCs w:val="17"/>
                <w:color w:val="auto"/>
              </w:rPr>
            </w:pPr>
          </w:p>
        </w:tc>
        <w:tc>
          <w:tcPr>
            <w:tcW w:w="6240" w:type="dxa"/>
            <w:vAlign w:val="bottom"/>
            <w:shd w:val="clear" w:color="auto" w:fill="E9E9E9"/>
          </w:tcPr>
          <w:p>
            <w:pPr>
              <w:ind w:left="120"/>
              <w:spacing w:after="0"/>
              <w:rPr>
                <w:sz w:val="20"/>
                <w:szCs w:val="20"/>
                <w:color w:val="auto"/>
              </w:rPr>
            </w:pPr>
            <w:r>
              <w:rPr>
                <w:rFonts w:ascii="Arial" w:cs="Arial" w:eastAsia="Arial" w:hAnsi="Arial"/>
                <w:sz w:val="16"/>
                <w:szCs w:val="16"/>
                <w:color w:val="auto"/>
              </w:rPr>
              <w:t>and</w:t>
            </w:r>
          </w:p>
        </w:tc>
      </w:tr>
      <w:tr>
        <w:trPr>
          <w:trHeight w:val="203"/>
        </w:trPr>
        <w:tc>
          <w:tcPr>
            <w:tcW w:w="2520" w:type="dxa"/>
            <w:vAlign w:val="bottom"/>
            <w:shd w:val="clear" w:color="auto" w:fill="E9E9E9"/>
          </w:tcPr>
          <w:p>
            <w:pPr>
              <w:spacing w:after="0"/>
              <w:rPr>
                <w:sz w:val="17"/>
                <w:szCs w:val="17"/>
                <w:color w:val="auto"/>
              </w:rPr>
            </w:pPr>
          </w:p>
        </w:tc>
        <w:tc>
          <w:tcPr>
            <w:tcW w:w="540" w:type="dxa"/>
            <w:vAlign w:val="bottom"/>
            <w:shd w:val="clear" w:color="auto" w:fill="E9E9E9"/>
          </w:tcPr>
          <w:p>
            <w:pPr>
              <w:spacing w:after="0"/>
              <w:rPr>
                <w:sz w:val="17"/>
                <w:szCs w:val="17"/>
                <w:color w:val="auto"/>
              </w:rPr>
            </w:pPr>
          </w:p>
        </w:tc>
        <w:tc>
          <w:tcPr>
            <w:tcW w:w="320" w:type="dxa"/>
            <w:vAlign w:val="bottom"/>
            <w:shd w:val="clear" w:color="auto" w:fill="E9E9E9"/>
          </w:tcPr>
          <w:p>
            <w:pPr>
              <w:ind w:left="120"/>
              <w:spacing w:after="0"/>
              <w:rPr>
                <w:sz w:val="20"/>
                <w:szCs w:val="20"/>
                <w:color w:val="auto"/>
              </w:rPr>
            </w:pPr>
            <w:r>
              <w:rPr>
                <w:rFonts w:ascii="Arial" w:cs="Arial" w:eastAsia="Arial" w:hAnsi="Arial"/>
                <w:sz w:val="16"/>
                <w:szCs w:val="16"/>
                <w:color w:val="auto"/>
              </w:rPr>
              <w:t>•</w:t>
            </w:r>
          </w:p>
        </w:tc>
        <w:tc>
          <w:tcPr>
            <w:tcW w:w="6240" w:type="dxa"/>
            <w:vAlign w:val="bottom"/>
            <w:shd w:val="clear" w:color="auto" w:fill="E9E9E9"/>
          </w:tcPr>
          <w:p>
            <w:pPr>
              <w:ind w:left="120"/>
              <w:spacing w:after="0"/>
              <w:rPr>
                <w:sz w:val="20"/>
                <w:szCs w:val="20"/>
                <w:color w:val="auto"/>
              </w:rPr>
            </w:pPr>
            <w:r>
              <w:rPr>
                <w:rFonts w:ascii="Arial" w:cs="Arial" w:eastAsia="Arial" w:hAnsi="Arial"/>
                <w:sz w:val="16"/>
                <w:szCs w:val="16"/>
                <w:color w:val="auto"/>
              </w:rPr>
              <w:t>compliance with legal and regulatory requirements.</w:t>
            </w:r>
          </w:p>
        </w:tc>
      </w:tr>
      <w:tr>
        <w:trPr>
          <w:trHeight w:val="203"/>
        </w:trPr>
        <w:tc>
          <w:tcPr>
            <w:tcW w:w="2520" w:type="dxa"/>
            <w:vAlign w:val="bottom"/>
          </w:tcPr>
          <w:p>
            <w:pPr>
              <w:ind w:left="60"/>
              <w:spacing w:after="0"/>
              <w:rPr>
                <w:sz w:val="20"/>
                <w:szCs w:val="20"/>
                <w:color w:val="auto"/>
              </w:rPr>
            </w:pPr>
            <w:r>
              <w:rPr>
                <w:rFonts w:ascii="Arial" w:cs="Arial" w:eastAsia="Arial" w:hAnsi="Arial"/>
                <w:sz w:val="16"/>
                <w:szCs w:val="16"/>
                <w:color w:val="auto"/>
              </w:rPr>
              <w:t>Compensation Committee</w:t>
            </w:r>
          </w:p>
        </w:tc>
        <w:tc>
          <w:tcPr>
            <w:tcW w:w="540" w:type="dxa"/>
            <w:vAlign w:val="bottom"/>
          </w:tcPr>
          <w:p>
            <w:pPr>
              <w:ind w:left="360"/>
              <w:spacing w:after="0"/>
              <w:rPr>
                <w:sz w:val="20"/>
                <w:szCs w:val="20"/>
                <w:color w:val="auto"/>
              </w:rPr>
            </w:pPr>
            <w:r>
              <w:rPr>
                <w:rFonts w:ascii="Arial" w:cs="Arial" w:eastAsia="Arial" w:hAnsi="Arial"/>
                <w:sz w:val="16"/>
                <w:szCs w:val="16"/>
                <w:color w:val="auto"/>
              </w:rPr>
              <w:t>•</w:t>
            </w: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w w:val="92"/>
              </w:rPr>
              <w:t>Oversees risks associated with its respective area of responsibility, including, among other things,</w:t>
            </w:r>
          </w:p>
        </w:tc>
      </w:tr>
      <w:tr>
        <w:trPr>
          <w:trHeight w:val="203"/>
        </w:trPr>
        <w:tc>
          <w:tcPr>
            <w:tcW w:w="2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risks associated with our compensation policies and practices with respect to executive</w:t>
            </w:r>
          </w:p>
        </w:tc>
      </w:tr>
      <w:tr>
        <w:trPr>
          <w:trHeight w:val="204"/>
        </w:trPr>
        <w:tc>
          <w:tcPr>
            <w:tcW w:w="2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compensation.</w:t>
            </w:r>
          </w:p>
        </w:tc>
      </w:tr>
      <w:tr>
        <w:trPr>
          <w:trHeight w:val="203"/>
        </w:trPr>
        <w:tc>
          <w:tcPr>
            <w:tcW w:w="2520" w:type="dxa"/>
            <w:vAlign w:val="bottom"/>
            <w:shd w:val="clear" w:color="auto" w:fill="E9E9E9"/>
          </w:tcPr>
          <w:p>
            <w:pPr>
              <w:ind w:left="60"/>
              <w:spacing w:after="0"/>
              <w:rPr>
                <w:sz w:val="20"/>
                <w:szCs w:val="20"/>
                <w:color w:val="auto"/>
              </w:rPr>
            </w:pPr>
            <w:r>
              <w:rPr>
                <w:rFonts w:ascii="Arial" w:cs="Arial" w:eastAsia="Arial" w:hAnsi="Arial"/>
                <w:sz w:val="16"/>
                <w:szCs w:val="16"/>
                <w:color w:val="auto"/>
                <w:w w:val="99"/>
              </w:rPr>
              <w:t>Corporate Governance Committee</w:t>
            </w:r>
          </w:p>
        </w:tc>
        <w:tc>
          <w:tcPr>
            <w:tcW w:w="540" w:type="dxa"/>
            <w:vAlign w:val="bottom"/>
            <w:shd w:val="clear" w:color="auto" w:fill="E9E9E9"/>
          </w:tcPr>
          <w:p>
            <w:pPr>
              <w:ind w:left="360"/>
              <w:spacing w:after="0"/>
              <w:rPr>
                <w:sz w:val="20"/>
                <w:szCs w:val="20"/>
                <w:color w:val="auto"/>
              </w:rPr>
            </w:pPr>
            <w:r>
              <w:rPr>
                <w:rFonts w:ascii="Arial" w:cs="Arial" w:eastAsia="Arial" w:hAnsi="Arial"/>
                <w:sz w:val="16"/>
                <w:szCs w:val="16"/>
                <w:color w:val="auto"/>
              </w:rPr>
              <w:t>•</w:t>
            </w:r>
          </w:p>
        </w:tc>
        <w:tc>
          <w:tcPr>
            <w:tcW w:w="6560" w:type="dxa"/>
            <w:vAlign w:val="bottom"/>
            <w:gridSpan w:val="2"/>
            <w:shd w:val="clear" w:color="auto" w:fill="E9E9E9"/>
          </w:tcPr>
          <w:p>
            <w:pPr>
              <w:ind w:left="120"/>
              <w:spacing w:after="0"/>
              <w:rPr>
                <w:sz w:val="20"/>
                <w:szCs w:val="20"/>
                <w:color w:val="auto"/>
              </w:rPr>
            </w:pPr>
            <w:r>
              <w:rPr>
                <w:rFonts w:ascii="Arial" w:cs="Arial" w:eastAsia="Arial" w:hAnsi="Arial"/>
                <w:sz w:val="16"/>
                <w:szCs w:val="16"/>
                <w:color w:val="auto"/>
                <w:w w:val="91"/>
              </w:rPr>
              <w:t>Oversees risks associated with its respective area of responsibility, including corporate governance.</w:t>
            </w:r>
          </w:p>
        </w:tc>
      </w:tr>
      <w:tr>
        <w:trPr>
          <w:trHeight w:val="203"/>
        </w:trPr>
        <w:tc>
          <w:tcPr>
            <w:tcW w:w="2520" w:type="dxa"/>
            <w:vAlign w:val="bottom"/>
          </w:tcPr>
          <w:p>
            <w:pPr>
              <w:ind w:left="60"/>
              <w:spacing w:after="0"/>
              <w:rPr>
                <w:sz w:val="20"/>
                <w:szCs w:val="20"/>
                <w:color w:val="auto"/>
              </w:rPr>
            </w:pPr>
            <w:r>
              <w:rPr>
                <w:rFonts w:ascii="Arial" w:cs="Arial" w:eastAsia="Arial" w:hAnsi="Arial"/>
                <w:sz w:val="16"/>
                <w:szCs w:val="16"/>
                <w:color w:val="auto"/>
              </w:rPr>
              <w:t>Full Board</w:t>
            </w:r>
          </w:p>
        </w:tc>
        <w:tc>
          <w:tcPr>
            <w:tcW w:w="540" w:type="dxa"/>
            <w:vAlign w:val="bottom"/>
          </w:tcPr>
          <w:p>
            <w:pPr>
              <w:ind w:left="360"/>
              <w:spacing w:after="0"/>
              <w:rPr>
                <w:sz w:val="20"/>
                <w:szCs w:val="20"/>
                <w:color w:val="auto"/>
              </w:rPr>
            </w:pPr>
            <w:r>
              <w:rPr>
                <w:rFonts w:ascii="Arial" w:cs="Arial" w:eastAsia="Arial" w:hAnsi="Arial"/>
                <w:sz w:val="16"/>
                <w:szCs w:val="16"/>
                <w:color w:val="auto"/>
              </w:rPr>
              <w:t>•</w:t>
            </w: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w w:val="99"/>
              </w:rPr>
              <w:t>Receives reports from the Committees, which are provided at every regular Board meeting.</w:t>
            </w:r>
          </w:p>
        </w:tc>
      </w:tr>
      <w:tr>
        <w:trPr>
          <w:trHeight w:val="203"/>
        </w:trPr>
        <w:tc>
          <w:tcPr>
            <w:tcW w:w="2520" w:type="dxa"/>
            <w:vAlign w:val="bottom"/>
          </w:tcPr>
          <w:p>
            <w:pPr>
              <w:spacing w:after="0"/>
              <w:rPr>
                <w:sz w:val="17"/>
                <w:szCs w:val="17"/>
                <w:color w:val="auto"/>
              </w:rPr>
            </w:pPr>
          </w:p>
        </w:tc>
        <w:tc>
          <w:tcPr>
            <w:tcW w:w="540" w:type="dxa"/>
            <w:vAlign w:val="bottom"/>
          </w:tcPr>
          <w:p>
            <w:pPr>
              <w:ind w:left="360"/>
              <w:spacing w:after="0"/>
              <w:rPr>
                <w:sz w:val="20"/>
                <w:szCs w:val="20"/>
                <w:color w:val="auto"/>
              </w:rPr>
            </w:pPr>
            <w:r>
              <w:rPr>
                <w:rFonts w:ascii="Arial" w:cs="Arial" w:eastAsia="Arial" w:hAnsi="Arial"/>
                <w:sz w:val="16"/>
                <w:szCs w:val="16"/>
                <w:color w:val="auto"/>
              </w:rPr>
              <w:t>•</w:t>
            </w: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Considers specific risk topics.</w:t>
            </w:r>
          </w:p>
        </w:tc>
      </w:tr>
      <w:tr>
        <w:trPr>
          <w:trHeight w:val="203"/>
        </w:trPr>
        <w:tc>
          <w:tcPr>
            <w:tcW w:w="2520" w:type="dxa"/>
            <w:vAlign w:val="bottom"/>
          </w:tcPr>
          <w:p>
            <w:pPr>
              <w:spacing w:after="0"/>
              <w:rPr>
                <w:sz w:val="17"/>
                <w:szCs w:val="17"/>
                <w:color w:val="auto"/>
              </w:rPr>
            </w:pPr>
          </w:p>
        </w:tc>
        <w:tc>
          <w:tcPr>
            <w:tcW w:w="540" w:type="dxa"/>
            <w:vAlign w:val="bottom"/>
          </w:tcPr>
          <w:p>
            <w:pPr>
              <w:ind w:left="360"/>
              <w:spacing w:after="0"/>
              <w:rPr>
                <w:sz w:val="20"/>
                <w:szCs w:val="20"/>
                <w:color w:val="auto"/>
              </w:rPr>
            </w:pPr>
            <w:r>
              <w:rPr>
                <w:rFonts w:ascii="Arial" w:cs="Arial" w:eastAsia="Arial" w:hAnsi="Arial"/>
                <w:sz w:val="16"/>
                <w:szCs w:val="16"/>
                <w:color w:val="auto"/>
              </w:rPr>
              <w:t>•</w:t>
            </w: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w w:val="92"/>
              </w:rPr>
              <w:t>Receives regular reports from members of senior management that include discussion of the risks</w:t>
            </w:r>
          </w:p>
        </w:tc>
      </w:tr>
      <w:tr>
        <w:trPr>
          <w:trHeight w:val="203"/>
        </w:trPr>
        <w:tc>
          <w:tcPr>
            <w:tcW w:w="2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w w:val="96"/>
              </w:rPr>
              <w:t>and exposures involved in their respective areas of responsibility. Such reports are provided in</w:t>
            </w:r>
          </w:p>
        </w:tc>
      </w:tr>
      <w:tr>
        <w:trPr>
          <w:trHeight w:val="204"/>
        </w:trPr>
        <w:tc>
          <w:tcPr>
            <w:tcW w:w="25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5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connection with and discussed at Board meetings.</w:t>
            </w:r>
          </w:p>
        </w:tc>
      </w:tr>
    </w:tbl>
    <w:p>
      <w:pPr>
        <w:spacing w:after="0" w:line="238" w:lineRule="exact"/>
        <w:rPr>
          <w:sz w:val="20"/>
          <w:szCs w:val="20"/>
          <w:color w:val="auto"/>
        </w:rPr>
      </w:pPr>
    </w:p>
    <w:p>
      <w:pPr>
        <w:ind w:left="332" w:right="60"/>
        <w:spacing w:after="0" w:line="288" w:lineRule="auto"/>
        <w:rPr>
          <w:sz w:val="20"/>
          <w:szCs w:val="20"/>
          <w:color w:val="auto"/>
        </w:rPr>
      </w:pPr>
      <w:r>
        <w:rPr>
          <w:rFonts w:ascii="Arial" w:cs="Arial" w:eastAsia="Arial" w:hAnsi="Arial"/>
          <w:sz w:val="15"/>
          <w:szCs w:val="15"/>
          <w:color w:val="auto"/>
        </w:rPr>
        <w:t>In 2015, consistent with past practice, management reviewed the Company's compensation policies and practices for employees generally as they relate to risk management. As part of this process, management reviewed the Company's incentive compensation programs applicable to all employees with the chairmen of the Audit and Compensation Committees and the compensation consultant engaged by the Compensation Committee to determine whether such programs create incentives that might motivate inappropriate or excessive risk-taking. In the course of such review, mitigating features of the Company's incentive compensation programs were considered, including: (1) the Company's recoupment policies; (2) that virtually all of the Company's annual incentive programs allow for "downward discretion," which permits the Company to reduce incentive compensation payouts; and (3) that executive officers are subject to share ownership and retention guidelines. As a result of this process, there were no recommended changes to the Company's incentive compensation programs.</w:t>
      </w:r>
    </w:p>
    <w:p>
      <w:pPr>
        <w:spacing w:after="0" w:line="193"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Communicating with the Board of Directors</w:t>
      </w:r>
    </w:p>
    <w:p>
      <w:pPr>
        <w:spacing w:after="0" w:line="250" w:lineRule="exact"/>
        <w:rPr>
          <w:sz w:val="20"/>
          <w:szCs w:val="20"/>
          <w:color w:val="auto"/>
        </w:rPr>
      </w:pPr>
    </w:p>
    <w:p>
      <w:pPr>
        <w:ind w:left="332"/>
        <w:spacing w:after="0"/>
        <w:rPr>
          <w:sz w:val="20"/>
          <w:szCs w:val="20"/>
          <w:color w:val="auto"/>
        </w:rPr>
      </w:pPr>
      <w:r>
        <w:rPr>
          <w:rFonts w:ascii="Arial" w:cs="Arial" w:eastAsia="Arial" w:hAnsi="Arial"/>
          <w:sz w:val="15"/>
          <w:szCs w:val="15"/>
          <w:color w:val="auto"/>
        </w:rPr>
        <w:t>Stockholders and other interested parties may send communications directly to the Board of Directors by writing to the following address:</w:t>
      </w:r>
    </w:p>
    <w:p>
      <w:pPr>
        <w:spacing w:after="0" w:line="270" w:lineRule="exact"/>
        <w:rPr>
          <w:sz w:val="20"/>
          <w:szCs w:val="20"/>
          <w:color w:val="auto"/>
        </w:rPr>
      </w:pPr>
    </w:p>
    <w:p>
      <w:pPr>
        <w:ind w:left="612" w:hanging="612"/>
        <w:spacing w:after="0"/>
        <w:tabs>
          <w:tab w:leader="none" w:pos="612" w:val="left"/>
        </w:tabs>
        <w:numPr>
          <w:ilvl w:val="0"/>
          <w:numId w:val="22"/>
        </w:numPr>
        <w:rPr>
          <w:rFonts w:ascii="Arial" w:cs="Arial" w:eastAsia="Arial" w:hAnsi="Arial"/>
          <w:sz w:val="16"/>
          <w:szCs w:val="16"/>
          <w:color w:val="auto"/>
        </w:rPr>
      </w:pPr>
      <w:r>
        <w:rPr>
          <w:rFonts w:ascii="Arial" w:cs="Arial" w:eastAsia="Arial" w:hAnsi="Arial"/>
          <w:sz w:val="16"/>
          <w:szCs w:val="16"/>
          <w:color w:val="auto"/>
        </w:rPr>
        <w:t>Board of Directors, c/o the Corporate Secretary, at Avis Budget Group, Inc., 6 Sylvan Way, Parsippany, N.J. 07054.</w:t>
      </w:r>
    </w:p>
    <w:p>
      <w:pPr>
        <w:spacing w:after="0" w:line="246" w:lineRule="exact"/>
        <w:rPr>
          <w:sz w:val="20"/>
          <w:szCs w:val="20"/>
          <w:color w:val="auto"/>
        </w:rPr>
      </w:pPr>
    </w:p>
    <w:p>
      <w:pPr>
        <w:ind w:left="332" w:right="20"/>
        <w:spacing w:after="0" w:line="273" w:lineRule="auto"/>
        <w:rPr>
          <w:sz w:val="20"/>
          <w:szCs w:val="20"/>
          <w:color w:val="auto"/>
        </w:rPr>
      </w:pPr>
      <w:r>
        <w:rPr>
          <w:rFonts w:ascii="Arial" w:cs="Arial" w:eastAsia="Arial" w:hAnsi="Arial"/>
          <w:sz w:val="16"/>
          <w:szCs w:val="16"/>
          <w:color w:val="auto"/>
        </w:rPr>
        <w:t xml:space="preserve">In addition, all parties interested in communicating directly with the Presiding Director or with any other independent director may do so by writing to Avis Budget Group, Inc. at the same address, Attention: Presiding Director c/o the Corporate Secretary or via e-mail at </w:t>
      </w:r>
      <w:r>
        <w:rPr>
          <w:rFonts w:ascii="Arial" w:cs="Arial" w:eastAsia="Arial" w:hAnsi="Arial"/>
          <w:sz w:val="16"/>
          <w:szCs w:val="16"/>
          <w:i w:val="1"/>
          <w:iCs w:val="1"/>
          <w:color w:val="auto"/>
        </w:rPr>
        <w:t>presiding.director@avisbudget.com</w:t>
      </w:r>
      <w:r>
        <w:rPr>
          <w:rFonts w:ascii="Arial" w:cs="Arial" w:eastAsia="Arial" w:hAnsi="Arial"/>
          <w:sz w:val="16"/>
          <w:szCs w:val="16"/>
          <w:color w:val="auto"/>
        </w:rPr>
        <w:t>. The Presiding Director is responsible for reviewing and distributing all interested parties' communications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to the intended recipients and/or to the full Board of Directors, as appropriate.</w:t>
      </w:r>
    </w:p>
    <w:p>
      <w:pPr>
        <w:spacing w:after="0" w:line="199"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Codes of Conduct</w:t>
      </w:r>
    </w:p>
    <w:p>
      <w:pPr>
        <w:spacing w:after="0" w:line="262" w:lineRule="exact"/>
        <w:rPr>
          <w:sz w:val="20"/>
          <w:szCs w:val="20"/>
          <w:color w:val="auto"/>
        </w:rPr>
      </w:pPr>
    </w:p>
    <w:p>
      <w:pPr>
        <w:ind w:left="332" w:right="100"/>
        <w:spacing w:after="0" w:line="278" w:lineRule="auto"/>
        <w:rPr>
          <w:sz w:val="20"/>
          <w:szCs w:val="20"/>
          <w:color w:val="auto"/>
        </w:rPr>
      </w:pPr>
      <w:r>
        <w:rPr>
          <w:rFonts w:ascii="Arial" w:cs="Arial" w:eastAsia="Arial" w:hAnsi="Arial"/>
          <w:sz w:val="16"/>
          <w:szCs w:val="16"/>
          <w:color w:val="auto"/>
        </w:rPr>
        <w:t>The Board of Directors has adopted a code of conduct that applies to all officers and employees, including the Company's principal executive officer, principal financial officer and principal accounting officer. The Board of Directors has also adopted a code of business conduct and ethics for directors. Both codes of conduct are</w:t>
      </w:r>
    </w:p>
    <w:p>
      <w:pPr>
        <w:spacing w:after="0" w:line="114" w:lineRule="exact"/>
        <w:rPr>
          <w:sz w:val="20"/>
          <w:szCs w:val="20"/>
          <w:color w:val="auto"/>
        </w:rPr>
      </w:pPr>
    </w:p>
    <w:p>
      <w:pPr>
        <w:ind w:left="332"/>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70485</wp:posOffset>
            </wp:positionV>
            <wp:extent cx="6850380" cy="35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952"/>
          </w:cols>
          <w:pgMar w:left="1048" w:top="438" w:right="899" w:bottom="1440" w:gutter="0" w:footer="0" w:header="0"/>
        </w:sectPr>
      </w:pPr>
    </w:p>
    <w:bookmarkStart w:id="17" w:name="page18"/>
    <w:bookmarkEnd w:id="17"/>
    <w:p>
      <w:pPr>
        <w:ind w:left="332" w:right="180"/>
        <w:spacing w:after="0" w:line="324" w:lineRule="auto"/>
        <w:rPr>
          <w:sz w:val="20"/>
          <w:szCs w:val="20"/>
          <w:color w:val="auto"/>
        </w:rPr>
      </w:pPr>
      <w:r>
        <w:rPr>
          <w:rFonts w:ascii="Arial" w:cs="Arial" w:eastAsia="Arial" w:hAnsi="Arial"/>
          <w:sz w:val="14"/>
          <w:szCs w:val="14"/>
          <w:color w:val="auto"/>
        </w:rPr>
        <w:t xml:space="preserve">available in the "Investor Relations—Corporate Governance" section of the Company's website at </w:t>
      </w:r>
      <w:r>
        <w:rPr>
          <w:rFonts w:ascii="Arial" w:cs="Arial" w:eastAsia="Arial" w:hAnsi="Arial"/>
          <w:sz w:val="14"/>
          <w:szCs w:val="14"/>
          <w:i w:val="1"/>
          <w:iCs w:val="1"/>
          <w:color w:val="auto"/>
        </w:rPr>
        <w:t>www.avisbudgetgroup.com</w:t>
      </w:r>
      <w:r>
        <w:rPr>
          <w:rFonts w:ascii="Arial" w:cs="Arial" w:eastAsia="Arial" w:hAnsi="Arial"/>
          <w:sz w:val="14"/>
          <w:szCs w:val="14"/>
          <w:color w:val="auto"/>
        </w:rPr>
        <w:t>. The purpose of these codes of conduct is to promote honest and ethical conduct, including the ethical handling of actual or apparent conflicts of interest between personal and professional relationships; to promote full, fair, accurate, timely and understandable disclosure in periodic reports required to be filed by the Company; and to promote compliance with all applicable rules and regulations that apply to the Company and its officers and directors.</w:t>
      </w:r>
    </w:p>
    <w:p>
      <w:pPr>
        <w:spacing w:after="0" w:line="178"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Board of Directors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100965</wp:posOffset>
            </wp:positionV>
            <wp:extent cx="6126480"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26480" cy="4064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332" w:right="40"/>
        <w:spacing w:after="0" w:line="271" w:lineRule="auto"/>
        <w:rPr>
          <w:sz w:val="20"/>
          <w:szCs w:val="20"/>
          <w:color w:val="auto"/>
        </w:rPr>
      </w:pPr>
      <w:r>
        <w:rPr>
          <w:rFonts w:ascii="Arial" w:cs="Arial" w:eastAsia="Arial" w:hAnsi="Arial"/>
          <w:sz w:val="16"/>
          <w:szCs w:val="16"/>
          <w:color w:val="auto"/>
        </w:rPr>
        <w:t>The Board of Directors held five meetings during 2014. In 2014, all directors attended at least 75% of the aggregate number of meetings of the Board of Directors and committees of the Board of Directors on which they served. We expect all directors to attend each regularly scheduled Board of Directors meeting. Attendance at the Company's annual meeting of stockholders is strongly encouraged, and our goal is for a representative of each of the Audit Committee, Compensation Committee and Corporate Governance Committee to be present at each annual meeting. The 2014 annual meeting of stockholders was attended by nine directors.</w:t>
      </w:r>
    </w:p>
    <w:p>
      <w:pPr>
        <w:spacing w:after="0" w:line="212"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100965</wp:posOffset>
            </wp:positionV>
            <wp:extent cx="6126480"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26480" cy="4064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332" w:right="240"/>
        <w:spacing w:after="0" w:line="291" w:lineRule="auto"/>
        <w:rPr>
          <w:sz w:val="20"/>
          <w:szCs w:val="20"/>
          <w:color w:val="auto"/>
        </w:rPr>
      </w:pPr>
      <w:r>
        <w:rPr>
          <w:rFonts w:ascii="Arial" w:cs="Arial" w:eastAsia="Arial" w:hAnsi="Arial"/>
          <w:sz w:val="16"/>
          <w:szCs w:val="16"/>
          <w:color w:val="auto"/>
        </w:rPr>
        <w:t>The standing committees of the Board include: the Audit Committee, the Compensation Committee, the Corporate Governance Committee and the Executive Committee.</w:t>
      </w:r>
    </w:p>
    <w:p>
      <w:pPr>
        <w:spacing w:after="0" w:line="135" w:lineRule="exact"/>
        <w:rPr>
          <w:sz w:val="20"/>
          <w:szCs w:val="20"/>
          <w:color w:val="auto"/>
        </w:rPr>
      </w:pPr>
    </w:p>
    <w:tbl>
      <w:tblPr>
        <w:tblLayout w:type="fixed"/>
        <w:tblInd w:w="332" w:type="dxa"/>
        <w:tblCellMar>
          <w:top w:w="0" w:type="dxa"/>
          <w:left w:w="0" w:type="dxa"/>
          <w:bottom w:w="0" w:type="dxa"/>
          <w:right w:w="0" w:type="dxa"/>
        </w:tblCellMar>
      </w:tblPr>
      <w:tr>
        <w:trPr>
          <w:trHeight w:val="203"/>
        </w:trPr>
        <w:tc>
          <w:tcPr>
            <w:tcW w:w="3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4"/>
              </w:rPr>
              <w:t>Corporate</w:t>
            </w:r>
          </w:p>
        </w:tc>
        <w:tc>
          <w:tcPr>
            <w:tcW w:w="1340" w:type="dxa"/>
            <w:vAlign w:val="bottom"/>
          </w:tcPr>
          <w:p>
            <w:pPr>
              <w:spacing w:after="0"/>
              <w:rPr>
                <w:sz w:val="17"/>
                <w:szCs w:val="17"/>
                <w:color w:val="auto"/>
              </w:rPr>
            </w:pPr>
          </w:p>
        </w:tc>
      </w:tr>
      <w:tr>
        <w:trPr>
          <w:trHeight w:val="208"/>
        </w:trPr>
        <w:tc>
          <w:tcPr>
            <w:tcW w:w="31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w:t>
            </w:r>
          </w:p>
        </w:tc>
        <w:tc>
          <w:tcPr>
            <w:tcW w:w="1600" w:type="dxa"/>
            <w:vAlign w:val="bottom"/>
            <w:tcBorders>
              <w:bottom w:val="single" w:sz="8" w:color="auto"/>
            </w:tcBorders>
          </w:tcPr>
          <w:p>
            <w:pPr>
              <w:ind w:left="760"/>
              <w:spacing w:after="0"/>
              <w:rPr>
                <w:sz w:val="20"/>
                <w:szCs w:val="20"/>
                <w:color w:val="auto"/>
              </w:rPr>
            </w:pPr>
            <w:r>
              <w:rPr>
                <w:rFonts w:ascii="Arial" w:cs="Arial" w:eastAsia="Arial" w:hAnsi="Arial"/>
                <w:sz w:val="16"/>
                <w:szCs w:val="16"/>
                <w:b w:val="1"/>
                <w:bCs w:val="1"/>
                <w:color w:val="auto"/>
              </w:rPr>
              <w:t>Audit</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Compensation</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Governance</w:t>
            </w:r>
          </w:p>
        </w:tc>
        <w:tc>
          <w:tcPr>
            <w:tcW w:w="13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Executive</w:t>
            </w:r>
          </w:p>
        </w:tc>
      </w:tr>
      <w:tr>
        <w:trPr>
          <w:trHeight w:val="195"/>
        </w:trPr>
        <w:tc>
          <w:tcPr>
            <w:tcW w:w="3140" w:type="dxa"/>
            <w:vAlign w:val="bottom"/>
            <w:shd w:val="clear" w:color="auto" w:fill="E9E9E9"/>
          </w:tcPr>
          <w:p>
            <w:pPr>
              <w:ind w:left="60"/>
              <w:spacing w:after="0"/>
              <w:rPr>
                <w:sz w:val="20"/>
                <w:szCs w:val="20"/>
                <w:color w:val="auto"/>
              </w:rPr>
            </w:pPr>
            <w:r>
              <w:rPr>
                <w:rFonts w:ascii="Arial" w:cs="Arial" w:eastAsia="Arial" w:hAnsi="Arial"/>
                <w:sz w:val="16"/>
                <w:szCs w:val="16"/>
                <w:color w:val="auto"/>
              </w:rPr>
              <w:t>Alun Cathcart</w:t>
            </w:r>
          </w:p>
        </w:tc>
        <w:tc>
          <w:tcPr>
            <w:tcW w:w="1600" w:type="dxa"/>
            <w:vAlign w:val="bottom"/>
            <w:shd w:val="clear" w:color="auto" w:fill="E9E9E9"/>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1860" w:type="dxa"/>
            <w:vAlign w:val="bottom"/>
            <w:shd w:val="clear" w:color="auto" w:fill="E9E9E9"/>
          </w:tcPr>
          <w:p>
            <w:pPr>
              <w:spacing w:after="0"/>
              <w:rPr>
                <w:sz w:val="16"/>
                <w:szCs w:val="16"/>
                <w:color w:val="auto"/>
              </w:rPr>
            </w:pPr>
          </w:p>
        </w:tc>
        <w:tc>
          <w:tcPr>
            <w:tcW w:w="1680" w:type="dxa"/>
            <w:vAlign w:val="bottom"/>
            <w:shd w:val="clear" w:color="auto" w:fill="E9E9E9"/>
          </w:tcPr>
          <w:p>
            <w:pPr>
              <w:spacing w:after="0"/>
              <w:rPr>
                <w:sz w:val="16"/>
                <w:szCs w:val="16"/>
                <w:color w:val="auto"/>
              </w:rPr>
            </w:pPr>
          </w:p>
        </w:tc>
        <w:tc>
          <w:tcPr>
            <w:tcW w:w="1340" w:type="dxa"/>
            <w:vAlign w:val="bottom"/>
            <w:shd w:val="clear" w:color="auto" w:fill="E9E9E9"/>
          </w:tcPr>
          <w:p>
            <w:pPr>
              <w:spacing w:after="0"/>
              <w:rPr>
                <w:sz w:val="16"/>
                <w:szCs w:val="16"/>
                <w:color w:val="auto"/>
              </w:rPr>
            </w:pPr>
          </w:p>
        </w:tc>
      </w:tr>
      <w:tr>
        <w:trPr>
          <w:trHeight w:val="203"/>
        </w:trPr>
        <w:tc>
          <w:tcPr>
            <w:tcW w:w="3140" w:type="dxa"/>
            <w:vAlign w:val="bottom"/>
          </w:tcPr>
          <w:p>
            <w:pPr>
              <w:ind w:left="60"/>
              <w:spacing w:after="0"/>
              <w:rPr>
                <w:sz w:val="20"/>
                <w:szCs w:val="20"/>
                <w:color w:val="auto"/>
              </w:rPr>
            </w:pPr>
            <w:r>
              <w:rPr>
                <w:rFonts w:ascii="Arial" w:cs="Arial" w:eastAsia="Arial" w:hAnsi="Arial"/>
                <w:sz w:val="16"/>
                <w:szCs w:val="16"/>
                <w:color w:val="auto"/>
              </w:rPr>
              <w:t>Mary C. Choksi</w:t>
            </w:r>
          </w:p>
        </w:tc>
        <w:tc>
          <w:tcPr>
            <w:tcW w:w="160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1860" w:type="dxa"/>
            <w:vAlign w:val="bottom"/>
          </w:tcPr>
          <w:p>
            <w:pPr>
              <w:spacing w:after="0"/>
              <w:rPr>
                <w:sz w:val="17"/>
                <w:szCs w:val="17"/>
                <w:color w:val="auto"/>
              </w:rPr>
            </w:pPr>
          </w:p>
        </w:tc>
        <w:tc>
          <w:tcPr>
            <w:tcW w:w="16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rPr>
              <w:t>✓</w:t>
            </w:r>
          </w:p>
        </w:tc>
        <w:tc>
          <w:tcPr>
            <w:tcW w:w="1340" w:type="dxa"/>
            <w:vAlign w:val="bottom"/>
          </w:tcPr>
          <w:p>
            <w:pPr>
              <w:spacing w:after="0"/>
              <w:rPr>
                <w:sz w:val="17"/>
                <w:szCs w:val="17"/>
                <w:color w:val="auto"/>
              </w:rPr>
            </w:pPr>
          </w:p>
        </w:tc>
      </w:tr>
      <w:tr>
        <w:trPr>
          <w:trHeight w:val="203"/>
        </w:trPr>
        <w:tc>
          <w:tcPr>
            <w:tcW w:w="3140" w:type="dxa"/>
            <w:vAlign w:val="bottom"/>
            <w:shd w:val="clear" w:color="auto" w:fill="E9E9E9"/>
          </w:tcPr>
          <w:p>
            <w:pPr>
              <w:ind w:left="60"/>
              <w:spacing w:after="0"/>
              <w:rPr>
                <w:sz w:val="20"/>
                <w:szCs w:val="20"/>
                <w:color w:val="auto"/>
              </w:rPr>
            </w:pPr>
            <w:r>
              <w:rPr>
                <w:rFonts w:ascii="Arial" w:cs="Arial" w:eastAsia="Arial" w:hAnsi="Arial"/>
                <w:sz w:val="16"/>
                <w:szCs w:val="16"/>
                <w:color w:val="auto"/>
              </w:rPr>
              <w:t>Leonard S. Coleman</w:t>
            </w:r>
          </w:p>
        </w:tc>
        <w:tc>
          <w:tcPr>
            <w:tcW w:w="1600" w:type="dxa"/>
            <w:vAlign w:val="bottom"/>
            <w:shd w:val="clear" w:color="auto" w:fill="E9E9E9"/>
          </w:tcPr>
          <w:p>
            <w:pPr>
              <w:spacing w:after="0"/>
              <w:rPr>
                <w:sz w:val="17"/>
                <w:szCs w:val="17"/>
                <w:color w:val="auto"/>
              </w:rPr>
            </w:pPr>
          </w:p>
        </w:tc>
        <w:tc>
          <w:tcPr>
            <w:tcW w:w="1860" w:type="dxa"/>
            <w:vAlign w:val="bottom"/>
            <w:shd w:val="clear" w:color="auto" w:fill="E9E9E9"/>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168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4"/>
              </w:rPr>
              <w:t>Chair</w:t>
            </w:r>
          </w:p>
        </w:tc>
        <w:tc>
          <w:tcPr>
            <w:tcW w:w="1340" w:type="dxa"/>
            <w:vAlign w:val="bottom"/>
            <w:shd w:val="clear" w:color="auto" w:fill="E9E9E9"/>
          </w:tcPr>
          <w:p>
            <w:pPr>
              <w:spacing w:after="0"/>
              <w:rPr>
                <w:sz w:val="17"/>
                <w:szCs w:val="17"/>
                <w:color w:val="auto"/>
              </w:rPr>
            </w:pPr>
          </w:p>
        </w:tc>
      </w:tr>
      <w:tr>
        <w:trPr>
          <w:trHeight w:val="203"/>
        </w:trPr>
        <w:tc>
          <w:tcPr>
            <w:tcW w:w="3140" w:type="dxa"/>
            <w:vAlign w:val="bottom"/>
          </w:tcPr>
          <w:p>
            <w:pPr>
              <w:ind w:left="60"/>
              <w:spacing w:after="0"/>
              <w:rPr>
                <w:sz w:val="20"/>
                <w:szCs w:val="20"/>
                <w:color w:val="auto"/>
              </w:rPr>
            </w:pPr>
            <w:r>
              <w:rPr>
                <w:rFonts w:ascii="Arial" w:cs="Arial" w:eastAsia="Arial" w:hAnsi="Arial"/>
                <w:sz w:val="16"/>
                <w:szCs w:val="16"/>
                <w:color w:val="auto"/>
              </w:rPr>
              <w:t>Jeffrey H. Fox</w:t>
            </w:r>
          </w:p>
        </w:tc>
        <w:tc>
          <w:tcPr>
            <w:tcW w:w="16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3140" w:type="dxa"/>
            <w:vAlign w:val="bottom"/>
            <w:shd w:val="clear" w:color="auto" w:fill="E9E9E9"/>
          </w:tcPr>
          <w:p>
            <w:pPr>
              <w:ind w:left="60"/>
              <w:spacing w:after="0"/>
              <w:rPr>
                <w:sz w:val="20"/>
                <w:szCs w:val="20"/>
                <w:color w:val="auto"/>
              </w:rPr>
            </w:pPr>
            <w:r>
              <w:rPr>
                <w:rFonts w:ascii="Arial" w:cs="Arial" w:eastAsia="Arial" w:hAnsi="Arial"/>
                <w:sz w:val="16"/>
                <w:szCs w:val="16"/>
                <w:color w:val="auto"/>
              </w:rPr>
              <w:t>John D. Hardy, Jr.</w:t>
            </w:r>
          </w:p>
        </w:tc>
        <w:tc>
          <w:tcPr>
            <w:tcW w:w="1600" w:type="dxa"/>
            <w:vAlign w:val="bottom"/>
            <w:shd w:val="clear" w:color="auto" w:fill="E9E9E9"/>
          </w:tcPr>
          <w:p>
            <w:pPr>
              <w:spacing w:after="0"/>
              <w:rPr>
                <w:sz w:val="17"/>
                <w:szCs w:val="17"/>
                <w:color w:val="auto"/>
              </w:rPr>
            </w:pPr>
          </w:p>
        </w:tc>
        <w:tc>
          <w:tcPr>
            <w:tcW w:w="1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4"/>
              </w:rPr>
              <w:t>Chair</w:t>
            </w:r>
          </w:p>
        </w:tc>
        <w:tc>
          <w:tcPr>
            <w:tcW w:w="1680" w:type="dxa"/>
            <w:vAlign w:val="bottom"/>
            <w:shd w:val="clear" w:color="auto" w:fill="E9E9E9"/>
          </w:tcPr>
          <w:p>
            <w:pPr>
              <w:spacing w:after="0"/>
              <w:rPr>
                <w:sz w:val="17"/>
                <w:szCs w:val="17"/>
                <w:color w:val="auto"/>
              </w:rPr>
            </w:pPr>
          </w:p>
        </w:tc>
        <w:tc>
          <w:tcPr>
            <w:tcW w:w="1340" w:type="dxa"/>
            <w:vAlign w:val="bottom"/>
            <w:shd w:val="clear" w:color="auto" w:fill="E9E9E9"/>
          </w:tcPr>
          <w:p>
            <w:pPr>
              <w:spacing w:after="0"/>
              <w:rPr>
                <w:sz w:val="17"/>
                <w:szCs w:val="17"/>
                <w:color w:val="auto"/>
              </w:rPr>
            </w:pPr>
          </w:p>
        </w:tc>
      </w:tr>
      <w:tr>
        <w:trPr>
          <w:trHeight w:val="203"/>
        </w:trPr>
        <w:tc>
          <w:tcPr>
            <w:tcW w:w="3140" w:type="dxa"/>
            <w:vAlign w:val="bottom"/>
          </w:tcPr>
          <w:p>
            <w:pPr>
              <w:ind w:left="60"/>
              <w:spacing w:after="0"/>
              <w:rPr>
                <w:sz w:val="20"/>
                <w:szCs w:val="20"/>
                <w:color w:val="auto"/>
              </w:rPr>
            </w:pPr>
            <w:r>
              <w:rPr>
                <w:rFonts w:ascii="Arial" w:cs="Arial" w:eastAsia="Arial" w:hAnsi="Arial"/>
                <w:sz w:val="16"/>
                <w:szCs w:val="16"/>
                <w:color w:val="auto"/>
              </w:rPr>
              <w:t>Lynn Krominga</w:t>
            </w:r>
          </w:p>
        </w:tc>
        <w:tc>
          <w:tcPr>
            <w:tcW w:w="160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186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16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3140" w:type="dxa"/>
            <w:vAlign w:val="bottom"/>
            <w:shd w:val="clear" w:color="auto" w:fill="E9E9E9"/>
          </w:tcPr>
          <w:p>
            <w:pPr>
              <w:ind w:left="60"/>
              <w:spacing w:after="0"/>
              <w:rPr>
                <w:sz w:val="20"/>
                <w:szCs w:val="20"/>
                <w:color w:val="auto"/>
              </w:rPr>
            </w:pPr>
            <w:r>
              <w:rPr>
                <w:rFonts w:ascii="Arial" w:cs="Arial" w:eastAsia="Arial" w:hAnsi="Arial"/>
                <w:sz w:val="16"/>
                <w:szCs w:val="16"/>
                <w:color w:val="auto"/>
              </w:rPr>
              <w:t>Eduardo G. Mestre</w:t>
            </w:r>
          </w:p>
        </w:tc>
        <w:tc>
          <w:tcPr>
            <w:tcW w:w="1600" w:type="dxa"/>
            <w:vAlign w:val="bottom"/>
            <w:shd w:val="clear" w:color="auto" w:fill="E9E9E9"/>
          </w:tcPr>
          <w:p>
            <w:pPr>
              <w:spacing w:after="0"/>
              <w:rPr>
                <w:sz w:val="17"/>
                <w:szCs w:val="17"/>
                <w:color w:val="auto"/>
              </w:rPr>
            </w:pPr>
          </w:p>
        </w:tc>
        <w:tc>
          <w:tcPr>
            <w:tcW w:w="1860" w:type="dxa"/>
            <w:vAlign w:val="bottom"/>
            <w:shd w:val="clear" w:color="auto" w:fill="E9E9E9"/>
          </w:tcPr>
          <w:p>
            <w:pPr>
              <w:spacing w:after="0"/>
              <w:rPr>
                <w:sz w:val="17"/>
                <w:szCs w:val="17"/>
                <w:color w:val="auto"/>
              </w:rPr>
            </w:pPr>
          </w:p>
        </w:tc>
        <w:tc>
          <w:tcPr>
            <w:tcW w:w="1680" w:type="dxa"/>
            <w:vAlign w:val="bottom"/>
            <w:shd w:val="clear" w:color="auto" w:fill="E9E9E9"/>
          </w:tcPr>
          <w:p>
            <w:pPr>
              <w:spacing w:after="0"/>
              <w:rPr>
                <w:sz w:val="17"/>
                <w:szCs w:val="17"/>
                <w:color w:val="auto"/>
              </w:rPr>
            </w:pPr>
          </w:p>
        </w:tc>
        <w:tc>
          <w:tcPr>
            <w:tcW w:w="1340" w:type="dxa"/>
            <w:vAlign w:val="bottom"/>
            <w:shd w:val="clear" w:color="auto" w:fill="E9E9E9"/>
          </w:tcPr>
          <w:p>
            <w:pPr>
              <w:jc w:val="right"/>
              <w:ind w:right="440"/>
              <w:spacing w:after="0" w:line="161" w:lineRule="exact"/>
              <w:rPr>
                <w:sz w:val="20"/>
                <w:szCs w:val="20"/>
                <w:color w:val="auto"/>
              </w:rPr>
            </w:pPr>
            <w:r>
              <w:rPr>
                <w:rFonts w:ascii="MS PGothic" w:cs="MS PGothic" w:eastAsia="MS PGothic" w:hAnsi="MS PGothic"/>
                <w:sz w:val="16"/>
                <w:szCs w:val="16"/>
                <w:color w:val="auto"/>
              </w:rPr>
              <w:t>✓</w:t>
            </w:r>
          </w:p>
        </w:tc>
      </w:tr>
      <w:tr>
        <w:trPr>
          <w:trHeight w:val="203"/>
        </w:trPr>
        <w:tc>
          <w:tcPr>
            <w:tcW w:w="3140" w:type="dxa"/>
            <w:vAlign w:val="bottom"/>
          </w:tcPr>
          <w:p>
            <w:pPr>
              <w:ind w:left="60"/>
              <w:spacing w:after="0"/>
              <w:rPr>
                <w:sz w:val="20"/>
                <w:szCs w:val="20"/>
                <w:color w:val="auto"/>
              </w:rPr>
            </w:pPr>
            <w:r>
              <w:rPr>
                <w:rFonts w:ascii="Arial" w:cs="Arial" w:eastAsia="Arial" w:hAnsi="Arial"/>
                <w:sz w:val="16"/>
                <w:szCs w:val="16"/>
                <w:color w:val="auto"/>
              </w:rPr>
              <w:t>Ronald L. Nelson</w:t>
            </w:r>
          </w:p>
        </w:tc>
        <w:tc>
          <w:tcPr>
            <w:tcW w:w="16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40" w:type="dxa"/>
            <w:vAlign w:val="bottom"/>
          </w:tcPr>
          <w:p>
            <w:pPr>
              <w:jc w:val="right"/>
              <w:ind w:right="340"/>
              <w:spacing w:after="0"/>
              <w:rPr>
                <w:sz w:val="20"/>
                <w:szCs w:val="20"/>
                <w:color w:val="auto"/>
              </w:rPr>
            </w:pPr>
            <w:r>
              <w:rPr>
                <w:rFonts w:ascii="Arial" w:cs="Arial" w:eastAsia="Arial" w:hAnsi="Arial"/>
                <w:sz w:val="16"/>
                <w:szCs w:val="16"/>
                <w:color w:val="auto"/>
              </w:rPr>
              <w:t>Chair</w:t>
            </w:r>
          </w:p>
        </w:tc>
      </w:tr>
      <w:tr>
        <w:trPr>
          <w:trHeight w:val="203"/>
        </w:trPr>
        <w:tc>
          <w:tcPr>
            <w:tcW w:w="3140" w:type="dxa"/>
            <w:vAlign w:val="bottom"/>
            <w:shd w:val="clear" w:color="auto" w:fill="E9E9E9"/>
          </w:tcPr>
          <w:p>
            <w:pPr>
              <w:ind w:left="60"/>
              <w:spacing w:after="0"/>
              <w:rPr>
                <w:sz w:val="20"/>
                <w:szCs w:val="20"/>
                <w:color w:val="auto"/>
              </w:rPr>
            </w:pPr>
            <w:r>
              <w:rPr>
                <w:rFonts w:ascii="Arial" w:cs="Arial" w:eastAsia="Arial" w:hAnsi="Arial"/>
                <w:sz w:val="16"/>
                <w:szCs w:val="16"/>
                <w:color w:val="auto"/>
              </w:rPr>
              <w:t>F. Robert Salerno</w:t>
            </w:r>
          </w:p>
        </w:tc>
        <w:tc>
          <w:tcPr>
            <w:tcW w:w="1600" w:type="dxa"/>
            <w:vAlign w:val="bottom"/>
            <w:shd w:val="clear" w:color="auto" w:fill="E9E9E9"/>
          </w:tcPr>
          <w:p>
            <w:pPr>
              <w:spacing w:after="0"/>
              <w:rPr>
                <w:sz w:val="17"/>
                <w:szCs w:val="17"/>
                <w:color w:val="auto"/>
              </w:rPr>
            </w:pPr>
          </w:p>
        </w:tc>
        <w:tc>
          <w:tcPr>
            <w:tcW w:w="1860" w:type="dxa"/>
            <w:vAlign w:val="bottom"/>
            <w:shd w:val="clear" w:color="auto" w:fill="E9E9E9"/>
          </w:tcPr>
          <w:p>
            <w:pPr>
              <w:spacing w:after="0"/>
              <w:rPr>
                <w:sz w:val="17"/>
                <w:szCs w:val="17"/>
                <w:color w:val="auto"/>
              </w:rPr>
            </w:pPr>
          </w:p>
        </w:tc>
        <w:tc>
          <w:tcPr>
            <w:tcW w:w="1680" w:type="dxa"/>
            <w:vAlign w:val="bottom"/>
            <w:shd w:val="clear" w:color="auto" w:fill="E9E9E9"/>
          </w:tcPr>
          <w:p>
            <w:pPr>
              <w:spacing w:after="0"/>
              <w:rPr>
                <w:sz w:val="17"/>
                <w:szCs w:val="17"/>
                <w:color w:val="auto"/>
              </w:rPr>
            </w:pPr>
          </w:p>
        </w:tc>
        <w:tc>
          <w:tcPr>
            <w:tcW w:w="1340" w:type="dxa"/>
            <w:vAlign w:val="bottom"/>
            <w:shd w:val="clear" w:color="auto" w:fill="E9E9E9"/>
          </w:tcPr>
          <w:p>
            <w:pPr>
              <w:jc w:val="right"/>
              <w:ind w:right="440"/>
              <w:spacing w:after="0" w:line="161" w:lineRule="exact"/>
              <w:rPr>
                <w:sz w:val="20"/>
                <w:szCs w:val="20"/>
                <w:color w:val="auto"/>
              </w:rPr>
            </w:pPr>
            <w:r>
              <w:rPr>
                <w:rFonts w:ascii="MS PGothic" w:cs="MS PGothic" w:eastAsia="MS PGothic" w:hAnsi="MS PGothic"/>
                <w:sz w:val="16"/>
                <w:szCs w:val="16"/>
                <w:color w:val="auto"/>
              </w:rPr>
              <w:t>✓</w:t>
            </w:r>
          </w:p>
        </w:tc>
      </w:tr>
      <w:tr>
        <w:trPr>
          <w:trHeight w:val="203"/>
        </w:trPr>
        <w:tc>
          <w:tcPr>
            <w:tcW w:w="3140" w:type="dxa"/>
            <w:vAlign w:val="bottom"/>
          </w:tcPr>
          <w:p>
            <w:pPr>
              <w:ind w:left="60"/>
              <w:spacing w:after="0"/>
              <w:rPr>
                <w:sz w:val="20"/>
                <w:szCs w:val="20"/>
                <w:color w:val="auto"/>
              </w:rPr>
            </w:pPr>
            <w:r>
              <w:rPr>
                <w:rFonts w:ascii="Arial" w:cs="Arial" w:eastAsia="Arial" w:hAnsi="Arial"/>
                <w:sz w:val="16"/>
                <w:szCs w:val="16"/>
                <w:color w:val="auto"/>
              </w:rPr>
              <w:t>Stender E. Sweeney</w:t>
            </w:r>
          </w:p>
        </w:tc>
        <w:tc>
          <w:tcPr>
            <w:tcW w:w="1600" w:type="dxa"/>
            <w:vAlign w:val="bottom"/>
          </w:tcPr>
          <w:p>
            <w:pPr>
              <w:ind w:left="780"/>
              <w:spacing w:after="0"/>
              <w:rPr>
                <w:sz w:val="20"/>
                <w:szCs w:val="20"/>
                <w:color w:val="auto"/>
              </w:rPr>
            </w:pPr>
            <w:r>
              <w:rPr>
                <w:rFonts w:ascii="Arial" w:cs="Arial" w:eastAsia="Arial" w:hAnsi="Arial"/>
                <w:sz w:val="16"/>
                <w:szCs w:val="16"/>
                <w:color w:val="auto"/>
              </w:rPr>
              <w:t>Chair</w:t>
            </w:r>
          </w:p>
        </w:tc>
        <w:tc>
          <w:tcPr>
            <w:tcW w:w="1860" w:type="dxa"/>
            <w:vAlign w:val="bottom"/>
          </w:tcPr>
          <w:p>
            <w:pPr>
              <w:spacing w:after="0"/>
              <w:rPr>
                <w:sz w:val="17"/>
                <w:szCs w:val="17"/>
                <w:color w:val="auto"/>
              </w:rPr>
            </w:pPr>
          </w:p>
        </w:tc>
        <w:tc>
          <w:tcPr>
            <w:tcW w:w="16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rPr>
              <w:t>✓</w:t>
            </w:r>
          </w:p>
        </w:tc>
        <w:tc>
          <w:tcPr>
            <w:tcW w:w="1340" w:type="dxa"/>
            <w:vAlign w:val="bottom"/>
          </w:tcPr>
          <w:p>
            <w:pPr>
              <w:spacing w:after="0"/>
              <w:rPr>
                <w:sz w:val="17"/>
                <w:szCs w:val="17"/>
                <w:color w:val="auto"/>
              </w:rPr>
            </w:pPr>
          </w:p>
        </w:tc>
      </w:tr>
      <w:tr>
        <w:trPr>
          <w:trHeight w:val="203"/>
        </w:trPr>
        <w:tc>
          <w:tcPr>
            <w:tcW w:w="3140" w:type="dxa"/>
            <w:vAlign w:val="bottom"/>
            <w:tcBorders>
              <w:bottom w:val="single" w:sz="8" w:color="auto"/>
            </w:tcBorders>
            <w:shd w:val="clear" w:color="auto" w:fill="E9E9E9"/>
          </w:tcPr>
          <w:p>
            <w:pPr>
              <w:ind w:left="60"/>
              <w:spacing w:after="0"/>
              <w:rPr>
                <w:sz w:val="20"/>
                <w:szCs w:val="20"/>
                <w:color w:val="auto"/>
              </w:rPr>
            </w:pPr>
            <w:r>
              <w:rPr>
                <w:rFonts w:ascii="Arial" w:cs="Arial" w:eastAsia="Arial" w:hAnsi="Arial"/>
                <w:sz w:val="16"/>
                <w:szCs w:val="16"/>
                <w:b w:val="1"/>
                <w:bCs w:val="1"/>
                <w:color w:val="auto"/>
              </w:rPr>
              <w:t>Committee Meetings Held in 2014</w:t>
            </w:r>
          </w:p>
        </w:tc>
        <w:tc>
          <w:tcPr>
            <w:tcW w:w="1600" w:type="dxa"/>
            <w:vAlign w:val="bottom"/>
            <w:tcBorders>
              <w:bottom w:val="single" w:sz="8" w:color="auto"/>
            </w:tcBorders>
            <w:shd w:val="clear" w:color="auto" w:fill="E9E9E9"/>
          </w:tcPr>
          <w:p>
            <w:pPr>
              <w:ind w:left="920"/>
              <w:spacing w:after="0"/>
              <w:rPr>
                <w:sz w:val="20"/>
                <w:szCs w:val="20"/>
                <w:color w:val="auto"/>
              </w:rPr>
            </w:pPr>
            <w:r>
              <w:rPr>
                <w:rFonts w:ascii="Arial" w:cs="Arial" w:eastAsia="Arial" w:hAnsi="Arial"/>
                <w:sz w:val="16"/>
                <w:szCs w:val="16"/>
                <w:color w:val="auto"/>
              </w:rPr>
              <w:t>8</w:t>
            </w:r>
          </w:p>
        </w:tc>
        <w:tc>
          <w:tcPr>
            <w:tcW w:w="1860" w:type="dxa"/>
            <w:vAlign w:val="bottom"/>
            <w:tcBorders>
              <w:bottom w:val="single" w:sz="8" w:color="auto"/>
            </w:tcBorders>
            <w:shd w:val="clear" w:color="auto" w:fill="E9E9E9"/>
          </w:tcPr>
          <w:p>
            <w:pPr>
              <w:ind w:left="880"/>
              <w:spacing w:after="0"/>
              <w:rPr>
                <w:sz w:val="20"/>
                <w:szCs w:val="20"/>
                <w:color w:val="auto"/>
              </w:rPr>
            </w:pPr>
            <w:r>
              <w:rPr>
                <w:rFonts w:ascii="Arial" w:cs="Arial" w:eastAsia="Arial" w:hAnsi="Arial"/>
                <w:sz w:val="16"/>
                <w:szCs w:val="16"/>
                <w:color w:val="auto"/>
              </w:rPr>
              <w:t>8</w:t>
            </w:r>
          </w:p>
        </w:tc>
        <w:tc>
          <w:tcPr>
            <w:tcW w:w="1680" w:type="dxa"/>
            <w:vAlign w:val="bottom"/>
            <w:tcBorders>
              <w:bottom w:val="single" w:sz="8" w:color="auto"/>
            </w:tcBorders>
            <w:shd w:val="clear" w:color="auto" w:fill="E9E9E9"/>
          </w:tcPr>
          <w:p>
            <w:pPr>
              <w:ind w:left="820"/>
              <w:spacing w:after="0"/>
              <w:rPr>
                <w:sz w:val="20"/>
                <w:szCs w:val="20"/>
                <w:color w:val="auto"/>
              </w:rPr>
            </w:pPr>
            <w:r>
              <w:rPr>
                <w:rFonts w:ascii="Arial" w:cs="Arial" w:eastAsia="Arial" w:hAnsi="Arial"/>
                <w:sz w:val="16"/>
                <w:szCs w:val="16"/>
                <w:color w:val="auto"/>
              </w:rPr>
              <w:t>4</w:t>
            </w:r>
          </w:p>
        </w:tc>
        <w:tc>
          <w:tcPr>
            <w:tcW w:w="1340" w:type="dxa"/>
            <w:vAlign w:val="bottom"/>
            <w:tcBorders>
              <w:bottom w:val="single" w:sz="8" w:color="auto"/>
            </w:tcBorders>
            <w:shd w:val="clear" w:color="auto" w:fill="E9E9E9"/>
          </w:tcPr>
          <w:p>
            <w:pPr>
              <w:jc w:val="right"/>
              <w:ind w:right="420"/>
              <w:spacing w:after="0"/>
              <w:rPr>
                <w:sz w:val="20"/>
                <w:szCs w:val="20"/>
                <w:color w:val="auto"/>
              </w:rPr>
            </w:pPr>
            <w:r>
              <w:rPr>
                <w:rFonts w:ascii="Arial" w:cs="Arial" w:eastAsia="Arial" w:hAnsi="Arial"/>
                <w:sz w:val="16"/>
                <w:szCs w:val="16"/>
                <w:color w:val="auto"/>
              </w:rPr>
              <w:t>--*</w:t>
            </w:r>
          </w:p>
        </w:tc>
      </w:tr>
    </w:tbl>
    <w:p>
      <w:pPr>
        <w:ind w:left="1232" w:hanging="764"/>
        <w:spacing w:after="0"/>
        <w:tabs>
          <w:tab w:leader="none" w:pos="12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Executive Committee acted solely by unanimous consent in 2014.</w:t>
      </w:r>
    </w:p>
    <w:p>
      <w:pPr>
        <w:spacing w:after="0" w:line="246" w:lineRule="exact"/>
        <w:rPr>
          <w:sz w:val="20"/>
          <w:szCs w:val="20"/>
          <w:color w:val="auto"/>
        </w:rPr>
      </w:pPr>
    </w:p>
    <w:p>
      <w:pPr>
        <w:ind w:left="332" w:right="380"/>
        <w:spacing w:after="0" w:line="291" w:lineRule="auto"/>
        <w:rPr>
          <w:sz w:val="20"/>
          <w:szCs w:val="20"/>
          <w:color w:val="auto"/>
        </w:rPr>
      </w:pPr>
      <w:r>
        <w:rPr>
          <w:rFonts w:ascii="Arial" w:cs="Arial" w:eastAsia="Arial" w:hAnsi="Arial"/>
          <w:sz w:val="16"/>
          <w:szCs w:val="16"/>
          <w:color w:val="auto"/>
        </w:rPr>
        <w:t xml:space="preserve">The charters of each of the Audit, Compensation and Corporate Governance Committees, respectively, can be found in the "Investor Relations— Corporate Governance" section of the Company's website at </w:t>
      </w:r>
      <w:r>
        <w:rPr>
          <w:rFonts w:ascii="Arial" w:cs="Arial" w:eastAsia="Arial" w:hAnsi="Arial"/>
          <w:sz w:val="16"/>
          <w:szCs w:val="16"/>
          <w:i w:val="1"/>
          <w:iCs w:val="1"/>
          <w:color w:val="auto"/>
        </w:rPr>
        <w:t>www.avisbudgetgroup.com</w:t>
      </w:r>
      <w:r>
        <w:rPr>
          <w:rFonts w:ascii="Arial" w:cs="Arial" w:eastAsia="Arial" w:hAnsi="Arial"/>
          <w:sz w:val="16"/>
          <w:szCs w:val="16"/>
          <w:color w:val="auto"/>
        </w:rPr>
        <w:t>.</w:t>
      </w:r>
    </w:p>
    <w:p>
      <w:pPr>
        <w:spacing w:after="0" w:line="183"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Audit Committee</w:t>
      </w:r>
    </w:p>
    <w:p>
      <w:pPr>
        <w:spacing w:after="0" w:line="262" w:lineRule="exact"/>
        <w:rPr>
          <w:sz w:val="20"/>
          <w:szCs w:val="20"/>
          <w:color w:val="auto"/>
        </w:rPr>
      </w:pPr>
    </w:p>
    <w:p>
      <w:pPr>
        <w:ind w:left="332"/>
        <w:spacing w:after="0"/>
        <w:rPr>
          <w:sz w:val="20"/>
          <w:szCs w:val="20"/>
          <w:color w:val="auto"/>
        </w:rPr>
      </w:pPr>
      <w:r>
        <w:rPr>
          <w:rFonts w:ascii="Arial" w:cs="Arial" w:eastAsia="Arial" w:hAnsi="Arial"/>
          <w:sz w:val="16"/>
          <w:szCs w:val="16"/>
          <w:color w:val="auto"/>
        </w:rPr>
        <w:t>The Audit Committee assists in the Board's oversight of:</w:t>
      </w:r>
    </w:p>
    <w:p>
      <w:pPr>
        <w:spacing w:after="0" w:line="246" w:lineRule="exact"/>
        <w:rPr>
          <w:sz w:val="20"/>
          <w:szCs w:val="20"/>
          <w:color w:val="auto"/>
        </w:rPr>
      </w:pPr>
    </w:p>
    <w:p>
      <w:pPr>
        <w:ind w:left="612" w:hanging="612"/>
        <w:spacing w:after="0"/>
        <w:tabs>
          <w:tab w:leader="none" w:pos="612"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integrity of the Company's financial statements;</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Company's independent auditors' qualifications and independence;</w:t>
      </w:r>
    </w:p>
    <w:p>
      <w:pPr>
        <w:spacing w:after="0" w:line="258" w:lineRule="exact"/>
        <w:rPr>
          <w:rFonts w:ascii="Arial" w:cs="Arial" w:eastAsia="Arial" w:hAnsi="Arial"/>
          <w:sz w:val="16"/>
          <w:szCs w:val="16"/>
          <w:color w:val="auto"/>
        </w:rPr>
      </w:pPr>
    </w:p>
    <w:p>
      <w:pPr>
        <w:ind w:left="612" w:hanging="612"/>
        <w:spacing w:after="0"/>
        <w:tabs>
          <w:tab w:leader="none" w:pos="612"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performance of the Company's independent auditors and the Company's internal audit function;</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Company's compliance with legal and regulatory requirements;</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Company's systems of disclosure controls and procedures, and internal controls over financial reporting; and</w:t>
      </w:r>
    </w:p>
    <w:p>
      <w:pPr>
        <w:spacing w:after="0" w:line="258" w:lineRule="exact"/>
        <w:rPr>
          <w:rFonts w:ascii="Arial" w:cs="Arial" w:eastAsia="Arial" w:hAnsi="Arial"/>
          <w:sz w:val="16"/>
          <w:szCs w:val="16"/>
          <w:color w:val="auto"/>
        </w:rPr>
      </w:pPr>
    </w:p>
    <w:p>
      <w:pPr>
        <w:ind w:left="612" w:hanging="612"/>
        <w:spacing w:after="0"/>
        <w:tabs>
          <w:tab w:leader="none" w:pos="612"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Company's major financial risk exposures and the steps management has undertaken to control such risks.</w:t>
      </w:r>
    </w:p>
    <w:p>
      <w:pPr>
        <w:spacing w:after="0" w:line="246" w:lineRule="exact"/>
        <w:rPr>
          <w:sz w:val="20"/>
          <w:szCs w:val="20"/>
          <w:color w:val="auto"/>
        </w:rPr>
      </w:pPr>
    </w:p>
    <w:p>
      <w:pPr>
        <w:ind w:left="332" w:right="120"/>
        <w:spacing w:after="0" w:line="278" w:lineRule="auto"/>
        <w:rPr>
          <w:sz w:val="20"/>
          <w:szCs w:val="20"/>
          <w:color w:val="auto"/>
        </w:rPr>
      </w:pPr>
      <w:r>
        <w:rPr>
          <w:rFonts w:ascii="Arial" w:cs="Arial" w:eastAsia="Arial" w:hAnsi="Arial"/>
          <w:sz w:val="16"/>
          <w:szCs w:val="16"/>
          <w:color w:val="auto"/>
        </w:rPr>
        <w:t>The Audit Committee has the power and authority to engage the independent auditor, review and approve the services and terms of all audits, review and discuss with management the Company's annual audited and quarterly financial statements, and review the adequacy and effectiveness of the Company's accounting and internal control policies and procedures.</w:t>
      </w:r>
    </w:p>
    <w:p>
      <w:pPr>
        <w:spacing w:after="0" w:line="114" w:lineRule="exact"/>
        <w:rPr>
          <w:sz w:val="20"/>
          <w:szCs w:val="20"/>
          <w:color w:val="auto"/>
        </w:rPr>
      </w:pPr>
    </w:p>
    <w:p>
      <w:pPr>
        <w:ind w:left="332"/>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70485</wp:posOffset>
            </wp:positionV>
            <wp:extent cx="6850380" cy="35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952"/>
          </w:cols>
          <w:pgMar w:left="1048" w:top="438" w:right="899" w:bottom="1440" w:gutter="0" w:footer="0" w:header="0"/>
        </w:sectPr>
      </w:pPr>
    </w:p>
    <w:bookmarkStart w:id="18" w:name="page19"/>
    <w:bookmarkEnd w:id="18"/>
    <w:p>
      <w:pPr>
        <w:ind w:left="332"/>
        <w:spacing w:after="0" w:line="324" w:lineRule="auto"/>
        <w:rPr>
          <w:sz w:val="20"/>
          <w:szCs w:val="20"/>
          <w:color w:val="auto"/>
        </w:rPr>
      </w:pPr>
      <w:r>
        <w:rPr>
          <w:rFonts w:ascii="Arial" w:cs="Arial" w:eastAsia="Arial" w:hAnsi="Arial"/>
          <w:sz w:val="14"/>
          <w:szCs w:val="14"/>
          <w:color w:val="auto"/>
        </w:rPr>
        <w:t>The Board of Directors has determined that all members of the Audit Committee are independent directors under the Company's Director Independence Criteria and within the meaning of applicable NASDAQ rules, and that each member of the Audit Committee has the ability to read and understand fundamental financial statements. The Board of Directors has determined that each member of the Audit Committee qualifies as an "audit committee financial expert" as defined by the rules of the SEC, thereby satisfying NASDAQ's "financial sophistication" requirement.</w:t>
      </w:r>
    </w:p>
    <w:p>
      <w:pPr>
        <w:spacing w:after="0" w:line="178"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Compensation Committee</w:t>
      </w:r>
    </w:p>
    <w:p>
      <w:pPr>
        <w:spacing w:after="0" w:line="250" w:lineRule="exact"/>
        <w:rPr>
          <w:sz w:val="20"/>
          <w:szCs w:val="20"/>
          <w:color w:val="auto"/>
        </w:rPr>
      </w:pPr>
    </w:p>
    <w:p>
      <w:pPr>
        <w:ind w:left="332"/>
        <w:spacing w:after="0"/>
        <w:rPr>
          <w:sz w:val="20"/>
          <w:szCs w:val="20"/>
          <w:color w:val="auto"/>
        </w:rPr>
      </w:pPr>
      <w:r>
        <w:rPr>
          <w:rFonts w:ascii="Arial" w:cs="Arial" w:eastAsia="Arial" w:hAnsi="Arial"/>
          <w:sz w:val="16"/>
          <w:szCs w:val="16"/>
          <w:color w:val="auto"/>
        </w:rPr>
        <w:t>The primary responsibilities of the Compensation Committee include to:</w:t>
      </w:r>
    </w:p>
    <w:p>
      <w:pPr>
        <w:spacing w:after="0" w:line="246" w:lineRule="exact"/>
        <w:rPr>
          <w:sz w:val="20"/>
          <w:szCs w:val="20"/>
          <w:color w:val="auto"/>
        </w:rPr>
      </w:pPr>
    </w:p>
    <w:p>
      <w:pPr>
        <w:ind w:left="1172" w:right="240" w:hanging="1172"/>
        <w:spacing w:after="0" w:line="291" w:lineRule="auto"/>
        <w:tabs>
          <w:tab w:leader="none" w:pos="598"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 and approve corporate goals and objectives relevant to the compensation of the Chief Executive Officer and determine and approve the Chief Executive Officer's compensation;</w:t>
      </w:r>
    </w:p>
    <w:p>
      <w:pPr>
        <w:spacing w:after="0" w:line="199" w:lineRule="exact"/>
        <w:rPr>
          <w:rFonts w:ascii="Arial" w:cs="Arial" w:eastAsia="Arial" w:hAnsi="Arial"/>
          <w:sz w:val="16"/>
          <w:szCs w:val="16"/>
          <w:color w:val="auto"/>
        </w:rPr>
      </w:pPr>
    </w:p>
    <w:p>
      <w:pPr>
        <w:ind w:left="612" w:hanging="612"/>
        <w:spacing w:after="0"/>
        <w:tabs>
          <w:tab w:leader="none" w:pos="612"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 and approve individual elements of total compensation for our other executive officers;</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 and approve our annual and long-term incentive compensation programs and plans;</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 and approve all stock option and other equity awards;</w:t>
      </w:r>
    </w:p>
    <w:p>
      <w:pPr>
        <w:spacing w:after="0" w:line="258" w:lineRule="exact"/>
        <w:rPr>
          <w:rFonts w:ascii="Arial" w:cs="Arial" w:eastAsia="Arial" w:hAnsi="Arial"/>
          <w:sz w:val="16"/>
          <w:szCs w:val="16"/>
          <w:color w:val="auto"/>
        </w:rPr>
      </w:pPr>
    </w:p>
    <w:p>
      <w:pPr>
        <w:ind w:left="612" w:hanging="612"/>
        <w:spacing w:after="0"/>
        <w:tabs>
          <w:tab w:leader="none" w:pos="612"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assess the results of the Company's most recent advisory vote on executive compensation; and</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25"/>
        </w:numPr>
        <w:rPr>
          <w:rFonts w:ascii="Arial" w:cs="Arial" w:eastAsia="Arial" w:hAnsi="Arial"/>
          <w:sz w:val="16"/>
          <w:szCs w:val="16"/>
          <w:color w:val="auto"/>
        </w:rPr>
      </w:pPr>
      <w:r>
        <w:rPr>
          <w:rFonts w:ascii="Arial" w:cs="Arial" w:eastAsia="Arial" w:hAnsi="Arial"/>
          <w:sz w:val="16"/>
          <w:szCs w:val="16"/>
          <w:color w:val="auto"/>
        </w:rPr>
        <w:t>evaluate whether compensation arrangements for executive officers incentivize unnecessary risk-taking.</w:t>
      </w:r>
    </w:p>
    <w:p>
      <w:pPr>
        <w:spacing w:after="0" w:line="246" w:lineRule="exact"/>
        <w:rPr>
          <w:sz w:val="20"/>
          <w:szCs w:val="20"/>
          <w:color w:val="auto"/>
        </w:rPr>
      </w:pPr>
    </w:p>
    <w:p>
      <w:pPr>
        <w:jc w:val="center"/>
        <w:ind w:right="-11"/>
        <w:spacing w:after="0"/>
        <w:rPr>
          <w:sz w:val="20"/>
          <w:szCs w:val="20"/>
          <w:color w:val="auto"/>
        </w:rPr>
      </w:pPr>
      <w:r>
        <w:rPr>
          <w:rFonts w:ascii="Arial" w:cs="Arial" w:eastAsia="Arial" w:hAnsi="Arial"/>
          <w:sz w:val="15"/>
          <w:szCs w:val="15"/>
          <w:color w:val="auto"/>
        </w:rPr>
        <w:t>We refer you to "Executive Compensation" below for additional information regarding the Compensation Committee's processes and procedures.</w:t>
      </w:r>
    </w:p>
    <w:p>
      <w:pPr>
        <w:spacing w:after="0" w:line="270" w:lineRule="exact"/>
        <w:rPr>
          <w:sz w:val="20"/>
          <w:szCs w:val="20"/>
          <w:color w:val="auto"/>
        </w:rPr>
      </w:pPr>
    </w:p>
    <w:p>
      <w:pPr>
        <w:ind w:left="332" w:right="80"/>
        <w:spacing w:after="0" w:line="278" w:lineRule="auto"/>
        <w:rPr>
          <w:sz w:val="20"/>
          <w:szCs w:val="20"/>
          <w:color w:val="auto"/>
        </w:rPr>
      </w:pPr>
      <w:r>
        <w:rPr>
          <w:rFonts w:ascii="Arial" w:cs="Arial" w:eastAsia="Arial" w:hAnsi="Arial"/>
          <w:sz w:val="16"/>
          <w:szCs w:val="16"/>
          <w:color w:val="auto"/>
        </w:rPr>
        <w:t>The Board of Directors has determined that each member of the Compensation Committee is an independent director in accordance with NASDAQ listing standards and the Company's Director Independence Criteria, an outside director for purposes of Section 162(m) of the Internal Revenue Code (the "Code"), and a non-employee director for purposes of Section 16 of the Exchange Act.</w:t>
      </w:r>
    </w:p>
    <w:p>
      <w:pPr>
        <w:spacing w:after="0" w:line="193"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Corporate Governance Committee</w:t>
      </w:r>
    </w:p>
    <w:p>
      <w:pPr>
        <w:spacing w:after="0" w:line="246"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General</w:t>
      </w:r>
    </w:p>
    <w:p>
      <w:pPr>
        <w:spacing w:after="0" w:line="262" w:lineRule="exact"/>
        <w:rPr>
          <w:sz w:val="20"/>
          <w:szCs w:val="20"/>
          <w:color w:val="auto"/>
        </w:rPr>
      </w:pPr>
    </w:p>
    <w:p>
      <w:pPr>
        <w:ind w:left="332" w:right="180"/>
        <w:spacing w:after="0" w:line="273" w:lineRule="auto"/>
        <w:rPr>
          <w:sz w:val="20"/>
          <w:szCs w:val="20"/>
          <w:color w:val="auto"/>
        </w:rPr>
      </w:pPr>
      <w:r>
        <w:rPr>
          <w:rFonts w:ascii="Arial" w:cs="Arial" w:eastAsia="Arial" w:hAnsi="Arial"/>
          <w:sz w:val="16"/>
          <w:szCs w:val="16"/>
          <w:color w:val="auto"/>
        </w:rPr>
        <w:t>The responsibilities of the Corporate Governance Committee include identifying and recommending to the Board of Directors appropriate director nominee candidates and providing oversight with respect to corporate governance matters. The Board of Directors has determined that each of the current members of the Corporate Governance Committee qualifies as an independent director under applicable NASDAQ rules and the Company's Director Independence Criteria.</w:t>
      </w:r>
    </w:p>
    <w:p>
      <w:pPr>
        <w:spacing w:after="0" w:line="203" w:lineRule="exact"/>
        <w:rPr>
          <w:sz w:val="20"/>
          <w:szCs w:val="20"/>
          <w:color w:val="auto"/>
        </w:rPr>
      </w:pPr>
    </w:p>
    <w:p>
      <w:pPr>
        <w:ind w:left="332" w:right="100"/>
        <w:spacing w:after="0" w:line="293" w:lineRule="auto"/>
        <w:rPr>
          <w:sz w:val="20"/>
          <w:szCs w:val="20"/>
          <w:color w:val="auto"/>
        </w:rPr>
      </w:pPr>
      <w:r>
        <w:rPr>
          <w:rFonts w:ascii="Arial" w:cs="Arial" w:eastAsia="Arial" w:hAnsi="Arial"/>
          <w:sz w:val="15"/>
          <w:szCs w:val="15"/>
          <w:color w:val="auto"/>
        </w:rPr>
        <w:t>In 2015, the Corporate Governance Committee voted to waive the mandatory retirement age contained in our Corporate Governance Guidelines with respect to Mr. Sweeney's 2015 Board nomination. In reaching this determination, the Corporate Governance Committee considered Mr. Sweeney's extensive knowledge and experience, his deep understanding of the Company's business and his leadership as Chair of the Audit Committee, and concluded that the Corporation would benefit from his continued service as a member of the Board. The Corporate Governance Committee will re-evaluate this waiver of Mr. Sweeney's retirement on an annual basis.</w:t>
      </w:r>
    </w:p>
    <w:p>
      <w:pPr>
        <w:spacing w:after="0" w:line="186"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Director Nomination Procedures</w:t>
      </w:r>
    </w:p>
    <w:p>
      <w:pPr>
        <w:spacing w:after="0" w:line="262" w:lineRule="exact"/>
        <w:rPr>
          <w:sz w:val="20"/>
          <w:szCs w:val="20"/>
          <w:color w:val="auto"/>
        </w:rPr>
      </w:pPr>
    </w:p>
    <w:p>
      <w:pPr>
        <w:ind w:left="332" w:right="40"/>
        <w:spacing w:after="0" w:line="273" w:lineRule="auto"/>
        <w:rPr>
          <w:sz w:val="20"/>
          <w:szCs w:val="20"/>
          <w:color w:val="auto"/>
        </w:rPr>
      </w:pPr>
      <w:r>
        <w:rPr>
          <w:rFonts w:ascii="Arial" w:cs="Arial" w:eastAsia="Arial" w:hAnsi="Arial"/>
          <w:sz w:val="16"/>
          <w:szCs w:val="16"/>
          <w:color w:val="auto"/>
        </w:rPr>
        <w:t>The Corporate Governance Committee considers the appropriate balance of experience, skills and characteristics required of members of the Board of Directors. Nominees for director positions are selected on the basis of their depth and breadth of experience, wisdom, integrity, ability to make independent analytical inquiries, understanding of the Company's business environment, and willingness to devote adequate time to the duties associated with being a member of the Board of Directors.</w:t>
      </w:r>
    </w:p>
    <w:p>
      <w:pPr>
        <w:spacing w:after="0" w:line="203" w:lineRule="exact"/>
        <w:rPr>
          <w:sz w:val="20"/>
          <w:szCs w:val="20"/>
          <w:color w:val="auto"/>
        </w:rPr>
      </w:pPr>
    </w:p>
    <w:p>
      <w:pPr>
        <w:ind w:left="332" w:right="100"/>
        <w:spacing w:after="0" w:line="310" w:lineRule="auto"/>
        <w:rPr>
          <w:sz w:val="20"/>
          <w:szCs w:val="20"/>
          <w:color w:val="auto"/>
        </w:rPr>
      </w:pPr>
      <w:r>
        <w:rPr>
          <w:rFonts w:ascii="Arial" w:cs="Arial" w:eastAsia="Arial" w:hAnsi="Arial"/>
          <w:sz w:val="14"/>
          <w:szCs w:val="14"/>
          <w:color w:val="auto"/>
        </w:rPr>
        <w:t>The Corporate Governance Committee will consider written proposals from stockholders for candidates to be nominees for director positions. In considering candidates submitted by stockholders, the Corporate Governance Committee will take into consideration the needs of the Board of Directors and the qualifications of the candidate. Any such proposal should be submitted to the Corporate Governance Committee, c/o the Corporate Secretary of the Company, at Avis Budget Group, Inc., 6 Sylvan Way, Parsippany, N.J. 07054, and should include the following: (a) the name of the stockholder and evidence of such stockholder's beneficial ownership of the shares of Common Stock, including the number of shares of Common Stock beneficially owned and the length of time of such beneficial ownership; and (b) the name of the candidate, such candidate's resume or a listing of his or her qualifications to be a director of the Company and such candidate's consent to be named as a director, if selected by the Corporate Governance Committee, nominated by the Board of Directors and elected. The written proposal should be submitted in the time frame and consistent with the requirements described in the by-laws of the Company and under the caption "Stockholder Proposals for 2016 Annual Meeting" below.</w:t>
      </w:r>
    </w:p>
    <w:p>
      <w:pPr>
        <w:spacing w:after="0" w:line="100" w:lineRule="exact"/>
        <w:rPr>
          <w:sz w:val="20"/>
          <w:szCs w:val="20"/>
          <w:color w:val="auto"/>
        </w:rPr>
      </w:pPr>
    </w:p>
    <w:p>
      <w:pPr>
        <w:ind w:left="332"/>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70485</wp:posOffset>
            </wp:positionV>
            <wp:extent cx="6850380" cy="35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932"/>
          </w:cols>
          <w:pgMar w:left="1048" w:top="438" w:right="919" w:bottom="1440" w:gutter="0" w:footer="0" w:header="0"/>
        </w:sectPr>
      </w:pPr>
    </w:p>
    <w:bookmarkStart w:id="19" w:name="page20"/>
    <w:bookmarkEnd w:id="19"/>
    <w:p>
      <w:pPr>
        <w:ind w:left="332"/>
        <w:spacing w:after="0" w:line="310" w:lineRule="auto"/>
        <w:rPr>
          <w:sz w:val="20"/>
          <w:szCs w:val="20"/>
          <w:color w:val="auto"/>
        </w:rPr>
      </w:pPr>
      <w:r>
        <w:rPr>
          <w:rFonts w:ascii="Arial" w:cs="Arial" w:eastAsia="Arial" w:hAnsi="Arial"/>
          <w:sz w:val="14"/>
          <w:szCs w:val="14"/>
          <w:color w:val="auto"/>
        </w:rPr>
        <w:t>The process for identifying and evaluating candidates to be nominees to the Board of Directors is initiated by identifying a candidate who meets the criteria for selection as a nominee and has the specific qualities or skills being sought based on input from members of the Board of Directors and, if the Corporate Governance Committee deems appropriate, a third-party search firm which would help the Board to identify candidates. These candidates are evaluated by the Corporate Governance Committee by reviewing such candidates' biographical information and qualifications and checking the candidates' references. Qualified candidates are interviewed by at least one member of the Corporate Governance Committee. Using the input from this interview and other information, the Corporate Governance Committee evaluates whether the candidate is qualified to serve as a director and whether the Corporate Governance Committee should recommend to the Board of Directors that the Board nominate the candidate or elect the candidate to fill a vacancy on the Board of Directors. Candidates recommended by the Corporate Governance Committee are presented to the Board of Directors for selection as nominees to be presented for the approval of the stockholders or for election to fill a vacancy.</w:t>
      </w:r>
    </w:p>
    <w:p>
      <w:pPr>
        <w:spacing w:after="0" w:line="196" w:lineRule="exact"/>
        <w:rPr>
          <w:sz w:val="20"/>
          <w:szCs w:val="20"/>
          <w:color w:val="auto"/>
        </w:rPr>
      </w:pPr>
    </w:p>
    <w:p>
      <w:pPr>
        <w:ind w:left="332" w:right="480"/>
        <w:spacing w:after="0" w:line="366" w:lineRule="auto"/>
        <w:rPr>
          <w:sz w:val="20"/>
          <w:szCs w:val="20"/>
          <w:color w:val="auto"/>
        </w:rPr>
      </w:pPr>
      <w:r>
        <w:rPr>
          <w:rFonts w:ascii="Arial" w:cs="Arial" w:eastAsia="Arial" w:hAnsi="Arial"/>
          <w:sz w:val="14"/>
          <w:szCs w:val="14"/>
          <w:color w:val="auto"/>
        </w:rPr>
        <w:t>The Corporate Governance Committee expects that a similar evaluation process will be used to evaluate candidates to be nominees for director positions recommended by stockholders. However, to date, the Company has not received any stockholder proposal to nominate a director.</w:t>
      </w:r>
    </w:p>
    <w:p>
      <w:pPr>
        <w:spacing w:after="0" w:line="138"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Diversity</w:t>
      </w:r>
    </w:p>
    <w:p>
      <w:pPr>
        <w:spacing w:after="0" w:line="250" w:lineRule="exact"/>
        <w:rPr>
          <w:sz w:val="20"/>
          <w:szCs w:val="20"/>
          <w:color w:val="auto"/>
        </w:rPr>
      </w:pPr>
    </w:p>
    <w:p>
      <w:pPr>
        <w:ind w:left="332"/>
        <w:spacing w:after="0" w:line="271" w:lineRule="auto"/>
        <w:rPr>
          <w:sz w:val="20"/>
          <w:szCs w:val="20"/>
          <w:color w:val="auto"/>
        </w:rPr>
      </w:pPr>
      <w:r>
        <w:rPr>
          <w:rFonts w:ascii="Arial" w:cs="Arial" w:eastAsia="Arial" w:hAnsi="Arial"/>
          <w:sz w:val="16"/>
          <w:szCs w:val="16"/>
          <w:color w:val="auto"/>
        </w:rPr>
        <w:t>While the Board has not adopted a formal policy with respect to diversity, the Corporate Governance Committee believes it is important that nominees for the Board represent diverse viewpoints and backgrounds. The Corporate Governance Committee is committed to advancing Board diversity, defined to include differences of viewpoint, professional experience, education, skill, race, gender and national origin, and as specified in its charter, considers diversity in the mix of qualifications, experience, attributes or skills considered in its process of identifying and evaluating candidates to be nominees to the Board of Directors.</w:t>
      </w:r>
    </w:p>
    <w:p>
      <w:pPr>
        <w:spacing w:after="0" w:line="212"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Executive Committee</w:t>
      </w:r>
    </w:p>
    <w:p>
      <w:pPr>
        <w:spacing w:after="0" w:line="250" w:lineRule="exact"/>
        <w:rPr>
          <w:sz w:val="20"/>
          <w:szCs w:val="20"/>
          <w:color w:val="auto"/>
        </w:rPr>
      </w:pPr>
    </w:p>
    <w:p>
      <w:pPr>
        <w:ind w:left="332" w:right="200"/>
        <w:spacing w:after="0" w:line="324" w:lineRule="auto"/>
        <w:rPr>
          <w:sz w:val="20"/>
          <w:szCs w:val="20"/>
          <w:color w:val="auto"/>
        </w:rPr>
      </w:pPr>
      <w:r>
        <w:rPr>
          <w:rFonts w:ascii="Arial" w:cs="Arial" w:eastAsia="Arial" w:hAnsi="Arial"/>
          <w:sz w:val="14"/>
          <w:szCs w:val="14"/>
          <w:color w:val="auto"/>
        </w:rPr>
        <w:t>The Executive Committee has and may exercise all of the powers of the Board of Directors when the Board of Directors is not in session, including the power to authorize the issuance of stock, except that the Executive Committee has no power to (a) alter, amend or repeal the by-laws or any resolution or resolutions of the Board of Directors, (b) declare any dividend or make any other distribution to the stockholders of the Company, (c) appoint any member of the Executive Committee, or (d) take any other action which legally may be taken only by the full Board of Directors.</w:t>
      </w:r>
    </w:p>
    <w:p>
      <w:pPr>
        <w:spacing w:after="0" w:line="166"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Succession Planning</w:t>
      </w:r>
    </w:p>
    <w:p>
      <w:pPr>
        <w:spacing w:after="0" w:line="262" w:lineRule="exact"/>
        <w:rPr>
          <w:sz w:val="20"/>
          <w:szCs w:val="20"/>
          <w:color w:val="auto"/>
        </w:rPr>
      </w:pPr>
    </w:p>
    <w:p>
      <w:pPr>
        <w:ind w:left="332" w:right="40"/>
        <w:spacing w:after="0" w:line="287" w:lineRule="auto"/>
        <w:rPr>
          <w:sz w:val="20"/>
          <w:szCs w:val="20"/>
          <w:color w:val="auto"/>
        </w:rPr>
      </w:pPr>
      <w:r>
        <w:rPr>
          <w:rFonts w:ascii="Arial" w:cs="Arial" w:eastAsia="Arial" w:hAnsi="Arial"/>
          <w:sz w:val="15"/>
          <w:szCs w:val="15"/>
          <w:color w:val="auto"/>
        </w:rPr>
        <w:t>The Board of Directors is responsible for the development, implementation and periodic review of a succession plan for our Chief Executive Officer and each senior executive position, all of whom have been designated as members of our Senior Leadership Team ("SLT"). Our Board of Directors believes that effective succession planning, and talent management and development play a critical role in safeguarding business capabilities, developing strong leadership quality and executive bench strength, and optimizing overall business development, operating performance, profitability and shareholder value. As such, based upon a review of recommendations made by senior management, the Board of Directors has developed a list of critical attributes and has implemented a formal assessment process employing an external advisor to assess and develop successor candidates not only for the position of Chief Executive Officer but for each senior executive level position held by a SLT member. In order to ensure that qualified candidates are available for such SLT positions, the Board of Directors oversees the development of internal candidates, maintains talent development plans to strengthen the skills and qualifications of such candidates and would be responsible, if necessary, for the identification of suitable external successor candidates. The Board of Directors has also developed an "emergency" succession plan in the event of an unexpected disability or inability of our Chairman and Chief Executive Officer to perform his duties.</w:t>
      </w:r>
    </w:p>
    <w:p>
      <w:pPr>
        <w:spacing w:after="0" w:line="189"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Related Person Transactions</w:t>
      </w:r>
    </w:p>
    <w:p>
      <w:pPr>
        <w:spacing w:after="0" w:line="250" w:lineRule="exact"/>
        <w:rPr>
          <w:sz w:val="20"/>
          <w:szCs w:val="20"/>
          <w:color w:val="auto"/>
        </w:rPr>
      </w:pPr>
    </w:p>
    <w:p>
      <w:pPr>
        <w:ind w:left="332"/>
        <w:spacing w:after="0" w:line="291" w:lineRule="auto"/>
        <w:rPr>
          <w:sz w:val="20"/>
          <w:szCs w:val="20"/>
          <w:color w:val="auto"/>
        </w:rPr>
      </w:pPr>
      <w:r>
        <w:rPr>
          <w:rFonts w:ascii="Arial" w:cs="Arial" w:eastAsia="Arial" w:hAnsi="Arial"/>
          <w:sz w:val="16"/>
          <w:szCs w:val="16"/>
          <w:color w:val="auto"/>
        </w:rPr>
        <w:t>There are no related person transactions that require reporting under SEC rules. The Company has adopted written procedures for the review, approval or ratification of transactions with related persons that apply to any transaction, arrangement or relationship in which:</w:t>
      </w:r>
    </w:p>
    <w:p>
      <w:pPr>
        <w:spacing w:after="0" w:line="199" w:lineRule="exact"/>
        <w:rPr>
          <w:sz w:val="20"/>
          <w:szCs w:val="20"/>
          <w:color w:val="auto"/>
        </w:rPr>
      </w:pPr>
    </w:p>
    <w:p>
      <w:pPr>
        <w:ind w:left="612" w:hanging="612"/>
        <w:spacing w:after="0"/>
        <w:tabs>
          <w:tab w:leader="none" w:pos="61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 (including any of its subsidiaries) was, is or will be a participant; and</w:t>
      </w:r>
    </w:p>
    <w:p>
      <w:pPr>
        <w:spacing w:after="0" w:line="246" w:lineRule="exact"/>
        <w:rPr>
          <w:rFonts w:ascii="Arial" w:cs="Arial" w:eastAsia="Arial" w:hAnsi="Arial"/>
          <w:sz w:val="16"/>
          <w:szCs w:val="16"/>
          <w:color w:val="auto"/>
        </w:rPr>
      </w:pPr>
    </w:p>
    <w:p>
      <w:pPr>
        <w:ind w:left="1172" w:right="80" w:hanging="1172"/>
        <w:spacing w:after="0" w:line="278" w:lineRule="auto"/>
        <w:tabs>
          <w:tab w:leader="none" w:pos="598"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related person (i.e., a director, executive officer or director nominee, any greater than 5% beneficial owner, any immediate family member of the foregoing, or any entity in which any of the foregoing persons is employed, or is a partner, principal or in a similar position, or has any greater than 5% beneficial interest) had, has or will have a direct or indirect interest.</w:t>
      </w:r>
    </w:p>
    <w:p>
      <w:pPr>
        <w:spacing w:after="0" w:line="54" w:lineRule="exact"/>
        <w:rPr>
          <w:sz w:val="20"/>
          <w:szCs w:val="20"/>
          <w:color w:val="auto"/>
        </w:rPr>
      </w:pPr>
    </w:p>
    <w:p>
      <w:pPr>
        <w:ind w:left="332"/>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70485</wp:posOffset>
            </wp:positionV>
            <wp:extent cx="6850380" cy="35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932"/>
          </w:cols>
          <w:pgMar w:left="1048" w:top="438" w:right="919" w:bottom="1440" w:gutter="0" w:footer="0" w:header="0"/>
        </w:sectPr>
      </w:pPr>
    </w:p>
    <w:bookmarkStart w:id="20" w:name="page21"/>
    <w:bookmarkEnd w:id="20"/>
    <w:p>
      <w:pPr>
        <w:jc w:val="both"/>
        <w:ind w:left="332"/>
        <w:spacing w:after="0" w:line="278" w:lineRule="auto"/>
        <w:rPr>
          <w:sz w:val="20"/>
          <w:szCs w:val="20"/>
          <w:color w:val="auto"/>
        </w:rPr>
      </w:pPr>
      <w:r>
        <w:rPr>
          <w:rFonts w:ascii="Arial" w:cs="Arial" w:eastAsia="Arial" w:hAnsi="Arial"/>
          <w:sz w:val="16"/>
          <w:szCs w:val="16"/>
          <w:color w:val="auto"/>
        </w:rPr>
        <w:t>Under the Company's related persons policy, transactions with related persons are reviewed in advance by the General Counsel and Chief Compliance Officer and the Corporate Secretary of the Company, or in certain circumstances, as soon as possible thereafter. If it is determined by such officers that the transaction is a related person transaction and the amount involved exceeds $120,000:</w:t>
      </w:r>
    </w:p>
    <w:p>
      <w:pPr>
        <w:spacing w:after="0" w:line="197" w:lineRule="exact"/>
        <w:rPr>
          <w:sz w:val="20"/>
          <w:szCs w:val="20"/>
          <w:color w:val="auto"/>
        </w:rPr>
      </w:pPr>
    </w:p>
    <w:p>
      <w:pPr>
        <w:ind w:left="612" w:hanging="612"/>
        <w:spacing w:after="0"/>
        <w:tabs>
          <w:tab w:leader="none" w:pos="6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transaction will be submitted to the Audit Committee, or, under certain circumstances, to the Chairman of the Audit Committee (the "Chair").</w:t>
      </w:r>
    </w:p>
    <w:p>
      <w:pPr>
        <w:spacing w:after="0" w:line="269" w:lineRule="exact"/>
        <w:rPr>
          <w:rFonts w:ascii="Arial" w:cs="Arial" w:eastAsia="Arial" w:hAnsi="Arial"/>
          <w:sz w:val="14"/>
          <w:szCs w:val="14"/>
          <w:color w:val="auto"/>
        </w:rPr>
      </w:pPr>
    </w:p>
    <w:p>
      <w:pPr>
        <w:ind w:left="612" w:hanging="612"/>
        <w:spacing w:after="0"/>
        <w:tabs>
          <w:tab w:leader="none" w:pos="612"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Audit Committee or the Chair will then consider all relevant facts and circumstances available.</w:t>
      </w:r>
    </w:p>
    <w:p>
      <w:pPr>
        <w:spacing w:after="0" w:line="258" w:lineRule="exact"/>
        <w:rPr>
          <w:rFonts w:ascii="Arial" w:cs="Arial" w:eastAsia="Arial" w:hAnsi="Arial"/>
          <w:sz w:val="16"/>
          <w:szCs w:val="16"/>
          <w:color w:val="auto"/>
        </w:rPr>
      </w:pPr>
    </w:p>
    <w:p>
      <w:pPr>
        <w:ind w:left="1172" w:right="240" w:hanging="1172"/>
        <w:spacing w:after="0" w:line="291" w:lineRule="auto"/>
        <w:tabs>
          <w:tab w:leader="none" w:pos="598"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Audit Committee or the Chair will approve only those transactions, determined in good faith to be in, or are not inconsistent with, the best interests of the Company and its stockholders.</w:t>
      </w:r>
    </w:p>
    <w:p>
      <w:pPr>
        <w:spacing w:after="0" w:line="187" w:lineRule="exact"/>
        <w:rPr>
          <w:sz w:val="20"/>
          <w:szCs w:val="20"/>
          <w:color w:val="auto"/>
        </w:rPr>
      </w:pPr>
    </w:p>
    <w:p>
      <w:pPr>
        <w:ind w:left="332" w:right="120"/>
        <w:spacing w:after="0" w:line="278" w:lineRule="auto"/>
        <w:rPr>
          <w:sz w:val="20"/>
          <w:szCs w:val="20"/>
          <w:color w:val="auto"/>
        </w:rPr>
      </w:pPr>
      <w:r>
        <w:rPr>
          <w:rFonts w:ascii="Arial" w:cs="Arial" w:eastAsia="Arial" w:hAnsi="Arial"/>
          <w:sz w:val="16"/>
          <w:szCs w:val="16"/>
          <w:color w:val="auto"/>
        </w:rPr>
        <w:t>The Audit Committee reviews on an annual basis contributions by the Company in excess of $1,000, in the aggregate (other than contributions made pursuant to the Company's matching contribution program for employees and directors), to a charitable organization at which a related person is actively involved with fund-raising or serves as a director, trustee or in a similar capacity.</w:t>
      </w:r>
    </w:p>
    <w:p>
      <w:pPr>
        <w:spacing w:after="0" w:line="193"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Shareholder Engagement</w:t>
      </w:r>
    </w:p>
    <w:p>
      <w:pPr>
        <w:spacing w:after="0" w:line="262" w:lineRule="exact"/>
        <w:rPr>
          <w:sz w:val="20"/>
          <w:szCs w:val="20"/>
          <w:color w:val="auto"/>
        </w:rPr>
      </w:pPr>
    </w:p>
    <w:p>
      <w:pPr>
        <w:ind w:left="332" w:right="20"/>
        <w:spacing w:after="0" w:line="269" w:lineRule="auto"/>
        <w:rPr>
          <w:sz w:val="20"/>
          <w:szCs w:val="20"/>
          <w:color w:val="auto"/>
        </w:rPr>
      </w:pPr>
      <w:r>
        <w:rPr>
          <w:rFonts w:ascii="Arial" w:cs="Arial" w:eastAsia="Arial" w:hAnsi="Arial"/>
          <w:sz w:val="16"/>
          <w:szCs w:val="16"/>
          <w:color w:val="auto"/>
        </w:rPr>
        <w:t>We regularly conduct engagement and outreach efforts in order to communicate with existing and prospective shareholders, lenders, research analysts, rating agencies, governance firms and others. In 2014, our key engagement activities included numerous group and one-on-one investor meetings, an investor day with presentations from several members of senior management, conference calls following each of our quarterly earnings releases, presentations at various investor conferences, and our 2014 Annual Meeting of Stockholders. Numerous members of management, in addition to our Chief Executive Officer and Chief Financial Officer, participated in these activities, each of which contained opportunities for shareholders and other constituents to ask questions and provide feedback to management. In addition, certain of our independent Board members attended investor meetings in 2014.</w:t>
      </w:r>
    </w:p>
    <w:p>
      <w:pPr>
        <w:spacing w:after="0" w:line="206" w:lineRule="exact"/>
        <w:rPr>
          <w:sz w:val="20"/>
          <w:szCs w:val="20"/>
          <w:color w:val="auto"/>
        </w:rPr>
      </w:pPr>
    </w:p>
    <w:p>
      <w:pPr>
        <w:ind w:left="332"/>
        <w:spacing w:after="0" w:line="318" w:lineRule="auto"/>
        <w:rPr>
          <w:sz w:val="20"/>
          <w:szCs w:val="20"/>
          <w:color w:val="auto"/>
        </w:rPr>
      </w:pPr>
      <w:r>
        <w:rPr>
          <w:rFonts w:ascii="Arial" w:cs="Arial" w:eastAsia="Arial" w:hAnsi="Arial"/>
          <w:sz w:val="14"/>
          <w:szCs w:val="14"/>
          <w:color w:val="auto"/>
        </w:rPr>
        <w:t xml:space="preserve">Our investor relations department is the key point of contact for shareholder interaction with the Company. Stockholders and other interested parties may access investor information about our Company through our website at </w:t>
      </w:r>
      <w:r>
        <w:rPr>
          <w:rFonts w:ascii="Arial" w:cs="Arial" w:eastAsia="Arial" w:hAnsi="Arial"/>
          <w:sz w:val="14"/>
          <w:szCs w:val="14"/>
          <w:i w:val="1"/>
          <w:iCs w:val="1"/>
          <w:color w:val="auto"/>
        </w:rPr>
        <w:t>www.avisbudgetgroup.com</w:t>
      </w:r>
      <w:r>
        <w:rPr>
          <w:rFonts w:ascii="Arial" w:cs="Arial" w:eastAsia="Arial" w:hAnsi="Arial"/>
          <w:sz w:val="14"/>
          <w:szCs w:val="14"/>
          <w:color w:val="auto"/>
        </w:rPr>
        <w:t>. The investor relations department coordinates institutional investor meetings with management, appearances at investor conferences and our quarterly earnings calls. We will also consider shareholder requests to meet with members of our Board of Directors on a case-by-case basis, and members of our Board have attended meetings with institutional investors and shareholders on occasion in the past, in addition to attending the Annual Meeting of Stockholders.</w:t>
      </w:r>
    </w:p>
    <w:p>
      <w:pPr>
        <w:spacing w:after="0" w:line="93" w:lineRule="exact"/>
        <w:rPr>
          <w:sz w:val="20"/>
          <w:szCs w:val="20"/>
          <w:color w:val="auto"/>
        </w:rPr>
      </w:pPr>
    </w:p>
    <w:p>
      <w:pPr>
        <w:ind w:left="332"/>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70485</wp:posOffset>
            </wp:positionV>
            <wp:extent cx="6850380" cy="35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932"/>
          </w:cols>
          <w:pgMar w:left="1048" w:top="808" w:right="919" w:bottom="1440" w:gutter="0" w:footer="0" w:header="0"/>
        </w:sectPr>
      </w:pPr>
    </w:p>
    <w:bookmarkStart w:id="21" w:name="page22"/>
    <w:bookmarkEnd w:id="21"/>
    <w:p>
      <w:pPr>
        <w:ind w:left="560"/>
        <w:spacing w:after="0"/>
        <w:rPr>
          <w:sz w:val="20"/>
          <w:szCs w:val="20"/>
          <w:color w:val="auto"/>
        </w:rPr>
      </w:pPr>
      <w:r>
        <w:rPr>
          <w:rFonts w:ascii="Arial" w:cs="Arial" w:eastAsia="Arial" w:hAnsi="Arial"/>
          <w:sz w:val="16"/>
          <w:szCs w:val="16"/>
          <w:color w:val="auto"/>
        </w:rPr>
        <w:t>Security Ownership of Certain Beneficial Owners</w:t>
      </w:r>
    </w:p>
    <w:p>
      <w:pPr>
        <w:spacing w:after="0" w:line="258" w:lineRule="exact"/>
        <w:rPr>
          <w:sz w:val="20"/>
          <w:szCs w:val="20"/>
          <w:color w:val="auto"/>
        </w:rPr>
      </w:pPr>
    </w:p>
    <w:p>
      <w:pPr>
        <w:ind w:left="560" w:right="720"/>
        <w:spacing w:after="0" w:line="304" w:lineRule="auto"/>
        <w:rPr>
          <w:sz w:val="20"/>
          <w:szCs w:val="20"/>
          <w:color w:val="auto"/>
        </w:rPr>
      </w:pPr>
      <w:r>
        <w:rPr>
          <w:rFonts w:ascii="Arial" w:cs="Arial" w:eastAsia="Arial" w:hAnsi="Arial"/>
          <w:sz w:val="15"/>
          <w:szCs w:val="15"/>
          <w:color w:val="auto"/>
        </w:rPr>
        <w:t>The following table sets forth information regarding beneficial ownership of shares of Common Stock as of March 1, 2015, by (i) each person who is known by us to beneficially own more than 5% of the outstanding shares of Common Stock, (ii) each of the Company's directors and each of its named executive officers ("NEOs"), and (iii) all of the Company's directors, NEOs and current executive officers, as a group.</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0"/>
              </w:rPr>
              <w:t>Of the Total Number of Shares</w:t>
            </w: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1"/>
        </w:trPr>
        <w:tc>
          <w:tcPr>
            <w:tcW w:w="5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88"/>
              </w:rPr>
              <w:t>Beneficially Owned, Shares</w:t>
            </w: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1"/>
        </w:trPr>
        <w:tc>
          <w:tcPr>
            <w:tcW w:w="5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20" w:type="dxa"/>
            <w:vAlign w:val="bottom"/>
          </w:tcPr>
          <w:p>
            <w:pPr>
              <w:jc w:val="center"/>
              <w:ind w:right="220"/>
              <w:spacing w:after="0"/>
              <w:rPr>
                <w:sz w:val="20"/>
                <w:szCs w:val="20"/>
                <w:color w:val="auto"/>
              </w:rPr>
            </w:pPr>
            <w:r>
              <w:rPr>
                <w:rFonts w:ascii="Arial" w:cs="Arial" w:eastAsia="Arial" w:hAnsi="Arial"/>
                <w:sz w:val="16"/>
                <w:szCs w:val="16"/>
                <w:b w:val="1"/>
                <w:bCs w:val="1"/>
                <w:color w:val="auto"/>
                <w:w w:val="91"/>
              </w:rPr>
              <w:t>Total Amount of</w:t>
            </w:r>
          </w:p>
        </w:tc>
        <w:tc>
          <w:tcPr>
            <w:tcW w:w="1540" w:type="dxa"/>
            <w:vAlign w:val="bottom"/>
          </w:tcPr>
          <w:p>
            <w:pPr>
              <w:jc w:val="center"/>
              <w:ind w:right="120"/>
              <w:spacing w:after="0"/>
              <w:rPr>
                <w:sz w:val="20"/>
                <w:szCs w:val="20"/>
                <w:color w:val="auto"/>
              </w:rPr>
            </w:pPr>
            <w:r>
              <w:rPr>
                <w:rFonts w:ascii="Arial" w:cs="Arial" w:eastAsia="Arial" w:hAnsi="Arial"/>
                <w:sz w:val="16"/>
                <w:szCs w:val="16"/>
                <w:b w:val="1"/>
                <w:bCs w:val="1"/>
                <w:color w:val="auto"/>
                <w:w w:val="89"/>
              </w:rPr>
              <w:t>Percent of</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88"/>
              </w:rPr>
              <w:t>which</w:t>
            </w: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8"/>
        </w:trPr>
        <w:tc>
          <w:tcPr>
            <w:tcW w:w="5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20" w:type="dxa"/>
            <w:vAlign w:val="bottom"/>
          </w:tcPr>
          <w:p>
            <w:pPr>
              <w:jc w:val="center"/>
              <w:ind w:right="200"/>
              <w:spacing w:after="0"/>
              <w:rPr>
                <w:sz w:val="20"/>
                <w:szCs w:val="20"/>
                <w:color w:val="auto"/>
              </w:rPr>
            </w:pPr>
            <w:r>
              <w:rPr>
                <w:rFonts w:ascii="Arial" w:cs="Arial" w:eastAsia="Arial" w:hAnsi="Arial"/>
                <w:sz w:val="16"/>
                <w:szCs w:val="16"/>
                <w:b w:val="1"/>
                <w:bCs w:val="1"/>
                <w:color w:val="auto"/>
                <w:w w:val="86"/>
              </w:rPr>
              <w:t>Shares</w:t>
            </w:r>
          </w:p>
        </w:tc>
        <w:tc>
          <w:tcPr>
            <w:tcW w:w="1540" w:type="dxa"/>
            <w:vAlign w:val="bottom"/>
          </w:tcPr>
          <w:p>
            <w:pPr>
              <w:jc w:val="center"/>
              <w:ind w:right="120"/>
              <w:spacing w:after="0"/>
              <w:rPr>
                <w:sz w:val="20"/>
                <w:szCs w:val="20"/>
                <w:color w:val="auto"/>
              </w:rPr>
            </w:pPr>
            <w:r>
              <w:rPr>
                <w:rFonts w:ascii="Arial" w:cs="Arial" w:eastAsia="Arial" w:hAnsi="Arial"/>
                <w:sz w:val="16"/>
                <w:szCs w:val="16"/>
                <w:b w:val="1"/>
                <w:bCs w:val="1"/>
                <w:color w:val="auto"/>
                <w:w w:val="89"/>
              </w:rPr>
              <w:t>Common</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2"/>
              </w:rPr>
              <w:t>May be Acquired within 60</w:t>
            </w: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35"/>
        </w:trPr>
        <w:tc>
          <w:tcPr>
            <w:tcW w:w="560" w:type="dxa"/>
            <w:vAlign w:val="bottom"/>
          </w:tcPr>
          <w:p>
            <w:pPr>
              <w:spacing w:after="0"/>
              <w:rPr>
                <w:sz w:val="20"/>
                <w:szCs w:val="20"/>
                <w:color w:val="auto"/>
              </w:rPr>
            </w:pPr>
          </w:p>
        </w:tc>
        <w:tc>
          <w:tcPr>
            <w:tcW w:w="31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 of Beneficial Owner</w:t>
            </w:r>
          </w:p>
        </w:tc>
        <w:tc>
          <w:tcPr>
            <w:tcW w:w="2020" w:type="dxa"/>
            <w:vAlign w:val="bottom"/>
            <w:tcBorders>
              <w:bottom w:val="single" w:sz="8" w:color="auto"/>
            </w:tcBorders>
          </w:tcPr>
          <w:p>
            <w:pPr>
              <w:jc w:val="center"/>
              <w:ind w:right="220"/>
              <w:spacing w:after="0" w:line="235" w:lineRule="exact"/>
              <w:rPr>
                <w:sz w:val="20"/>
                <w:szCs w:val="20"/>
                <w:color w:val="auto"/>
              </w:rPr>
            </w:pPr>
            <w:r>
              <w:rPr>
                <w:rFonts w:ascii="Arial" w:cs="Arial" w:eastAsia="Arial" w:hAnsi="Arial"/>
                <w:sz w:val="16"/>
                <w:szCs w:val="16"/>
                <w:b w:val="1"/>
                <w:bCs w:val="1"/>
                <w:color w:val="auto"/>
                <w:w w:val="88"/>
              </w:rPr>
              <w:t>Beneficially Owned</w:t>
            </w:r>
            <w:r>
              <w:rPr>
                <w:rFonts w:ascii="Arial" w:cs="Arial" w:eastAsia="Arial" w:hAnsi="Arial"/>
                <w:sz w:val="25"/>
                <w:szCs w:val="25"/>
                <w:b w:val="1"/>
                <w:bCs w:val="1"/>
                <w:color w:val="auto"/>
                <w:w w:val="88"/>
                <w:vertAlign w:val="superscript"/>
              </w:rPr>
              <w:t>(1)</w:t>
            </w:r>
          </w:p>
        </w:tc>
        <w:tc>
          <w:tcPr>
            <w:tcW w:w="1540" w:type="dxa"/>
            <w:vAlign w:val="bottom"/>
            <w:tcBorders>
              <w:bottom w:val="single" w:sz="8" w:color="auto"/>
            </w:tcBorders>
          </w:tcPr>
          <w:p>
            <w:pPr>
              <w:jc w:val="center"/>
              <w:ind w:right="120"/>
              <w:spacing w:after="0" w:line="235" w:lineRule="exact"/>
              <w:rPr>
                <w:sz w:val="20"/>
                <w:szCs w:val="20"/>
                <w:color w:val="auto"/>
              </w:rPr>
            </w:pPr>
            <w:r>
              <w:rPr>
                <w:rFonts w:ascii="Arial" w:cs="Arial" w:eastAsia="Arial" w:hAnsi="Arial"/>
                <w:sz w:val="16"/>
                <w:szCs w:val="16"/>
                <w:b w:val="1"/>
                <w:bCs w:val="1"/>
                <w:color w:val="auto"/>
                <w:w w:val="87"/>
              </w:rPr>
              <w:t>Stock Owned</w:t>
            </w:r>
            <w:r>
              <w:rPr>
                <w:rFonts w:ascii="Arial" w:cs="Arial" w:eastAsia="Arial" w:hAnsi="Arial"/>
                <w:sz w:val="25"/>
                <w:szCs w:val="25"/>
                <w:b w:val="1"/>
                <w:bCs w:val="1"/>
                <w:color w:val="auto"/>
                <w:w w:val="87"/>
                <w:vertAlign w:val="superscript"/>
              </w:rPr>
              <w:t>(2)</w:t>
            </w:r>
          </w:p>
        </w:tc>
        <w:tc>
          <w:tcPr>
            <w:tcW w:w="2400" w:type="dxa"/>
            <w:vAlign w:val="bottom"/>
            <w:tcBorders>
              <w:bottom w:val="single" w:sz="8" w:color="auto"/>
            </w:tcBorders>
          </w:tcPr>
          <w:p>
            <w:pPr>
              <w:jc w:val="center"/>
              <w:spacing w:after="0" w:line="235" w:lineRule="exact"/>
              <w:rPr>
                <w:sz w:val="20"/>
                <w:szCs w:val="20"/>
                <w:color w:val="auto"/>
              </w:rPr>
            </w:pPr>
            <w:r>
              <w:rPr>
                <w:rFonts w:ascii="Arial" w:cs="Arial" w:eastAsia="Arial" w:hAnsi="Arial"/>
                <w:sz w:val="16"/>
                <w:szCs w:val="16"/>
                <w:b w:val="1"/>
                <w:bCs w:val="1"/>
                <w:color w:val="auto"/>
                <w:w w:val="81"/>
              </w:rPr>
              <w:t>Days</w:t>
            </w:r>
            <w:r>
              <w:rPr>
                <w:rFonts w:ascii="Arial" w:cs="Arial" w:eastAsia="Arial" w:hAnsi="Arial"/>
                <w:sz w:val="25"/>
                <w:szCs w:val="25"/>
                <w:b w:val="1"/>
                <w:bCs w:val="1"/>
                <w:color w:val="auto"/>
                <w:w w:val="81"/>
                <w:vertAlign w:val="superscript"/>
              </w:rPr>
              <w:t>(3)</w:t>
            </w:r>
          </w:p>
        </w:tc>
        <w:tc>
          <w:tcPr>
            <w:tcW w:w="540" w:type="dxa"/>
            <w:vAlign w:val="bottom"/>
            <w:tcBorders>
              <w:bottom w:val="single" w:sz="8" w:color="auto"/>
            </w:tcBorders>
          </w:tcPr>
          <w:p>
            <w:pPr>
              <w:spacing w:after="0"/>
              <w:rPr>
                <w:sz w:val="20"/>
                <w:szCs w:val="20"/>
                <w:color w:val="auto"/>
              </w:rPr>
            </w:pPr>
          </w:p>
        </w:tc>
        <w:tc>
          <w:tcPr>
            <w:tcW w:w="620" w:type="dxa"/>
            <w:vAlign w:val="bottom"/>
          </w:tcPr>
          <w:p>
            <w:pPr>
              <w:spacing w:after="0"/>
              <w:rPr>
                <w:sz w:val="20"/>
                <w:szCs w:val="20"/>
                <w:color w:val="auto"/>
              </w:rPr>
            </w:pPr>
          </w:p>
        </w:tc>
      </w:tr>
      <w:tr>
        <w:trPr>
          <w:trHeight w:val="195"/>
        </w:trPr>
        <w:tc>
          <w:tcPr>
            <w:tcW w:w="560" w:type="dxa"/>
            <w:vAlign w:val="bottom"/>
          </w:tcPr>
          <w:p>
            <w:pPr>
              <w:spacing w:after="0"/>
              <w:rPr>
                <w:sz w:val="16"/>
                <w:szCs w:val="16"/>
                <w:color w:val="auto"/>
              </w:rPr>
            </w:pPr>
          </w:p>
        </w:tc>
        <w:tc>
          <w:tcPr>
            <w:tcW w:w="3120" w:type="dxa"/>
            <w:vAlign w:val="bottom"/>
          </w:tcPr>
          <w:p>
            <w:pPr>
              <w:ind w:left="60"/>
              <w:spacing w:after="0"/>
              <w:rPr>
                <w:sz w:val="20"/>
                <w:szCs w:val="20"/>
                <w:color w:val="auto"/>
              </w:rPr>
            </w:pPr>
            <w:r>
              <w:rPr>
                <w:rFonts w:ascii="Arial" w:cs="Arial" w:eastAsia="Arial" w:hAnsi="Arial"/>
                <w:sz w:val="16"/>
                <w:szCs w:val="16"/>
                <w:b w:val="1"/>
                <w:bCs w:val="1"/>
                <w:color w:val="auto"/>
              </w:rPr>
              <w:t>Principal Stockholders**:</w:t>
            </w:r>
          </w:p>
        </w:tc>
        <w:tc>
          <w:tcPr>
            <w:tcW w:w="20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3"/>
        </w:trPr>
        <w:tc>
          <w:tcPr>
            <w:tcW w:w="560" w:type="dxa"/>
            <w:vAlign w:val="bottom"/>
          </w:tcPr>
          <w:p>
            <w:pPr>
              <w:spacing w:after="0"/>
              <w:rPr>
                <w:sz w:val="17"/>
                <w:szCs w:val="17"/>
                <w:color w:val="auto"/>
              </w:rPr>
            </w:pPr>
          </w:p>
        </w:tc>
        <w:tc>
          <w:tcPr>
            <w:tcW w:w="3120" w:type="dxa"/>
            <w:vAlign w:val="bottom"/>
            <w:shd w:val="clear" w:color="auto" w:fill="E9E9E9"/>
          </w:tcPr>
          <w:p>
            <w:pPr>
              <w:ind w:left="60"/>
              <w:spacing w:after="0" w:line="202" w:lineRule="exact"/>
              <w:rPr>
                <w:sz w:val="20"/>
                <w:szCs w:val="20"/>
                <w:color w:val="auto"/>
              </w:rPr>
            </w:pPr>
            <w:r>
              <w:rPr>
                <w:rFonts w:ascii="Arial" w:cs="Arial" w:eastAsia="Arial" w:hAnsi="Arial"/>
                <w:sz w:val="15"/>
                <w:szCs w:val="15"/>
                <w:color w:val="auto"/>
              </w:rPr>
              <w:t>SRS Investment Management, LLC</w:t>
            </w:r>
            <w:r>
              <w:rPr>
                <w:rFonts w:ascii="Arial" w:cs="Arial" w:eastAsia="Arial" w:hAnsi="Arial"/>
                <w:sz w:val="23"/>
                <w:szCs w:val="23"/>
                <w:color w:val="auto"/>
                <w:vertAlign w:val="superscript"/>
              </w:rPr>
              <w:t>(4)</w:t>
            </w:r>
          </w:p>
        </w:tc>
        <w:tc>
          <w:tcPr>
            <w:tcW w:w="2020" w:type="dxa"/>
            <w:vAlign w:val="bottom"/>
            <w:shd w:val="clear" w:color="auto" w:fill="E9E9E9"/>
          </w:tcPr>
          <w:p>
            <w:pPr>
              <w:spacing w:after="0"/>
              <w:rPr>
                <w:sz w:val="17"/>
                <w:szCs w:val="17"/>
                <w:color w:val="auto"/>
              </w:rPr>
            </w:pPr>
          </w:p>
        </w:tc>
        <w:tc>
          <w:tcPr>
            <w:tcW w:w="1540" w:type="dxa"/>
            <w:vAlign w:val="bottom"/>
            <w:shd w:val="clear" w:color="auto" w:fill="E9E9E9"/>
          </w:tcPr>
          <w:p>
            <w:pPr>
              <w:spacing w:after="0"/>
              <w:rPr>
                <w:sz w:val="17"/>
                <w:szCs w:val="17"/>
                <w:color w:val="auto"/>
              </w:rPr>
            </w:pPr>
          </w:p>
        </w:tc>
        <w:tc>
          <w:tcPr>
            <w:tcW w:w="2400" w:type="dxa"/>
            <w:vAlign w:val="bottom"/>
            <w:shd w:val="clear" w:color="auto" w:fill="E9E9E9"/>
          </w:tcPr>
          <w:p>
            <w:pPr>
              <w:spacing w:after="0"/>
              <w:rPr>
                <w:sz w:val="17"/>
                <w:szCs w:val="17"/>
                <w:color w:val="auto"/>
              </w:rPr>
            </w:pPr>
          </w:p>
        </w:tc>
        <w:tc>
          <w:tcPr>
            <w:tcW w:w="540" w:type="dxa"/>
            <w:vAlign w:val="bottom"/>
            <w:shd w:val="clear" w:color="auto" w:fill="E9E9E9"/>
          </w:tcPr>
          <w:p>
            <w:pPr>
              <w:spacing w:after="0"/>
              <w:rPr>
                <w:sz w:val="17"/>
                <w:szCs w:val="17"/>
                <w:color w:val="auto"/>
              </w:rPr>
            </w:pPr>
          </w:p>
        </w:tc>
        <w:tc>
          <w:tcPr>
            <w:tcW w:w="620" w:type="dxa"/>
            <w:vAlign w:val="bottom"/>
          </w:tcPr>
          <w:p>
            <w:pPr>
              <w:spacing w:after="0"/>
              <w:rPr>
                <w:sz w:val="17"/>
                <w:szCs w:val="17"/>
                <w:color w:val="auto"/>
              </w:rPr>
            </w:pPr>
          </w:p>
        </w:tc>
      </w:tr>
      <w:tr>
        <w:trPr>
          <w:trHeight w:val="191"/>
        </w:trPr>
        <w:tc>
          <w:tcPr>
            <w:tcW w:w="560" w:type="dxa"/>
            <w:vAlign w:val="bottom"/>
          </w:tcPr>
          <w:p>
            <w:pPr>
              <w:spacing w:after="0"/>
              <w:rPr>
                <w:sz w:val="16"/>
                <w:szCs w:val="16"/>
                <w:color w:val="auto"/>
              </w:rPr>
            </w:pPr>
          </w:p>
        </w:tc>
        <w:tc>
          <w:tcPr>
            <w:tcW w:w="3120" w:type="dxa"/>
            <w:vAlign w:val="bottom"/>
            <w:shd w:val="clear" w:color="auto" w:fill="E9E9E9"/>
          </w:tcPr>
          <w:p>
            <w:pPr>
              <w:ind w:left="60"/>
              <w:spacing w:after="0"/>
              <w:rPr>
                <w:sz w:val="20"/>
                <w:szCs w:val="20"/>
                <w:color w:val="auto"/>
              </w:rPr>
            </w:pPr>
            <w:r>
              <w:rPr>
                <w:rFonts w:ascii="Arial" w:cs="Arial" w:eastAsia="Arial" w:hAnsi="Arial"/>
                <w:sz w:val="16"/>
                <w:szCs w:val="16"/>
                <w:color w:val="auto"/>
              </w:rPr>
              <w:t>1 Bryant Park, 39th Floor</w:t>
            </w:r>
          </w:p>
        </w:tc>
        <w:tc>
          <w:tcPr>
            <w:tcW w:w="2020" w:type="dxa"/>
            <w:vAlign w:val="bottom"/>
            <w:shd w:val="clear" w:color="auto" w:fill="E9E9E9"/>
          </w:tcPr>
          <w:p>
            <w:pPr>
              <w:spacing w:after="0"/>
              <w:rPr>
                <w:sz w:val="16"/>
                <w:szCs w:val="16"/>
                <w:color w:val="auto"/>
              </w:rPr>
            </w:pPr>
          </w:p>
        </w:tc>
        <w:tc>
          <w:tcPr>
            <w:tcW w:w="1540" w:type="dxa"/>
            <w:vAlign w:val="bottom"/>
            <w:shd w:val="clear" w:color="auto" w:fill="E9E9E9"/>
          </w:tcPr>
          <w:p>
            <w:pPr>
              <w:spacing w:after="0"/>
              <w:rPr>
                <w:sz w:val="16"/>
                <w:szCs w:val="16"/>
                <w:color w:val="auto"/>
              </w:rPr>
            </w:pPr>
          </w:p>
        </w:tc>
        <w:tc>
          <w:tcPr>
            <w:tcW w:w="2400" w:type="dxa"/>
            <w:vAlign w:val="bottom"/>
            <w:shd w:val="clear" w:color="auto" w:fill="E9E9E9"/>
          </w:tcPr>
          <w:p>
            <w:pPr>
              <w:spacing w:after="0"/>
              <w:rPr>
                <w:sz w:val="16"/>
                <w:szCs w:val="16"/>
                <w:color w:val="auto"/>
              </w:rPr>
            </w:pPr>
          </w:p>
        </w:tc>
        <w:tc>
          <w:tcPr>
            <w:tcW w:w="540" w:type="dxa"/>
            <w:vAlign w:val="bottom"/>
            <w:shd w:val="clear" w:color="auto" w:fill="E9E9E9"/>
          </w:tcPr>
          <w:p>
            <w:pPr>
              <w:spacing w:after="0"/>
              <w:rPr>
                <w:sz w:val="16"/>
                <w:szCs w:val="16"/>
                <w:color w:val="auto"/>
              </w:rPr>
            </w:pPr>
          </w:p>
        </w:tc>
        <w:tc>
          <w:tcPr>
            <w:tcW w:w="620" w:type="dxa"/>
            <w:vAlign w:val="bottom"/>
          </w:tcPr>
          <w:p>
            <w:pPr>
              <w:spacing w:after="0"/>
              <w:rPr>
                <w:sz w:val="16"/>
                <w:szCs w:val="16"/>
                <w:color w:val="auto"/>
              </w:rPr>
            </w:pPr>
          </w:p>
        </w:tc>
      </w:tr>
      <w:tr>
        <w:trPr>
          <w:trHeight w:val="204"/>
        </w:trPr>
        <w:tc>
          <w:tcPr>
            <w:tcW w:w="560" w:type="dxa"/>
            <w:vAlign w:val="bottom"/>
          </w:tcPr>
          <w:p>
            <w:pPr>
              <w:spacing w:after="0"/>
              <w:rPr>
                <w:sz w:val="17"/>
                <w:szCs w:val="17"/>
                <w:color w:val="auto"/>
              </w:rPr>
            </w:pPr>
          </w:p>
        </w:tc>
        <w:tc>
          <w:tcPr>
            <w:tcW w:w="3120" w:type="dxa"/>
            <w:vAlign w:val="bottom"/>
            <w:shd w:val="clear" w:color="auto" w:fill="E9E9E9"/>
          </w:tcPr>
          <w:p>
            <w:pPr>
              <w:ind w:left="60"/>
              <w:spacing w:after="0"/>
              <w:rPr>
                <w:sz w:val="20"/>
                <w:szCs w:val="20"/>
                <w:color w:val="auto"/>
              </w:rPr>
            </w:pPr>
            <w:r>
              <w:rPr>
                <w:rFonts w:ascii="Arial" w:cs="Arial" w:eastAsia="Arial" w:hAnsi="Arial"/>
                <w:sz w:val="16"/>
                <w:szCs w:val="16"/>
                <w:color w:val="auto"/>
              </w:rPr>
              <w:t>New York, N.Y. 10036</w:t>
            </w:r>
          </w:p>
        </w:tc>
        <w:tc>
          <w:tcPr>
            <w:tcW w:w="202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10,000,000</w:t>
            </w:r>
          </w:p>
        </w:tc>
        <w:tc>
          <w:tcPr>
            <w:tcW w:w="1540" w:type="dxa"/>
            <w:vAlign w:val="bottom"/>
            <w:shd w:val="clear" w:color="auto" w:fill="E9E9E9"/>
          </w:tcPr>
          <w:p>
            <w:pPr>
              <w:jc w:val="right"/>
              <w:ind w:right="100"/>
              <w:spacing w:after="0"/>
              <w:rPr>
                <w:sz w:val="20"/>
                <w:szCs w:val="20"/>
                <w:color w:val="auto"/>
              </w:rPr>
            </w:pPr>
            <w:r>
              <w:rPr>
                <w:rFonts w:ascii="Arial" w:cs="Arial" w:eastAsia="Arial" w:hAnsi="Arial"/>
                <w:sz w:val="16"/>
                <w:szCs w:val="16"/>
                <w:color w:val="auto"/>
              </w:rPr>
              <w:t>9.4%</w:t>
            </w:r>
          </w:p>
        </w:tc>
        <w:tc>
          <w:tcPr>
            <w:tcW w:w="24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E9E9E9"/>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3120" w:type="dxa"/>
            <w:vAlign w:val="bottom"/>
          </w:tcPr>
          <w:p>
            <w:pPr>
              <w:ind w:left="60"/>
              <w:spacing w:after="0" w:line="202" w:lineRule="exact"/>
              <w:rPr>
                <w:sz w:val="20"/>
                <w:szCs w:val="20"/>
                <w:color w:val="auto"/>
              </w:rPr>
            </w:pPr>
            <w:r>
              <w:rPr>
                <w:rFonts w:ascii="Arial" w:cs="Arial" w:eastAsia="Arial" w:hAnsi="Arial"/>
                <w:sz w:val="15"/>
                <w:szCs w:val="15"/>
                <w:color w:val="auto"/>
              </w:rPr>
              <w:t>Morgan Stanley</w:t>
            </w:r>
            <w:r>
              <w:rPr>
                <w:rFonts w:ascii="Arial" w:cs="Arial" w:eastAsia="Arial" w:hAnsi="Arial"/>
                <w:sz w:val="23"/>
                <w:szCs w:val="23"/>
                <w:color w:val="auto"/>
                <w:vertAlign w:val="superscript"/>
              </w:rPr>
              <w:t>(5)</w:t>
            </w:r>
          </w:p>
        </w:tc>
        <w:tc>
          <w:tcPr>
            <w:tcW w:w="20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1"/>
        </w:trPr>
        <w:tc>
          <w:tcPr>
            <w:tcW w:w="560" w:type="dxa"/>
            <w:vAlign w:val="bottom"/>
          </w:tcPr>
          <w:p>
            <w:pPr>
              <w:spacing w:after="0"/>
              <w:rPr>
                <w:sz w:val="16"/>
                <w:szCs w:val="16"/>
                <w:color w:val="auto"/>
              </w:rPr>
            </w:pPr>
          </w:p>
        </w:tc>
        <w:tc>
          <w:tcPr>
            <w:tcW w:w="3120" w:type="dxa"/>
            <w:vAlign w:val="bottom"/>
          </w:tcPr>
          <w:p>
            <w:pPr>
              <w:ind w:left="60"/>
              <w:spacing w:after="0"/>
              <w:rPr>
                <w:sz w:val="20"/>
                <w:szCs w:val="20"/>
                <w:color w:val="auto"/>
              </w:rPr>
            </w:pPr>
            <w:r>
              <w:rPr>
                <w:rFonts w:ascii="Arial" w:cs="Arial" w:eastAsia="Arial" w:hAnsi="Arial"/>
                <w:sz w:val="16"/>
                <w:szCs w:val="16"/>
                <w:color w:val="auto"/>
              </w:rPr>
              <w:t>1585 Broadway</w:t>
            </w:r>
          </w:p>
        </w:tc>
        <w:tc>
          <w:tcPr>
            <w:tcW w:w="20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4"/>
        </w:trPr>
        <w:tc>
          <w:tcPr>
            <w:tcW w:w="560" w:type="dxa"/>
            <w:vAlign w:val="bottom"/>
          </w:tcPr>
          <w:p>
            <w:pPr>
              <w:spacing w:after="0"/>
              <w:rPr>
                <w:sz w:val="17"/>
                <w:szCs w:val="17"/>
                <w:color w:val="auto"/>
              </w:rPr>
            </w:pPr>
          </w:p>
        </w:tc>
        <w:tc>
          <w:tcPr>
            <w:tcW w:w="3120" w:type="dxa"/>
            <w:vAlign w:val="bottom"/>
          </w:tcPr>
          <w:p>
            <w:pPr>
              <w:ind w:left="60"/>
              <w:spacing w:after="0"/>
              <w:rPr>
                <w:sz w:val="20"/>
                <w:szCs w:val="20"/>
                <w:color w:val="auto"/>
              </w:rPr>
            </w:pPr>
            <w:r>
              <w:rPr>
                <w:rFonts w:ascii="Arial" w:cs="Arial" w:eastAsia="Arial" w:hAnsi="Arial"/>
                <w:sz w:val="16"/>
                <w:szCs w:val="16"/>
                <w:color w:val="auto"/>
              </w:rPr>
              <w:t>New York, N.Y. 10036</w:t>
            </w:r>
          </w:p>
        </w:tc>
        <w:tc>
          <w:tcPr>
            <w:tcW w:w="2020" w:type="dxa"/>
            <w:vAlign w:val="bottom"/>
          </w:tcPr>
          <w:p>
            <w:pPr>
              <w:jc w:val="right"/>
              <w:ind w:right="280"/>
              <w:spacing w:after="0"/>
              <w:rPr>
                <w:sz w:val="20"/>
                <w:szCs w:val="20"/>
                <w:color w:val="auto"/>
              </w:rPr>
            </w:pPr>
            <w:r>
              <w:rPr>
                <w:rFonts w:ascii="Arial" w:cs="Arial" w:eastAsia="Arial" w:hAnsi="Arial"/>
                <w:sz w:val="16"/>
                <w:szCs w:val="16"/>
                <w:color w:val="auto"/>
              </w:rPr>
              <w:t>6,323,810</w:t>
            </w:r>
          </w:p>
        </w:tc>
        <w:tc>
          <w:tcPr>
            <w:tcW w:w="1540" w:type="dxa"/>
            <w:vAlign w:val="bottom"/>
          </w:tcPr>
          <w:p>
            <w:pPr>
              <w:jc w:val="right"/>
              <w:ind w:right="100"/>
              <w:spacing w:after="0"/>
              <w:rPr>
                <w:sz w:val="20"/>
                <w:szCs w:val="20"/>
                <w:color w:val="auto"/>
              </w:rPr>
            </w:pPr>
            <w:r>
              <w:rPr>
                <w:rFonts w:ascii="Arial" w:cs="Arial" w:eastAsia="Arial" w:hAnsi="Arial"/>
                <w:sz w:val="16"/>
                <w:szCs w:val="16"/>
                <w:color w:val="auto"/>
              </w:rPr>
              <w:t>6.0%</w:t>
            </w:r>
          </w:p>
        </w:tc>
        <w:tc>
          <w:tcPr>
            <w:tcW w:w="24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3120" w:type="dxa"/>
            <w:vAlign w:val="bottom"/>
            <w:shd w:val="clear" w:color="auto" w:fill="E9E9E9"/>
          </w:tcPr>
          <w:p>
            <w:pPr>
              <w:ind w:left="60"/>
              <w:spacing w:after="0" w:line="202" w:lineRule="exact"/>
              <w:rPr>
                <w:sz w:val="20"/>
                <w:szCs w:val="20"/>
                <w:color w:val="auto"/>
              </w:rPr>
            </w:pPr>
            <w:r>
              <w:rPr>
                <w:rFonts w:ascii="Arial" w:cs="Arial" w:eastAsia="Arial" w:hAnsi="Arial"/>
                <w:sz w:val="15"/>
                <w:szCs w:val="15"/>
                <w:color w:val="auto"/>
              </w:rPr>
              <w:t>The Vanguard Group</w:t>
            </w:r>
            <w:r>
              <w:rPr>
                <w:rFonts w:ascii="Arial" w:cs="Arial" w:eastAsia="Arial" w:hAnsi="Arial"/>
                <w:sz w:val="23"/>
                <w:szCs w:val="23"/>
                <w:color w:val="auto"/>
                <w:vertAlign w:val="superscript"/>
              </w:rPr>
              <w:t>(6)</w:t>
            </w:r>
          </w:p>
        </w:tc>
        <w:tc>
          <w:tcPr>
            <w:tcW w:w="2020" w:type="dxa"/>
            <w:vAlign w:val="bottom"/>
            <w:shd w:val="clear" w:color="auto" w:fill="E9E9E9"/>
          </w:tcPr>
          <w:p>
            <w:pPr>
              <w:spacing w:after="0"/>
              <w:rPr>
                <w:sz w:val="17"/>
                <w:szCs w:val="17"/>
                <w:color w:val="auto"/>
              </w:rPr>
            </w:pPr>
          </w:p>
        </w:tc>
        <w:tc>
          <w:tcPr>
            <w:tcW w:w="1540" w:type="dxa"/>
            <w:vAlign w:val="bottom"/>
            <w:shd w:val="clear" w:color="auto" w:fill="E9E9E9"/>
          </w:tcPr>
          <w:p>
            <w:pPr>
              <w:spacing w:after="0"/>
              <w:rPr>
                <w:sz w:val="17"/>
                <w:szCs w:val="17"/>
                <w:color w:val="auto"/>
              </w:rPr>
            </w:pPr>
          </w:p>
        </w:tc>
        <w:tc>
          <w:tcPr>
            <w:tcW w:w="2400" w:type="dxa"/>
            <w:vAlign w:val="bottom"/>
            <w:shd w:val="clear" w:color="auto" w:fill="E9E9E9"/>
          </w:tcPr>
          <w:p>
            <w:pPr>
              <w:spacing w:after="0"/>
              <w:rPr>
                <w:sz w:val="17"/>
                <w:szCs w:val="17"/>
                <w:color w:val="auto"/>
              </w:rPr>
            </w:pPr>
          </w:p>
        </w:tc>
        <w:tc>
          <w:tcPr>
            <w:tcW w:w="540" w:type="dxa"/>
            <w:vAlign w:val="bottom"/>
            <w:shd w:val="clear" w:color="auto" w:fill="E9E9E9"/>
          </w:tcPr>
          <w:p>
            <w:pPr>
              <w:spacing w:after="0"/>
              <w:rPr>
                <w:sz w:val="17"/>
                <w:szCs w:val="17"/>
                <w:color w:val="auto"/>
              </w:rPr>
            </w:pPr>
          </w:p>
        </w:tc>
        <w:tc>
          <w:tcPr>
            <w:tcW w:w="620" w:type="dxa"/>
            <w:vAlign w:val="bottom"/>
          </w:tcPr>
          <w:p>
            <w:pPr>
              <w:spacing w:after="0"/>
              <w:rPr>
                <w:sz w:val="17"/>
                <w:szCs w:val="17"/>
                <w:color w:val="auto"/>
              </w:rPr>
            </w:pPr>
          </w:p>
        </w:tc>
      </w:tr>
      <w:tr>
        <w:trPr>
          <w:trHeight w:val="191"/>
        </w:trPr>
        <w:tc>
          <w:tcPr>
            <w:tcW w:w="560" w:type="dxa"/>
            <w:vAlign w:val="bottom"/>
          </w:tcPr>
          <w:p>
            <w:pPr>
              <w:spacing w:after="0"/>
              <w:rPr>
                <w:sz w:val="16"/>
                <w:szCs w:val="16"/>
                <w:color w:val="auto"/>
              </w:rPr>
            </w:pPr>
          </w:p>
        </w:tc>
        <w:tc>
          <w:tcPr>
            <w:tcW w:w="3120" w:type="dxa"/>
            <w:vAlign w:val="bottom"/>
            <w:shd w:val="clear" w:color="auto" w:fill="E9E9E9"/>
          </w:tcPr>
          <w:p>
            <w:pPr>
              <w:ind w:left="60"/>
              <w:spacing w:after="0"/>
              <w:rPr>
                <w:sz w:val="20"/>
                <w:szCs w:val="20"/>
                <w:color w:val="auto"/>
              </w:rPr>
            </w:pPr>
            <w:r>
              <w:rPr>
                <w:rFonts w:ascii="Arial" w:cs="Arial" w:eastAsia="Arial" w:hAnsi="Arial"/>
                <w:sz w:val="16"/>
                <w:szCs w:val="16"/>
                <w:color w:val="auto"/>
              </w:rPr>
              <w:t>100 Vanguard Boulevard</w:t>
            </w:r>
          </w:p>
        </w:tc>
        <w:tc>
          <w:tcPr>
            <w:tcW w:w="2020" w:type="dxa"/>
            <w:vAlign w:val="bottom"/>
            <w:shd w:val="clear" w:color="auto" w:fill="E9E9E9"/>
          </w:tcPr>
          <w:p>
            <w:pPr>
              <w:spacing w:after="0"/>
              <w:rPr>
                <w:sz w:val="16"/>
                <w:szCs w:val="16"/>
                <w:color w:val="auto"/>
              </w:rPr>
            </w:pPr>
          </w:p>
        </w:tc>
        <w:tc>
          <w:tcPr>
            <w:tcW w:w="1540" w:type="dxa"/>
            <w:vAlign w:val="bottom"/>
            <w:shd w:val="clear" w:color="auto" w:fill="E9E9E9"/>
          </w:tcPr>
          <w:p>
            <w:pPr>
              <w:spacing w:after="0"/>
              <w:rPr>
                <w:sz w:val="16"/>
                <w:szCs w:val="16"/>
                <w:color w:val="auto"/>
              </w:rPr>
            </w:pPr>
          </w:p>
        </w:tc>
        <w:tc>
          <w:tcPr>
            <w:tcW w:w="2400" w:type="dxa"/>
            <w:vAlign w:val="bottom"/>
            <w:shd w:val="clear" w:color="auto" w:fill="E9E9E9"/>
          </w:tcPr>
          <w:p>
            <w:pPr>
              <w:spacing w:after="0"/>
              <w:rPr>
                <w:sz w:val="16"/>
                <w:szCs w:val="16"/>
                <w:color w:val="auto"/>
              </w:rPr>
            </w:pPr>
          </w:p>
        </w:tc>
        <w:tc>
          <w:tcPr>
            <w:tcW w:w="540" w:type="dxa"/>
            <w:vAlign w:val="bottom"/>
            <w:shd w:val="clear" w:color="auto" w:fill="E9E9E9"/>
          </w:tcPr>
          <w:p>
            <w:pPr>
              <w:spacing w:after="0"/>
              <w:rPr>
                <w:sz w:val="16"/>
                <w:szCs w:val="16"/>
                <w:color w:val="auto"/>
              </w:rPr>
            </w:pPr>
          </w:p>
        </w:tc>
        <w:tc>
          <w:tcPr>
            <w:tcW w:w="620" w:type="dxa"/>
            <w:vAlign w:val="bottom"/>
          </w:tcPr>
          <w:p>
            <w:pPr>
              <w:spacing w:after="0"/>
              <w:rPr>
                <w:sz w:val="16"/>
                <w:szCs w:val="16"/>
                <w:color w:val="auto"/>
              </w:rPr>
            </w:pPr>
          </w:p>
        </w:tc>
      </w:tr>
      <w:tr>
        <w:trPr>
          <w:trHeight w:val="204"/>
        </w:trPr>
        <w:tc>
          <w:tcPr>
            <w:tcW w:w="560" w:type="dxa"/>
            <w:vAlign w:val="bottom"/>
          </w:tcPr>
          <w:p>
            <w:pPr>
              <w:spacing w:after="0"/>
              <w:rPr>
                <w:sz w:val="17"/>
                <w:szCs w:val="17"/>
                <w:color w:val="auto"/>
              </w:rPr>
            </w:pPr>
          </w:p>
        </w:tc>
        <w:tc>
          <w:tcPr>
            <w:tcW w:w="3120" w:type="dxa"/>
            <w:vAlign w:val="bottom"/>
            <w:shd w:val="clear" w:color="auto" w:fill="E9E9E9"/>
          </w:tcPr>
          <w:p>
            <w:pPr>
              <w:ind w:left="60"/>
              <w:spacing w:after="0"/>
              <w:rPr>
                <w:sz w:val="20"/>
                <w:szCs w:val="20"/>
                <w:color w:val="auto"/>
              </w:rPr>
            </w:pPr>
            <w:r>
              <w:rPr>
                <w:rFonts w:ascii="Arial" w:cs="Arial" w:eastAsia="Arial" w:hAnsi="Arial"/>
                <w:sz w:val="16"/>
                <w:szCs w:val="16"/>
                <w:color w:val="auto"/>
              </w:rPr>
              <w:t>Malvern, Pa. 19355</w:t>
            </w:r>
          </w:p>
        </w:tc>
        <w:tc>
          <w:tcPr>
            <w:tcW w:w="202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6,202,518</w:t>
            </w:r>
          </w:p>
        </w:tc>
        <w:tc>
          <w:tcPr>
            <w:tcW w:w="1540" w:type="dxa"/>
            <w:vAlign w:val="bottom"/>
            <w:shd w:val="clear" w:color="auto" w:fill="E9E9E9"/>
          </w:tcPr>
          <w:p>
            <w:pPr>
              <w:jc w:val="right"/>
              <w:ind w:right="100"/>
              <w:spacing w:after="0"/>
              <w:rPr>
                <w:sz w:val="20"/>
                <w:szCs w:val="20"/>
                <w:color w:val="auto"/>
              </w:rPr>
            </w:pPr>
            <w:r>
              <w:rPr>
                <w:rFonts w:ascii="Arial" w:cs="Arial" w:eastAsia="Arial" w:hAnsi="Arial"/>
                <w:sz w:val="16"/>
                <w:szCs w:val="16"/>
                <w:color w:val="auto"/>
              </w:rPr>
              <w:t>5.8%</w:t>
            </w:r>
          </w:p>
        </w:tc>
        <w:tc>
          <w:tcPr>
            <w:tcW w:w="24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E9E9E9"/>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560" w:type="dxa"/>
            <w:vAlign w:val="bottom"/>
          </w:tcPr>
          <w:p>
            <w:pPr>
              <w:spacing w:after="0"/>
              <w:rPr>
                <w:sz w:val="17"/>
                <w:szCs w:val="17"/>
                <w:color w:val="auto"/>
              </w:rPr>
            </w:pPr>
          </w:p>
        </w:tc>
        <w:tc>
          <w:tcPr>
            <w:tcW w:w="3120" w:type="dxa"/>
            <w:vAlign w:val="bottom"/>
          </w:tcPr>
          <w:p>
            <w:pPr>
              <w:ind w:left="60"/>
              <w:spacing w:after="0" w:line="199" w:lineRule="exact"/>
              <w:rPr>
                <w:sz w:val="20"/>
                <w:szCs w:val="20"/>
                <w:color w:val="auto"/>
              </w:rPr>
            </w:pPr>
            <w:r>
              <w:rPr>
                <w:rFonts w:ascii="Arial" w:cs="Arial" w:eastAsia="Arial" w:hAnsi="Arial"/>
                <w:sz w:val="15"/>
                <w:szCs w:val="15"/>
                <w:color w:val="auto"/>
              </w:rPr>
              <w:t>Glenview Capital Management, LLC</w:t>
            </w:r>
            <w:r>
              <w:rPr>
                <w:rFonts w:ascii="Arial" w:cs="Arial" w:eastAsia="Arial" w:hAnsi="Arial"/>
                <w:sz w:val="23"/>
                <w:szCs w:val="23"/>
                <w:color w:val="auto"/>
                <w:vertAlign w:val="superscript"/>
              </w:rPr>
              <w:t>(7)</w:t>
            </w:r>
          </w:p>
        </w:tc>
        <w:tc>
          <w:tcPr>
            <w:tcW w:w="20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9"/>
        </w:trPr>
        <w:tc>
          <w:tcPr>
            <w:tcW w:w="560" w:type="dxa"/>
            <w:vAlign w:val="bottom"/>
          </w:tcPr>
          <w:p>
            <w:pPr>
              <w:spacing w:after="0"/>
              <w:rPr>
                <w:sz w:val="19"/>
                <w:szCs w:val="19"/>
                <w:color w:val="auto"/>
              </w:rPr>
            </w:pPr>
          </w:p>
        </w:tc>
        <w:tc>
          <w:tcPr>
            <w:tcW w:w="3120" w:type="dxa"/>
            <w:vAlign w:val="bottom"/>
          </w:tcPr>
          <w:p>
            <w:pPr>
              <w:ind w:left="60"/>
              <w:spacing w:after="0" w:line="218" w:lineRule="exact"/>
              <w:rPr>
                <w:sz w:val="20"/>
                <w:szCs w:val="20"/>
                <w:color w:val="auto"/>
              </w:rPr>
            </w:pPr>
            <w:r>
              <w:rPr>
                <w:rFonts w:ascii="Arial" w:cs="Arial" w:eastAsia="Arial" w:hAnsi="Arial"/>
                <w:sz w:val="16"/>
                <w:szCs w:val="16"/>
                <w:color w:val="auto"/>
              </w:rPr>
              <w:t>767 Fifth Avenue, 44</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Floor</w:t>
            </w:r>
          </w:p>
        </w:tc>
        <w:tc>
          <w:tcPr>
            <w:tcW w:w="20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04"/>
        </w:trPr>
        <w:tc>
          <w:tcPr>
            <w:tcW w:w="560" w:type="dxa"/>
            <w:vAlign w:val="bottom"/>
          </w:tcPr>
          <w:p>
            <w:pPr>
              <w:spacing w:after="0"/>
              <w:rPr>
                <w:sz w:val="17"/>
                <w:szCs w:val="17"/>
                <w:color w:val="auto"/>
              </w:rPr>
            </w:pPr>
          </w:p>
        </w:tc>
        <w:tc>
          <w:tcPr>
            <w:tcW w:w="3120" w:type="dxa"/>
            <w:vAlign w:val="bottom"/>
          </w:tcPr>
          <w:p>
            <w:pPr>
              <w:ind w:left="60"/>
              <w:spacing w:after="0"/>
              <w:rPr>
                <w:sz w:val="20"/>
                <w:szCs w:val="20"/>
                <w:color w:val="auto"/>
              </w:rPr>
            </w:pPr>
            <w:r>
              <w:rPr>
                <w:rFonts w:ascii="Arial" w:cs="Arial" w:eastAsia="Arial" w:hAnsi="Arial"/>
                <w:sz w:val="16"/>
                <w:szCs w:val="16"/>
                <w:color w:val="auto"/>
              </w:rPr>
              <w:t>New York, N.Y. 10153</w:t>
            </w:r>
          </w:p>
        </w:tc>
        <w:tc>
          <w:tcPr>
            <w:tcW w:w="2020" w:type="dxa"/>
            <w:vAlign w:val="bottom"/>
          </w:tcPr>
          <w:p>
            <w:pPr>
              <w:jc w:val="right"/>
              <w:ind w:right="280"/>
              <w:spacing w:after="0"/>
              <w:rPr>
                <w:sz w:val="20"/>
                <w:szCs w:val="20"/>
                <w:color w:val="auto"/>
              </w:rPr>
            </w:pPr>
            <w:r>
              <w:rPr>
                <w:rFonts w:ascii="Arial" w:cs="Arial" w:eastAsia="Arial" w:hAnsi="Arial"/>
                <w:sz w:val="16"/>
                <w:szCs w:val="16"/>
                <w:color w:val="auto"/>
              </w:rPr>
              <w:t>5,441,647</w:t>
            </w:r>
          </w:p>
        </w:tc>
        <w:tc>
          <w:tcPr>
            <w:tcW w:w="1540" w:type="dxa"/>
            <w:vAlign w:val="bottom"/>
          </w:tcPr>
          <w:p>
            <w:pPr>
              <w:jc w:val="right"/>
              <w:ind w:right="100"/>
              <w:spacing w:after="0"/>
              <w:rPr>
                <w:sz w:val="20"/>
                <w:szCs w:val="20"/>
                <w:color w:val="auto"/>
              </w:rPr>
            </w:pPr>
            <w:r>
              <w:rPr>
                <w:rFonts w:ascii="Arial" w:cs="Arial" w:eastAsia="Arial" w:hAnsi="Arial"/>
                <w:sz w:val="16"/>
                <w:szCs w:val="16"/>
                <w:color w:val="auto"/>
              </w:rPr>
              <w:t>5.1%</w:t>
            </w:r>
          </w:p>
        </w:tc>
        <w:tc>
          <w:tcPr>
            <w:tcW w:w="24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3120" w:type="dxa"/>
            <w:vAlign w:val="bottom"/>
            <w:shd w:val="clear" w:color="auto" w:fill="E9E9E9"/>
          </w:tcPr>
          <w:p>
            <w:pPr>
              <w:ind w:left="60"/>
              <w:spacing w:after="0" w:line="202" w:lineRule="exact"/>
              <w:rPr>
                <w:sz w:val="20"/>
                <w:szCs w:val="20"/>
                <w:color w:val="auto"/>
              </w:rPr>
            </w:pPr>
            <w:r>
              <w:rPr>
                <w:rFonts w:ascii="Arial" w:cs="Arial" w:eastAsia="Arial" w:hAnsi="Arial"/>
                <w:sz w:val="15"/>
                <w:szCs w:val="15"/>
                <w:color w:val="auto"/>
              </w:rPr>
              <w:t>Iridian Asset Management LLC</w:t>
            </w:r>
            <w:r>
              <w:rPr>
                <w:rFonts w:ascii="Arial" w:cs="Arial" w:eastAsia="Arial" w:hAnsi="Arial"/>
                <w:sz w:val="23"/>
                <w:szCs w:val="23"/>
                <w:color w:val="auto"/>
                <w:vertAlign w:val="superscript"/>
              </w:rPr>
              <w:t>(8)</w:t>
            </w:r>
          </w:p>
        </w:tc>
        <w:tc>
          <w:tcPr>
            <w:tcW w:w="2020" w:type="dxa"/>
            <w:vAlign w:val="bottom"/>
            <w:shd w:val="clear" w:color="auto" w:fill="E9E9E9"/>
          </w:tcPr>
          <w:p>
            <w:pPr>
              <w:spacing w:after="0"/>
              <w:rPr>
                <w:sz w:val="17"/>
                <w:szCs w:val="17"/>
                <w:color w:val="auto"/>
              </w:rPr>
            </w:pPr>
          </w:p>
        </w:tc>
        <w:tc>
          <w:tcPr>
            <w:tcW w:w="1540" w:type="dxa"/>
            <w:vAlign w:val="bottom"/>
            <w:shd w:val="clear" w:color="auto" w:fill="E9E9E9"/>
          </w:tcPr>
          <w:p>
            <w:pPr>
              <w:spacing w:after="0"/>
              <w:rPr>
                <w:sz w:val="17"/>
                <w:szCs w:val="17"/>
                <w:color w:val="auto"/>
              </w:rPr>
            </w:pPr>
          </w:p>
        </w:tc>
        <w:tc>
          <w:tcPr>
            <w:tcW w:w="2400" w:type="dxa"/>
            <w:vAlign w:val="bottom"/>
            <w:shd w:val="clear" w:color="auto" w:fill="E9E9E9"/>
          </w:tcPr>
          <w:p>
            <w:pPr>
              <w:spacing w:after="0"/>
              <w:rPr>
                <w:sz w:val="17"/>
                <w:szCs w:val="17"/>
                <w:color w:val="auto"/>
              </w:rPr>
            </w:pPr>
          </w:p>
        </w:tc>
        <w:tc>
          <w:tcPr>
            <w:tcW w:w="540" w:type="dxa"/>
            <w:vAlign w:val="bottom"/>
            <w:shd w:val="clear" w:color="auto" w:fill="E9E9E9"/>
          </w:tcPr>
          <w:p>
            <w:pPr>
              <w:spacing w:after="0"/>
              <w:rPr>
                <w:sz w:val="17"/>
                <w:szCs w:val="17"/>
                <w:color w:val="auto"/>
              </w:rPr>
            </w:pPr>
          </w:p>
        </w:tc>
        <w:tc>
          <w:tcPr>
            <w:tcW w:w="620" w:type="dxa"/>
            <w:vAlign w:val="bottom"/>
          </w:tcPr>
          <w:p>
            <w:pPr>
              <w:spacing w:after="0"/>
              <w:rPr>
                <w:sz w:val="17"/>
                <w:szCs w:val="17"/>
                <w:color w:val="auto"/>
              </w:rPr>
            </w:pPr>
          </w:p>
        </w:tc>
      </w:tr>
      <w:tr>
        <w:trPr>
          <w:trHeight w:val="191"/>
        </w:trPr>
        <w:tc>
          <w:tcPr>
            <w:tcW w:w="560" w:type="dxa"/>
            <w:vAlign w:val="bottom"/>
          </w:tcPr>
          <w:p>
            <w:pPr>
              <w:spacing w:after="0"/>
              <w:rPr>
                <w:sz w:val="16"/>
                <w:szCs w:val="16"/>
                <w:color w:val="auto"/>
              </w:rPr>
            </w:pPr>
          </w:p>
        </w:tc>
        <w:tc>
          <w:tcPr>
            <w:tcW w:w="3120" w:type="dxa"/>
            <w:vAlign w:val="bottom"/>
            <w:shd w:val="clear" w:color="auto" w:fill="E9E9E9"/>
          </w:tcPr>
          <w:p>
            <w:pPr>
              <w:ind w:left="60"/>
              <w:spacing w:after="0"/>
              <w:rPr>
                <w:sz w:val="20"/>
                <w:szCs w:val="20"/>
                <w:color w:val="auto"/>
              </w:rPr>
            </w:pPr>
            <w:r>
              <w:rPr>
                <w:rFonts w:ascii="Arial" w:cs="Arial" w:eastAsia="Arial" w:hAnsi="Arial"/>
                <w:sz w:val="16"/>
                <w:szCs w:val="16"/>
                <w:color w:val="auto"/>
              </w:rPr>
              <w:t>276 Post Road West</w:t>
            </w:r>
          </w:p>
        </w:tc>
        <w:tc>
          <w:tcPr>
            <w:tcW w:w="2020" w:type="dxa"/>
            <w:vAlign w:val="bottom"/>
            <w:shd w:val="clear" w:color="auto" w:fill="E9E9E9"/>
          </w:tcPr>
          <w:p>
            <w:pPr>
              <w:spacing w:after="0"/>
              <w:rPr>
                <w:sz w:val="16"/>
                <w:szCs w:val="16"/>
                <w:color w:val="auto"/>
              </w:rPr>
            </w:pPr>
          </w:p>
        </w:tc>
        <w:tc>
          <w:tcPr>
            <w:tcW w:w="1540" w:type="dxa"/>
            <w:vAlign w:val="bottom"/>
            <w:shd w:val="clear" w:color="auto" w:fill="E9E9E9"/>
          </w:tcPr>
          <w:p>
            <w:pPr>
              <w:spacing w:after="0"/>
              <w:rPr>
                <w:sz w:val="16"/>
                <w:szCs w:val="16"/>
                <w:color w:val="auto"/>
              </w:rPr>
            </w:pPr>
          </w:p>
        </w:tc>
        <w:tc>
          <w:tcPr>
            <w:tcW w:w="2400" w:type="dxa"/>
            <w:vAlign w:val="bottom"/>
            <w:shd w:val="clear" w:color="auto" w:fill="E9E9E9"/>
          </w:tcPr>
          <w:p>
            <w:pPr>
              <w:spacing w:after="0"/>
              <w:rPr>
                <w:sz w:val="16"/>
                <w:szCs w:val="16"/>
                <w:color w:val="auto"/>
              </w:rPr>
            </w:pPr>
          </w:p>
        </w:tc>
        <w:tc>
          <w:tcPr>
            <w:tcW w:w="540" w:type="dxa"/>
            <w:vAlign w:val="bottom"/>
            <w:shd w:val="clear" w:color="auto" w:fill="E9E9E9"/>
          </w:tcPr>
          <w:p>
            <w:pPr>
              <w:spacing w:after="0"/>
              <w:rPr>
                <w:sz w:val="16"/>
                <w:szCs w:val="16"/>
                <w:color w:val="auto"/>
              </w:rPr>
            </w:pPr>
          </w:p>
        </w:tc>
        <w:tc>
          <w:tcPr>
            <w:tcW w:w="620" w:type="dxa"/>
            <w:vAlign w:val="bottom"/>
          </w:tcPr>
          <w:p>
            <w:pPr>
              <w:spacing w:after="0"/>
              <w:rPr>
                <w:sz w:val="16"/>
                <w:szCs w:val="16"/>
                <w:color w:val="auto"/>
              </w:rPr>
            </w:pPr>
          </w:p>
        </w:tc>
      </w:tr>
      <w:tr>
        <w:trPr>
          <w:trHeight w:val="204"/>
        </w:trPr>
        <w:tc>
          <w:tcPr>
            <w:tcW w:w="560" w:type="dxa"/>
            <w:vAlign w:val="bottom"/>
          </w:tcPr>
          <w:p>
            <w:pPr>
              <w:spacing w:after="0"/>
              <w:rPr>
                <w:sz w:val="17"/>
                <w:szCs w:val="17"/>
                <w:color w:val="auto"/>
              </w:rPr>
            </w:pPr>
          </w:p>
        </w:tc>
        <w:tc>
          <w:tcPr>
            <w:tcW w:w="3120" w:type="dxa"/>
            <w:vAlign w:val="bottom"/>
            <w:shd w:val="clear" w:color="auto" w:fill="E9E9E9"/>
          </w:tcPr>
          <w:p>
            <w:pPr>
              <w:ind w:left="60"/>
              <w:spacing w:after="0"/>
              <w:rPr>
                <w:sz w:val="20"/>
                <w:szCs w:val="20"/>
                <w:color w:val="auto"/>
              </w:rPr>
            </w:pPr>
            <w:r>
              <w:rPr>
                <w:rFonts w:ascii="Arial" w:cs="Arial" w:eastAsia="Arial" w:hAnsi="Arial"/>
                <w:sz w:val="16"/>
                <w:szCs w:val="16"/>
                <w:color w:val="auto"/>
              </w:rPr>
              <w:t>Westport, Conn. 06880</w:t>
            </w:r>
          </w:p>
        </w:tc>
        <w:tc>
          <w:tcPr>
            <w:tcW w:w="202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5,395,808</w:t>
            </w:r>
          </w:p>
        </w:tc>
        <w:tc>
          <w:tcPr>
            <w:tcW w:w="1540" w:type="dxa"/>
            <w:vAlign w:val="bottom"/>
            <w:shd w:val="clear" w:color="auto" w:fill="E9E9E9"/>
          </w:tcPr>
          <w:p>
            <w:pPr>
              <w:jc w:val="right"/>
              <w:ind w:right="100"/>
              <w:spacing w:after="0"/>
              <w:rPr>
                <w:sz w:val="20"/>
                <w:szCs w:val="20"/>
                <w:color w:val="auto"/>
              </w:rPr>
            </w:pPr>
            <w:r>
              <w:rPr>
                <w:rFonts w:ascii="Arial" w:cs="Arial" w:eastAsia="Arial" w:hAnsi="Arial"/>
                <w:sz w:val="16"/>
                <w:szCs w:val="16"/>
                <w:color w:val="auto"/>
              </w:rPr>
              <w:t>5.1%</w:t>
            </w:r>
          </w:p>
        </w:tc>
        <w:tc>
          <w:tcPr>
            <w:tcW w:w="24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E9E9E9"/>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5"/>
        </w:trPr>
        <w:tc>
          <w:tcPr>
            <w:tcW w:w="560" w:type="dxa"/>
            <w:vAlign w:val="bottom"/>
          </w:tcPr>
          <w:p>
            <w:pPr>
              <w:spacing w:after="0"/>
              <w:rPr>
                <w:sz w:val="16"/>
                <w:szCs w:val="16"/>
                <w:color w:val="auto"/>
              </w:rPr>
            </w:pPr>
          </w:p>
        </w:tc>
        <w:tc>
          <w:tcPr>
            <w:tcW w:w="3120" w:type="dxa"/>
            <w:vAlign w:val="bottom"/>
            <w:shd w:val="clear" w:color="auto" w:fill="E9E9E9"/>
          </w:tcPr>
          <w:p>
            <w:pPr>
              <w:ind w:left="60"/>
              <w:spacing w:after="0" w:line="195" w:lineRule="exact"/>
              <w:rPr>
                <w:sz w:val="20"/>
                <w:szCs w:val="20"/>
                <w:color w:val="auto"/>
              </w:rPr>
            </w:pPr>
            <w:r>
              <w:rPr>
                <w:rFonts w:ascii="Arial" w:cs="Arial" w:eastAsia="Arial" w:hAnsi="Arial"/>
                <w:sz w:val="14"/>
                <w:szCs w:val="14"/>
                <w:b w:val="1"/>
                <w:bCs w:val="1"/>
                <w:color w:val="auto"/>
              </w:rPr>
              <w:t>Directors and Named Executive Officers</w:t>
            </w:r>
            <w:r>
              <w:rPr>
                <w:rFonts w:ascii="Arial" w:cs="Arial" w:eastAsia="Arial" w:hAnsi="Arial"/>
                <w:sz w:val="22"/>
                <w:szCs w:val="22"/>
                <w:b w:val="1"/>
                <w:bCs w:val="1"/>
                <w:color w:val="auto"/>
                <w:vertAlign w:val="superscript"/>
              </w:rPr>
              <w:t>(9)</w:t>
            </w:r>
          </w:p>
        </w:tc>
        <w:tc>
          <w:tcPr>
            <w:tcW w:w="2020" w:type="dxa"/>
            <w:vAlign w:val="bottom"/>
            <w:shd w:val="clear" w:color="auto" w:fill="E9E9E9"/>
          </w:tcPr>
          <w:p>
            <w:pPr>
              <w:spacing w:after="0"/>
              <w:rPr>
                <w:sz w:val="16"/>
                <w:szCs w:val="16"/>
                <w:color w:val="auto"/>
              </w:rPr>
            </w:pPr>
          </w:p>
        </w:tc>
        <w:tc>
          <w:tcPr>
            <w:tcW w:w="1540" w:type="dxa"/>
            <w:vAlign w:val="bottom"/>
            <w:shd w:val="clear" w:color="auto" w:fill="E9E9E9"/>
          </w:tcPr>
          <w:p>
            <w:pPr>
              <w:spacing w:after="0"/>
              <w:rPr>
                <w:sz w:val="16"/>
                <w:szCs w:val="16"/>
                <w:color w:val="auto"/>
              </w:rPr>
            </w:pPr>
          </w:p>
        </w:tc>
        <w:tc>
          <w:tcPr>
            <w:tcW w:w="2400" w:type="dxa"/>
            <w:vAlign w:val="bottom"/>
            <w:shd w:val="clear" w:color="auto" w:fill="E9E9E9"/>
          </w:tcPr>
          <w:p>
            <w:pPr>
              <w:spacing w:after="0"/>
              <w:rPr>
                <w:sz w:val="16"/>
                <w:szCs w:val="16"/>
                <w:color w:val="auto"/>
              </w:rPr>
            </w:pPr>
          </w:p>
        </w:tc>
        <w:tc>
          <w:tcPr>
            <w:tcW w:w="540" w:type="dxa"/>
            <w:vAlign w:val="bottom"/>
            <w:shd w:val="clear" w:color="auto" w:fill="E9E9E9"/>
          </w:tcPr>
          <w:p>
            <w:pPr>
              <w:spacing w:after="0"/>
              <w:rPr>
                <w:sz w:val="16"/>
                <w:szCs w:val="16"/>
                <w:color w:val="auto"/>
              </w:rPr>
            </w:pPr>
          </w:p>
        </w:tc>
        <w:tc>
          <w:tcPr>
            <w:tcW w:w="620" w:type="dxa"/>
            <w:vAlign w:val="bottom"/>
          </w:tcPr>
          <w:p>
            <w:pPr>
              <w:spacing w:after="0"/>
              <w:rPr>
                <w:sz w:val="16"/>
                <w:szCs w:val="16"/>
                <w:color w:val="auto"/>
              </w:rPr>
            </w:pPr>
          </w:p>
        </w:tc>
      </w:tr>
      <w:tr>
        <w:trPr>
          <w:trHeight w:val="235"/>
        </w:trPr>
        <w:tc>
          <w:tcPr>
            <w:tcW w:w="560" w:type="dxa"/>
            <w:vAlign w:val="bottom"/>
          </w:tcPr>
          <w:p>
            <w:pPr>
              <w:spacing w:after="0"/>
              <w:rPr>
                <w:sz w:val="20"/>
                <w:szCs w:val="20"/>
                <w:color w:val="auto"/>
              </w:rPr>
            </w:pPr>
          </w:p>
        </w:tc>
        <w:tc>
          <w:tcPr>
            <w:tcW w:w="3120" w:type="dxa"/>
            <w:vAlign w:val="bottom"/>
            <w:shd w:val="clear" w:color="auto" w:fill="E9E9E9"/>
          </w:tcPr>
          <w:p>
            <w:pPr>
              <w:ind w:left="60"/>
              <w:spacing w:after="0" w:line="235" w:lineRule="exact"/>
              <w:rPr>
                <w:sz w:val="20"/>
                <w:szCs w:val="20"/>
                <w:color w:val="auto"/>
              </w:rPr>
            </w:pPr>
            <w:r>
              <w:rPr>
                <w:rFonts w:ascii="Arial" w:cs="Arial" w:eastAsia="Arial" w:hAnsi="Arial"/>
                <w:sz w:val="12"/>
                <w:szCs w:val="12"/>
                <w:b w:val="1"/>
                <w:bCs w:val="1"/>
                <w:color w:val="auto"/>
              </w:rPr>
              <w:t>(10)</w:t>
            </w:r>
            <w:r>
              <w:rPr>
                <w:rFonts w:ascii="Arial" w:cs="Arial" w:eastAsia="Arial" w:hAnsi="Arial"/>
                <w:sz w:val="27"/>
                <w:szCs w:val="27"/>
                <w:b w:val="1"/>
                <w:bCs w:val="1"/>
                <w:color w:val="auto"/>
                <w:vertAlign w:val="subscript"/>
              </w:rPr>
              <w:t>:</w:t>
            </w:r>
          </w:p>
        </w:tc>
        <w:tc>
          <w:tcPr>
            <w:tcW w:w="2020" w:type="dxa"/>
            <w:vAlign w:val="bottom"/>
            <w:shd w:val="clear" w:color="auto" w:fill="E9E9E9"/>
          </w:tcPr>
          <w:p>
            <w:pPr>
              <w:spacing w:after="0"/>
              <w:rPr>
                <w:sz w:val="20"/>
                <w:szCs w:val="20"/>
                <w:color w:val="auto"/>
              </w:rPr>
            </w:pPr>
          </w:p>
        </w:tc>
        <w:tc>
          <w:tcPr>
            <w:tcW w:w="1540" w:type="dxa"/>
            <w:vAlign w:val="bottom"/>
            <w:shd w:val="clear" w:color="auto" w:fill="E9E9E9"/>
          </w:tcPr>
          <w:p>
            <w:pPr>
              <w:spacing w:after="0"/>
              <w:rPr>
                <w:sz w:val="20"/>
                <w:szCs w:val="20"/>
                <w:color w:val="auto"/>
              </w:rPr>
            </w:pPr>
          </w:p>
        </w:tc>
        <w:tc>
          <w:tcPr>
            <w:tcW w:w="2400" w:type="dxa"/>
            <w:vAlign w:val="bottom"/>
            <w:shd w:val="clear" w:color="auto" w:fill="E9E9E9"/>
          </w:tcPr>
          <w:p>
            <w:pPr>
              <w:spacing w:after="0"/>
              <w:rPr>
                <w:sz w:val="20"/>
                <w:szCs w:val="20"/>
                <w:color w:val="auto"/>
              </w:rPr>
            </w:pPr>
          </w:p>
        </w:tc>
        <w:tc>
          <w:tcPr>
            <w:tcW w:w="540" w:type="dxa"/>
            <w:vAlign w:val="bottom"/>
            <w:shd w:val="clear" w:color="auto" w:fill="E9E9E9"/>
          </w:tcPr>
          <w:p>
            <w:pPr>
              <w:spacing w:after="0"/>
              <w:rPr>
                <w:sz w:val="20"/>
                <w:szCs w:val="20"/>
                <w:color w:val="auto"/>
              </w:rPr>
            </w:pPr>
          </w:p>
        </w:tc>
        <w:tc>
          <w:tcPr>
            <w:tcW w:w="620" w:type="dxa"/>
            <w:vAlign w:val="bottom"/>
          </w:tcPr>
          <w:p>
            <w:pPr>
              <w:spacing w:after="0"/>
              <w:rPr>
                <w:sz w:val="20"/>
                <w:szCs w:val="20"/>
                <w:color w:val="auto"/>
              </w:rPr>
            </w:pPr>
          </w:p>
        </w:tc>
      </w:tr>
      <w:tr>
        <w:trPr>
          <w:trHeight w:val="215"/>
        </w:trPr>
        <w:tc>
          <w:tcPr>
            <w:tcW w:w="560" w:type="dxa"/>
            <w:vAlign w:val="bottom"/>
          </w:tcPr>
          <w:p>
            <w:pPr>
              <w:spacing w:after="0"/>
              <w:rPr>
                <w:sz w:val="18"/>
                <w:szCs w:val="18"/>
                <w:color w:val="auto"/>
              </w:rPr>
            </w:pPr>
          </w:p>
        </w:tc>
        <w:tc>
          <w:tcPr>
            <w:tcW w:w="3120" w:type="dxa"/>
            <w:vAlign w:val="bottom"/>
          </w:tcPr>
          <w:p>
            <w:pPr>
              <w:ind w:left="60"/>
              <w:spacing w:after="0" w:line="216" w:lineRule="exact"/>
              <w:rPr>
                <w:sz w:val="20"/>
                <w:szCs w:val="20"/>
                <w:color w:val="auto"/>
              </w:rPr>
            </w:pPr>
            <w:r>
              <w:rPr>
                <w:rFonts w:ascii="Arial" w:cs="Arial" w:eastAsia="Arial" w:hAnsi="Arial"/>
                <w:sz w:val="15"/>
                <w:szCs w:val="15"/>
                <w:color w:val="auto"/>
              </w:rPr>
              <w:t>Ronald L. Nelson</w:t>
            </w:r>
            <w:r>
              <w:rPr>
                <w:rFonts w:ascii="Arial" w:cs="Arial" w:eastAsia="Arial" w:hAnsi="Arial"/>
                <w:sz w:val="24"/>
                <w:szCs w:val="24"/>
                <w:color w:val="auto"/>
                <w:vertAlign w:val="superscript"/>
              </w:rPr>
              <w:t>(11)</w:t>
            </w:r>
          </w:p>
        </w:tc>
        <w:tc>
          <w:tcPr>
            <w:tcW w:w="2020" w:type="dxa"/>
            <w:vAlign w:val="bottom"/>
          </w:tcPr>
          <w:p>
            <w:pPr>
              <w:jc w:val="right"/>
              <w:ind w:right="280"/>
              <w:spacing w:after="0"/>
              <w:rPr>
                <w:sz w:val="20"/>
                <w:szCs w:val="20"/>
                <w:color w:val="auto"/>
              </w:rPr>
            </w:pPr>
            <w:r>
              <w:rPr>
                <w:rFonts w:ascii="Arial" w:cs="Arial" w:eastAsia="Arial" w:hAnsi="Arial"/>
                <w:sz w:val="16"/>
                <w:szCs w:val="16"/>
                <w:color w:val="auto"/>
              </w:rPr>
              <w:t>1,428,093</w:t>
            </w:r>
          </w:p>
        </w:tc>
        <w:tc>
          <w:tcPr>
            <w:tcW w:w="1540" w:type="dxa"/>
            <w:vAlign w:val="bottom"/>
          </w:tcPr>
          <w:p>
            <w:pPr>
              <w:jc w:val="right"/>
              <w:ind w:right="100"/>
              <w:spacing w:after="0"/>
              <w:rPr>
                <w:sz w:val="20"/>
                <w:szCs w:val="20"/>
                <w:color w:val="auto"/>
              </w:rPr>
            </w:pPr>
            <w:r>
              <w:rPr>
                <w:rFonts w:ascii="Arial" w:cs="Arial" w:eastAsia="Arial" w:hAnsi="Arial"/>
                <w:sz w:val="16"/>
                <w:szCs w:val="16"/>
                <w:color w:val="auto"/>
              </w:rPr>
              <w:t>1.3%</w:t>
            </w:r>
          </w:p>
        </w:tc>
        <w:tc>
          <w:tcPr>
            <w:tcW w:w="2400" w:type="dxa"/>
            <w:vAlign w:val="bottom"/>
          </w:tcPr>
          <w:p>
            <w:pPr>
              <w:jc w:val="right"/>
              <w:spacing w:after="0"/>
              <w:rPr>
                <w:sz w:val="20"/>
                <w:szCs w:val="20"/>
                <w:color w:val="auto"/>
              </w:rPr>
            </w:pPr>
            <w:r>
              <w:rPr>
                <w:rFonts w:ascii="Arial" w:cs="Arial" w:eastAsia="Arial" w:hAnsi="Arial"/>
                <w:sz w:val="16"/>
                <w:szCs w:val="16"/>
                <w:color w:val="auto"/>
              </w:rPr>
              <w:t>585,000</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3"/>
        </w:trPr>
        <w:tc>
          <w:tcPr>
            <w:tcW w:w="560" w:type="dxa"/>
            <w:vAlign w:val="bottom"/>
          </w:tcPr>
          <w:p>
            <w:pPr>
              <w:spacing w:after="0"/>
              <w:rPr>
                <w:sz w:val="17"/>
                <w:szCs w:val="17"/>
                <w:color w:val="auto"/>
              </w:rPr>
            </w:pPr>
          </w:p>
        </w:tc>
        <w:tc>
          <w:tcPr>
            <w:tcW w:w="3120" w:type="dxa"/>
            <w:vAlign w:val="bottom"/>
            <w:shd w:val="clear" w:color="auto" w:fill="E9E9E9"/>
          </w:tcPr>
          <w:p>
            <w:pPr>
              <w:ind w:left="60"/>
              <w:spacing w:after="0"/>
              <w:rPr>
                <w:sz w:val="20"/>
                <w:szCs w:val="20"/>
                <w:color w:val="auto"/>
              </w:rPr>
            </w:pPr>
            <w:r>
              <w:rPr>
                <w:rFonts w:ascii="Arial" w:cs="Arial" w:eastAsia="Arial" w:hAnsi="Arial"/>
                <w:sz w:val="16"/>
                <w:szCs w:val="16"/>
                <w:color w:val="auto"/>
              </w:rPr>
              <w:t>Alun Cathcart</w:t>
            </w:r>
          </w:p>
        </w:tc>
        <w:tc>
          <w:tcPr>
            <w:tcW w:w="202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19,334</w:t>
            </w:r>
          </w:p>
        </w:tc>
        <w:tc>
          <w:tcPr>
            <w:tcW w:w="1540" w:type="dxa"/>
            <w:vAlign w:val="bottom"/>
            <w:shd w:val="clear" w:color="auto" w:fill="E9E9E9"/>
          </w:tcPr>
          <w:p>
            <w:pPr>
              <w:jc w:val="right"/>
              <w:ind w:right="220"/>
              <w:spacing w:after="0"/>
              <w:rPr>
                <w:sz w:val="20"/>
                <w:szCs w:val="20"/>
                <w:color w:val="auto"/>
              </w:rPr>
            </w:pPr>
            <w:r>
              <w:rPr>
                <w:rFonts w:ascii="Arial" w:cs="Arial" w:eastAsia="Arial" w:hAnsi="Arial"/>
                <w:sz w:val="16"/>
                <w:szCs w:val="16"/>
                <w:color w:val="auto"/>
              </w:rPr>
              <w:t>*</w:t>
            </w:r>
          </w:p>
        </w:tc>
        <w:tc>
          <w:tcPr>
            <w:tcW w:w="24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19,334</w:t>
            </w:r>
          </w:p>
        </w:tc>
        <w:tc>
          <w:tcPr>
            <w:tcW w:w="540" w:type="dxa"/>
            <w:vAlign w:val="bottom"/>
            <w:shd w:val="clear" w:color="auto" w:fill="E9E9E9"/>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3120" w:type="dxa"/>
            <w:vAlign w:val="bottom"/>
          </w:tcPr>
          <w:p>
            <w:pPr>
              <w:ind w:left="60"/>
              <w:spacing w:after="0"/>
              <w:rPr>
                <w:sz w:val="20"/>
                <w:szCs w:val="20"/>
                <w:color w:val="auto"/>
              </w:rPr>
            </w:pPr>
            <w:r>
              <w:rPr>
                <w:rFonts w:ascii="Arial" w:cs="Arial" w:eastAsia="Arial" w:hAnsi="Arial"/>
                <w:sz w:val="16"/>
                <w:szCs w:val="16"/>
                <w:color w:val="auto"/>
              </w:rPr>
              <w:t>Mary C. Choksi</w:t>
            </w:r>
          </w:p>
        </w:tc>
        <w:tc>
          <w:tcPr>
            <w:tcW w:w="2020" w:type="dxa"/>
            <w:vAlign w:val="bottom"/>
          </w:tcPr>
          <w:p>
            <w:pPr>
              <w:jc w:val="right"/>
              <w:ind w:right="280"/>
              <w:spacing w:after="0"/>
              <w:rPr>
                <w:sz w:val="20"/>
                <w:szCs w:val="20"/>
                <w:color w:val="auto"/>
              </w:rPr>
            </w:pPr>
            <w:r>
              <w:rPr>
                <w:rFonts w:ascii="Arial" w:cs="Arial" w:eastAsia="Arial" w:hAnsi="Arial"/>
                <w:sz w:val="16"/>
                <w:szCs w:val="16"/>
                <w:color w:val="auto"/>
              </w:rPr>
              <w:t>55,680</w:t>
            </w:r>
          </w:p>
        </w:tc>
        <w:tc>
          <w:tcPr>
            <w:tcW w:w="15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2400" w:type="dxa"/>
            <w:vAlign w:val="bottom"/>
          </w:tcPr>
          <w:p>
            <w:pPr>
              <w:jc w:val="right"/>
              <w:spacing w:after="0"/>
              <w:rPr>
                <w:sz w:val="20"/>
                <w:szCs w:val="20"/>
                <w:color w:val="auto"/>
              </w:rPr>
            </w:pPr>
            <w:r>
              <w:rPr>
                <w:rFonts w:ascii="Arial" w:cs="Arial" w:eastAsia="Arial" w:hAnsi="Arial"/>
                <w:sz w:val="16"/>
                <w:szCs w:val="16"/>
                <w:color w:val="auto"/>
              </w:rPr>
              <w:t>21,580</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3120" w:type="dxa"/>
            <w:vAlign w:val="bottom"/>
            <w:shd w:val="clear" w:color="auto" w:fill="E9E9E9"/>
          </w:tcPr>
          <w:p>
            <w:pPr>
              <w:ind w:left="60"/>
              <w:spacing w:after="0"/>
              <w:rPr>
                <w:sz w:val="20"/>
                <w:szCs w:val="20"/>
                <w:color w:val="auto"/>
              </w:rPr>
            </w:pPr>
            <w:r>
              <w:rPr>
                <w:rFonts w:ascii="Arial" w:cs="Arial" w:eastAsia="Arial" w:hAnsi="Arial"/>
                <w:sz w:val="16"/>
                <w:szCs w:val="16"/>
                <w:color w:val="auto"/>
              </w:rPr>
              <w:t>Leonard S. Coleman</w:t>
            </w:r>
          </w:p>
        </w:tc>
        <w:tc>
          <w:tcPr>
            <w:tcW w:w="202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50,996</w:t>
            </w:r>
          </w:p>
        </w:tc>
        <w:tc>
          <w:tcPr>
            <w:tcW w:w="1540" w:type="dxa"/>
            <w:vAlign w:val="bottom"/>
            <w:shd w:val="clear" w:color="auto" w:fill="E9E9E9"/>
          </w:tcPr>
          <w:p>
            <w:pPr>
              <w:jc w:val="right"/>
              <w:ind w:right="220"/>
              <w:spacing w:after="0"/>
              <w:rPr>
                <w:sz w:val="20"/>
                <w:szCs w:val="20"/>
                <w:color w:val="auto"/>
              </w:rPr>
            </w:pPr>
            <w:r>
              <w:rPr>
                <w:rFonts w:ascii="Arial" w:cs="Arial" w:eastAsia="Arial" w:hAnsi="Arial"/>
                <w:sz w:val="16"/>
                <w:szCs w:val="16"/>
                <w:color w:val="auto"/>
              </w:rPr>
              <w:t>*</w:t>
            </w:r>
          </w:p>
        </w:tc>
        <w:tc>
          <w:tcPr>
            <w:tcW w:w="24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23,986</w:t>
            </w:r>
          </w:p>
        </w:tc>
        <w:tc>
          <w:tcPr>
            <w:tcW w:w="540" w:type="dxa"/>
            <w:vAlign w:val="bottom"/>
            <w:shd w:val="clear" w:color="auto" w:fill="E9E9E9"/>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3120" w:type="dxa"/>
            <w:vAlign w:val="bottom"/>
          </w:tcPr>
          <w:p>
            <w:pPr>
              <w:ind w:left="60"/>
              <w:spacing w:after="0"/>
              <w:rPr>
                <w:sz w:val="20"/>
                <w:szCs w:val="20"/>
                <w:color w:val="auto"/>
              </w:rPr>
            </w:pPr>
            <w:r>
              <w:rPr>
                <w:rFonts w:ascii="Arial" w:cs="Arial" w:eastAsia="Arial" w:hAnsi="Arial"/>
                <w:sz w:val="16"/>
                <w:szCs w:val="16"/>
                <w:color w:val="auto"/>
              </w:rPr>
              <w:t>Jeffrey H. Fox</w:t>
            </w:r>
          </w:p>
        </w:tc>
        <w:tc>
          <w:tcPr>
            <w:tcW w:w="2020" w:type="dxa"/>
            <w:vAlign w:val="bottom"/>
          </w:tcPr>
          <w:p>
            <w:pPr>
              <w:jc w:val="right"/>
              <w:ind w:right="280"/>
              <w:spacing w:after="0"/>
              <w:rPr>
                <w:sz w:val="20"/>
                <w:szCs w:val="20"/>
                <w:color w:val="auto"/>
              </w:rPr>
            </w:pPr>
            <w:r>
              <w:rPr>
                <w:rFonts w:ascii="Arial" w:cs="Arial" w:eastAsia="Arial" w:hAnsi="Arial"/>
                <w:sz w:val="16"/>
                <w:szCs w:val="16"/>
                <w:color w:val="auto"/>
              </w:rPr>
              <w:t>3,440</w:t>
            </w:r>
          </w:p>
        </w:tc>
        <w:tc>
          <w:tcPr>
            <w:tcW w:w="15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2400" w:type="dxa"/>
            <w:vAlign w:val="bottom"/>
          </w:tcPr>
          <w:p>
            <w:pPr>
              <w:jc w:val="right"/>
              <w:spacing w:after="0"/>
              <w:rPr>
                <w:sz w:val="20"/>
                <w:szCs w:val="20"/>
                <w:color w:val="auto"/>
              </w:rPr>
            </w:pPr>
            <w:r>
              <w:rPr>
                <w:rFonts w:ascii="Arial" w:cs="Arial" w:eastAsia="Arial" w:hAnsi="Arial"/>
                <w:sz w:val="16"/>
                <w:szCs w:val="16"/>
                <w:color w:val="auto"/>
              </w:rPr>
              <w:t>3,440</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3120" w:type="dxa"/>
            <w:vAlign w:val="bottom"/>
            <w:shd w:val="clear" w:color="auto" w:fill="E9E9E9"/>
          </w:tcPr>
          <w:p>
            <w:pPr>
              <w:ind w:left="60"/>
              <w:spacing w:after="0"/>
              <w:rPr>
                <w:sz w:val="20"/>
                <w:szCs w:val="20"/>
                <w:color w:val="auto"/>
              </w:rPr>
            </w:pPr>
            <w:r>
              <w:rPr>
                <w:rFonts w:ascii="Arial" w:cs="Arial" w:eastAsia="Arial" w:hAnsi="Arial"/>
                <w:sz w:val="16"/>
                <w:szCs w:val="16"/>
                <w:color w:val="auto"/>
              </w:rPr>
              <w:t>John D. Hardy, Jr.</w:t>
            </w:r>
          </w:p>
        </w:tc>
        <w:tc>
          <w:tcPr>
            <w:tcW w:w="202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20,141</w:t>
            </w:r>
          </w:p>
        </w:tc>
        <w:tc>
          <w:tcPr>
            <w:tcW w:w="1540" w:type="dxa"/>
            <w:vAlign w:val="bottom"/>
            <w:shd w:val="clear" w:color="auto" w:fill="E9E9E9"/>
          </w:tcPr>
          <w:p>
            <w:pPr>
              <w:jc w:val="right"/>
              <w:ind w:right="220"/>
              <w:spacing w:after="0"/>
              <w:rPr>
                <w:sz w:val="20"/>
                <w:szCs w:val="20"/>
                <w:color w:val="auto"/>
              </w:rPr>
            </w:pPr>
            <w:r>
              <w:rPr>
                <w:rFonts w:ascii="Arial" w:cs="Arial" w:eastAsia="Arial" w:hAnsi="Arial"/>
                <w:sz w:val="16"/>
                <w:szCs w:val="16"/>
                <w:color w:val="auto"/>
              </w:rPr>
              <w:t>*</w:t>
            </w:r>
          </w:p>
        </w:tc>
        <w:tc>
          <w:tcPr>
            <w:tcW w:w="24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19,186</w:t>
            </w:r>
          </w:p>
        </w:tc>
        <w:tc>
          <w:tcPr>
            <w:tcW w:w="540" w:type="dxa"/>
            <w:vAlign w:val="bottom"/>
            <w:shd w:val="clear" w:color="auto" w:fill="E9E9E9"/>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3120" w:type="dxa"/>
            <w:vAlign w:val="bottom"/>
          </w:tcPr>
          <w:p>
            <w:pPr>
              <w:ind w:left="60"/>
              <w:spacing w:after="0"/>
              <w:rPr>
                <w:sz w:val="20"/>
                <w:szCs w:val="20"/>
                <w:color w:val="auto"/>
              </w:rPr>
            </w:pPr>
            <w:r>
              <w:rPr>
                <w:rFonts w:ascii="Arial" w:cs="Arial" w:eastAsia="Arial" w:hAnsi="Arial"/>
                <w:sz w:val="16"/>
                <w:szCs w:val="16"/>
                <w:color w:val="auto"/>
              </w:rPr>
              <w:t>Lynn Krominga</w:t>
            </w:r>
          </w:p>
        </w:tc>
        <w:tc>
          <w:tcPr>
            <w:tcW w:w="2020" w:type="dxa"/>
            <w:vAlign w:val="bottom"/>
          </w:tcPr>
          <w:p>
            <w:pPr>
              <w:jc w:val="right"/>
              <w:ind w:right="280"/>
              <w:spacing w:after="0"/>
              <w:rPr>
                <w:sz w:val="20"/>
                <w:szCs w:val="20"/>
                <w:color w:val="auto"/>
              </w:rPr>
            </w:pPr>
            <w:r>
              <w:rPr>
                <w:rFonts w:ascii="Arial" w:cs="Arial" w:eastAsia="Arial" w:hAnsi="Arial"/>
                <w:sz w:val="16"/>
                <w:szCs w:val="16"/>
                <w:color w:val="auto"/>
              </w:rPr>
              <w:t>21,894</w:t>
            </w:r>
          </w:p>
        </w:tc>
        <w:tc>
          <w:tcPr>
            <w:tcW w:w="15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2400" w:type="dxa"/>
            <w:vAlign w:val="bottom"/>
          </w:tcPr>
          <w:p>
            <w:pPr>
              <w:jc w:val="right"/>
              <w:spacing w:after="0"/>
              <w:rPr>
                <w:sz w:val="20"/>
                <w:szCs w:val="20"/>
                <w:color w:val="auto"/>
              </w:rPr>
            </w:pPr>
            <w:r>
              <w:rPr>
                <w:rFonts w:ascii="Arial" w:cs="Arial" w:eastAsia="Arial" w:hAnsi="Arial"/>
                <w:sz w:val="16"/>
                <w:szCs w:val="16"/>
                <w:color w:val="auto"/>
              </w:rPr>
              <w:t>15,967</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3120" w:type="dxa"/>
            <w:vAlign w:val="bottom"/>
            <w:shd w:val="clear" w:color="auto" w:fill="E9E9E9"/>
          </w:tcPr>
          <w:p>
            <w:pPr>
              <w:ind w:left="60"/>
              <w:spacing w:after="0"/>
              <w:rPr>
                <w:sz w:val="20"/>
                <w:szCs w:val="20"/>
                <w:color w:val="auto"/>
              </w:rPr>
            </w:pPr>
            <w:r>
              <w:rPr>
                <w:rFonts w:ascii="Arial" w:cs="Arial" w:eastAsia="Arial" w:hAnsi="Arial"/>
                <w:sz w:val="16"/>
                <w:szCs w:val="16"/>
                <w:color w:val="auto"/>
              </w:rPr>
              <w:t>Eduardo G. Mestre</w:t>
            </w:r>
          </w:p>
        </w:tc>
        <w:tc>
          <w:tcPr>
            <w:tcW w:w="202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26,767</w:t>
            </w:r>
          </w:p>
        </w:tc>
        <w:tc>
          <w:tcPr>
            <w:tcW w:w="1540" w:type="dxa"/>
            <w:vAlign w:val="bottom"/>
            <w:shd w:val="clear" w:color="auto" w:fill="E9E9E9"/>
          </w:tcPr>
          <w:p>
            <w:pPr>
              <w:jc w:val="right"/>
              <w:ind w:right="220"/>
              <w:spacing w:after="0"/>
              <w:rPr>
                <w:sz w:val="20"/>
                <w:szCs w:val="20"/>
                <w:color w:val="auto"/>
              </w:rPr>
            </w:pPr>
            <w:r>
              <w:rPr>
                <w:rFonts w:ascii="Arial" w:cs="Arial" w:eastAsia="Arial" w:hAnsi="Arial"/>
                <w:sz w:val="16"/>
                <w:szCs w:val="16"/>
                <w:color w:val="auto"/>
              </w:rPr>
              <w:t>*</w:t>
            </w:r>
          </w:p>
        </w:tc>
        <w:tc>
          <w:tcPr>
            <w:tcW w:w="24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25,467</w:t>
            </w:r>
          </w:p>
        </w:tc>
        <w:tc>
          <w:tcPr>
            <w:tcW w:w="540" w:type="dxa"/>
            <w:vAlign w:val="bottom"/>
            <w:shd w:val="clear" w:color="auto" w:fill="E9E9E9"/>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3120" w:type="dxa"/>
            <w:vAlign w:val="bottom"/>
          </w:tcPr>
          <w:p>
            <w:pPr>
              <w:ind w:left="60"/>
              <w:spacing w:after="0"/>
              <w:rPr>
                <w:sz w:val="20"/>
                <w:szCs w:val="20"/>
                <w:color w:val="auto"/>
              </w:rPr>
            </w:pPr>
            <w:r>
              <w:rPr>
                <w:rFonts w:ascii="Arial" w:cs="Arial" w:eastAsia="Arial" w:hAnsi="Arial"/>
                <w:sz w:val="16"/>
                <w:szCs w:val="16"/>
                <w:color w:val="auto"/>
              </w:rPr>
              <w:t>F. Robert Salerno</w:t>
            </w:r>
          </w:p>
        </w:tc>
        <w:tc>
          <w:tcPr>
            <w:tcW w:w="2020" w:type="dxa"/>
            <w:vAlign w:val="bottom"/>
          </w:tcPr>
          <w:p>
            <w:pPr>
              <w:jc w:val="right"/>
              <w:ind w:right="280"/>
              <w:spacing w:after="0"/>
              <w:rPr>
                <w:sz w:val="20"/>
                <w:szCs w:val="20"/>
                <w:color w:val="auto"/>
              </w:rPr>
            </w:pPr>
            <w:r>
              <w:rPr>
                <w:rFonts w:ascii="Arial" w:cs="Arial" w:eastAsia="Arial" w:hAnsi="Arial"/>
                <w:sz w:val="16"/>
                <w:szCs w:val="16"/>
                <w:color w:val="auto"/>
              </w:rPr>
              <w:t>30,672</w:t>
            </w:r>
          </w:p>
        </w:tc>
        <w:tc>
          <w:tcPr>
            <w:tcW w:w="15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2400" w:type="dxa"/>
            <w:vAlign w:val="bottom"/>
          </w:tcPr>
          <w:p>
            <w:pPr>
              <w:jc w:val="right"/>
              <w:spacing w:after="0"/>
              <w:rPr>
                <w:sz w:val="20"/>
                <w:szCs w:val="20"/>
                <w:color w:val="auto"/>
              </w:rPr>
            </w:pPr>
            <w:r>
              <w:rPr>
                <w:rFonts w:ascii="Arial" w:cs="Arial" w:eastAsia="Arial" w:hAnsi="Arial"/>
                <w:sz w:val="16"/>
                <w:szCs w:val="16"/>
                <w:color w:val="auto"/>
              </w:rPr>
              <w:t>10,955</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3120" w:type="dxa"/>
            <w:vAlign w:val="bottom"/>
            <w:shd w:val="clear" w:color="auto" w:fill="E9E9E9"/>
          </w:tcPr>
          <w:p>
            <w:pPr>
              <w:ind w:left="60"/>
              <w:spacing w:after="0"/>
              <w:rPr>
                <w:sz w:val="20"/>
                <w:szCs w:val="20"/>
                <w:color w:val="auto"/>
              </w:rPr>
            </w:pPr>
            <w:r>
              <w:rPr>
                <w:rFonts w:ascii="Arial" w:cs="Arial" w:eastAsia="Arial" w:hAnsi="Arial"/>
                <w:sz w:val="16"/>
                <w:szCs w:val="16"/>
                <w:color w:val="auto"/>
              </w:rPr>
              <w:t>Stender E. Sweeney</w:t>
            </w:r>
          </w:p>
        </w:tc>
        <w:tc>
          <w:tcPr>
            <w:tcW w:w="202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35,018</w:t>
            </w:r>
          </w:p>
        </w:tc>
        <w:tc>
          <w:tcPr>
            <w:tcW w:w="1540" w:type="dxa"/>
            <w:vAlign w:val="bottom"/>
            <w:shd w:val="clear" w:color="auto" w:fill="E9E9E9"/>
          </w:tcPr>
          <w:p>
            <w:pPr>
              <w:jc w:val="right"/>
              <w:ind w:right="220"/>
              <w:spacing w:after="0"/>
              <w:rPr>
                <w:sz w:val="20"/>
                <w:szCs w:val="20"/>
                <w:color w:val="auto"/>
              </w:rPr>
            </w:pPr>
            <w:r>
              <w:rPr>
                <w:rFonts w:ascii="Arial" w:cs="Arial" w:eastAsia="Arial" w:hAnsi="Arial"/>
                <w:sz w:val="16"/>
                <w:szCs w:val="16"/>
                <w:color w:val="auto"/>
              </w:rPr>
              <w:t>*</w:t>
            </w:r>
          </w:p>
        </w:tc>
        <w:tc>
          <w:tcPr>
            <w:tcW w:w="24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34,032</w:t>
            </w:r>
          </w:p>
        </w:tc>
        <w:tc>
          <w:tcPr>
            <w:tcW w:w="540" w:type="dxa"/>
            <w:vAlign w:val="bottom"/>
            <w:shd w:val="clear" w:color="auto" w:fill="E9E9E9"/>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3120" w:type="dxa"/>
            <w:vAlign w:val="bottom"/>
          </w:tcPr>
          <w:p>
            <w:pPr>
              <w:ind w:left="60"/>
              <w:spacing w:after="0"/>
              <w:rPr>
                <w:sz w:val="20"/>
                <w:szCs w:val="20"/>
                <w:color w:val="auto"/>
              </w:rPr>
            </w:pPr>
            <w:r>
              <w:rPr>
                <w:rFonts w:ascii="Arial" w:cs="Arial" w:eastAsia="Arial" w:hAnsi="Arial"/>
                <w:sz w:val="16"/>
                <w:szCs w:val="16"/>
                <w:color w:val="auto"/>
              </w:rPr>
              <w:t>Larry D. De Shon</w:t>
            </w:r>
          </w:p>
        </w:tc>
        <w:tc>
          <w:tcPr>
            <w:tcW w:w="2020" w:type="dxa"/>
            <w:vAlign w:val="bottom"/>
          </w:tcPr>
          <w:p>
            <w:pPr>
              <w:jc w:val="right"/>
              <w:ind w:right="280"/>
              <w:spacing w:after="0"/>
              <w:rPr>
                <w:sz w:val="20"/>
                <w:szCs w:val="20"/>
                <w:color w:val="auto"/>
              </w:rPr>
            </w:pPr>
            <w:r>
              <w:rPr>
                <w:rFonts w:ascii="Arial" w:cs="Arial" w:eastAsia="Arial" w:hAnsi="Arial"/>
                <w:sz w:val="16"/>
                <w:szCs w:val="16"/>
                <w:color w:val="auto"/>
              </w:rPr>
              <w:t>186,533</w:t>
            </w:r>
          </w:p>
        </w:tc>
        <w:tc>
          <w:tcPr>
            <w:tcW w:w="15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24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3120" w:type="dxa"/>
            <w:vAlign w:val="bottom"/>
            <w:shd w:val="clear" w:color="auto" w:fill="E9E9E9"/>
          </w:tcPr>
          <w:p>
            <w:pPr>
              <w:ind w:left="60"/>
              <w:spacing w:after="0"/>
              <w:rPr>
                <w:sz w:val="20"/>
                <w:szCs w:val="20"/>
                <w:color w:val="auto"/>
              </w:rPr>
            </w:pPr>
            <w:r>
              <w:rPr>
                <w:rFonts w:ascii="Arial" w:cs="Arial" w:eastAsia="Arial" w:hAnsi="Arial"/>
                <w:sz w:val="16"/>
                <w:szCs w:val="16"/>
                <w:color w:val="auto"/>
              </w:rPr>
              <w:t>Thomas M. Gartland</w:t>
            </w:r>
          </w:p>
        </w:tc>
        <w:tc>
          <w:tcPr>
            <w:tcW w:w="202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12,013</w:t>
            </w:r>
          </w:p>
        </w:tc>
        <w:tc>
          <w:tcPr>
            <w:tcW w:w="1540" w:type="dxa"/>
            <w:vAlign w:val="bottom"/>
            <w:shd w:val="clear" w:color="auto" w:fill="E9E9E9"/>
          </w:tcPr>
          <w:p>
            <w:pPr>
              <w:jc w:val="right"/>
              <w:ind w:right="220"/>
              <w:spacing w:after="0"/>
              <w:rPr>
                <w:sz w:val="20"/>
                <w:szCs w:val="20"/>
                <w:color w:val="auto"/>
              </w:rPr>
            </w:pPr>
            <w:r>
              <w:rPr>
                <w:rFonts w:ascii="Arial" w:cs="Arial" w:eastAsia="Arial" w:hAnsi="Arial"/>
                <w:sz w:val="16"/>
                <w:szCs w:val="16"/>
                <w:color w:val="auto"/>
              </w:rPr>
              <w:t>*</w:t>
            </w:r>
          </w:p>
        </w:tc>
        <w:tc>
          <w:tcPr>
            <w:tcW w:w="24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E9E9E9"/>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3120" w:type="dxa"/>
            <w:vAlign w:val="bottom"/>
          </w:tcPr>
          <w:p>
            <w:pPr>
              <w:ind w:left="60"/>
              <w:spacing w:after="0"/>
              <w:rPr>
                <w:sz w:val="20"/>
                <w:szCs w:val="20"/>
                <w:color w:val="auto"/>
              </w:rPr>
            </w:pPr>
            <w:r>
              <w:rPr>
                <w:rFonts w:ascii="Arial" w:cs="Arial" w:eastAsia="Arial" w:hAnsi="Arial"/>
                <w:sz w:val="16"/>
                <w:szCs w:val="16"/>
                <w:color w:val="auto"/>
              </w:rPr>
              <w:t>Patric T. Siniscalchi</w:t>
            </w:r>
          </w:p>
        </w:tc>
        <w:tc>
          <w:tcPr>
            <w:tcW w:w="2020" w:type="dxa"/>
            <w:vAlign w:val="bottom"/>
          </w:tcPr>
          <w:p>
            <w:pPr>
              <w:jc w:val="right"/>
              <w:ind w:right="280"/>
              <w:spacing w:after="0"/>
              <w:rPr>
                <w:sz w:val="20"/>
                <w:szCs w:val="20"/>
                <w:color w:val="auto"/>
              </w:rPr>
            </w:pPr>
            <w:r>
              <w:rPr>
                <w:rFonts w:ascii="Arial" w:cs="Arial" w:eastAsia="Arial" w:hAnsi="Arial"/>
                <w:sz w:val="16"/>
                <w:szCs w:val="16"/>
                <w:color w:val="auto"/>
              </w:rPr>
              <w:t>79,648</w:t>
            </w:r>
          </w:p>
        </w:tc>
        <w:tc>
          <w:tcPr>
            <w:tcW w:w="15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24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3120" w:type="dxa"/>
            <w:vAlign w:val="bottom"/>
            <w:shd w:val="clear" w:color="auto" w:fill="E9E9E9"/>
          </w:tcPr>
          <w:p>
            <w:pPr>
              <w:ind w:left="60"/>
              <w:spacing w:after="0"/>
              <w:rPr>
                <w:sz w:val="20"/>
                <w:szCs w:val="20"/>
                <w:color w:val="auto"/>
              </w:rPr>
            </w:pPr>
            <w:r>
              <w:rPr>
                <w:rFonts w:ascii="Arial" w:cs="Arial" w:eastAsia="Arial" w:hAnsi="Arial"/>
                <w:sz w:val="16"/>
                <w:szCs w:val="16"/>
                <w:color w:val="auto"/>
              </w:rPr>
              <w:t>David B. Wyshner</w:t>
            </w:r>
          </w:p>
        </w:tc>
        <w:tc>
          <w:tcPr>
            <w:tcW w:w="202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246,603</w:t>
            </w:r>
          </w:p>
        </w:tc>
        <w:tc>
          <w:tcPr>
            <w:tcW w:w="1540" w:type="dxa"/>
            <w:vAlign w:val="bottom"/>
            <w:shd w:val="clear" w:color="auto" w:fill="E9E9E9"/>
          </w:tcPr>
          <w:p>
            <w:pPr>
              <w:jc w:val="right"/>
              <w:ind w:right="220"/>
              <w:spacing w:after="0"/>
              <w:rPr>
                <w:sz w:val="20"/>
                <w:szCs w:val="20"/>
                <w:color w:val="auto"/>
              </w:rPr>
            </w:pPr>
            <w:r>
              <w:rPr>
                <w:rFonts w:ascii="Arial" w:cs="Arial" w:eastAsia="Arial" w:hAnsi="Arial"/>
                <w:sz w:val="16"/>
                <w:szCs w:val="16"/>
                <w:color w:val="auto"/>
              </w:rPr>
              <w:t>*</w:t>
            </w:r>
          </w:p>
        </w:tc>
        <w:tc>
          <w:tcPr>
            <w:tcW w:w="24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65,604</w:t>
            </w:r>
          </w:p>
        </w:tc>
        <w:tc>
          <w:tcPr>
            <w:tcW w:w="540" w:type="dxa"/>
            <w:vAlign w:val="bottom"/>
            <w:shd w:val="clear" w:color="auto" w:fill="E9E9E9"/>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560" w:type="dxa"/>
            <w:vAlign w:val="bottom"/>
          </w:tcPr>
          <w:p>
            <w:pPr>
              <w:spacing w:after="0"/>
              <w:rPr>
                <w:sz w:val="17"/>
                <w:szCs w:val="17"/>
                <w:color w:val="auto"/>
              </w:rPr>
            </w:pPr>
          </w:p>
        </w:tc>
        <w:tc>
          <w:tcPr>
            <w:tcW w:w="3120" w:type="dxa"/>
            <w:vAlign w:val="bottom"/>
          </w:tcPr>
          <w:p>
            <w:pPr>
              <w:ind w:left="60"/>
              <w:spacing w:after="0"/>
              <w:rPr>
                <w:sz w:val="20"/>
                <w:szCs w:val="20"/>
                <w:color w:val="auto"/>
              </w:rPr>
            </w:pPr>
            <w:r>
              <w:rPr>
                <w:rFonts w:ascii="Arial" w:cs="Arial" w:eastAsia="Arial" w:hAnsi="Arial"/>
                <w:sz w:val="16"/>
                <w:szCs w:val="16"/>
                <w:b w:val="1"/>
                <w:bCs w:val="1"/>
                <w:color w:val="auto"/>
                <w:w w:val="94"/>
              </w:rPr>
              <w:t>All Directors, NEOs and Current Executive</w:t>
            </w:r>
          </w:p>
        </w:tc>
        <w:tc>
          <w:tcPr>
            <w:tcW w:w="20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8"/>
        </w:trPr>
        <w:tc>
          <w:tcPr>
            <w:tcW w:w="560" w:type="dxa"/>
            <w:vAlign w:val="bottom"/>
          </w:tcPr>
          <w:p>
            <w:pPr>
              <w:spacing w:after="0"/>
              <w:rPr>
                <w:sz w:val="18"/>
                <w:szCs w:val="18"/>
                <w:color w:val="auto"/>
              </w:rPr>
            </w:pPr>
          </w:p>
        </w:tc>
        <w:tc>
          <w:tcPr>
            <w:tcW w:w="31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Officers as a group (19 persons)</w:t>
            </w:r>
          </w:p>
        </w:tc>
        <w:tc>
          <w:tcPr>
            <w:tcW w:w="2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2,467,092</w:t>
            </w:r>
            <w:r>
              <w:rPr>
                <w:rFonts w:ascii="Arial" w:cs="Arial" w:eastAsia="Arial" w:hAnsi="Arial"/>
                <w:sz w:val="12"/>
                <w:szCs w:val="12"/>
                <w:color w:val="auto"/>
              </w:rPr>
              <w:t>(12)</w:t>
            </w:r>
          </w:p>
        </w:tc>
        <w:tc>
          <w:tcPr>
            <w:tcW w:w="15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2.3%</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912,208</w:t>
            </w:r>
          </w:p>
        </w:tc>
        <w:tc>
          <w:tcPr>
            <w:tcW w:w="5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6"/>
              </w:rPr>
              <w:t>(13)</w:t>
            </w:r>
          </w:p>
        </w:tc>
        <w:tc>
          <w:tcPr>
            <w:tcW w:w="620" w:type="dxa"/>
            <w:vAlign w:val="bottom"/>
          </w:tcPr>
          <w:p>
            <w:pPr>
              <w:spacing w:after="0"/>
              <w:rPr>
                <w:sz w:val="18"/>
                <w:szCs w:val="18"/>
                <w:color w:val="auto"/>
              </w:rPr>
            </w:pPr>
          </w:p>
        </w:tc>
      </w:tr>
      <w:tr>
        <w:trPr>
          <w:trHeight w:val="196"/>
        </w:trPr>
        <w:tc>
          <w:tcPr>
            <w:tcW w:w="56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Arial" w:cs="Arial" w:eastAsia="Arial" w:hAnsi="Arial"/>
                <w:sz w:val="16"/>
                <w:szCs w:val="16"/>
                <w:color w:val="auto"/>
              </w:rPr>
              <w:t>15</w:t>
            </w:r>
          </w:p>
        </w:tc>
        <w:tc>
          <w:tcPr>
            <w:tcW w:w="20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27"/>
        </w:trPr>
        <w:tc>
          <w:tcPr>
            <w:tcW w:w="560" w:type="dxa"/>
            <w:vAlign w:val="bottom"/>
            <w:tcBorders>
              <w:bottom w:val="single" w:sz="8" w:color="808080"/>
            </w:tcBorders>
          </w:tcPr>
          <w:p>
            <w:pPr>
              <w:spacing w:after="0"/>
              <w:rPr>
                <w:sz w:val="11"/>
                <w:szCs w:val="11"/>
                <w:color w:val="auto"/>
              </w:rPr>
            </w:pPr>
          </w:p>
        </w:tc>
        <w:tc>
          <w:tcPr>
            <w:tcW w:w="3120" w:type="dxa"/>
            <w:vAlign w:val="bottom"/>
            <w:tcBorders>
              <w:bottom w:val="single" w:sz="8" w:color="808080"/>
            </w:tcBorders>
          </w:tcPr>
          <w:p>
            <w:pPr>
              <w:spacing w:after="0"/>
              <w:rPr>
                <w:sz w:val="11"/>
                <w:szCs w:val="11"/>
                <w:color w:val="auto"/>
              </w:rPr>
            </w:pPr>
          </w:p>
        </w:tc>
        <w:tc>
          <w:tcPr>
            <w:tcW w:w="202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24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6843395</wp:posOffset>
            </wp:positionH>
            <wp:positionV relativeFrom="paragraph">
              <wp:posOffset>-34925</wp:posOffset>
            </wp:positionV>
            <wp:extent cx="12700" cy="35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-34925</wp:posOffset>
            </wp:positionV>
            <wp:extent cx="12700" cy="35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ectPr>
          <w:pgSz w:w="11900" w:h="16838" w:orient="portrait"/>
          <w:cols w:equalWidth="0" w:num="1">
            <w:col w:w="10800"/>
          </w:cols>
          <w:pgMar w:left="820" w:top="438" w:right="279" w:bottom="1440" w:gutter="0" w:footer="0" w:header="0"/>
        </w:sectPr>
      </w:pPr>
    </w:p>
    <w:bookmarkStart w:id="22" w:name="page23"/>
    <w:bookmarkEnd w:id="22"/>
    <w:p>
      <w:pPr>
        <w:ind w:left="460" w:hanging="409"/>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Amount represents less than 1% of outstanding Common Stock.</w:t>
      </w:r>
    </w:p>
    <w:p>
      <w:pPr>
        <w:spacing w:after="0" w:line="20" w:lineRule="exact"/>
        <w:rPr>
          <w:sz w:val="20"/>
          <w:szCs w:val="20"/>
          <w:color w:val="auto"/>
        </w:rPr>
      </w:pPr>
    </w:p>
    <w:p>
      <w:pPr>
        <w:ind w:left="460" w:right="360" w:hanging="409"/>
        <w:spacing w:after="0" w:line="265"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Information is based upon the assumption that there was no change in the beneficial ownership of such shares of Common Stock from the publicly filed information through March 1, 2015.</w:t>
      </w:r>
    </w:p>
    <w:p>
      <w:pPr>
        <w:ind w:left="460" w:right="320" w:hanging="409"/>
        <w:spacing w:after="0" w:line="265"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Shares beneficially owned include (i) direct and indirect ownership of shares, (ii) vested stock option awards and (iii) restricted stock units that may be settled within 60 days of March 1, 2015.</w:t>
      </w:r>
    </w:p>
    <w:p>
      <w:pPr>
        <w:ind w:left="460" w:hanging="409"/>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106,238,999 shares of Common Stock outstanding on March 1, 2015.</w:t>
      </w:r>
    </w:p>
    <w:p>
      <w:pPr>
        <w:spacing w:after="0" w:line="19" w:lineRule="exact"/>
        <w:rPr>
          <w:rFonts w:ascii="Arial" w:cs="Arial" w:eastAsia="Arial" w:hAnsi="Arial"/>
          <w:sz w:val="16"/>
          <w:szCs w:val="16"/>
          <w:color w:val="auto"/>
        </w:rPr>
      </w:pPr>
    </w:p>
    <w:p>
      <w:pPr>
        <w:ind w:left="460" w:hanging="409"/>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(i) vested stock option awards and (ii) restricted stock units that may be settled within 60 days of March 1, 2015.</w:t>
      </w:r>
    </w:p>
    <w:p>
      <w:pPr>
        <w:spacing w:after="0" w:line="19" w:lineRule="exact"/>
        <w:rPr>
          <w:rFonts w:ascii="Arial" w:cs="Arial" w:eastAsia="Arial" w:hAnsi="Arial"/>
          <w:sz w:val="16"/>
          <w:szCs w:val="16"/>
          <w:color w:val="auto"/>
        </w:rPr>
      </w:pPr>
    </w:p>
    <w:p>
      <w:pPr>
        <w:ind w:left="460" w:right="60" w:hanging="409"/>
        <w:spacing w:after="0" w:line="302" w:lineRule="auto"/>
        <w:tabs>
          <w:tab w:leader="none" w:pos="4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Reflects beneficial ownership of 10,000,000 shares of Common Stock by SRS Investment Management, LLC and Karthik R. Sarma, as derived solely from information reported in a Schedule 13G under the Exchange Act, filed with the SEC on February 17, 2015. Such Schedule 13G indicates that SRS Investment Management and Mr. Sarma share voting and dispositive power over the shares of Common Stock.</w:t>
      </w:r>
    </w:p>
    <w:p>
      <w:pPr>
        <w:spacing w:after="0" w:line="1" w:lineRule="exact"/>
        <w:rPr>
          <w:rFonts w:ascii="Arial" w:cs="Arial" w:eastAsia="Arial" w:hAnsi="Arial"/>
          <w:sz w:val="14"/>
          <w:szCs w:val="14"/>
          <w:color w:val="auto"/>
        </w:rPr>
      </w:pPr>
    </w:p>
    <w:p>
      <w:pPr>
        <w:ind w:left="460" w:right="260" w:hanging="409"/>
        <w:spacing w:after="0" w:line="265"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Reflects beneficial ownership of 6,323,810 shares of Common Stock by Morgan Stanley, as derived solely from information reported in a Schedule 13G under the Exchange Act, filed with the SEC on February 5, 2015. Such Schedule 13G indicates that Morgan Stanley has sole voting power over 6,305,924 shares of Common Stock, shared voting power over 8,192 shares of Common Stock, and shared dispositive power over 6,323,810 shares of Common Stock.</w:t>
      </w:r>
    </w:p>
    <w:p>
      <w:pPr>
        <w:ind w:left="460" w:right="160" w:hanging="409"/>
        <w:spacing w:after="0" w:line="265"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Reflects beneficial ownership of 6,202,518 shares of Common Stock by The Vanguard Group, as derived solely from information reported in a Schedule 13G under the Exchange Act, filed with the SEC on February 10, 2015. Such Schedule 13G indicates that The Vanguard Group has sole voting power over 71,904 shares, sole dispositive power over 6,139,814 shares and shared dispositive power over 62,704 shares of Common Stock.</w:t>
      </w:r>
    </w:p>
    <w:p>
      <w:pPr>
        <w:ind w:left="460" w:right="180" w:hanging="409"/>
        <w:spacing w:after="0" w:line="265"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Reflects beneficial ownership of 5,441,647 shares of Common Stock by Glenview Capital Management, LLC and Lawrence M. Robbins as derived solely from information reported in a Schedule 13G under the Exchange Act, filed with the SEC on December 22, 2014. Such Schedule 13G indicates that Glenview Capital Management and Mr. Robbins share voting and dispositive power over the shares of Common Stock.</w:t>
      </w:r>
    </w:p>
    <w:p>
      <w:pPr>
        <w:ind w:left="460" w:right="100" w:hanging="409"/>
        <w:spacing w:after="0" w:line="265"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Reflects beneficial ownership of 5,395,808 shares of Common Stock by Iridian Asset Management LLC, David L. Cohen and Harold J. Levy, as derived solely from information reported in a Schedule 13G under the Exchange Act, filed with the SEC on January 29, 2015. Such Schedule 13G indicates that Iridian Asset Management, Mr. Cohen and Mr. Levy are deemed to have shared voting and dispositive power over the shares of Common Stock.</w:t>
      </w:r>
    </w:p>
    <w:p>
      <w:pPr>
        <w:ind w:left="460" w:hanging="409"/>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shares of Common Stock underlying fully vested but unexercised options,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940" w:type="dxa"/>
            <w:vAlign w:val="bottom"/>
            <w:tcBorders>
              <w:bottom w:val="single" w:sz="8" w:color="auto"/>
            </w:tcBorders>
          </w:tcPr>
          <w:p>
            <w:pPr>
              <w:ind w:left="2340"/>
              <w:spacing w:after="0"/>
              <w:rPr>
                <w:sz w:val="20"/>
                <w:szCs w:val="20"/>
                <w:color w:val="auto"/>
              </w:rPr>
            </w:pPr>
            <w:r>
              <w:rPr>
                <w:rFonts w:ascii="Arial" w:cs="Arial" w:eastAsia="Arial" w:hAnsi="Arial"/>
                <w:sz w:val="16"/>
                <w:szCs w:val="16"/>
                <w:b w:val="1"/>
                <w:bCs w:val="1"/>
                <w:color w:val="auto"/>
              </w:rPr>
              <w:t>NEO</w:t>
            </w:r>
          </w:p>
        </w:tc>
        <w:tc>
          <w:tcPr>
            <w:tcW w:w="568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Shares of Stock Underlying Options</w:t>
            </w:r>
          </w:p>
        </w:tc>
      </w:tr>
      <w:tr>
        <w:trPr>
          <w:trHeight w:val="195"/>
        </w:trPr>
        <w:tc>
          <w:tcPr>
            <w:tcW w:w="3940" w:type="dxa"/>
            <w:vAlign w:val="bottom"/>
          </w:tcPr>
          <w:p>
            <w:pPr>
              <w:ind w:left="2340"/>
              <w:spacing w:after="0"/>
              <w:rPr>
                <w:sz w:val="20"/>
                <w:szCs w:val="20"/>
                <w:color w:val="auto"/>
              </w:rPr>
            </w:pPr>
            <w:r>
              <w:rPr>
                <w:rFonts w:ascii="Arial" w:cs="Arial" w:eastAsia="Arial" w:hAnsi="Arial"/>
                <w:sz w:val="16"/>
                <w:szCs w:val="16"/>
                <w:color w:val="auto"/>
              </w:rPr>
              <w:t>Mr. Nelson</w:t>
            </w:r>
          </w:p>
        </w:tc>
        <w:tc>
          <w:tcPr>
            <w:tcW w:w="5680" w:type="dxa"/>
            <w:vAlign w:val="bottom"/>
          </w:tcPr>
          <w:p>
            <w:pPr>
              <w:ind w:left="740"/>
              <w:spacing w:after="0"/>
              <w:rPr>
                <w:sz w:val="20"/>
                <w:szCs w:val="20"/>
                <w:color w:val="auto"/>
              </w:rPr>
            </w:pPr>
            <w:r>
              <w:rPr>
                <w:rFonts w:ascii="Arial" w:cs="Arial" w:eastAsia="Arial" w:hAnsi="Arial"/>
                <w:sz w:val="16"/>
                <w:szCs w:val="16"/>
                <w:color w:val="auto"/>
              </w:rPr>
              <w:t>585,000</w:t>
            </w:r>
          </w:p>
        </w:tc>
      </w:tr>
      <w:tr>
        <w:trPr>
          <w:trHeight w:val="203"/>
        </w:trPr>
        <w:tc>
          <w:tcPr>
            <w:tcW w:w="3940" w:type="dxa"/>
            <w:vAlign w:val="bottom"/>
            <w:shd w:val="clear" w:color="auto" w:fill="E9E9E9"/>
          </w:tcPr>
          <w:p>
            <w:pPr>
              <w:ind w:left="2340"/>
              <w:spacing w:after="0"/>
              <w:rPr>
                <w:sz w:val="20"/>
                <w:szCs w:val="20"/>
                <w:color w:val="auto"/>
              </w:rPr>
            </w:pPr>
            <w:r>
              <w:rPr>
                <w:rFonts w:ascii="Arial" w:cs="Arial" w:eastAsia="Arial" w:hAnsi="Arial"/>
                <w:sz w:val="16"/>
                <w:szCs w:val="16"/>
                <w:color w:val="auto"/>
              </w:rPr>
              <w:t>Mr. Wyshner</w:t>
            </w:r>
          </w:p>
        </w:tc>
        <w:tc>
          <w:tcPr>
            <w:tcW w:w="5680" w:type="dxa"/>
            <w:vAlign w:val="bottom"/>
            <w:shd w:val="clear" w:color="auto" w:fill="E9E9E9"/>
          </w:tcPr>
          <w:p>
            <w:pPr>
              <w:ind w:left="740"/>
              <w:spacing w:after="0"/>
              <w:rPr>
                <w:sz w:val="20"/>
                <w:szCs w:val="20"/>
                <w:color w:val="auto"/>
              </w:rPr>
            </w:pPr>
            <w:r>
              <w:rPr>
                <w:rFonts w:ascii="Arial" w:cs="Arial" w:eastAsia="Arial" w:hAnsi="Arial"/>
                <w:sz w:val="16"/>
                <w:szCs w:val="16"/>
                <w:color w:val="auto"/>
              </w:rPr>
              <w:t>65,604</w:t>
            </w:r>
          </w:p>
        </w:tc>
      </w:tr>
    </w:tbl>
    <w:p>
      <w:pPr>
        <w:spacing w:after="0" w:line="107" w:lineRule="exact"/>
        <w:rPr>
          <w:sz w:val="20"/>
          <w:szCs w:val="20"/>
          <w:color w:val="auto"/>
        </w:rPr>
      </w:pPr>
    </w:p>
    <w:p>
      <w:pPr>
        <w:ind w:left="460" w:right="160" w:hanging="381"/>
        <w:spacing w:after="0" w:line="293"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For each non-employee director, (1) includes deferred stock units held under the Non-Employee Directors Deferred Compensation Plan, which, pursuant to the terms of the plan, will be distributed in the form of Common Stock on a one-to-one basis as soon as reasonably practicable following such director's retirement or termination of service from the Board for any reason ("Director Shares"), and (2) excludes deferred stock units held under the plan, which pursuant to the terms of the Plan will be distributed seven months following such director's retirement or termination of service from the Board for any reason ("Director Deferred Shares"),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20" w:type="dxa"/>
            <w:vAlign w:val="bottom"/>
          </w:tcPr>
          <w:p>
            <w:pPr>
              <w:spacing w:after="0"/>
              <w:rPr>
                <w:sz w:val="17"/>
                <w:szCs w:val="17"/>
                <w:color w:val="auto"/>
              </w:rPr>
            </w:pPr>
          </w:p>
        </w:tc>
        <w:tc>
          <w:tcPr>
            <w:tcW w:w="1380" w:type="dxa"/>
            <w:vAlign w:val="bottom"/>
          </w:tcPr>
          <w:p>
            <w:pPr>
              <w:ind w:left="420"/>
              <w:spacing w:after="0"/>
              <w:rPr>
                <w:sz w:val="20"/>
                <w:szCs w:val="20"/>
                <w:color w:val="auto"/>
              </w:rPr>
            </w:pPr>
            <w:r>
              <w:rPr>
                <w:rFonts w:ascii="Arial" w:cs="Arial" w:eastAsia="Arial" w:hAnsi="Arial"/>
                <w:sz w:val="16"/>
                <w:szCs w:val="16"/>
                <w:b w:val="1"/>
                <w:bCs w:val="1"/>
                <w:color w:val="auto"/>
              </w:rPr>
              <w:t>Director</w:t>
            </w:r>
          </w:p>
        </w:tc>
        <w:tc>
          <w:tcPr>
            <w:tcW w:w="1860" w:type="dxa"/>
            <w:vAlign w:val="bottom"/>
          </w:tcPr>
          <w:p>
            <w:pPr>
              <w:ind w:left="360"/>
              <w:spacing w:after="0"/>
              <w:rPr>
                <w:sz w:val="20"/>
                <w:szCs w:val="20"/>
                <w:color w:val="auto"/>
              </w:rPr>
            </w:pPr>
            <w:r>
              <w:rPr>
                <w:rFonts w:ascii="Arial" w:cs="Arial" w:eastAsia="Arial" w:hAnsi="Arial"/>
                <w:sz w:val="16"/>
                <w:szCs w:val="16"/>
                <w:b w:val="1"/>
                <w:bCs w:val="1"/>
                <w:color w:val="auto"/>
              </w:rPr>
              <w:t>Director</w:t>
            </w:r>
          </w:p>
        </w:tc>
        <w:tc>
          <w:tcPr>
            <w:tcW w:w="1740" w:type="dxa"/>
            <w:vAlign w:val="bottom"/>
          </w:tcPr>
          <w:p>
            <w:pPr>
              <w:spacing w:after="0"/>
              <w:rPr>
                <w:sz w:val="17"/>
                <w:szCs w:val="17"/>
                <w:color w:val="auto"/>
              </w:rPr>
            </w:pPr>
          </w:p>
        </w:tc>
        <w:tc>
          <w:tcPr>
            <w:tcW w:w="1420" w:type="dxa"/>
            <w:vAlign w:val="bottom"/>
          </w:tcPr>
          <w:p>
            <w:pPr>
              <w:ind w:left="420"/>
              <w:spacing w:after="0"/>
              <w:rPr>
                <w:sz w:val="20"/>
                <w:szCs w:val="20"/>
                <w:color w:val="auto"/>
              </w:rPr>
            </w:pPr>
            <w:r>
              <w:rPr>
                <w:rFonts w:ascii="Arial" w:cs="Arial" w:eastAsia="Arial" w:hAnsi="Arial"/>
                <w:sz w:val="16"/>
                <w:szCs w:val="16"/>
                <w:b w:val="1"/>
                <w:bCs w:val="1"/>
                <w:color w:val="auto"/>
              </w:rPr>
              <w:t>Director</w:t>
            </w:r>
          </w:p>
        </w:tc>
        <w:tc>
          <w:tcPr>
            <w:tcW w:w="1900" w:type="dxa"/>
            <w:vAlign w:val="bottom"/>
          </w:tcPr>
          <w:p>
            <w:pPr>
              <w:ind w:left="440"/>
              <w:spacing w:after="0"/>
              <w:rPr>
                <w:sz w:val="20"/>
                <w:szCs w:val="20"/>
                <w:color w:val="auto"/>
              </w:rPr>
            </w:pPr>
            <w:r>
              <w:rPr>
                <w:rFonts w:ascii="Arial" w:cs="Arial" w:eastAsia="Arial" w:hAnsi="Arial"/>
                <w:sz w:val="16"/>
                <w:szCs w:val="16"/>
                <w:b w:val="1"/>
                <w:bCs w:val="1"/>
                <w:color w:val="auto"/>
              </w:rPr>
              <w:t>Director Deferred</w:t>
            </w:r>
          </w:p>
        </w:tc>
      </w:tr>
      <w:tr>
        <w:trPr>
          <w:trHeight w:val="208"/>
        </w:trPr>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Director</w:t>
            </w:r>
          </w:p>
        </w:tc>
        <w:tc>
          <w:tcPr>
            <w:tcW w:w="138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Shares</w:t>
            </w:r>
          </w:p>
        </w:tc>
        <w:tc>
          <w:tcPr>
            <w:tcW w:w="186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Deferred Shares</w:t>
            </w:r>
          </w:p>
        </w:tc>
        <w:tc>
          <w:tcPr>
            <w:tcW w:w="174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Director</w:t>
            </w:r>
          </w:p>
        </w:tc>
        <w:tc>
          <w:tcPr>
            <w:tcW w:w="142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Shares</w:t>
            </w:r>
          </w:p>
        </w:tc>
        <w:tc>
          <w:tcPr>
            <w:tcW w:w="190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Shares</w:t>
            </w:r>
          </w:p>
        </w:tc>
      </w:tr>
      <w:tr>
        <w:trPr>
          <w:trHeight w:val="195"/>
        </w:trPr>
        <w:tc>
          <w:tcPr>
            <w:tcW w:w="1320" w:type="dxa"/>
            <w:vAlign w:val="bottom"/>
          </w:tcPr>
          <w:p>
            <w:pPr>
              <w:ind w:left="60"/>
              <w:spacing w:after="0"/>
              <w:rPr>
                <w:sz w:val="20"/>
                <w:szCs w:val="20"/>
                <w:color w:val="auto"/>
              </w:rPr>
            </w:pPr>
            <w:r>
              <w:rPr>
                <w:rFonts w:ascii="Arial" w:cs="Arial" w:eastAsia="Arial" w:hAnsi="Arial"/>
                <w:sz w:val="16"/>
                <w:szCs w:val="16"/>
                <w:color w:val="auto"/>
              </w:rPr>
              <w:t>Mr. Cathcart</w:t>
            </w:r>
          </w:p>
        </w:tc>
        <w:tc>
          <w:tcPr>
            <w:tcW w:w="1380" w:type="dxa"/>
            <w:vAlign w:val="bottom"/>
          </w:tcPr>
          <w:p>
            <w:pPr>
              <w:ind w:left="420"/>
              <w:spacing w:after="0"/>
              <w:rPr>
                <w:sz w:val="20"/>
                <w:szCs w:val="20"/>
                <w:color w:val="auto"/>
              </w:rPr>
            </w:pPr>
            <w:r>
              <w:rPr>
                <w:rFonts w:ascii="Arial" w:cs="Arial" w:eastAsia="Arial" w:hAnsi="Arial"/>
                <w:sz w:val="16"/>
                <w:szCs w:val="16"/>
                <w:color w:val="auto"/>
              </w:rPr>
              <w:t>19,334</w:t>
            </w:r>
          </w:p>
        </w:tc>
        <w:tc>
          <w:tcPr>
            <w:tcW w:w="1860" w:type="dxa"/>
            <w:vAlign w:val="bottom"/>
          </w:tcPr>
          <w:p>
            <w:pPr>
              <w:ind w:left="400"/>
              <w:spacing w:after="0"/>
              <w:rPr>
                <w:sz w:val="20"/>
                <w:szCs w:val="20"/>
                <w:color w:val="auto"/>
              </w:rPr>
            </w:pPr>
            <w:r>
              <w:rPr>
                <w:rFonts w:ascii="Arial" w:cs="Arial" w:eastAsia="Arial" w:hAnsi="Arial"/>
                <w:sz w:val="16"/>
                <w:szCs w:val="16"/>
                <w:color w:val="auto"/>
              </w:rPr>
              <w:t>—</w:t>
            </w:r>
          </w:p>
        </w:tc>
        <w:tc>
          <w:tcPr>
            <w:tcW w:w="1740" w:type="dxa"/>
            <w:vAlign w:val="bottom"/>
          </w:tcPr>
          <w:p>
            <w:pPr>
              <w:ind w:left="400"/>
              <w:spacing w:after="0"/>
              <w:rPr>
                <w:sz w:val="20"/>
                <w:szCs w:val="20"/>
                <w:color w:val="auto"/>
              </w:rPr>
            </w:pPr>
            <w:r>
              <w:rPr>
                <w:rFonts w:ascii="Arial" w:cs="Arial" w:eastAsia="Arial" w:hAnsi="Arial"/>
                <w:sz w:val="16"/>
                <w:szCs w:val="16"/>
                <w:color w:val="auto"/>
              </w:rPr>
              <w:t>Ms. Krominga</w:t>
            </w:r>
          </w:p>
        </w:tc>
        <w:tc>
          <w:tcPr>
            <w:tcW w:w="1420" w:type="dxa"/>
            <w:vAlign w:val="bottom"/>
          </w:tcPr>
          <w:p>
            <w:pPr>
              <w:ind w:left="420"/>
              <w:spacing w:after="0"/>
              <w:rPr>
                <w:sz w:val="20"/>
                <w:szCs w:val="20"/>
                <w:color w:val="auto"/>
              </w:rPr>
            </w:pPr>
            <w:r>
              <w:rPr>
                <w:rFonts w:ascii="Arial" w:cs="Arial" w:eastAsia="Arial" w:hAnsi="Arial"/>
                <w:sz w:val="16"/>
                <w:szCs w:val="16"/>
                <w:color w:val="auto"/>
              </w:rPr>
              <w:t>15,967</w:t>
            </w:r>
          </w:p>
        </w:tc>
        <w:tc>
          <w:tcPr>
            <w:tcW w:w="1900" w:type="dxa"/>
            <w:vAlign w:val="bottom"/>
          </w:tcPr>
          <w:p>
            <w:pPr>
              <w:ind w:left="440"/>
              <w:spacing w:after="0"/>
              <w:rPr>
                <w:sz w:val="20"/>
                <w:szCs w:val="20"/>
                <w:color w:val="auto"/>
              </w:rPr>
            </w:pPr>
            <w:r>
              <w:rPr>
                <w:rFonts w:ascii="Arial" w:cs="Arial" w:eastAsia="Arial" w:hAnsi="Arial"/>
                <w:sz w:val="16"/>
                <w:szCs w:val="16"/>
                <w:color w:val="auto"/>
              </w:rPr>
              <w:t>37,939</w:t>
            </w:r>
          </w:p>
        </w:tc>
      </w:tr>
      <w:tr>
        <w:trPr>
          <w:trHeight w:val="203"/>
        </w:trPr>
        <w:tc>
          <w:tcPr>
            <w:tcW w:w="1320" w:type="dxa"/>
            <w:vAlign w:val="bottom"/>
            <w:shd w:val="clear" w:color="auto" w:fill="E9E9E9"/>
          </w:tcPr>
          <w:p>
            <w:pPr>
              <w:ind w:left="60"/>
              <w:spacing w:after="0"/>
              <w:rPr>
                <w:sz w:val="20"/>
                <w:szCs w:val="20"/>
                <w:color w:val="auto"/>
              </w:rPr>
            </w:pPr>
            <w:r>
              <w:rPr>
                <w:rFonts w:ascii="Arial" w:cs="Arial" w:eastAsia="Arial" w:hAnsi="Arial"/>
                <w:sz w:val="16"/>
                <w:szCs w:val="16"/>
                <w:color w:val="auto"/>
              </w:rPr>
              <w:t>Ms. Choksi</w:t>
            </w:r>
          </w:p>
        </w:tc>
        <w:tc>
          <w:tcPr>
            <w:tcW w:w="1380" w:type="dxa"/>
            <w:vAlign w:val="bottom"/>
            <w:shd w:val="clear" w:color="auto" w:fill="E9E9E9"/>
          </w:tcPr>
          <w:p>
            <w:pPr>
              <w:ind w:left="420"/>
              <w:spacing w:after="0"/>
              <w:rPr>
                <w:sz w:val="20"/>
                <w:szCs w:val="20"/>
                <w:color w:val="auto"/>
              </w:rPr>
            </w:pPr>
            <w:r>
              <w:rPr>
                <w:rFonts w:ascii="Arial" w:cs="Arial" w:eastAsia="Arial" w:hAnsi="Arial"/>
                <w:sz w:val="16"/>
                <w:szCs w:val="16"/>
                <w:color w:val="auto"/>
              </w:rPr>
              <w:t>21,580</w:t>
            </w:r>
          </w:p>
        </w:tc>
        <w:tc>
          <w:tcPr>
            <w:tcW w:w="1860" w:type="dxa"/>
            <w:vAlign w:val="bottom"/>
            <w:shd w:val="clear" w:color="auto" w:fill="E9E9E9"/>
          </w:tcPr>
          <w:p>
            <w:pPr>
              <w:ind w:left="360"/>
              <w:spacing w:after="0"/>
              <w:rPr>
                <w:sz w:val="20"/>
                <w:szCs w:val="20"/>
                <w:color w:val="auto"/>
              </w:rPr>
            </w:pPr>
            <w:r>
              <w:rPr>
                <w:rFonts w:ascii="Arial" w:cs="Arial" w:eastAsia="Arial" w:hAnsi="Arial"/>
                <w:sz w:val="16"/>
                <w:szCs w:val="16"/>
                <w:color w:val="auto"/>
              </w:rPr>
              <w:t>35,584</w:t>
            </w:r>
          </w:p>
        </w:tc>
        <w:tc>
          <w:tcPr>
            <w:tcW w:w="1740" w:type="dxa"/>
            <w:vAlign w:val="bottom"/>
            <w:shd w:val="clear" w:color="auto" w:fill="E9E9E9"/>
          </w:tcPr>
          <w:p>
            <w:pPr>
              <w:ind w:left="400"/>
              <w:spacing w:after="0"/>
              <w:rPr>
                <w:sz w:val="20"/>
                <w:szCs w:val="20"/>
                <w:color w:val="auto"/>
              </w:rPr>
            </w:pPr>
            <w:r>
              <w:rPr>
                <w:rFonts w:ascii="Arial" w:cs="Arial" w:eastAsia="Arial" w:hAnsi="Arial"/>
                <w:sz w:val="16"/>
                <w:szCs w:val="16"/>
                <w:color w:val="auto"/>
              </w:rPr>
              <w:t>Mr. Mestre</w:t>
            </w:r>
          </w:p>
        </w:tc>
        <w:tc>
          <w:tcPr>
            <w:tcW w:w="1420" w:type="dxa"/>
            <w:vAlign w:val="bottom"/>
            <w:shd w:val="clear" w:color="auto" w:fill="E9E9E9"/>
          </w:tcPr>
          <w:p>
            <w:pPr>
              <w:ind w:left="420"/>
              <w:spacing w:after="0"/>
              <w:rPr>
                <w:sz w:val="20"/>
                <w:szCs w:val="20"/>
                <w:color w:val="auto"/>
              </w:rPr>
            </w:pPr>
            <w:r>
              <w:rPr>
                <w:rFonts w:ascii="Arial" w:cs="Arial" w:eastAsia="Arial" w:hAnsi="Arial"/>
                <w:sz w:val="16"/>
                <w:szCs w:val="16"/>
                <w:color w:val="auto"/>
              </w:rPr>
              <w:t>25,467</w:t>
            </w:r>
          </w:p>
        </w:tc>
        <w:tc>
          <w:tcPr>
            <w:tcW w:w="1900" w:type="dxa"/>
            <w:vAlign w:val="bottom"/>
            <w:shd w:val="clear" w:color="auto" w:fill="E9E9E9"/>
          </w:tcPr>
          <w:p>
            <w:pPr>
              <w:ind w:left="440"/>
              <w:spacing w:after="0"/>
              <w:rPr>
                <w:sz w:val="20"/>
                <w:szCs w:val="20"/>
                <w:color w:val="auto"/>
              </w:rPr>
            </w:pPr>
            <w:r>
              <w:rPr>
                <w:rFonts w:ascii="Arial" w:cs="Arial" w:eastAsia="Arial" w:hAnsi="Arial"/>
                <w:sz w:val="16"/>
                <w:szCs w:val="16"/>
                <w:color w:val="auto"/>
              </w:rPr>
              <w:t>32,979</w:t>
            </w:r>
          </w:p>
        </w:tc>
      </w:tr>
      <w:tr>
        <w:trPr>
          <w:trHeight w:val="203"/>
        </w:trPr>
        <w:tc>
          <w:tcPr>
            <w:tcW w:w="1320" w:type="dxa"/>
            <w:vAlign w:val="bottom"/>
          </w:tcPr>
          <w:p>
            <w:pPr>
              <w:ind w:left="60"/>
              <w:spacing w:after="0"/>
              <w:rPr>
                <w:sz w:val="20"/>
                <w:szCs w:val="20"/>
                <w:color w:val="auto"/>
              </w:rPr>
            </w:pPr>
            <w:r>
              <w:rPr>
                <w:rFonts w:ascii="Arial" w:cs="Arial" w:eastAsia="Arial" w:hAnsi="Arial"/>
                <w:sz w:val="16"/>
                <w:szCs w:val="16"/>
                <w:color w:val="auto"/>
              </w:rPr>
              <w:t>Mr. Coleman</w:t>
            </w:r>
          </w:p>
        </w:tc>
        <w:tc>
          <w:tcPr>
            <w:tcW w:w="1380" w:type="dxa"/>
            <w:vAlign w:val="bottom"/>
          </w:tcPr>
          <w:p>
            <w:pPr>
              <w:ind w:left="420"/>
              <w:spacing w:after="0"/>
              <w:rPr>
                <w:sz w:val="20"/>
                <w:szCs w:val="20"/>
                <w:color w:val="auto"/>
              </w:rPr>
            </w:pPr>
            <w:r>
              <w:rPr>
                <w:rFonts w:ascii="Arial" w:cs="Arial" w:eastAsia="Arial" w:hAnsi="Arial"/>
                <w:sz w:val="16"/>
                <w:szCs w:val="16"/>
                <w:color w:val="auto"/>
              </w:rPr>
              <w:t>23,986</w:t>
            </w:r>
          </w:p>
        </w:tc>
        <w:tc>
          <w:tcPr>
            <w:tcW w:w="1860" w:type="dxa"/>
            <w:vAlign w:val="bottom"/>
          </w:tcPr>
          <w:p>
            <w:pPr>
              <w:ind w:left="360"/>
              <w:spacing w:after="0"/>
              <w:rPr>
                <w:sz w:val="20"/>
                <w:szCs w:val="20"/>
                <w:color w:val="auto"/>
              </w:rPr>
            </w:pPr>
            <w:r>
              <w:rPr>
                <w:rFonts w:ascii="Arial" w:cs="Arial" w:eastAsia="Arial" w:hAnsi="Arial"/>
                <w:sz w:val="16"/>
                <w:szCs w:val="16"/>
                <w:color w:val="auto"/>
              </w:rPr>
              <w:t>45,301</w:t>
            </w:r>
          </w:p>
        </w:tc>
        <w:tc>
          <w:tcPr>
            <w:tcW w:w="1740" w:type="dxa"/>
            <w:vAlign w:val="bottom"/>
          </w:tcPr>
          <w:p>
            <w:pPr>
              <w:ind w:left="400"/>
              <w:spacing w:after="0"/>
              <w:rPr>
                <w:sz w:val="20"/>
                <w:szCs w:val="20"/>
                <w:color w:val="auto"/>
              </w:rPr>
            </w:pPr>
            <w:r>
              <w:rPr>
                <w:rFonts w:ascii="Arial" w:cs="Arial" w:eastAsia="Arial" w:hAnsi="Arial"/>
                <w:sz w:val="16"/>
                <w:szCs w:val="16"/>
                <w:color w:val="auto"/>
              </w:rPr>
              <w:t>Mr. Salerno</w:t>
            </w:r>
          </w:p>
        </w:tc>
        <w:tc>
          <w:tcPr>
            <w:tcW w:w="1420" w:type="dxa"/>
            <w:vAlign w:val="bottom"/>
          </w:tcPr>
          <w:p>
            <w:pPr>
              <w:ind w:left="420"/>
              <w:spacing w:after="0"/>
              <w:rPr>
                <w:sz w:val="20"/>
                <w:szCs w:val="20"/>
                <w:color w:val="auto"/>
              </w:rPr>
            </w:pPr>
            <w:r>
              <w:rPr>
                <w:rFonts w:ascii="Arial" w:cs="Arial" w:eastAsia="Arial" w:hAnsi="Arial"/>
                <w:sz w:val="16"/>
                <w:szCs w:val="16"/>
                <w:color w:val="auto"/>
              </w:rPr>
              <w:t>10,955</w:t>
            </w:r>
          </w:p>
        </w:tc>
        <w:tc>
          <w:tcPr>
            <w:tcW w:w="1900" w:type="dxa"/>
            <w:vAlign w:val="bottom"/>
          </w:tcPr>
          <w:p>
            <w:pPr>
              <w:ind w:left="480"/>
              <w:spacing w:after="0"/>
              <w:rPr>
                <w:sz w:val="20"/>
                <w:szCs w:val="20"/>
                <w:color w:val="auto"/>
              </w:rPr>
            </w:pPr>
            <w:r>
              <w:rPr>
                <w:rFonts w:ascii="Arial" w:cs="Arial" w:eastAsia="Arial" w:hAnsi="Arial"/>
                <w:sz w:val="16"/>
                <w:szCs w:val="16"/>
                <w:color w:val="auto"/>
              </w:rPr>
              <w:t>—</w:t>
            </w:r>
          </w:p>
        </w:tc>
      </w:tr>
      <w:tr>
        <w:trPr>
          <w:trHeight w:val="203"/>
        </w:trPr>
        <w:tc>
          <w:tcPr>
            <w:tcW w:w="1320" w:type="dxa"/>
            <w:vAlign w:val="bottom"/>
            <w:shd w:val="clear" w:color="auto" w:fill="E9E9E9"/>
          </w:tcPr>
          <w:p>
            <w:pPr>
              <w:ind w:left="60"/>
              <w:spacing w:after="0"/>
              <w:rPr>
                <w:sz w:val="20"/>
                <w:szCs w:val="20"/>
                <w:color w:val="auto"/>
              </w:rPr>
            </w:pPr>
            <w:r>
              <w:rPr>
                <w:rFonts w:ascii="Arial" w:cs="Arial" w:eastAsia="Arial" w:hAnsi="Arial"/>
                <w:sz w:val="16"/>
                <w:szCs w:val="16"/>
                <w:color w:val="auto"/>
              </w:rPr>
              <w:t>Mr. Fox</w:t>
            </w:r>
          </w:p>
        </w:tc>
        <w:tc>
          <w:tcPr>
            <w:tcW w:w="1380" w:type="dxa"/>
            <w:vAlign w:val="bottom"/>
            <w:shd w:val="clear" w:color="auto" w:fill="E9E9E9"/>
          </w:tcPr>
          <w:p>
            <w:pPr>
              <w:ind w:left="420"/>
              <w:spacing w:after="0"/>
              <w:rPr>
                <w:sz w:val="20"/>
                <w:szCs w:val="20"/>
                <w:color w:val="auto"/>
              </w:rPr>
            </w:pPr>
            <w:r>
              <w:rPr>
                <w:rFonts w:ascii="Arial" w:cs="Arial" w:eastAsia="Arial" w:hAnsi="Arial"/>
                <w:sz w:val="16"/>
                <w:szCs w:val="16"/>
                <w:color w:val="auto"/>
              </w:rPr>
              <w:t>3,440</w:t>
            </w:r>
          </w:p>
        </w:tc>
        <w:tc>
          <w:tcPr>
            <w:tcW w:w="1860" w:type="dxa"/>
            <w:vAlign w:val="bottom"/>
            <w:shd w:val="clear" w:color="auto" w:fill="E9E9E9"/>
          </w:tcPr>
          <w:p>
            <w:pPr>
              <w:ind w:left="400"/>
              <w:spacing w:after="0"/>
              <w:rPr>
                <w:sz w:val="20"/>
                <w:szCs w:val="20"/>
                <w:color w:val="auto"/>
              </w:rPr>
            </w:pPr>
            <w:r>
              <w:rPr>
                <w:rFonts w:ascii="Arial" w:cs="Arial" w:eastAsia="Arial" w:hAnsi="Arial"/>
                <w:sz w:val="16"/>
                <w:szCs w:val="16"/>
                <w:color w:val="auto"/>
              </w:rPr>
              <w:t>—</w:t>
            </w:r>
          </w:p>
        </w:tc>
        <w:tc>
          <w:tcPr>
            <w:tcW w:w="1740" w:type="dxa"/>
            <w:vAlign w:val="bottom"/>
            <w:shd w:val="clear" w:color="auto" w:fill="E9E9E9"/>
          </w:tcPr>
          <w:p>
            <w:pPr>
              <w:ind w:left="400"/>
              <w:spacing w:after="0"/>
              <w:rPr>
                <w:sz w:val="20"/>
                <w:szCs w:val="20"/>
                <w:color w:val="auto"/>
              </w:rPr>
            </w:pPr>
            <w:r>
              <w:rPr>
                <w:rFonts w:ascii="Arial" w:cs="Arial" w:eastAsia="Arial" w:hAnsi="Arial"/>
                <w:sz w:val="16"/>
                <w:szCs w:val="16"/>
                <w:color w:val="auto"/>
              </w:rPr>
              <w:t>Mr. Sweeney</w:t>
            </w:r>
          </w:p>
        </w:tc>
        <w:tc>
          <w:tcPr>
            <w:tcW w:w="1420" w:type="dxa"/>
            <w:vAlign w:val="bottom"/>
            <w:shd w:val="clear" w:color="auto" w:fill="E9E9E9"/>
          </w:tcPr>
          <w:p>
            <w:pPr>
              <w:ind w:left="420"/>
              <w:spacing w:after="0"/>
              <w:rPr>
                <w:sz w:val="20"/>
                <w:szCs w:val="20"/>
                <w:color w:val="auto"/>
              </w:rPr>
            </w:pPr>
            <w:r>
              <w:rPr>
                <w:rFonts w:ascii="Arial" w:cs="Arial" w:eastAsia="Arial" w:hAnsi="Arial"/>
                <w:sz w:val="16"/>
                <w:szCs w:val="16"/>
                <w:color w:val="auto"/>
              </w:rPr>
              <w:t>34,032</w:t>
            </w:r>
          </w:p>
        </w:tc>
        <w:tc>
          <w:tcPr>
            <w:tcW w:w="1900" w:type="dxa"/>
            <w:vAlign w:val="bottom"/>
            <w:shd w:val="clear" w:color="auto" w:fill="E9E9E9"/>
          </w:tcPr>
          <w:p>
            <w:pPr>
              <w:ind w:left="440"/>
              <w:spacing w:after="0"/>
              <w:rPr>
                <w:sz w:val="20"/>
                <w:szCs w:val="20"/>
                <w:color w:val="auto"/>
              </w:rPr>
            </w:pPr>
            <w:r>
              <w:rPr>
                <w:rFonts w:ascii="Arial" w:cs="Arial" w:eastAsia="Arial" w:hAnsi="Arial"/>
                <w:sz w:val="16"/>
                <w:szCs w:val="16"/>
                <w:color w:val="auto"/>
              </w:rPr>
              <w:t>32,679</w:t>
            </w:r>
          </w:p>
        </w:tc>
      </w:tr>
      <w:tr>
        <w:trPr>
          <w:trHeight w:val="203"/>
        </w:trPr>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Mr. Hardy</w:t>
            </w:r>
          </w:p>
        </w:tc>
        <w:tc>
          <w:tcPr>
            <w:tcW w:w="138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19,186</w:t>
            </w:r>
          </w:p>
        </w:tc>
        <w:tc>
          <w:tcPr>
            <w:tcW w:w="18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34,889</w:t>
            </w:r>
          </w:p>
        </w:tc>
        <w:tc>
          <w:tcPr>
            <w:tcW w:w="17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r>
    </w:tbl>
    <w:p>
      <w:pPr>
        <w:spacing w:after="0" w:line="107" w:lineRule="exact"/>
        <w:rPr>
          <w:sz w:val="20"/>
          <w:szCs w:val="20"/>
          <w:color w:val="auto"/>
        </w:rPr>
      </w:pPr>
    </w:p>
    <w:p>
      <w:pPr>
        <w:ind w:left="460" w:right="440" w:hanging="409"/>
        <w:spacing w:after="0" w:line="265"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15,472 shares of Common Stock held by a family trust for which Mr. Nelson's wife is a trustee. Mr. Nelson disclaims beneficial ownership of the shares held by the trust.</w:t>
      </w:r>
    </w:p>
    <w:p>
      <w:pPr>
        <w:ind w:left="460" w:hanging="409"/>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Excludes 219,371 Director Deferred Shares.</w:t>
      </w:r>
    </w:p>
    <w:p>
      <w:pPr>
        <w:spacing w:after="0" w:line="19" w:lineRule="exact"/>
        <w:rPr>
          <w:rFonts w:ascii="Arial" w:cs="Arial" w:eastAsia="Arial" w:hAnsi="Arial"/>
          <w:sz w:val="16"/>
          <w:szCs w:val="16"/>
          <w:color w:val="auto"/>
        </w:rPr>
      </w:pPr>
    </w:p>
    <w:p>
      <w:pPr>
        <w:ind w:left="460" w:right="80" w:hanging="409"/>
        <w:spacing w:after="0" w:line="302" w:lineRule="auto"/>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173,947 Director Shares, 575,000 shares of Common Stock underlying fully vested but unexercised options with a strike price of $0.79, 163,104 shares of Common Stock underlying fully vested but unexercised options with strike prices ranging from $11.53 to $30.04 and</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157 shares of Common Stock underlying restricted stock units scheduled to vest within 60 days.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620"/>
          </w:cols>
          <w:pgMar w:left="1380" w:top="318" w:right="899" w:bottom="1440" w:gutter="0" w:footer="0" w:header="0"/>
        </w:sectPr>
      </w:pPr>
    </w:p>
    <w:bookmarkStart w:id="23" w:name="page24"/>
    <w:bookmarkEnd w:id="23"/>
    <w:p>
      <w:pPr>
        <w:ind w:left="560"/>
        <w:spacing w:after="0"/>
        <w:rPr>
          <w:sz w:val="20"/>
          <w:szCs w:val="20"/>
          <w:color w:val="auto"/>
        </w:rPr>
      </w:pPr>
      <w:r>
        <w:rPr>
          <w:rFonts w:ascii="Arial" w:cs="Arial" w:eastAsia="Arial" w:hAnsi="Arial"/>
          <w:sz w:val="16"/>
          <w:szCs w:val="16"/>
          <w:color w:val="auto"/>
        </w:rPr>
        <w:t>Section 16(a) Beneficial Ownership Reporting Compliance</w:t>
      </w:r>
    </w:p>
    <w:p>
      <w:pPr>
        <w:spacing w:after="0" w:line="258" w:lineRule="exact"/>
        <w:rPr>
          <w:sz w:val="20"/>
          <w:szCs w:val="20"/>
          <w:color w:val="auto"/>
        </w:rPr>
      </w:pPr>
    </w:p>
    <w:p>
      <w:pPr>
        <w:ind w:left="560" w:right="660"/>
        <w:spacing w:after="0" w:line="324" w:lineRule="auto"/>
        <w:rPr>
          <w:sz w:val="20"/>
          <w:szCs w:val="20"/>
          <w:color w:val="auto"/>
        </w:rPr>
      </w:pPr>
      <w:r>
        <w:rPr>
          <w:rFonts w:ascii="Arial" w:cs="Arial" w:eastAsia="Arial" w:hAnsi="Arial"/>
          <w:sz w:val="14"/>
          <w:szCs w:val="14"/>
          <w:color w:val="auto"/>
        </w:rPr>
        <w:t>Section 16(a) of the Exchange Act requires the Company's executive officers and directors, and persons who beneficially own more than ten percent of a registered class of the Company's equity securities, to file reports of ownership and changes in ownership on Forms 3, 4 and 5 with the SEC. As a practical matter, the Company assists its directors and executive officers by monitoring transactions and completing and filing Section 16 reports on their behalf. The Company believes that all filings required to be made under Section 16(a) of the Exchange Act during 2014 were timely made.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Executive Officers</w:t>
      </w:r>
    </w:p>
    <w:p>
      <w:pPr>
        <w:spacing w:after="0" w:line="246" w:lineRule="exact"/>
        <w:rPr>
          <w:sz w:val="20"/>
          <w:szCs w:val="20"/>
          <w:color w:val="auto"/>
        </w:rPr>
      </w:pPr>
    </w:p>
    <w:p>
      <w:pPr>
        <w:ind w:left="560" w:right="840"/>
        <w:spacing w:after="0" w:line="278" w:lineRule="auto"/>
        <w:rPr>
          <w:sz w:val="20"/>
          <w:szCs w:val="20"/>
          <w:color w:val="auto"/>
        </w:rPr>
      </w:pPr>
      <w:r>
        <w:rPr>
          <w:rFonts w:ascii="Arial" w:cs="Arial" w:eastAsia="Arial" w:hAnsi="Arial"/>
          <w:sz w:val="16"/>
          <w:szCs w:val="16"/>
          <w:color w:val="auto"/>
        </w:rPr>
        <w:t>The present executive officers of the Company are set forth in the table below. All executive officers are appointed at the annual meeting or interim meetings of the Board of Directors. Each executive officer is appointed by the Board of Directors to hold office at the discretion of the Board of Directors and may be removed at any time by the Board of Directors with or without cause.</w:t>
      </w:r>
    </w:p>
    <w:p>
      <w:pPr>
        <w:spacing w:after="0" w:line="145" w:lineRule="exact"/>
        <w:rPr>
          <w:sz w:val="20"/>
          <w:szCs w:val="20"/>
          <w:color w:val="auto"/>
        </w:rPr>
      </w:pPr>
    </w:p>
    <w:tbl>
      <w:tblPr>
        <w:tblLayout w:type="fixed"/>
        <w:tblInd w:w="560" w:type="dxa"/>
        <w:tblCellMar>
          <w:top w:w="0" w:type="dxa"/>
          <w:left w:w="0" w:type="dxa"/>
          <w:bottom w:w="0" w:type="dxa"/>
          <w:right w:w="0" w:type="dxa"/>
        </w:tblCellMar>
      </w:tblPr>
      <w:tr>
        <w:trPr>
          <w:trHeight w:val="208"/>
        </w:trPr>
        <w:tc>
          <w:tcPr>
            <w:tcW w:w="17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w:t>
            </w:r>
          </w:p>
        </w:tc>
        <w:tc>
          <w:tcPr>
            <w:tcW w:w="792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Offices or Positions To be Held</w:t>
            </w:r>
          </w:p>
        </w:tc>
      </w:tr>
      <w:tr>
        <w:trPr>
          <w:trHeight w:val="195"/>
        </w:trPr>
        <w:tc>
          <w:tcPr>
            <w:tcW w:w="1700" w:type="dxa"/>
            <w:vAlign w:val="bottom"/>
            <w:shd w:val="clear" w:color="auto" w:fill="E9E9E9"/>
          </w:tcPr>
          <w:p>
            <w:pPr>
              <w:ind w:left="60"/>
              <w:spacing w:after="0"/>
              <w:rPr>
                <w:sz w:val="20"/>
                <w:szCs w:val="20"/>
                <w:color w:val="auto"/>
              </w:rPr>
            </w:pPr>
            <w:r>
              <w:rPr>
                <w:rFonts w:ascii="Arial" w:cs="Arial" w:eastAsia="Arial" w:hAnsi="Arial"/>
                <w:sz w:val="16"/>
                <w:szCs w:val="16"/>
                <w:color w:val="auto"/>
              </w:rPr>
              <w:t>Ronald L. Nelson</w:t>
            </w:r>
          </w:p>
        </w:tc>
        <w:tc>
          <w:tcPr>
            <w:tcW w:w="7920" w:type="dxa"/>
            <w:vAlign w:val="bottom"/>
            <w:shd w:val="clear" w:color="auto" w:fill="E9E9E9"/>
          </w:tcPr>
          <w:p>
            <w:pPr>
              <w:ind w:left="440"/>
              <w:spacing w:after="0"/>
              <w:rPr>
                <w:sz w:val="20"/>
                <w:szCs w:val="20"/>
                <w:color w:val="auto"/>
              </w:rPr>
            </w:pPr>
            <w:r>
              <w:rPr>
                <w:rFonts w:ascii="Arial" w:cs="Arial" w:eastAsia="Arial" w:hAnsi="Arial"/>
                <w:sz w:val="16"/>
                <w:szCs w:val="16"/>
                <w:color w:val="auto"/>
              </w:rPr>
              <w:t>Chief Executive Officer, President and Chief Operating Officer</w:t>
            </w:r>
          </w:p>
        </w:tc>
      </w:tr>
      <w:tr>
        <w:trPr>
          <w:trHeight w:val="203"/>
        </w:trPr>
        <w:tc>
          <w:tcPr>
            <w:tcW w:w="1700" w:type="dxa"/>
            <w:vAlign w:val="bottom"/>
          </w:tcPr>
          <w:p>
            <w:pPr>
              <w:ind w:left="60"/>
              <w:spacing w:after="0"/>
              <w:rPr>
                <w:sz w:val="20"/>
                <w:szCs w:val="20"/>
                <w:color w:val="auto"/>
              </w:rPr>
            </w:pPr>
            <w:r>
              <w:rPr>
                <w:rFonts w:ascii="Arial" w:cs="Arial" w:eastAsia="Arial" w:hAnsi="Arial"/>
                <w:sz w:val="16"/>
                <w:szCs w:val="16"/>
                <w:color w:val="auto"/>
              </w:rPr>
              <w:t>David B. Wyshner</w:t>
            </w:r>
          </w:p>
        </w:tc>
        <w:tc>
          <w:tcPr>
            <w:tcW w:w="7920" w:type="dxa"/>
            <w:vAlign w:val="bottom"/>
          </w:tcPr>
          <w:p>
            <w:pPr>
              <w:ind w:left="440"/>
              <w:spacing w:after="0"/>
              <w:rPr>
                <w:sz w:val="20"/>
                <w:szCs w:val="20"/>
                <w:color w:val="auto"/>
              </w:rPr>
            </w:pPr>
            <w:r>
              <w:rPr>
                <w:rFonts w:ascii="Arial" w:cs="Arial" w:eastAsia="Arial" w:hAnsi="Arial"/>
                <w:sz w:val="16"/>
                <w:szCs w:val="16"/>
                <w:color w:val="auto"/>
              </w:rPr>
              <w:t>Senior Executive Vice President and Chief Financial Officer</w:t>
            </w:r>
          </w:p>
        </w:tc>
      </w:tr>
      <w:tr>
        <w:trPr>
          <w:trHeight w:val="203"/>
        </w:trPr>
        <w:tc>
          <w:tcPr>
            <w:tcW w:w="1700" w:type="dxa"/>
            <w:vAlign w:val="bottom"/>
            <w:shd w:val="clear" w:color="auto" w:fill="E9E9E9"/>
          </w:tcPr>
          <w:p>
            <w:pPr>
              <w:ind w:left="60"/>
              <w:spacing w:after="0"/>
              <w:rPr>
                <w:sz w:val="20"/>
                <w:szCs w:val="20"/>
                <w:color w:val="auto"/>
              </w:rPr>
            </w:pPr>
            <w:r>
              <w:rPr>
                <w:rFonts w:ascii="Arial" w:cs="Arial" w:eastAsia="Arial" w:hAnsi="Arial"/>
                <w:sz w:val="16"/>
                <w:szCs w:val="16"/>
                <w:color w:val="auto"/>
              </w:rPr>
              <w:t>W. Scott Deaver</w:t>
            </w:r>
          </w:p>
        </w:tc>
        <w:tc>
          <w:tcPr>
            <w:tcW w:w="7920" w:type="dxa"/>
            <w:vAlign w:val="bottom"/>
            <w:shd w:val="clear" w:color="auto" w:fill="E9E9E9"/>
          </w:tcPr>
          <w:p>
            <w:pPr>
              <w:ind w:left="440"/>
              <w:spacing w:after="0"/>
              <w:rPr>
                <w:sz w:val="20"/>
                <w:szCs w:val="20"/>
                <w:color w:val="auto"/>
              </w:rPr>
            </w:pPr>
            <w:r>
              <w:rPr>
                <w:rFonts w:ascii="Arial" w:cs="Arial" w:eastAsia="Arial" w:hAnsi="Arial"/>
                <w:sz w:val="16"/>
                <w:szCs w:val="16"/>
                <w:color w:val="auto"/>
              </w:rPr>
              <w:t>Executive Vice President, Chief Strategy and Development Officer</w:t>
            </w:r>
          </w:p>
        </w:tc>
      </w:tr>
      <w:tr>
        <w:trPr>
          <w:trHeight w:val="203"/>
        </w:trPr>
        <w:tc>
          <w:tcPr>
            <w:tcW w:w="1700" w:type="dxa"/>
            <w:vAlign w:val="bottom"/>
          </w:tcPr>
          <w:p>
            <w:pPr>
              <w:ind w:left="60"/>
              <w:spacing w:after="0"/>
              <w:rPr>
                <w:sz w:val="20"/>
                <w:szCs w:val="20"/>
                <w:color w:val="auto"/>
              </w:rPr>
            </w:pPr>
            <w:r>
              <w:rPr>
                <w:rFonts w:ascii="Arial" w:cs="Arial" w:eastAsia="Arial" w:hAnsi="Arial"/>
                <w:sz w:val="16"/>
                <w:szCs w:val="16"/>
                <w:color w:val="auto"/>
              </w:rPr>
              <w:t>Larry D. De Shon</w:t>
            </w:r>
          </w:p>
        </w:tc>
        <w:tc>
          <w:tcPr>
            <w:tcW w:w="7920" w:type="dxa"/>
            <w:vAlign w:val="bottom"/>
          </w:tcPr>
          <w:p>
            <w:pPr>
              <w:ind w:left="440"/>
              <w:spacing w:after="0"/>
              <w:rPr>
                <w:sz w:val="20"/>
                <w:szCs w:val="20"/>
                <w:color w:val="auto"/>
              </w:rPr>
            </w:pPr>
            <w:r>
              <w:rPr>
                <w:rFonts w:ascii="Arial" w:cs="Arial" w:eastAsia="Arial" w:hAnsi="Arial"/>
                <w:sz w:val="16"/>
                <w:szCs w:val="16"/>
                <w:color w:val="auto"/>
              </w:rPr>
              <w:t>President, International</w:t>
            </w:r>
          </w:p>
        </w:tc>
      </w:tr>
      <w:tr>
        <w:trPr>
          <w:trHeight w:val="203"/>
        </w:trPr>
        <w:tc>
          <w:tcPr>
            <w:tcW w:w="1700" w:type="dxa"/>
            <w:vAlign w:val="bottom"/>
            <w:shd w:val="clear" w:color="auto" w:fill="E9E9E9"/>
          </w:tcPr>
          <w:p>
            <w:pPr>
              <w:ind w:left="60"/>
              <w:spacing w:after="0"/>
              <w:rPr>
                <w:sz w:val="20"/>
                <w:szCs w:val="20"/>
                <w:color w:val="auto"/>
              </w:rPr>
            </w:pPr>
            <w:r>
              <w:rPr>
                <w:rFonts w:ascii="Arial" w:cs="Arial" w:eastAsia="Arial" w:hAnsi="Arial"/>
                <w:sz w:val="16"/>
                <w:szCs w:val="16"/>
                <w:color w:val="auto"/>
              </w:rPr>
              <w:t>Joseph A. Ferraro</w:t>
            </w:r>
          </w:p>
        </w:tc>
        <w:tc>
          <w:tcPr>
            <w:tcW w:w="7920" w:type="dxa"/>
            <w:vAlign w:val="bottom"/>
            <w:shd w:val="clear" w:color="auto" w:fill="E9E9E9"/>
          </w:tcPr>
          <w:p>
            <w:pPr>
              <w:ind w:left="440"/>
              <w:spacing w:after="0"/>
              <w:rPr>
                <w:sz w:val="20"/>
                <w:szCs w:val="20"/>
                <w:color w:val="auto"/>
              </w:rPr>
            </w:pPr>
            <w:r>
              <w:rPr>
                <w:rFonts w:ascii="Arial" w:cs="Arial" w:eastAsia="Arial" w:hAnsi="Arial"/>
                <w:sz w:val="16"/>
                <w:szCs w:val="16"/>
                <w:color w:val="auto"/>
              </w:rPr>
              <w:t>President, Americas</w:t>
            </w:r>
          </w:p>
        </w:tc>
      </w:tr>
      <w:tr>
        <w:trPr>
          <w:trHeight w:val="203"/>
        </w:trPr>
        <w:tc>
          <w:tcPr>
            <w:tcW w:w="1700" w:type="dxa"/>
            <w:vAlign w:val="bottom"/>
          </w:tcPr>
          <w:p>
            <w:pPr>
              <w:ind w:left="60"/>
              <w:spacing w:after="0"/>
              <w:rPr>
                <w:sz w:val="20"/>
                <w:szCs w:val="20"/>
                <w:color w:val="auto"/>
              </w:rPr>
            </w:pPr>
            <w:r>
              <w:rPr>
                <w:rFonts w:ascii="Arial" w:cs="Arial" w:eastAsia="Arial" w:hAnsi="Arial"/>
                <w:sz w:val="16"/>
                <w:szCs w:val="16"/>
                <w:color w:val="auto"/>
              </w:rPr>
              <w:t>Michael K. Tucker</w:t>
            </w:r>
          </w:p>
        </w:tc>
        <w:tc>
          <w:tcPr>
            <w:tcW w:w="7920" w:type="dxa"/>
            <w:vAlign w:val="bottom"/>
          </w:tcPr>
          <w:p>
            <w:pPr>
              <w:ind w:left="440"/>
              <w:spacing w:after="0"/>
              <w:rPr>
                <w:sz w:val="20"/>
                <w:szCs w:val="20"/>
                <w:color w:val="auto"/>
              </w:rPr>
            </w:pPr>
            <w:r>
              <w:rPr>
                <w:rFonts w:ascii="Arial" w:cs="Arial" w:eastAsia="Arial" w:hAnsi="Arial"/>
                <w:sz w:val="16"/>
                <w:szCs w:val="16"/>
                <w:color w:val="auto"/>
              </w:rPr>
              <w:t>Executive Vice President, General Counsel and Chief Compliance Officer</w:t>
            </w:r>
          </w:p>
        </w:tc>
      </w:tr>
      <w:tr>
        <w:trPr>
          <w:trHeight w:val="203"/>
        </w:trPr>
        <w:tc>
          <w:tcPr>
            <w:tcW w:w="1700" w:type="dxa"/>
            <w:vAlign w:val="bottom"/>
            <w:shd w:val="clear" w:color="auto" w:fill="E9E9E9"/>
          </w:tcPr>
          <w:p>
            <w:pPr>
              <w:ind w:left="60"/>
              <w:spacing w:after="0"/>
              <w:rPr>
                <w:sz w:val="20"/>
                <w:szCs w:val="20"/>
                <w:color w:val="auto"/>
              </w:rPr>
            </w:pPr>
            <w:r>
              <w:rPr>
                <w:rFonts w:ascii="Arial" w:cs="Arial" w:eastAsia="Arial" w:hAnsi="Arial"/>
                <w:sz w:val="16"/>
                <w:szCs w:val="16"/>
                <w:color w:val="auto"/>
              </w:rPr>
              <w:t>Edward P. Linnen</w:t>
            </w:r>
          </w:p>
        </w:tc>
        <w:tc>
          <w:tcPr>
            <w:tcW w:w="7920" w:type="dxa"/>
            <w:vAlign w:val="bottom"/>
            <w:shd w:val="clear" w:color="auto" w:fill="E9E9E9"/>
          </w:tcPr>
          <w:p>
            <w:pPr>
              <w:ind w:left="440"/>
              <w:spacing w:after="0"/>
              <w:rPr>
                <w:sz w:val="20"/>
                <w:szCs w:val="20"/>
                <w:color w:val="auto"/>
              </w:rPr>
            </w:pPr>
            <w:r>
              <w:rPr>
                <w:rFonts w:ascii="Arial" w:cs="Arial" w:eastAsia="Arial" w:hAnsi="Arial"/>
                <w:sz w:val="16"/>
                <w:szCs w:val="16"/>
                <w:color w:val="auto"/>
              </w:rPr>
              <w:t>Executive Vice President, Chief Human Resources Officer</w:t>
            </w:r>
          </w:p>
        </w:tc>
      </w:tr>
      <w:tr>
        <w:trPr>
          <w:trHeight w:val="203"/>
        </w:trPr>
        <w:tc>
          <w:tcPr>
            <w:tcW w:w="17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David T. Calabria</w:t>
            </w:r>
          </w:p>
        </w:tc>
        <w:tc>
          <w:tcPr>
            <w:tcW w:w="792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Vice President and Chief Accounting Officer</w:t>
            </w:r>
          </w:p>
        </w:tc>
      </w:tr>
    </w:tbl>
    <w:p>
      <w:pPr>
        <w:spacing w:after="0" w:line="226" w:lineRule="exact"/>
        <w:rPr>
          <w:sz w:val="20"/>
          <w:szCs w:val="20"/>
          <w:color w:val="auto"/>
        </w:rPr>
      </w:pPr>
    </w:p>
    <w:p>
      <w:pPr>
        <w:ind w:left="560" w:right="940"/>
        <w:spacing w:after="0" w:line="291" w:lineRule="auto"/>
        <w:rPr>
          <w:sz w:val="20"/>
          <w:szCs w:val="20"/>
          <w:color w:val="auto"/>
        </w:rPr>
      </w:pPr>
      <w:r>
        <w:rPr>
          <w:rFonts w:ascii="Arial" w:cs="Arial" w:eastAsia="Arial" w:hAnsi="Arial"/>
          <w:sz w:val="16"/>
          <w:szCs w:val="16"/>
          <w:color w:val="auto"/>
        </w:rPr>
        <w:t>Biographical information for our Chief Executive Officer is set forth above under "Board of Directors—Biographical Information for Nominees." Biographical information for all other present executive officers is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0" w:type="dxa"/>
            <w:vAlign w:val="bottom"/>
          </w:tcPr>
          <w:p>
            <w:pPr>
              <w:spacing w:after="0"/>
              <w:rPr>
                <w:sz w:val="18"/>
                <w:szCs w:val="18"/>
                <w:color w:val="auto"/>
              </w:rPr>
            </w:pPr>
          </w:p>
        </w:tc>
        <w:tc>
          <w:tcPr>
            <w:tcW w:w="17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w:t>
            </w:r>
          </w:p>
        </w:tc>
        <w:tc>
          <w:tcPr>
            <w:tcW w:w="788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Biographical Information</w:t>
            </w:r>
          </w:p>
        </w:tc>
        <w:tc>
          <w:tcPr>
            <w:tcW w:w="620" w:type="dxa"/>
            <w:vAlign w:val="bottom"/>
          </w:tcPr>
          <w:p>
            <w:pPr>
              <w:spacing w:after="0"/>
              <w:rPr>
                <w:sz w:val="18"/>
                <w:szCs w:val="18"/>
                <w:color w:val="auto"/>
              </w:rPr>
            </w:pPr>
          </w:p>
        </w:tc>
      </w:tr>
      <w:tr>
        <w:trPr>
          <w:trHeight w:val="195"/>
        </w:trPr>
        <w:tc>
          <w:tcPr>
            <w:tcW w:w="560" w:type="dxa"/>
            <w:vAlign w:val="bottom"/>
          </w:tcPr>
          <w:p>
            <w:pPr>
              <w:spacing w:after="0"/>
              <w:rPr>
                <w:sz w:val="16"/>
                <w:szCs w:val="16"/>
                <w:color w:val="auto"/>
              </w:rPr>
            </w:pPr>
          </w:p>
        </w:tc>
        <w:tc>
          <w:tcPr>
            <w:tcW w:w="1740" w:type="dxa"/>
            <w:vAlign w:val="bottom"/>
            <w:shd w:val="clear" w:color="auto" w:fill="E9E9E9"/>
          </w:tcPr>
          <w:p>
            <w:pPr>
              <w:ind w:left="60"/>
              <w:spacing w:after="0"/>
              <w:rPr>
                <w:sz w:val="20"/>
                <w:szCs w:val="20"/>
                <w:color w:val="auto"/>
              </w:rPr>
            </w:pPr>
            <w:r>
              <w:rPr>
                <w:rFonts w:ascii="Arial" w:cs="Arial" w:eastAsia="Arial" w:hAnsi="Arial"/>
                <w:sz w:val="16"/>
                <w:szCs w:val="16"/>
                <w:color w:val="auto"/>
              </w:rPr>
              <w:t>David B. Wyshner</w:t>
            </w:r>
          </w:p>
        </w:tc>
        <w:tc>
          <w:tcPr>
            <w:tcW w:w="7880" w:type="dxa"/>
            <w:vAlign w:val="bottom"/>
            <w:shd w:val="clear" w:color="auto" w:fill="E9E9E9"/>
          </w:tcPr>
          <w:p>
            <w:pPr>
              <w:ind w:left="500"/>
              <w:spacing w:after="0"/>
              <w:rPr>
                <w:sz w:val="20"/>
                <w:szCs w:val="20"/>
                <w:color w:val="auto"/>
              </w:rPr>
            </w:pPr>
            <w:r>
              <w:rPr>
                <w:rFonts w:ascii="Arial" w:cs="Arial" w:eastAsia="Arial" w:hAnsi="Arial"/>
                <w:sz w:val="16"/>
                <w:szCs w:val="16"/>
                <w:b w:val="1"/>
                <w:bCs w:val="1"/>
                <w:color w:val="auto"/>
                <w:w w:val="95"/>
              </w:rPr>
              <w:t>Mr. Wyshner</w:t>
            </w:r>
            <w:r>
              <w:rPr>
                <w:rFonts w:ascii="Arial" w:cs="Arial" w:eastAsia="Arial" w:hAnsi="Arial"/>
                <w:sz w:val="16"/>
                <w:szCs w:val="16"/>
                <w:color w:val="auto"/>
                <w:w w:val="95"/>
              </w:rPr>
              <w:t>, age 47, has been Chief Financial Officer since August 2006. Mr. Wyshner also held the title of</w:t>
            </w:r>
          </w:p>
        </w:tc>
        <w:tc>
          <w:tcPr>
            <w:tcW w:w="620" w:type="dxa"/>
            <w:vAlign w:val="bottom"/>
          </w:tcPr>
          <w:p>
            <w:pPr>
              <w:spacing w:after="0"/>
              <w:rPr>
                <w:sz w:val="16"/>
                <w:szCs w:val="16"/>
                <w:color w:val="auto"/>
              </w:rPr>
            </w:pPr>
          </w:p>
        </w:tc>
      </w:tr>
      <w:tr>
        <w:trPr>
          <w:trHeight w:val="203"/>
        </w:trPr>
        <w:tc>
          <w:tcPr>
            <w:tcW w:w="560" w:type="dxa"/>
            <w:vAlign w:val="bottom"/>
          </w:tcPr>
          <w:p>
            <w:pPr>
              <w:spacing w:after="0"/>
              <w:rPr>
                <w:sz w:val="17"/>
                <w:szCs w:val="17"/>
                <w:color w:val="auto"/>
              </w:rPr>
            </w:pPr>
          </w:p>
        </w:tc>
        <w:tc>
          <w:tcPr>
            <w:tcW w:w="1740" w:type="dxa"/>
            <w:vAlign w:val="bottom"/>
            <w:shd w:val="clear" w:color="auto" w:fill="E9E9E9"/>
          </w:tcPr>
          <w:p>
            <w:pPr>
              <w:spacing w:after="0"/>
              <w:rPr>
                <w:sz w:val="17"/>
                <w:szCs w:val="17"/>
                <w:color w:val="auto"/>
              </w:rPr>
            </w:pPr>
          </w:p>
        </w:tc>
        <w:tc>
          <w:tcPr>
            <w:tcW w:w="7880" w:type="dxa"/>
            <w:vAlign w:val="bottom"/>
            <w:shd w:val="clear" w:color="auto" w:fill="E9E9E9"/>
          </w:tcPr>
          <w:p>
            <w:pPr>
              <w:ind w:left="500"/>
              <w:spacing w:after="0"/>
              <w:rPr>
                <w:sz w:val="20"/>
                <w:szCs w:val="20"/>
                <w:color w:val="auto"/>
              </w:rPr>
            </w:pPr>
            <w:r>
              <w:rPr>
                <w:rFonts w:ascii="Arial" w:cs="Arial" w:eastAsia="Arial" w:hAnsi="Arial"/>
                <w:sz w:val="16"/>
                <w:szCs w:val="16"/>
                <w:color w:val="auto"/>
                <w:w w:val="96"/>
              </w:rPr>
              <w:t>Executive Vice President and Chief Financial Officer from August 2006 through October 2011, when he was</w:t>
            </w: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1740" w:type="dxa"/>
            <w:vAlign w:val="bottom"/>
            <w:shd w:val="clear" w:color="auto" w:fill="E9E9E9"/>
          </w:tcPr>
          <w:p>
            <w:pPr>
              <w:spacing w:after="0"/>
              <w:rPr>
                <w:sz w:val="17"/>
                <w:szCs w:val="17"/>
                <w:color w:val="auto"/>
              </w:rPr>
            </w:pPr>
          </w:p>
        </w:tc>
        <w:tc>
          <w:tcPr>
            <w:tcW w:w="7880" w:type="dxa"/>
            <w:vAlign w:val="bottom"/>
            <w:shd w:val="clear" w:color="auto" w:fill="E9E9E9"/>
          </w:tcPr>
          <w:p>
            <w:pPr>
              <w:ind w:left="500"/>
              <w:spacing w:after="0"/>
              <w:rPr>
                <w:sz w:val="20"/>
                <w:szCs w:val="20"/>
                <w:color w:val="auto"/>
              </w:rPr>
            </w:pPr>
            <w:r>
              <w:rPr>
                <w:rFonts w:ascii="Arial" w:cs="Arial" w:eastAsia="Arial" w:hAnsi="Arial"/>
                <w:sz w:val="16"/>
                <w:szCs w:val="16"/>
                <w:color w:val="auto"/>
                <w:w w:val="91"/>
              </w:rPr>
              <w:t>promoted to Senior Executive Vice President, and also served as Treasurer from August 2006 to November 2007.</w:t>
            </w: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1740" w:type="dxa"/>
            <w:vAlign w:val="bottom"/>
            <w:shd w:val="clear" w:color="auto" w:fill="E9E9E9"/>
          </w:tcPr>
          <w:p>
            <w:pPr>
              <w:spacing w:after="0"/>
              <w:rPr>
                <w:sz w:val="17"/>
                <w:szCs w:val="17"/>
                <w:color w:val="auto"/>
              </w:rPr>
            </w:pPr>
          </w:p>
        </w:tc>
        <w:tc>
          <w:tcPr>
            <w:tcW w:w="7880" w:type="dxa"/>
            <w:vAlign w:val="bottom"/>
            <w:shd w:val="clear" w:color="auto" w:fill="E9E9E9"/>
          </w:tcPr>
          <w:p>
            <w:pPr>
              <w:ind w:left="500"/>
              <w:spacing w:after="0"/>
              <w:rPr>
                <w:sz w:val="20"/>
                <w:szCs w:val="20"/>
                <w:color w:val="auto"/>
              </w:rPr>
            </w:pPr>
            <w:r>
              <w:rPr>
                <w:rFonts w:ascii="Arial" w:cs="Arial" w:eastAsia="Arial" w:hAnsi="Arial"/>
                <w:sz w:val="16"/>
                <w:szCs w:val="16"/>
                <w:color w:val="auto"/>
                <w:w w:val="99"/>
              </w:rPr>
              <w:t>Previously, Mr. Wyshner held several key roles within Cendant, starting in 1999, including Executive Vice</w:t>
            </w: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1740" w:type="dxa"/>
            <w:vAlign w:val="bottom"/>
            <w:shd w:val="clear" w:color="auto" w:fill="E9E9E9"/>
          </w:tcPr>
          <w:p>
            <w:pPr>
              <w:spacing w:after="0"/>
              <w:rPr>
                <w:sz w:val="17"/>
                <w:szCs w:val="17"/>
                <w:color w:val="auto"/>
              </w:rPr>
            </w:pPr>
          </w:p>
        </w:tc>
        <w:tc>
          <w:tcPr>
            <w:tcW w:w="7880" w:type="dxa"/>
            <w:vAlign w:val="bottom"/>
            <w:shd w:val="clear" w:color="auto" w:fill="E9E9E9"/>
          </w:tcPr>
          <w:p>
            <w:pPr>
              <w:ind w:left="500"/>
              <w:spacing w:after="0"/>
              <w:rPr>
                <w:sz w:val="20"/>
                <w:szCs w:val="20"/>
                <w:color w:val="auto"/>
              </w:rPr>
            </w:pPr>
            <w:r>
              <w:rPr>
                <w:rFonts w:ascii="Arial" w:cs="Arial" w:eastAsia="Arial" w:hAnsi="Arial"/>
                <w:sz w:val="16"/>
                <w:szCs w:val="16"/>
                <w:color w:val="auto"/>
                <w:w w:val="92"/>
              </w:rPr>
              <w:t>President and Treasurer, and Vice Chairman of the Travel Services Division, which included the Avis and Budget</w:t>
            </w: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1740" w:type="dxa"/>
            <w:vAlign w:val="bottom"/>
            <w:shd w:val="clear" w:color="auto" w:fill="E9E9E9"/>
          </w:tcPr>
          <w:p>
            <w:pPr>
              <w:spacing w:after="0"/>
              <w:rPr>
                <w:sz w:val="17"/>
                <w:szCs w:val="17"/>
                <w:color w:val="auto"/>
              </w:rPr>
            </w:pPr>
          </w:p>
        </w:tc>
        <w:tc>
          <w:tcPr>
            <w:tcW w:w="7880" w:type="dxa"/>
            <w:vAlign w:val="bottom"/>
            <w:shd w:val="clear" w:color="auto" w:fill="E9E9E9"/>
          </w:tcPr>
          <w:p>
            <w:pPr>
              <w:ind w:left="500"/>
              <w:spacing w:after="0"/>
              <w:rPr>
                <w:sz w:val="20"/>
                <w:szCs w:val="20"/>
                <w:color w:val="auto"/>
              </w:rPr>
            </w:pPr>
            <w:r>
              <w:rPr>
                <w:rFonts w:ascii="Arial" w:cs="Arial" w:eastAsia="Arial" w:hAnsi="Arial"/>
                <w:sz w:val="16"/>
                <w:szCs w:val="16"/>
                <w:color w:val="auto"/>
                <w:w w:val="95"/>
              </w:rPr>
              <w:t>vehicle rental businesses. Prior to joining the Company, Mr. Wyshner was a Vice President in Merrill Lynch &amp;</w:t>
            </w:r>
          </w:p>
        </w:tc>
        <w:tc>
          <w:tcPr>
            <w:tcW w:w="620" w:type="dxa"/>
            <w:vAlign w:val="bottom"/>
          </w:tcPr>
          <w:p>
            <w:pPr>
              <w:spacing w:after="0"/>
              <w:rPr>
                <w:sz w:val="17"/>
                <w:szCs w:val="17"/>
                <w:color w:val="auto"/>
              </w:rPr>
            </w:pPr>
          </w:p>
        </w:tc>
      </w:tr>
      <w:tr>
        <w:trPr>
          <w:trHeight w:val="204"/>
        </w:trPr>
        <w:tc>
          <w:tcPr>
            <w:tcW w:w="560" w:type="dxa"/>
            <w:vAlign w:val="bottom"/>
          </w:tcPr>
          <w:p>
            <w:pPr>
              <w:spacing w:after="0"/>
              <w:rPr>
                <w:sz w:val="17"/>
                <w:szCs w:val="17"/>
                <w:color w:val="auto"/>
              </w:rPr>
            </w:pPr>
          </w:p>
        </w:tc>
        <w:tc>
          <w:tcPr>
            <w:tcW w:w="1740" w:type="dxa"/>
            <w:vAlign w:val="bottom"/>
            <w:shd w:val="clear" w:color="auto" w:fill="E9E9E9"/>
          </w:tcPr>
          <w:p>
            <w:pPr>
              <w:spacing w:after="0"/>
              <w:rPr>
                <w:sz w:val="17"/>
                <w:szCs w:val="17"/>
                <w:color w:val="auto"/>
              </w:rPr>
            </w:pPr>
          </w:p>
        </w:tc>
        <w:tc>
          <w:tcPr>
            <w:tcW w:w="7880" w:type="dxa"/>
            <w:vAlign w:val="bottom"/>
            <w:shd w:val="clear" w:color="auto" w:fill="E9E9E9"/>
          </w:tcPr>
          <w:p>
            <w:pPr>
              <w:ind w:left="500"/>
              <w:spacing w:after="0"/>
              <w:rPr>
                <w:sz w:val="20"/>
                <w:szCs w:val="20"/>
                <w:color w:val="auto"/>
              </w:rPr>
            </w:pPr>
            <w:r>
              <w:rPr>
                <w:rFonts w:ascii="Arial" w:cs="Arial" w:eastAsia="Arial" w:hAnsi="Arial"/>
                <w:sz w:val="16"/>
                <w:szCs w:val="16"/>
                <w:color w:val="auto"/>
              </w:rPr>
              <w:t>Co.'s investment banking division.</w:t>
            </w: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1740" w:type="dxa"/>
            <w:vAlign w:val="bottom"/>
          </w:tcPr>
          <w:p>
            <w:pPr>
              <w:ind w:left="60"/>
              <w:spacing w:after="0"/>
              <w:rPr>
                <w:sz w:val="20"/>
                <w:szCs w:val="20"/>
                <w:color w:val="auto"/>
              </w:rPr>
            </w:pPr>
            <w:r>
              <w:rPr>
                <w:rFonts w:ascii="Arial" w:cs="Arial" w:eastAsia="Arial" w:hAnsi="Arial"/>
                <w:sz w:val="16"/>
                <w:szCs w:val="16"/>
                <w:color w:val="auto"/>
              </w:rPr>
              <w:t>W. Scott Deaver</w:t>
            </w:r>
          </w:p>
        </w:tc>
        <w:tc>
          <w:tcPr>
            <w:tcW w:w="7880" w:type="dxa"/>
            <w:vAlign w:val="bottom"/>
          </w:tcPr>
          <w:p>
            <w:pPr>
              <w:ind w:left="500"/>
              <w:spacing w:after="0"/>
              <w:rPr>
                <w:sz w:val="20"/>
                <w:szCs w:val="20"/>
                <w:color w:val="auto"/>
              </w:rPr>
            </w:pPr>
            <w:r>
              <w:rPr>
                <w:rFonts w:ascii="Arial" w:cs="Arial" w:eastAsia="Arial" w:hAnsi="Arial"/>
                <w:sz w:val="16"/>
                <w:szCs w:val="16"/>
                <w:b w:val="1"/>
                <w:bCs w:val="1"/>
                <w:color w:val="auto"/>
                <w:w w:val="90"/>
              </w:rPr>
              <w:t>Mr. Deaver</w:t>
            </w:r>
            <w:r>
              <w:rPr>
                <w:rFonts w:ascii="Arial" w:cs="Arial" w:eastAsia="Arial" w:hAnsi="Arial"/>
                <w:sz w:val="16"/>
                <w:szCs w:val="16"/>
                <w:color w:val="auto"/>
                <w:w w:val="90"/>
              </w:rPr>
              <w:t>, age 63, has been Executive Vice President, Chief Strategy and Development Officer since September</w:t>
            </w: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880" w:type="dxa"/>
            <w:vAlign w:val="bottom"/>
          </w:tcPr>
          <w:p>
            <w:pPr>
              <w:ind w:left="500"/>
              <w:spacing w:after="0"/>
              <w:rPr>
                <w:sz w:val="20"/>
                <w:szCs w:val="20"/>
                <w:color w:val="auto"/>
              </w:rPr>
            </w:pPr>
            <w:r>
              <w:rPr>
                <w:rFonts w:ascii="Arial" w:cs="Arial" w:eastAsia="Arial" w:hAnsi="Arial"/>
                <w:sz w:val="16"/>
                <w:szCs w:val="16"/>
                <w:color w:val="auto"/>
                <w:w w:val="94"/>
              </w:rPr>
              <w:t>2012. Previously, Mr. Deaver held several positions with the Company, including as Executive Vice President,</w:t>
            </w: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880" w:type="dxa"/>
            <w:vAlign w:val="bottom"/>
          </w:tcPr>
          <w:p>
            <w:pPr>
              <w:ind w:left="500"/>
              <w:spacing w:after="0"/>
              <w:rPr>
                <w:sz w:val="20"/>
                <w:szCs w:val="20"/>
                <w:color w:val="auto"/>
              </w:rPr>
            </w:pPr>
            <w:r>
              <w:rPr>
                <w:rFonts w:ascii="Arial" w:cs="Arial" w:eastAsia="Arial" w:hAnsi="Arial"/>
                <w:sz w:val="16"/>
                <w:szCs w:val="16"/>
                <w:color w:val="auto"/>
                <w:w w:val="94"/>
              </w:rPr>
              <w:t>Strategy and Pricing and Executive Vice President, Marketing. Mr. Deaver started employment with one of the</w:t>
            </w:r>
          </w:p>
        </w:tc>
        <w:tc>
          <w:tcPr>
            <w:tcW w:w="620" w:type="dxa"/>
            <w:vAlign w:val="bottom"/>
          </w:tcPr>
          <w:p>
            <w:pPr>
              <w:spacing w:after="0"/>
              <w:rPr>
                <w:sz w:val="17"/>
                <w:szCs w:val="17"/>
                <w:color w:val="auto"/>
              </w:rPr>
            </w:pPr>
          </w:p>
        </w:tc>
      </w:tr>
      <w:tr>
        <w:trPr>
          <w:trHeight w:val="204"/>
        </w:trPr>
        <w:tc>
          <w:tcPr>
            <w:tcW w:w="5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880" w:type="dxa"/>
            <w:vAlign w:val="bottom"/>
          </w:tcPr>
          <w:p>
            <w:pPr>
              <w:ind w:left="500"/>
              <w:spacing w:after="0"/>
              <w:rPr>
                <w:sz w:val="20"/>
                <w:szCs w:val="20"/>
                <w:color w:val="auto"/>
              </w:rPr>
            </w:pPr>
            <w:r>
              <w:rPr>
                <w:rFonts w:ascii="Arial" w:cs="Arial" w:eastAsia="Arial" w:hAnsi="Arial"/>
                <w:sz w:val="16"/>
                <w:szCs w:val="16"/>
                <w:color w:val="auto"/>
              </w:rPr>
              <w:t>Company's predecessor companies in 1989.</w:t>
            </w: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1740" w:type="dxa"/>
            <w:vAlign w:val="bottom"/>
            <w:shd w:val="clear" w:color="auto" w:fill="E9E9E9"/>
          </w:tcPr>
          <w:p>
            <w:pPr>
              <w:ind w:left="60"/>
              <w:spacing w:after="0"/>
              <w:rPr>
                <w:sz w:val="20"/>
                <w:szCs w:val="20"/>
                <w:color w:val="auto"/>
              </w:rPr>
            </w:pPr>
            <w:r>
              <w:rPr>
                <w:rFonts w:ascii="Arial" w:cs="Arial" w:eastAsia="Arial" w:hAnsi="Arial"/>
                <w:sz w:val="16"/>
                <w:szCs w:val="16"/>
                <w:color w:val="auto"/>
              </w:rPr>
              <w:t>Larry D. De Shon</w:t>
            </w:r>
          </w:p>
        </w:tc>
        <w:tc>
          <w:tcPr>
            <w:tcW w:w="7880" w:type="dxa"/>
            <w:vAlign w:val="bottom"/>
            <w:shd w:val="clear" w:color="auto" w:fill="E9E9E9"/>
          </w:tcPr>
          <w:p>
            <w:pPr>
              <w:ind w:left="500"/>
              <w:spacing w:after="0"/>
              <w:rPr>
                <w:sz w:val="20"/>
                <w:szCs w:val="20"/>
                <w:color w:val="auto"/>
              </w:rPr>
            </w:pPr>
            <w:r>
              <w:rPr>
                <w:rFonts w:ascii="Arial" w:cs="Arial" w:eastAsia="Arial" w:hAnsi="Arial"/>
                <w:sz w:val="16"/>
                <w:szCs w:val="16"/>
                <w:b w:val="1"/>
                <w:bCs w:val="1"/>
                <w:color w:val="auto"/>
                <w:w w:val="90"/>
              </w:rPr>
              <w:t>Mr. De Shon</w:t>
            </w:r>
            <w:r>
              <w:rPr>
                <w:rFonts w:ascii="Arial" w:cs="Arial" w:eastAsia="Arial" w:hAnsi="Arial"/>
                <w:sz w:val="16"/>
                <w:szCs w:val="16"/>
                <w:color w:val="auto"/>
                <w:w w:val="90"/>
              </w:rPr>
              <w:t>, age 55, has been President, International since January 2015. Previously, Mr. De Shon held the title</w:t>
            </w: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1740" w:type="dxa"/>
            <w:vAlign w:val="bottom"/>
            <w:shd w:val="clear" w:color="auto" w:fill="E9E9E9"/>
          </w:tcPr>
          <w:p>
            <w:pPr>
              <w:spacing w:after="0"/>
              <w:rPr>
                <w:sz w:val="17"/>
                <w:szCs w:val="17"/>
                <w:color w:val="auto"/>
              </w:rPr>
            </w:pPr>
          </w:p>
        </w:tc>
        <w:tc>
          <w:tcPr>
            <w:tcW w:w="7880" w:type="dxa"/>
            <w:vAlign w:val="bottom"/>
            <w:shd w:val="clear" w:color="auto" w:fill="E9E9E9"/>
          </w:tcPr>
          <w:p>
            <w:pPr>
              <w:ind w:left="500"/>
              <w:spacing w:after="0"/>
              <w:rPr>
                <w:sz w:val="20"/>
                <w:szCs w:val="20"/>
                <w:color w:val="auto"/>
              </w:rPr>
            </w:pPr>
            <w:r>
              <w:rPr>
                <w:rFonts w:ascii="Arial" w:cs="Arial" w:eastAsia="Arial" w:hAnsi="Arial"/>
                <w:sz w:val="16"/>
                <w:szCs w:val="16"/>
                <w:color w:val="auto"/>
                <w:w w:val="98"/>
              </w:rPr>
              <w:t>of President, EMEA from October 2011 until January 2015 and Executive Vice President, Operations from</w:t>
            </w: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1740" w:type="dxa"/>
            <w:vAlign w:val="bottom"/>
            <w:shd w:val="clear" w:color="auto" w:fill="E9E9E9"/>
          </w:tcPr>
          <w:p>
            <w:pPr>
              <w:spacing w:after="0"/>
              <w:rPr>
                <w:sz w:val="17"/>
                <w:szCs w:val="17"/>
                <w:color w:val="auto"/>
              </w:rPr>
            </w:pPr>
          </w:p>
        </w:tc>
        <w:tc>
          <w:tcPr>
            <w:tcW w:w="7880" w:type="dxa"/>
            <w:vAlign w:val="bottom"/>
            <w:shd w:val="clear" w:color="auto" w:fill="E9E9E9"/>
          </w:tcPr>
          <w:p>
            <w:pPr>
              <w:ind w:left="500"/>
              <w:spacing w:after="0"/>
              <w:rPr>
                <w:sz w:val="20"/>
                <w:szCs w:val="20"/>
                <w:color w:val="auto"/>
              </w:rPr>
            </w:pPr>
            <w:r>
              <w:rPr>
                <w:rFonts w:ascii="Arial" w:cs="Arial" w:eastAsia="Arial" w:hAnsi="Arial"/>
                <w:sz w:val="16"/>
                <w:szCs w:val="16"/>
                <w:color w:val="auto"/>
                <w:w w:val="91"/>
              </w:rPr>
              <w:t>October 2006 through October 2011. Prior to joining the Company, Mr. De Shon spent 28 years at United Airlines,</w:t>
            </w: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1740" w:type="dxa"/>
            <w:vAlign w:val="bottom"/>
            <w:shd w:val="clear" w:color="auto" w:fill="E9E9E9"/>
          </w:tcPr>
          <w:p>
            <w:pPr>
              <w:spacing w:after="0"/>
              <w:rPr>
                <w:sz w:val="17"/>
                <w:szCs w:val="17"/>
                <w:color w:val="auto"/>
              </w:rPr>
            </w:pPr>
          </w:p>
        </w:tc>
        <w:tc>
          <w:tcPr>
            <w:tcW w:w="7880" w:type="dxa"/>
            <w:vAlign w:val="bottom"/>
            <w:shd w:val="clear" w:color="auto" w:fill="E9E9E9"/>
          </w:tcPr>
          <w:p>
            <w:pPr>
              <w:ind w:left="500"/>
              <w:spacing w:after="0"/>
              <w:rPr>
                <w:sz w:val="20"/>
                <w:szCs w:val="20"/>
                <w:color w:val="auto"/>
              </w:rPr>
            </w:pPr>
            <w:r>
              <w:rPr>
                <w:rFonts w:ascii="Arial" w:cs="Arial" w:eastAsia="Arial" w:hAnsi="Arial"/>
                <w:sz w:val="16"/>
                <w:szCs w:val="16"/>
                <w:color w:val="auto"/>
              </w:rPr>
              <w:t>starting as a customer service representative and advancing to hold a number of positions of increasing</w:t>
            </w: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1740" w:type="dxa"/>
            <w:vAlign w:val="bottom"/>
            <w:shd w:val="clear" w:color="auto" w:fill="E9E9E9"/>
          </w:tcPr>
          <w:p>
            <w:pPr>
              <w:spacing w:after="0"/>
              <w:rPr>
                <w:sz w:val="17"/>
                <w:szCs w:val="17"/>
                <w:color w:val="auto"/>
              </w:rPr>
            </w:pPr>
          </w:p>
        </w:tc>
        <w:tc>
          <w:tcPr>
            <w:tcW w:w="7880" w:type="dxa"/>
            <w:vAlign w:val="bottom"/>
            <w:shd w:val="clear" w:color="auto" w:fill="E9E9E9"/>
          </w:tcPr>
          <w:p>
            <w:pPr>
              <w:ind w:left="500"/>
              <w:spacing w:after="0"/>
              <w:rPr>
                <w:sz w:val="20"/>
                <w:szCs w:val="20"/>
                <w:color w:val="auto"/>
              </w:rPr>
            </w:pPr>
            <w:r>
              <w:rPr>
                <w:rFonts w:ascii="Arial" w:cs="Arial" w:eastAsia="Arial" w:hAnsi="Arial"/>
                <w:sz w:val="16"/>
                <w:szCs w:val="16"/>
                <w:color w:val="auto"/>
                <w:w w:val="96"/>
              </w:rPr>
              <w:t>responsibility during his tenure, including Senior Vice President positions in marketing, on-board service and</w:t>
            </w:r>
          </w:p>
        </w:tc>
        <w:tc>
          <w:tcPr>
            <w:tcW w:w="620" w:type="dxa"/>
            <w:vAlign w:val="bottom"/>
          </w:tcPr>
          <w:p>
            <w:pPr>
              <w:spacing w:after="0"/>
              <w:rPr>
                <w:sz w:val="17"/>
                <w:szCs w:val="17"/>
                <w:color w:val="auto"/>
              </w:rPr>
            </w:pPr>
          </w:p>
        </w:tc>
      </w:tr>
      <w:tr>
        <w:trPr>
          <w:trHeight w:val="204"/>
        </w:trPr>
        <w:tc>
          <w:tcPr>
            <w:tcW w:w="560" w:type="dxa"/>
            <w:vAlign w:val="bottom"/>
          </w:tcPr>
          <w:p>
            <w:pPr>
              <w:spacing w:after="0"/>
              <w:rPr>
                <w:sz w:val="17"/>
                <w:szCs w:val="17"/>
                <w:color w:val="auto"/>
              </w:rPr>
            </w:pPr>
          </w:p>
        </w:tc>
        <w:tc>
          <w:tcPr>
            <w:tcW w:w="1740" w:type="dxa"/>
            <w:vAlign w:val="bottom"/>
            <w:shd w:val="clear" w:color="auto" w:fill="E9E9E9"/>
          </w:tcPr>
          <w:p>
            <w:pPr>
              <w:spacing w:after="0"/>
              <w:rPr>
                <w:sz w:val="17"/>
                <w:szCs w:val="17"/>
                <w:color w:val="auto"/>
              </w:rPr>
            </w:pPr>
          </w:p>
        </w:tc>
        <w:tc>
          <w:tcPr>
            <w:tcW w:w="7880" w:type="dxa"/>
            <w:vAlign w:val="bottom"/>
            <w:shd w:val="clear" w:color="auto" w:fill="E9E9E9"/>
          </w:tcPr>
          <w:p>
            <w:pPr>
              <w:ind w:left="500"/>
              <w:spacing w:after="0"/>
              <w:rPr>
                <w:sz w:val="20"/>
                <w:szCs w:val="20"/>
                <w:color w:val="auto"/>
              </w:rPr>
            </w:pPr>
            <w:r>
              <w:rPr>
                <w:rFonts w:ascii="Arial" w:cs="Arial" w:eastAsia="Arial" w:hAnsi="Arial"/>
                <w:sz w:val="16"/>
                <w:szCs w:val="16"/>
                <w:color w:val="auto"/>
              </w:rPr>
              <w:t>global airport operations.</w:t>
            </w:r>
          </w:p>
        </w:tc>
        <w:tc>
          <w:tcPr>
            <w:tcW w:w="620" w:type="dxa"/>
            <w:vAlign w:val="bottom"/>
          </w:tcPr>
          <w:p>
            <w:pPr>
              <w:spacing w:after="0"/>
              <w:rPr>
                <w:sz w:val="17"/>
                <w:szCs w:val="17"/>
                <w:color w:val="auto"/>
              </w:rPr>
            </w:pPr>
          </w:p>
        </w:tc>
      </w:tr>
      <w:tr>
        <w:trPr>
          <w:trHeight w:val="215"/>
        </w:trPr>
        <w:tc>
          <w:tcPr>
            <w:tcW w:w="2300" w:type="dxa"/>
            <w:vAlign w:val="bottom"/>
            <w:gridSpan w:val="2"/>
          </w:tcPr>
          <w:p>
            <w:pPr>
              <w:jc w:val="right"/>
              <w:ind w:right="1500"/>
              <w:spacing w:after="0"/>
              <w:rPr>
                <w:sz w:val="20"/>
                <w:szCs w:val="20"/>
                <w:color w:val="auto"/>
              </w:rPr>
            </w:pPr>
            <w:r>
              <w:rPr>
                <w:rFonts w:ascii="Arial" w:cs="Arial" w:eastAsia="Arial" w:hAnsi="Arial"/>
                <w:sz w:val="16"/>
                <w:szCs w:val="16"/>
                <w:color w:val="auto"/>
              </w:rPr>
              <w:t>17</w:t>
            </w:r>
          </w:p>
        </w:tc>
        <w:tc>
          <w:tcPr>
            <w:tcW w:w="78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27"/>
        </w:trPr>
        <w:tc>
          <w:tcPr>
            <w:tcW w:w="56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78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6843395</wp:posOffset>
            </wp:positionH>
            <wp:positionV relativeFrom="paragraph">
              <wp:posOffset>-34925</wp:posOffset>
            </wp:positionV>
            <wp:extent cx="12700" cy="35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-34925</wp:posOffset>
            </wp:positionV>
            <wp:extent cx="12700" cy="35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ectPr>
          <w:pgSz w:w="11900" w:h="16838" w:orient="portrait"/>
          <w:cols w:equalWidth="0" w:num="1">
            <w:col w:w="10800"/>
          </w:cols>
          <w:pgMar w:left="820" w:top="438" w:right="27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8"/>
        </w:trPr>
        <w:tc>
          <w:tcPr>
            <w:tcW w:w="560" w:type="dxa"/>
            <w:vAlign w:val="bottom"/>
          </w:tcPr>
          <w:p>
            <w:pPr>
              <w:spacing w:after="0"/>
              <w:rPr>
                <w:sz w:val="18"/>
                <w:szCs w:val="18"/>
                <w:color w:val="auto"/>
              </w:rPr>
            </w:pPr>
          </w:p>
        </w:tc>
        <w:tc>
          <w:tcPr>
            <w:tcW w:w="17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w:t>
            </w:r>
          </w:p>
        </w:tc>
        <w:tc>
          <w:tcPr>
            <w:tcW w:w="788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Biographical Information</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60" w:type="dxa"/>
            <w:vAlign w:val="bottom"/>
          </w:tcPr>
          <w:p>
            <w:pPr>
              <w:spacing w:after="0"/>
              <w:rPr>
                <w:sz w:val="16"/>
                <w:szCs w:val="16"/>
                <w:color w:val="auto"/>
              </w:rPr>
            </w:pPr>
          </w:p>
        </w:tc>
        <w:tc>
          <w:tcPr>
            <w:tcW w:w="1740" w:type="dxa"/>
            <w:vAlign w:val="bottom"/>
            <w:shd w:val="clear" w:color="auto" w:fill="E9E9E9"/>
          </w:tcPr>
          <w:p>
            <w:pPr>
              <w:ind w:left="60"/>
              <w:spacing w:after="0"/>
              <w:rPr>
                <w:sz w:val="20"/>
                <w:szCs w:val="20"/>
                <w:color w:val="auto"/>
              </w:rPr>
            </w:pPr>
            <w:r>
              <w:rPr>
                <w:rFonts w:ascii="Arial" w:cs="Arial" w:eastAsia="Arial" w:hAnsi="Arial"/>
                <w:sz w:val="16"/>
                <w:szCs w:val="16"/>
                <w:color w:val="auto"/>
              </w:rPr>
              <w:t>Joseph A. Ferrraro</w:t>
            </w:r>
          </w:p>
        </w:tc>
        <w:tc>
          <w:tcPr>
            <w:tcW w:w="7880" w:type="dxa"/>
            <w:vAlign w:val="bottom"/>
            <w:shd w:val="clear" w:color="auto" w:fill="E9E9E9"/>
          </w:tcPr>
          <w:p>
            <w:pPr>
              <w:ind w:left="480"/>
              <w:spacing w:after="0"/>
              <w:rPr>
                <w:sz w:val="20"/>
                <w:szCs w:val="20"/>
                <w:color w:val="auto"/>
              </w:rPr>
            </w:pPr>
            <w:r>
              <w:rPr>
                <w:rFonts w:ascii="Arial" w:cs="Arial" w:eastAsia="Arial" w:hAnsi="Arial"/>
                <w:sz w:val="16"/>
                <w:szCs w:val="16"/>
                <w:b w:val="1"/>
                <w:bCs w:val="1"/>
                <w:color w:val="auto"/>
                <w:w w:val="93"/>
              </w:rPr>
              <w:t>Mr. Ferraro</w:t>
            </w:r>
            <w:r>
              <w:rPr>
                <w:rFonts w:ascii="Arial" w:cs="Arial" w:eastAsia="Arial" w:hAnsi="Arial"/>
                <w:sz w:val="16"/>
                <w:szCs w:val="16"/>
                <w:color w:val="auto"/>
                <w:w w:val="93"/>
              </w:rPr>
              <w:t>, age 58, has been President, Americas since January 2015. Previously, Mr. Ferraro held the title of</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1740" w:type="dxa"/>
            <w:vAlign w:val="bottom"/>
            <w:shd w:val="clear" w:color="auto" w:fill="E9E9E9"/>
          </w:tcPr>
          <w:p>
            <w:pPr>
              <w:spacing w:after="0"/>
              <w:rPr>
                <w:sz w:val="17"/>
                <w:szCs w:val="17"/>
                <w:color w:val="auto"/>
              </w:rPr>
            </w:pPr>
          </w:p>
        </w:tc>
        <w:tc>
          <w:tcPr>
            <w:tcW w:w="7880" w:type="dxa"/>
            <w:vAlign w:val="bottom"/>
            <w:shd w:val="clear" w:color="auto" w:fill="E9E9E9"/>
          </w:tcPr>
          <w:p>
            <w:pPr>
              <w:ind w:left="480"/>
              <w:spacing w:after="0"/>
              <w:rPr>
                <w:sz w:val="20"/>
                <w:szCs w:val="20"/>
                <w:color w:val="auto"/>
              </w:rPr>
            </w:pPr>
            <w:r>
              <w:rPr>
                <w:rFonts w:ascii="Arial" w:cs="Arial" w:eastAsia="Arial" w:hAnsi="Arial"/>
                <w:sz w:val="16"/>
                <w:szCs w:val="16"/>
                <w:color w:val="auto"/>
                <w:w w:val="94"/>
              </w:rPr>
              <w:t>Senior Vice President, North America Operations since October 2011. Mr. Ferraro joined the Company in 1979</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1740" w:type="dxa"/>
            <w:vAlign w:val="bottom"/>
            <w:shd w:val="clear" w:color="auto" w:fill="E9E9E9"/>
          </w:tcPr>
          <w:p>
            <w:pPr>
              <w:spacing w:after="0"/>
              <w:rPr>
                <w:sz w:val="17"/>
                <w:szCs w:val="17"/>
                <w:color w:val="auto"/>
              </w:rPr>
            </w:pPr>
          </w:p>
        </w:tc>
        <w:tc>
          <w:tcPr>
            <w:tcW w:w="7880" w:type="dxa"/>
            <w:vAlign w:val="bottom"/>
            <w:shd w:val="clear" w:color="auto" w:fill="E9E9E9"/>
          </w:tcPr>
          <w:p>
            <w:pPr>
              <w:ind w:left="480"/>
              <w:spacing w:after="0"/>
              <w:rPr>
                <w:sz w:val="20"/>
                <w:szCs w:val="20"/>
                <w:color w:val="auto"/>
              </w:rPr>
            </w:pPr>
            <w:r>
              <w:rPr>
                <w:rFonts w:ascii="Arial" w:cs="Arial" w:eastAsia="Arial" w:hAnsi="Arial"/>
                <w:sz w:val="16"/>
                <w:szCs w:val="16"/>
                <w:color w:val="auto"/>
                <w:w w:val="96"/>
              </w:rPr>
              <w:t>and has served in various positions of increasing responsibility in the Company's North American operations.</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1740" w:type="dxa"/>
            <w:vAlign w:val="bottom"/>
          </w:tcPr>
          <w:p>
            <w:pPr>
              <w:ind w:left="60"/>
              <w:spacing w:after="0"/>
              <w:rPr>
                <w:sz w:val="20"/>
                <w:szCs w:val="20"/>
                <w:color w:val="auto"/>
              </w:rPr>
            </w:pPr>
            <w:r>
              <w:rPr>
                <w:rFonts w:ascii="Arial" w:cs="Arial" w:eastAsia="Arial" w:hAnsi="Arial"/>
                <w:sz w:val="16"/>
                <w:szCs w:val="16"/>
                <w:color w:val="auto"/>
              </w:rPr>
              <w:t>Michael K. Tucker</w:t>
            </w:r>
          </w:p>
        </w:tc>
        <w:tc>
          <w:tcPr>
            <w:tcW w:w="7880" w:type="dxa"/>
            <w:vAlign w:val="bottom"/>
          </w:tcPr>
          <w:p>
            <w:pPr>
              <w:ind w:left="480"/>
              <w:spacing w:after="0"/>
              <w:rPr>
                <w:sz w:val="20"/>
                <w:szCs w:val="20"/>
                <w:color w:val="auto"/>
              </w:rPr>
            </w:pPr>
            <w:r>
              <w:rPr>
                <w:rFonts w:ascii="Arial" w:cs="Arial" w:eastAsia="Arial" w:hAnsi="Arial"/>
                <w:sz w:val="16"/>
                <w:szCs w:val="16"/>
                <w:b w:val="1"/>
                <w:bCs w:val="1"/>
                <w:color w:val="auto"/>
                <w:w w:val="94"/>
              </w:rPr>
              <w:t>Mr. Tucker</w:t>
            </w:r>
            <w:r>
              <w:rPr>
                <w:rFonts w:ascii="Arial" w:cs="Arial" w:eastAsia="Arial" w:hAnsi="Arial"/>
                <w:sz w:val="16"/>
                <w:szCs w:val="16"/>
                <w:color w:val="auto"/>
                <w:w w:val="94"/>
              </w:rPr>
              <w:t>, age 57, has been Executive Vice President, General Counsel and Chief Compliance Officer since</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880" w:type="dxa"/>
            <w:vAlign w:val="bottom"/>
          </w:tcPr>
          <w:p>
            <w:pPr>
              <w:ind w:left="480"/>
              <w:spacing w:after="0"/>
              <w:rPr>
                <w:sz w:val="20"/>
                <w:szCs w:val="20"/>
                <w:color w:val="auto"/>
              </w:rPr>
            </w:pPr>
            <w:r>
              <w:rPr>
                <w:rFonts w:ascii="Arial" w:cs="Arial" w:eastAsia="Arial" w:hAnsi="Arial"/>
                <w:sz w:val="16"/>
                <w:szCs w:val="16"/>
                <w:color w:val="auto"/>
                <w:w w:val="93"/>
              </w:rPr>
              <w:t>April 2010. Prior to joining the Company, Mr. Tucker was in private practice, serving as managing partner at the</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880" w:type="dxa"/>
            <w:vAlign w:val="bottom"/>
          </w:tcPr>
          <w:p>
            <w:pPr>
              <w:ind w:left="480"/>
              <w:spacing w:after="0"/>
              <w:rPr>
                <w:sz w:val="20"/>
                <w:szCs w:val="20"/>
                <w:color w:val="auto"/>
              </w:rPr>
            </w:pPr>
            <w:r>
              <w:rPr>
                <w:rFonts w:ascii="Arial" w:cs="Arial" w:eastAsia="Arial" w:hAnsi="Arial"/>
                <w:sz w:val="16"/>
                <w:szCs w:val="16"/>
                <w:color w:val="auto"/>
                <w:w w:val="96"/>
              </w:rPr>
              <w:t>law firm of Tucker Associates and Of Counsel at the law firm of Lowe &amp; Savage from 2007. Prior thereto, Mr.</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880" w:type="dxa"/>
            <w:vAlign w:val="bottom"/>
          </w:tcPr>
          <w:p>
            <w:pPr>
              <w:ind w:left="480"/>
              <w:spacing w:after="0"/>
              <w:rPr>
                <w:sz w:val="20"/>
                <w:szCs w:val="20"/>
                <w:color w:val="auto"/>
              </w:rPr>
            </w:pPr>
            <w:r>
              <w:rPr>
                <w:rFonts w:ascii="Arial" w:cs="Arial" w:eastAsia="Arial" w:hAnsi="Arial"/>
                <w:sz w:val="16"/>
                <w:szCs w:val="16"/>
                <w:color w:val="auto"/>
                <w:w w:val="95"/>
              </w:rPr>
              <w:t>Tucker was Division General Counsel with Tyco International Ltd. from 2005. Prior to joining Tyco, Mr. Tucker</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880" w:type="dxa"/>
            <w:vAlign w:val="bottom"/>
          </w:tcPr>
          <w:p>
            <w:pPr>
              <w:ind w:left="480"/>
              <w:spacing w:after="0"/>
              <w:rPr>
                <w:sz w:val="20"/>
                <w:szCs w:val="20"/>
                <w:color w:val="auto"/>
              </w:rPr>
            </w:pPr>
            <w:r>
              <w:rPr>
                <w:rFonts w:ascii="Arial" w:cs="Arial" w:eastAsia="Arial" w:hAnsi="Arial"/>
                <w:sz w:val="16"/>
                <w:szCs w:val="16"/>
                <w:color w:val="auto"/>
              </w:rPr>
              <w:t>served in senior legal positions with General Electric Company, including division senior counsel of GE</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880" w:type="dxa"/>
            <w:vAlign w:val="bottom"/>
          </w:tcPr>
          <w:p>
            <w:pPr>
              <w:ind w:left="480"/>
              <w:spacing w:after="0"/>
              <w:rPr>
                <w:sz w:val="20"/>
                <w:szCs w:val="20"/>
                <w:color w:val="auto"/>
              </w:rPr>
            </w:pPr>
            <w:r>
              <w:rPr>
                <w:rFonts w:ascii="Arial" w:cs="Arial" w:eastAsia="Arial" w:hAnsi="Arial"/>
                <w:sz w:val="16"/>
                <w:szCs w:val="16"/>
                <w:color w:val="auto"/>
                <w:w w:val="91"/>
              </w:rPr>
              <w:t>Transportation and senior vice president and general counsel of GE Capital International Services. Prior to joining</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880" w:type="dxa"/>
            <w:vAlign w:val="bottom"/>
          </w:tcPr>
          <w:p>
            <w:pPr>
              <w:ind w:left="480"/>
              <w:spacing w:after="0"/>
              <w:rPr>
                <w:sz w:val="20"/>
                <w:szCs w:val="20"/>
                <w:color w:val="auto"/>
              </w:rPr>
            </w:pPr>
            <w:r>
              <w:rPr>
                <w:rFonts w:ascii="Arial" w:cs="Arial" w:eastAsia="Arial" w:hAnsi="Arial"/>
                <w:sz w:val="16"/>
                <w:szCs w:val="16"/>
                <w:color w:val="auto"/>
                <w:w w:val="94"/>
              </w:rPr>
              <w:t>General Electric, Mr. Tucker was associated with the law firms of Ballard Spahr Andrews &amp; Ingersoll, Bingham</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880" w:type="dxa"/>
            <w:vAlign w:val="bottom"/>
          </w:tcPr>
          <w:p>
            <w:pPr>
              <w:ind w:left="480"/>
              <w:spacing w:after="0"/>
              <w:rPr>
                <w:sz w:val="20"/>
                <w:szCs w:val="20"/>
                <w:color w:val="auto"/>
              </w:rPr>
            </w:pPr>
            <w:r>
              <w:rPr>
                <w:rFonts w:ascii="Arial" w:cs="Arial" w:eastAsia="Arial" w:hAnsi="Arial"/>
                <w:sz w:val="16"/>
                <w:szCs w:val="16"/>
                <w:color w:val="auto"/>
              </w:rPr>
              <w:t>Dana LLP, and Csaplar &amp; Bok.</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1740" w:type="dxa"/>
            <w:vAlign w:val="bottom"/>
            <w:shd w:val="clear" w:color="auto" w:fill="E9E9E9"/>
          </w:tcPr>
          <w:p>
            <w:pPr>
              <w:ind w:left="60"/>
              <w:spacing w:after="0"/>
              <w:rPr>
                <w:sz w:val="20"/>
                <w:szCs w:val="20"/>
                <w:color w:val="auto"/>
              </w:rPr>
            </w:pPr>
            <w:r>
              <w:rPr>
                <w:rFonts w:ascii="Arial" w:cs="Arial" w:eastAsia="Arial" w:hAnsi="Arial"/>
                <w:sz w:val="16"/>
                <w:szCs w:val="16"/>
                <w:color w:val="auto"/>
              </w:rPr>
              <w:t>Edward P. Linnen</w:t>
            </w:r>
          </w:p>
        </w:tc>
        <w:tc>
          <w:tcPr>
            <w:tcW w:w="7880" w:type="dxa"/>
            <w:vAlign w:val="bottom"/>
            <w:shd w:val="clear" w:color="auto" w:fill="E9E9E9"/>
          </w:tcPr>
          <w:p>
            <w:pPr>
              <w:ind w:left="480"/>
              <w:spacing w:after="0"/>
              <w:rPr>
                <w:sz w:val="20"/>
                <w:szCs w:val="20"/>
                <w:color w:val="auto"/>
              </w:rPr>
            </w:pPr>
            <w:r>
              <w:rPr>
                <w:rFonts w:ascii="Arial" w:cs="Arial" w:eastAsia="Arial" w:hAnsi="Arial"/>
                <w:sz w:val="16"/>
                <w:szCs w:val="16"/>
                <w:b w:val="1"/>
                <w:bCs w:val="1"/>
                <w:color w:val="auto"/>
                <w:w w:val="94"/>
              </w:rPr>
              <w:t>Mr. Linnen</w:t>
            </w:r>
            <w:r>
              <w:rPr>
                <w:rFonts w:ascii="Arial" w:cs="Arial" w:eastAsia="Arial" w:hAnsi="Arial"/>
                <w:sz w:val="16"/>
                <w:szCs w:val="16"/>
                <w:color w:val="auto"/>
                <w:w w:val="94"/>
              </w:rPr>
              <w:t>, age 45, has been Executive Vice President, Chief Human Resources Officer since January 2015.</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1740" w:type="dxa"/>
            <w:vAlign w:val="bottom"/>
            <w:shd w:val="clear" w:color="auto" w:fill="E9E9E9"/>
          </w:tcPr>
          <w:p>
            <w:pPr>
              <w:spacing w:after="0"/>
              <w:rPr>
                <w:sz w:val="17"/>
                <w:szCs w:val="17"/>
                <w:color w:val="auto"/>
              </w:rPr>
            </w:pPr>
          </w:p>
        </w:tc>
        <w:tc>
          <w:tcPr>
            <w:tcW w:w="7880" w:type="dxa"/>
            <w:vAlign w:val="bottom"/>
            <w:shd w:val="clear" w:color="auto" w:fill="E9E9E9"/>
          </w:tcPr>
          <w:p>
            <w:pPr>
              <w:ind w:left="480"/>
              <w:spacing w:after="0"/>
              <w:rPr>
                <w:sz w:val="20"/>
                <w:szCs w:val="20"/>
                <w:color w:val="auto"/>
              </w:rPr>
            </w:pPr>
            <w:r>
              <w:rPr>
                <w:rFonts w:ascii="Arial" w:cs="Arial" w:eastAsia="Arial" w:hAnsi="Arial"/>
                <w:sz w:val="16"/>
                <w:szCs w:val="16"/>
                <w:color w:val="auto"/>
                <w:w w:val="96"/>
              </w:rPr>
              <w:t>Previously, Mr. Linnen held the title of Senior Vice President, Chief Human Resources Officer from February</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1740" w:type="dxa"/>
            <w:vAlign w:val="bottom"/>
            <w:shd w:val="clear" w:color="auto" w:fill="E9E9E9"/>
          </w:tcPr>
          <w:p>
            <w:pPr>
              <w:spacing w:after="0"/>
              <w:rPr>
                <w:sz w:val="17"/>
                <w:szCs w:val="17"/>
                <w:color w:val="auto"/>
              </w:rPr>
            </w:pPr>
          </w:p>
        </w:tc>
        <w:tc>
          <w:tcPr>
            <w:tcW w:w="7880" w:type="dxa"/>
            <w:vAlign w:val="bottom"/>
            <w:shd w:val="clear" w:color="auto" w:fill="E9E9E9"/>
          </w:tcPr>
          <w:p>
            <w:pPr>
              <w:ind w:left="480"/>
              <w:spacing w:after="0"/>
              <w:rPr>
                <w:sz w:val="20"/>
                <w:szCs w:val="20"/>
                <w:color w:val="auto"/>
              </w:rPr>
            </w:pPr>
            <w:r>
              <w:rPr>
                <w:rFonts w:ascii="Arial" w:cs="Arial" w:eastAsia="Arial" w:hAnsi="Arial"/>
                <w:sz w:val="16"/>
                <w:szCs w:val="16"/>
                <w:color w:val="auto"/>
                <w:w w:val="95"/>
              </w:rPr>
              <w:t>2013 until January 2015, and Senior Vice President, Human Resources for North America from October 2011</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1740" w:type="dxa"/>
            <w:vAlign w:val="bottom"/>
            <w:shd w:val="clear" w:color="auto" w:fill="E9E9E9"/>
          </w:tcPr>
          <w:p>
            <w:pPr>
              <w:spacing w:after="0"/>
              <w:rPr>
                <w:sz w:val="17"/>
                <w:szCs w:val="17"/>
                <w:color w:val="auto"/>
              </w:rPr>
            </w:pPr>
          </w:p>
        </w:tc>
        <w:tc>
          <w:tcPr>
            <w:tcW w:w="7880" w:type="dxa"/>
            <w:vAlign w:val="bottom"/>
            <w:shd w:val="clear" w:color="auto" w:fill="E9E9E9"/>
          </w:tcPr>
          <w:p>
            <w:pPr>
              <w:ind w:left="480"/>
              <w:spacing w:after="0"/>
              <w:rPr>
                <w:sz w:val="20"/>
                <w:szCs w:val="20"/>
                <w:color w:val="auto"/>
              </w:rPr>
            </w:pPr>
            <w:r>
              <w:rPr>
                <w:rFonts w:ascii="Arial" w:cs="Arial" w:eastAsia="Arial" w:hAnsi="Arial"/>
                <w:sz w:val="16"/>
                <w:szCs w:val="16"/>
                <w:color w:val="auto"/>
                <w:w w:val="91"/>
              </w:rPr>
              <w:t>through February 2013. Mr. Linnen joined the Company in 2001, and served in several positions in the Company's</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1740" w:type="dxa"/>
            <w:vAlign w:val="bottom"/>
            <w:shd w:val="clear" w:color="auto" w:fill="E9E9E9"/>
          </w:tcPr>
          <w:p>
            <w:pPr>
              <w:spacing w:after="0"/>
              <w:rPr>
                <w:sz w:val="17"/>
                <w:szCs w:val="17"/>
                <w:color w:val="auto"/>
              </w:rPr>
            </w:pPr>
          </w:p>
        </w:tc>
        <w:tc>
          <w:tcPr>
            <w:tcW w:w="7880" w:type="dxa"/>
            <w:vAlign w:val="bottom"/>
            <w:shd w:val="clear" w:color="auto" w:fill="E9E9E9"/>
          </w:tcPr>
          <w:p>
            <w:pPr>
              <w:ind w:left="480"/>
              <w:spacing w:after="0"/>
              <w:rPr>
                <w:sz w:val="20"/>
                <w:szCs w:val="20"/>
                <w:color w:val="auto"/>
              </w:rPr>
            </w:pPr>
            <w:r>
              <w:rPr>
                <w:rFonts w:ascii="Arial" w:cs="Arial" w:eastAsia="Arial" w:hAnsi="Arial"/>
                <w:sz w:val="16"/>
                <w:szCs w:val="16"/>
                <w:color w:val="auto"/>
                <w:w w:val="93"/>
              </w:rPr>
              <w:t>human resources function, including as Vice President, Labor Relations &amp; International Human Resources, Vice</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1740" w:type="dxa"/>
            <w:vAlign w:val="bottom"/>
            <w:shd w:val="clear" w:color="auto" w:fill="E9E9E9"/>
          </w:tcPr>
          <w:p>
            <w:pPr>
              <w:spacing w:after="0"/>
              <w:rPr>
                <w:sz w:val="17"/>
                <w:szCs w:val="17"/>
                <w:color w:val="auto"/>
              </w:rPr>
            </w:pPr>
          </w:p>
        </w:tc>
        <w:tc>
          <w:tcPr>
            <w:tcW w:w="7880" w:type="dxa"/>
            <w:vAlign w:val="bottom"/>
            <w:shd w:val="clear" w:color="auto" w:fill="E9E9E9"/>
          </w:tcPr>
          <w:p>
            <w:pPr>
              <w:ind w:left="480"/>
              <w:spacing w:after="0"/>
              <w:rPr>
                <w:sz w:val="20"/>
                <w:szCs w:val="20"/>
                <w:color w:val="auto"/>
              </w:rPr>
            </w:pPr>
            <w:r>
              <w:rPr>
                <w:rFonts w:ascii="Arial" w:cs="Arial" w:eastAsia="Arial" w:hAnsi="Arial"/>
                <w:sz w:val="16"/>
                <w:szCs w:val="16"/>
                <w:color w:val="auto"/>
                <w:w w:val="92"/>
              </w:rPr>
              <w:t>President, Domestic Human Resources, and Field Human Resources Director. Prior to joining the Company, Mr.</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1740" w:type="dxa"/>
            <w:vAlign w:val="bottom"/>
            <w:shd w:val="clear" w:color="auto" w:fill="E9E9E9"/>
          </w:tcPr>
          <w:p>
            <w:pPr>
              <w:spacing w:after="0"/>
              <w:rPr>
                <w:sz w:val="17"/>
                <w:szCs w:val="17"/>
                <w:color w:val="auto"/>
              </w:rPr>
            </w:pPr>
          </w:p>
        </w:tc>
        <w:tc>
          <w:tcPr>
            <w:tcW w:w="7880" w:type="dxa"/>
            <w:vAlign w:val="bottom"/>
            <w:shd w:val="clear" w:color="auto" w:fill="E9E9E9"/>
          </w:tcPr>
          <w:p>
            <w:pPr>
              <w:ind w:left="480"/>
              <w:spacing w:after="0"/>
              <w:rPr>
                <w:sz w:val="20"/>
                <w:szCs w:val="20"/>
                <w:color w:val="auto"/>
              </w:rPr>
            </w:pPr>
            <w:r>
              <w:rPr>
                <w:rFonts w:ascii="Arial" w:cs="Arial" w:eastAsia="Arial" w:hAnsi="Arial"/>
                <w:sz w:val="16"/>
                <w:szCs w:val="16"/>
                <w:color w:val="auto"/>
              </w:rPr>
              <w:t>Linnen served in various positions within human resources at Kraft Foods Inc. and Nabisco, Inc.</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1740" w:type="dxa"/>
            <w:vAlign w:val="bottom"/>
          </w:tcPr>
          <w:p>
            <w:pPr>
              <w:ind w:left="60"/>
              <w:spacing w:after="0"/>
              <w:rPr>
                <w:sz w:val="20"/>
                <w:szCs w:val="20"/>
                <w:color w:val="auto"/>
              </w:rPr>
            </w:pPr>
            <w:r>
              <w:rPr>
                <w:rFonts w:ascii="Arial" w:cs="Arial" w:eastAsia="Arial" w:hAnsi="Arial"/>
                <w:sz w:val="16"/>
                <w:szCs w:val="16"/>
                <w:color w:val="auto"/>
              </w:rPr>
              <w:t>David T. Calabria</w:t>
            </w:r>
          </w:p>
        </w:tc>
        <w:tc>
          <w:tcPr>
            <w:tcW w:w="7880" w:type="dxa"/>
            <w:vAlign w:val="bottom"/>
          </w:tcPr>
          <w:p>
            <w:pPr>
              <w:ind w:left="480"/>
              <w:spacing w:after="0"/>
              <w:rPr>
                <w:sz w:val="20"/>
                <w:szCs w:val="20"/>
                <w:color w:val="auto"/>
              </w:rPr>
            </w:pPr>
            <w:r>
              <w:rPr>
                <w:rFonts w:ascii="Arial" w:cs="Arial" w:eastAsia="Arial" w:hAnsi="Arial"/>
                <w:sz w:val="16"/>
                <w:szCs w:val="16"/>
                <w:b w:val="1"/>
                <w:bCs w:val="1"/>
                <w:color w:val="auto"/>
                <w:w w:val="94"/>
              </w:rPr>
              <w:t>Mr. Calabria</w:t>
            </w:r>
            <w:r>
              <w:rPr>
                <w:rFonts w:ascii="Arial" w:cs="Arial" w:eastAsia="Arial" w:hAnsi="Arial"/>
                <w:sz w:val="16"/>
                <w:szCs w:val="16"/>
                <w:color w:val="auto"/>
                <w:w w:val="94"/>
              </w:rPr>
              <w:t>, age 40, has been Vice President and Chief Accounting Officer of the Company since May 2014.</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880" w:type="dxa"/>
            <w:vAlign w:val="bottom"/>
          </w:tcPr>
          <w:p>
            <w:pPr>
              <w:ind w:left="480"/>
              <w:spacing w:after="0"/>
              <w:rPr>
                <w:sz w:val="20"/>
                <w:szCs w:val="20"/>
                <w:color w:val="auto"/>
              </w:rPr>
            </w:pPr>
            <w:r>
              <w:rPr>
                <w:rFonts w:ascii="Arial" w:cs="Arial" w:eastAsia="Arial" w:hAnsi="Arial"/>
                <w:sz w:val="16"/>
                <w:szCs w:val="16"/>
                <w:color w:val="auto"/>
                <w:w w:val="99"/>
              </w:rPr>
              <w:t>Mr. Calabria joined the Company in 2004 and held roles of increasing responsibility within the Company's</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880" w:type="dxa"/>
            <w:vAlign w:val="bottom"/>
          </w:tcPr>
          <w:p>
            <w:pPr>
              <w:ind w:left="480"/>
              <w:spacing w:after="0"/>
              <w:rPr>
                <w:sz w:val="20"/>
                <w:szCs w:val="20"/>
                <w:color w:val="auto"/>
              </w:rPr>
            </w:pPr>
            <w:r>
              <w:rPr>
                <w:rFonts w:ascii="Arial" w:cs="Arial" w:eastAsia="Arial" w:hAnsi="Arial"/>
                <w:sz w:val="16"/>
                <w:szCs w:val="16"/>
                <w:color w:val="auto"/>
                <w:w w:val="91"/>
              </w:rPr>
              <w:t>Treasury function, including as Vice President and Assistant Treasurer. Prior to joining the Company, Mr. Calabria</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880" w:type="dxa"/>
            <w:vAlign w:val="bottom"/>
          </w:tcPr>
          <w:p>
            <w:pPr>
              <w:ind w:left="480"/>
              <w:spacing w:after="0"/>
              <w:rPr>
                <w:sz w:val="20"/>
                <w:szCs w:val="20"/>
                <w:color w:val="auto"/>
              </w:rPr>
            </w:pPr>
            <w:r>
              <w:rPr>
                <w:rFonts w:ascii="Arial" w:cs="Arial" w:eastAsia="Arial" w:hAnsi="Arial"/>
                <w:sz w:val="16"/>
                <w:szCs w:val="16"/>
                <w:color w:val="auto"/>
                <w:w w:val="98"/>
              </w:rPr>
              <w:t>was a Vice President in ABS Conduit Administration at JPMorganChase Bank and was an accountant with</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300" w:type="dxa"/>
            <w:vAlign w:val="bottom"/>
            <w:gridSpan w:val="2"/>
            <w:vMerge w:val="restart"/>
          </w:tcPr>
          <w:p>
            <w:pPr>
              <w:jc w:val="right"/>
              <w:ind w:right="1500"/>
              <w:spacing w:after="0"/>
              <w:rPr>
                <w:sz w:val="20"/>
                <w:szCs w:val="20"/>
                <w:color w:val="auto"/>
              </w:rPr>
            </w:pPr>
            <w:r>
              <w:rPr>
                <w:rFonts w:ascii="Arial" w:cs="Arial" w:eastAsia="Arial" w:hAnsi="Arial"/>
                <w:sz w:val="16"/>
                <w:szCs w:val="16"/>
                <w:color w:val="auto"/>
              </w:rPr>
              <w:t>18</w:t>
            </w:r>
          </w:p>
        </w:tc>
        <w:tc>
          <w:tcPr>
            <w:tcW w:w="7880" w:type="dxa"/>
            <w:vAlign w:val="bottom"/>
          </w:tcPr>
          <w:p>
            <w:pPr>
              <w:ind w:left="480"/>
              <w:spacing w:after="0"/>
              <w:rPr>
                <w:sz w:val="20"/>
                <w:szCs w:val="20"/>
                <w:color w:val="auto"/>
              </w:rPr>
            </w:pPr>
            <w:r>
              <w:rPr>
                <w:rFonts w:ascii="Arial" w:cs="Arial" w:eastAsia="Arial" w:hAnsi="Arial"/>
                <w:sz w:val="16"/>
                <w:szCs w:val="16"/>
                <w:color w:val="auto"/>
              </w:rPr>
              <w:t>PricewaterhouseCoopers.</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gridSpan w:val="2"/>
            <w:vMerge w:val="continue"/>
          </w:tcPr>
          <w:p>
            <w:pPr>
              <w:spacing w:after="0"/>
              <w:rPr>
                <w:sz w:val="17"/>
                <w:szCs w:val="17"/>
                <w:color w:val="auto"/>
              </w:rPr>
            </w:pPr>
          </w:p>
        </w:tc>
        <w:tc>
          <w:tcPr>
            <w:tcW w:w="7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56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78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6843395</wp:posOffset>
            </wp:positionH>
            <wp:positionV relativeFrom="paragraph">
              <wp:posOffset>-34925</wp:posOffset>
            </wp:positionV>
            <wp:extent cx="12700" cy="35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-34925</wp:posOffset>
            </wp:positionV>
            <wp:extent cx="12700" cy="35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ectPr>
          <w:pgSz w:w="11900" w:h="16838" w:orient="portrait"/>
          <w:cols w:equalWidth="0" w:num="1">
            <w:col w:w="10800"/>
          </w:cols>
          <w:pgMar w:left="820" w:top="219" w:right="27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Executive Compensation</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50"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i w:val="1"/>
          <w:iCs w:val="1"/>
          <w:color w:val="auto"/>
        </w:rPr>
        <w:t>We refer you to our Annual Report on Form 10-K for the year ended December 31, 2014 for additional information regarding our financial results discussed below. In this proxy statement, we refer to Adjusted EBITDA, which we define as income from continuing operations before non-vehicle related depreciation and amortization, any impairment charge, restructuring expense, early extinguishment of debt costs, non-vehicle related interest, transaction-related costs and income taxes. This non-GAAP measure is a performance metric in our incentive programs and a reconciliation is provided under "Analysis of 2014 Pay Decisions." When we refer to "the Committee" in this "Executive Compensation" section, we are referring to the Compensation Committee.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Summary</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2014 Company Performance</w:t>
      </w:r>
    </w:p>
    <w:p>
      <w:pPr>
        <w:spacing w:after="0" w:line="25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Our Company experienced a record year in 2014. Our revenue increased 7% to $8.5 billion and our Adjusted EBITDA increased 14% to $876 million. We made further progress with respect to our key strategic initiatives. We achieved higher rental volume and increased year-over-year pricing in North America and increased margins worldwide, despite an uncertain and uneven economic environment. Reflecting our performance, our stock price increased 64% from December 31, 2013 to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1216025</wp:posOffset>
            </wp:positionH>
            <wp:positionV relativeFrom="paragraph">
              <wp:posOffset>234950</wp:posOffset>
            </wp:positionV>
            <wp:extent cx="3672840" cy="29140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72840" cy="2914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620"/>
          </w:cols>
          <w:pgMar w:left="1380" w:top="438" w:right="899" w:bottom="1440" w:gutter="0" w:footer="0" w:header="0"/>
        </w:sectPr>
      </w:pPr>
    </w:p>
    <w:bookmarkStart w:id="26" w:name="page27"/>
    <w:bookmarkEnd w:id="26"/>
    <w:p>
      <w:pPr>
        <w:ind w:left="332"/>
        <w:spacing w:after="0"/>
        <w:rPr>
          <w:sz w:val="20"/>
          <w:szCs w:val="20"/>
          <w:color w:val="auto"/>
        </w:rPr>
      </w:pPr>
      <w:r>
        <w:rPr>
          <w:rFonts w:ascii="Arial" w:cs="Arial" w:eastAsia="Arial" w:hAnsi="Arial"/>
          <w:sz w:val="16"/>
          <w:szCs w:val="16"/>
          <w:b w:val="1"/>
          <w:bCs w:val="1"/>
          <w:color w:val="auto"/>
        </w:rPr>
        <w:t>2014 Strategic Accomplishments</w:t>
      </w:r>
    </w:p>
    <w:p>
      <w:pPr>
        <w:spacing w:after="0" w:line="262" w:lineRule="exact"/>
        <w:rPr>
          <w:sz w:val="20"/>
          <w:szCs w:val="20"/>
          <w:color w:val="auto"/>
        </w:rPr>
      </w:pPr>
    </w:p>
    <w:p>
      <w:pPr>
        <w:ind w:left="332"/>
        <w:spacing w:after="0"/>
        <w:rPr>
          <w:sz w:val="20"/>
          <w:szCs w:val="20"/>
          <w:color w:val="auto"/>
        </w:rPr>
      </w:pPr>
      <w:r>
        <w:rPr>
          <w:rFonts w:ascii="Arial" w:cs="Arial" w:eastAsia="Arial" w:hAnsi="Arial"/>
          <w:sz w:val="16"/>
          <w:szCs w:val="16"/>
          <w:color w:val="auto"/>
        </w:rPr>
        <w:t>In 2014, the Company also achieved the following:</w:t>
      </w:r>
    </w:p>
    <w:p>
      <w:pPr>
        <w:spacing w:after="0" w:line="246" w:lineRule="exact"/>
        <w:rPr>
          <w:sz w:val="20"/>
          <w:szCs w:val="20"/>
          <w:color w:val="auto"/>
        </w:rPr>
      </w:pPr>
    </w:p>
    <w:p>
      <w:pPr>
        <w:ind w:left="1172" w:right="460" w:hanging="1172"/>
        <w:spacing w:after="0" w:line="291" w:lineRule="auto"/>
        <w:tabs>
          <w:tab w:leader="none" w:pos="598" w:val="left"/>
        </w:tabs>
        <w:numPr>
          <w:ilvl w:val="0"/>
          <w:numId w:val="33"/>
        </w:numPr>
        <w:rPr>
          <w:rFonts w:ascii="Arial" w:cs="Arial" w:eastAsia="Arial" w:hAnsi="Arial"/>
          <w:sz w:val="16"/>
          <w:szCs w:val="16"/>
          <w:color w:val="auto"/>
        </w:rPr>
      </w:pPr>
      <w:r>
        <w:rPr>
          <w:rFonts w:ascii="Arial" w:cs="Arial" w:eastAsia="Arial" w:hAnsi="Arial"/>
          <w:sz w:val="16"/>
          <w:szCs w:val="16"/>
          <w:color w:val="auto"/>
        </w:rPr>
        <w:t>acquired its Budget licensees in Southern California, and Las Vegas as well as Edmonton, Alberta, Canada and also re-acquired the right to operate the Budget brand in Portugal;</w:t>
      </w:r>
    </w:p>
    <w:p>
      <w:pPr>
        <w:spacing w:after="0" w:line="187" w:lineRule="exact"/>
        <w:rPr>
          <w:rFonts w:ascii="Arial" w:cs="Arial" w:eastAsia="Arial" w:hAnsi="Arial"/>
          <w:sz w:val="16"/>
          <w:szCs w:val="16"/>
          <w:color w:val="auto"/>
        </w:rPr>
      </w:pPr>
    </w:p>
    <w:p>
      <w:pPr>
        <w:ind w:left="612" w:hanging="612"/>
        <w:spacing w:after="0"/>
        <w:tabs>
          <w:tab w:leader="none" w:pos="612"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repurchased 5.7 million shares of its common stock at a cost of $300 million;</w:t>
      </w:r>
    </w:p>
    <w:p>
      <w:pPr>
        <w:spacing w:after="0" w:line="258" w:lineRule="exact"/>
        <w:rPr>
          <w:rFonts w:ascii="Arial" w:cs="Arial" w:eastAsia="Arial" w:hAnsi="Arial"/>
          <w:sz w:val="16"/>
          <w:szCs w:val="16"/>
          <w:color w:val="auto"/>
        </w:rPr>
      </w:pPr>
    </w:p>
    <w:p>
      <w:pPr>
        <w:ind w:left="1172" w:right="280" w:hanging="1172"/>
        <w:spacing w:after="0" w:line="291" w:lineRule="auto"/>
        <w:tabs>
          <w:tab w:leader="none" w:pos="598"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took action to further streamline its administrative infrastructure through the launch of a restructuring program designed to increase the global standardization and consolidation of non-rental-location functions over time;</w:t>
      </w:r>
    </w:p>
    <w:p>
      <w:pPr>
        <w:spacing w:after="0" w:line="187" w:lineRule="exact"/>
        <w:rPr>
          <w:rFonts w:ascii="Arial" w:cs="Arial" w:eastAsia="Arial" w:hAnsi="Arial"/>
          <w:sz w:val="16"/>
          <w:szCs w:val="16"/>
          <w:color w:val="auto"/>
        </w:rPr>
      </w:pPr>
    </w:p>
    <w:p>
      <w:pPr>
        <w:ind w:left="1172" w:right="260" w:hanging="1172"/>
        <w:spacing w:after="0" w:line="291" w:lineRule="auto"/>
        <w:tabs>
          <w:tab w:leader="none" w:pos="598"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continued to expand the use of new yield management systems that the Company has designed to optimize its decision-making with respect to pricing and fleet management; and</w:t>
      </w:r>
    </w:p>
    <w:p>
      <w:pPr>
        <w:spacing w:after="0" w:line="187" w:lineRule="exact"/>
        <w:rPr>
          <w:rFonts w:ascii="Arial" w:cs="Arial" w:eastAsia="Arial" w:hAnsi="Arial"/>
          <w:sz w:val="16"/>
          <w:szCs w:val="16"/>
          <w:color w:val="auto"/>
        </w:rPr>
      </w:pPr>
    </w:p>
    <w:p>
      <w:pPr>
        <w:ind w:left="612" w:hanging="612"/>
        <w:spacing w:after="0"/>
        <w:tabs>
          <w:tab w:leader="none" w:pos="612" w:val="left"/>
        </w:tabs>
        <w:numPr>
          <w:ilvl w:val="0"/>
          <w:numId w:val="33"/>
        </w:numPr>
        <w:rPr>
          <w:rFonts w:ascii="Arial" w:cs="Arial" w:eastAsia="Arial" w:hAnsi="Arial"/>
          <w:sz w:val="16"/>
          <w:szCs w:val="16"/>
          <w:color w:val="auto"/>
        </w:rPr>
      </w:pPr>
      <w:r>
        <w:rPr>
          <w:rFonts w:ascii="Arial" w:cs="Arial" w:eastAsia="Arial" w:hAnsi="Arial"/>
          <w:sz w:val="16"/>
          <w:szCs w:val="16"/>
          <w:color w:val="auto"/>
        </w:rPr>
        <w:t>achieved incremental synergies from the integration of acquired businesses.</w:t>
      </w:r>
    </w:p>
    <w:p>
      <w:pPr>
        <w:spacing w:after="0" w:line="254"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2014 Compensation</w:t>
      </w:r>
    </w:p>
    <w:p>
      <w:pPr>
        <w:spacing w:after="0" w:line="250" w:lineRule="exact"/>
        <w:rPr>
          <w:sz w:val="20"/>
          <w:szCs w:val="20"/>
          <w:color w:val="auto"/>
        </w:rPr>
      </w:pPr>
    </w:p>
    <w:p>
      <w:pPr>
        <w:ind w:left="332"/>
        <w:spacing w:after="0" w:line="270" w:lineRule="auto"/>
        <w:rPr>
          <w:sz w:val="20"/>
          <w:szCs w:val="20"/>
          <w:color w:val="auto"/>
        </w:rPr>
      </w:pPr>
      <w:r>
        <w:rPr>
          <w:rFonts w:ascii="Arial" w:cs="Arial" w:eastAsia="Arial" w:hAnsi="Arial"/>
          <w:sz w:val="16"/>
          <w:szCs w:val="16"/>
          <w:color w:val="auto"/>
        </w:rPr>
        <w:t>Base salaries, and annual and long-term incentive opportunities for our named executive officers ("NEOs") in 2014 were generally consistent with 2013 levels, with the exception of the long-term incentives awarded to our Chief Executive Officer ("CEO") and our President, International. The Committee approved increased long-term incentives in 2014 for these officers to recognize performance and in connection with the extension of our CEO's employment agreement and with our President, International's agreement to continue his foreign service assignment. Actual annual incentive payouts for 2014 reflect the achievement of 103% of the global Adjusted EBITDA goal and, with the exception of Latin America/Asia-Pacific, above-target regional performance.</w:t>
      </w:r>
    </w:p>
    <w:p>
      <w:pPr>
        <w:spacing w:after="0" w:line="204" w:lineRule="exact"/>
        <w:rPr>
          <w:sz w:val="20"/>
          <w:szCs w:val="20"/>
          <w:color w:val="auto"/>
        </w:rPr>
      </w:pPr>
    </w:p>
    <w:p>
      <w:pPr>
        <w:ind w:left="332"/>
        <w:spacing w:after="0"/>
        <w:rPr>
          <w:sz w:val="20"/>
          <w:szCs w:val="20"/>
          <w:color w:val="auto"/>
        </w:rPr>
      </w:pPr>
      <w:r>
        <w:rPr>
          <w:rFonts w:ascii="Arial" w:cs="Arial" w:eastAsia="Arial" w:hAnsi="Arial"/>
          <w:sz w:val="16"/>
          <w:szCs w:val="16"/>
          <w:color w:val="auto"/>
        </w:rPr>
        <w:t>As in prior years, compensation* for our NEOs in 2014 was significantly performance-based,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262890</wp:posOffset>
            </wp:positionV>
            <wp:extent cx="3839845" cy="10090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39845" cy="100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752" w:right="300" w:hanging="369"/>
        <w:spacing w:after="0" w:line="278" w:lineRule="auto"/>
        <w:tabs>
          <w:tab w:leader="none" w:pos="752" w:val="left"/>
        </w:tabs>
        <w:numPr>
          <w:ilvl w:val="0"/>
          <w:numId w:val="34"/>
        </w:numPr>
        <w:rPr>
          <w:rFonts w:ascii="Arial" w:cs="Arial" w:eastAsia="Arial" w:hAnsi="Arial"/>
          <w:sz w:val="16"/>
          <w:szCs w:val="16"/>
          <w:color w:val="auto"/>
        </w:rPr>
      </w:pPr>
      <w:r>
        <w:rPr>
          <w:rFonts w:ascii="Arial" w:cs="Arial" w:eastAsia="Arial" w:hAnsi="Arial"/>
          <w:sz w:val="16"/>
          <w:szCs w:val="16"/>
          <w:color w:val="auto"/>
        </w:rPr>
        <w:t>Pay mix reflects values as disclosed in the Summary Compensation Table, excluding Other Compensation, which represented 6% or less of total compensation for each NEO other than our President, International, who received expatriate and relocation benefits in 2014, including expatriate tax reimbursement.</w:t>
      </w:r>
    </w:p>
    <w:p>
      <w:pPr>
        <w:spacing w:after="0" w:line="205"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Compensation Practices</w:t>
      </w:r>
    </w:p>
    <w:p>
      <w:pPr>
        <w:spacing w:after="0" w:line="250" w:lineRule="exact"/>
        <w:rPr>
          <w:sz w:val="20"/>
          <w:szCs w:val="20"/>
          <w:color w:val="auto"/>
        </w:rPr>
      </w:pPr>
    </w:p>
    <w:p>
      <w:pPr>
        <w:ind w:left="332"/>
        <w:spacing w:after="0"/>
        <w:rPr>
          <w:sz w:val="20"/>
          <w:szCs w:val="20"/>
          <w:color w:val="auto"/>
        </w:rPr>
      </w:pPr>
      <w:r>
        <w:rPr>
          <w:rFonts w:ascii="Arial" w:cs="Arial" w:eastAsia="Arial" w:hAnsi="Arial"/>
          <w:sz w:val="16"/>
          <w:szCs w:val="16"/>
          <w:color w:val="auto"/>
        </w:rPr>
        <w:t>We believe that our compensation programs reflect sound practices, such as:</w:t>
      </w:r>
    </w:p>
    <w:p>
      <w:pPr>
        <w:spacing w:after="0" w:line="246" w:lineRule="exact"/>
        <w:rPr>
          <w:sz w:val="20"/>
          <w:szCs w:val="20"/>
          <w:color w:val="auto"/>
        </w:rPr>
      </w:pPr>
    </w:p>
    <w:p>
      <w:pPr>
        <w:ind w:left="612" w:hanging="612"/>
        <w:spacing w:after="0"/>
        <w:tabs>
          <w:tab w:leader="none" w:pos="612"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executive stock ownership guidelines with significant share ownership requirements;</w:t>
      </w:r>
    </w:p>
    <w:p>
      <w:pPr>
        <w:spacing w:after="0" w:line="258" w:lineRule="exact"/>
        <w:rPr>
          <w:rFonts w:ascii="Arial" w:cs="Arial" w:eastAsia="Arial" w:hAnsi="Arial"/>
          <w:sz w:val="16"/>
          <w:szCs w:val="16"/>
          <w:color w:val="auto"/>
        </w:rPr>
      </w:pPr>
    </w:p>
    <w:p>
      <w:pPr>
        <w:ind w:left="612" w:hanging="612"/>
        <w:spacing w:after="0"/>
        <w:tabs>
          <w:tab w:leader="none" w:pos="612"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 executive compensation recoupment (or "clawback") policy with respect to incentive compensation;</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policy prohibiting executives from entering into speculative (or hedging) transactions in our securities;</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 excise tax gross-up or single-trigger change-in-control provisions;</w:t>
      </w:r>
    </w:p>
    <w:p>
      <w:pPr>
        <w:spacing w:after="0" w:line="258" w:lineRule="exact"/>
        <w:rPr>
          <w:rFonts w:ascii="Arial" w:cs="Arial" w:eastAsia="Arial" w:hAnsi="Arial"/>
          <w:sz w:val="16"/>
          <w:szCs w:val="16"/>
          <w:color w:val="auto"/>
        </w:rPr>
      </w:pPr>
    </w:p>
    <w:p>
      <w:pPr>
        <w:ind w:left="612" w:hanging="612"/>
        <w:spacing w:after="0"/>
        <w:tabs>
          <w:tab w:leader="none" w:pos="612"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 tax gross-ups on executive perquisites except with respect to relocation and expatriate benefits; and</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relative total shareholder return performance metric included in our performance-based long-term incentive awards.</w:t>
      </w:r>
    </w:p>
    <w:p>
      <w:pPr>
        <w:spacing w:after="0" w:line="242"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Our Named Executive Officers</w:t>
      </w:r>
    </w:p>
    <w:p>
      <w:pPr>
        <w:spacing w:after="0" w:line="262" w:lineRule="exact"/>
        <w:rPr>
          <w:sz w:val="20"/>
          <w:szCs w:val="20"/>
          <w:color w:val="auto"/>
        </w:rPr>
      </w:pPr>
    </w:p>
    <w:p>
      <w:pPr>
        <w:ind w:left="332"/>
        <w:spacing w:after="0"/>
        <w:rPr>
          <w:sz w:val="20"/>
          <w:szCs w:val="20"/>
          <w:color w:val="auto"/>
        </w:rPr>
      </w:pPr>
      <w:r>
        <w:rPr>
          <w:rFonts w:ascii="Arial" w:cs="Arial" w:eastAsia="Arial" w:hAnsi="Arial"/>
          <w:sz w:val="16"/>
          <w:szCs w:val="16"/>
          <w:color w:val="auto"/>
        </w:rPr>
        <w:t>This discussion addresses executive compensation in 2014 for our named executive officers, who are:</w:t>
      </w:r>
    </w:p>
    <w:p>
      <w:pPr>
        <w:spacing w:after="0" w:line="246" w:lineRule="exact"/>
        <w:rPr>
          <w:sz w:val="20"/>
          <w:szCs w:val="20"/>
          <w:color w:val="auto"/>
        </w:rPr>
      </w:pPr>
    </w:p>
    <w:p>
      <w:pPr>
        <w:ind w:left="612" w:hanging="612"/>
        <w:spacing w:after="0"/>
        <w:tabs>
          <w:tab w:leader="none" w:pos="612" w:val="left"/>
        </w:tabs>
        <w:numPr>
          <w:ilvl w:val="0"/>
          <w:numId w:val="36"/>
        </w:numPr>
        <w:rPr>
          <w:rFonts w:ascii="Arial" w:cs="Arial" w:eastAsia="Arial" w:hAnsi="Arial"/>
          <w:sz w:val="16"/>
          <w:szCs w:val="16"/>
          <w:color w:val="auto"/>
        </w:rPr>
      </w:pPr>
      <w:r>
        <w:rPr>
          <w:rFonts w:ascii="Arial" w:cs="Arial" w:eastAsia="Arial" w:hAnsi="Arial"/>
          <w:sz w:val="16"/>
          <w:szCs w:val="16"/>
          <w:color w:val="auto"/>
        </w:rPr>
        <w:t>Ronald L. Nelson—Chairman and Chief Executive Officer (our "CEO");</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36"/>
        </w:numPr>
        <w:rPr>
          <w:rFonts w:ascii="Arial" w:cs="Arial" w:eastAsia="Arial" w:hAnsi="Arial"/>
          <w:sz w:val="16"/>
          <w:szCs w:val="16"/>
          <w:color w:val="auto"/>
        </w:rPr>
      </w:pPr>
      <w:r>
        <w:rPr>
          <w:rFonts w:ascii="Arial" w:cs="Arial" w:eastAsia="Arial" w:hAnsi="Arial"/>
          <w:sz w:val="16"/>
          <w:szCs w:val="16"/>
          <w:color w:val="auto"/>
        </w:rPr>
        <w:t>David B. Wyshner—Senior Executive Vice President and Chief Financial Officer (our "CFO");</w:t>
      </w:r>
    </w:p>
    <w:p>
      <w:pPr>
        <w:sectPr>
          <w:pgSz w:w="11900" w:h="16838" w:orient="portrait"/>
          <w:cols w:equalWidth="0" w:num="1">
            <w:col w:w="9932"/>
          </w:cols>
          <w:pgMar w:left="1048" w:top="434" w:right="919" w:bottom="1440" w:gutter="0" w:footer="0" w:header="0"/>
        </w:sectPr>
      </w:pPr>
    </w:p>
    <w:p>
      <w:pPr>
        <w:spacing w:after="0" w:line="103" w:lineRule="exact"/>
        <w:rPr>
          <w:sz w:val="20"/>
          <w:szCs w:val="20"/>
          <w:color w:val="auto"/>
        </w:rPr>
      </w:pPr>
    </w:p>
    <w:p>
      <w:pPr>
        <w:ind w:left="332"/>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85090</wp:posOffset>
            </wp:positionV>
            <wp:extent cx="6850380" cy="35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932"/>
          </w:cols>
          <w:pgMar w:left="1048" w:top="434" w:right="919" w:bottom="1440" w:gutter="0" w:footer="0" w:header="0"/>
          <w:type w:val="continuous"/>
        </w:sectPr>
      </w:pPr>
    </w:p>
    <w:bookmarkStart w:id="27" w:name="page28"/>
    <w:bookmarkEnd w:id="27"/>
    <w:p>
      <w:pPr>
        <w:ind w:left="840" w:hanging="612"/>
        <w:spacing w:after="0"/>
        <w:tabs>
          <w:tab w:leader="none" w:pos="8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Thomas M. Gartland—Former President, North America;</w:t>
      </w:r>
    </w:p>
    <w:p>
      <w:pPr>
        <w:spacing w:after="0" w:line="246" w:lineRule="exact"/>
        <w:rPr>
          <w:rFonts w:ascii="Arial" w:cs="Arial" w:eastAsia="Arial" w:hAnsi="Arial"/>
          <w:sz w:val="16"/>
          <w:szCs w:val="16"/>
          <w:color w:val="auto"/>
        </w:rPr>
      </w:pPr>
    </w:p>
    <w:p>
      <w:pPr>
        <w:ind w:left="840" w:hanging="612"/>
        <w:spacing w:after="0"/>
        <w:tabs>
          <w:tab w:leader="none" w:pos="8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Larry D. De Shon—President, International; and</w:t>
      </w:r>
    </w:p>
    <w:p>
      <w:pPr>
        <w:spacing w:after="0" w:line="246" w:lineRule="exact"/>
        <w:rPr>
          <w:rFonts w:ascii="Arial" w:cs="Arial" w:eastAsia="Arial" w:hAnsi="Arial"/>
          <w:sz w:val="16"/>
          <w:szCs w:val="16"/>
          <w:color w:val="auto"/>
        </w:rPr>
      </w:pPr>
    </w:p>
    <w:p>
      <w:pPr>
        <w:ind w:left="840" w:hanging="612"/>
        <w:spacing w:after="0"/>
        <w:tabs>
          <w:tab w:leader="none" w:pos="8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Patric T. Siniscalchi—Former President, Latin America/Asia-Pacific.</w:t>
      </w:r>
    </w:p>
    <w:p>
      <w:pPr>
        <w:spacing w:after="0" w:line="258" w:lineRule="exact"/>
        <w:rPr>
          <w:sz w:val="20"/>
          <w:szCs w:val="20"/>
          <w:color w:val="auto"/>
        </w:rPr>
      </w:pPr>
    </w:p>
    <w:p>
      <w:pPr>
        <w:ind w:left="560" w:right="840"/>
        <w:spacing w:after="0" w:line="269" w:lineRule="auto"/>
        <w:rPr>
          <w:sz w:val="20"/>
          <w:szCs w:val="20"/>
          <w:color w:val="auto"/>
        </w:rPr>
      </w:pPr>
      <w:r>
        <w:rPr>
          <w:rFonts w:ascii="Arial" w:cs="Arial" w:eastAsia="Arial" w:hAnsi="Arial"/>
          <w:sz w:val="16"/>
          <w:szCs w:val="16"/>
          <w:color w:val="auto"/>
        </w:rPr>
        <w:t>Effective December 31, 2014, Mr. Gartland and Mr. Siniscalchi retired from their positions as President, North America and President, Latin America/Asia-Pacific, respectively. Mr. Gartland and Mr. Siniscalchi have agreed to assist us with transition of their duties and responsibilities on a consulting basis. For additional information regarding our agreements with Messrs. Gartland and Siniscalchi, please see "Employment Agreements and Other Arrangements." Mr. De Shon assumed responsibility for the Company's Asia-Pacific operations and the title of President, International effective January 1, 2015 (he was formerly President, Europe, Middle East and Africa (EMEA)). Joseph Ferraro assumed responsibility for the Company's operations in North America and Latin America and was appointed President, Americas, effective January 1, 2015, as further discussed under "Executive Officers."</w:t>
      </w:r>
    </w:p>
    <w:p>
      <w:pPr>
        <w:spacing w:after="0" w:line="206" w:lineRule="exact"/>
        <w:rPr>
          <w:sz w:val="20"/>
          <w:szCs w:val="20"/>
          <w:color w:val="auto"/>
        </w:rPr>
      </w:pPr>
    </w:p>
    <w:p>
      <w:pPr>
        <w:ind w:left="560" w:right="880"/>
        <w:spacing w:after="0" w:line="291" w:lineRule="auto"/>
        <w:rPr>
          <w:sz w:val="20"/>
          <w:szCs w:val="20"/>
          <w:color w:val="auto"/>
        </w:rPr>
      </w:pPr>
      <w:r>
        <w:rPr>
          <w:rFonts w:ascii="Arial" w:cs="Arial" w:eastAsia="Arial" w:hAnsi="Arial"/>
          <w:sz w:val="16"/>
          <w:szCs w:val="16"/>
          <w:color w:val="auto"/>
        </w:rPr>
        <w:t>Mr. De Shon, Mr. Gartland and Mr. Siniscalchi are sometimes referred to herein as the "Regional Presidents." Mr. Gartland and Mr. Siniscalchi are sometimes referred to herein as the Former President, NA and the Former President, LA/AP, respectively.</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Philosophy, Components and Mix of Executive Compensation</w:t>
      </w:r>
    </w:p>
    <w:p>
      <w:pPr>
        <w:spacing w:after="0" w:line="262" w:lineRule="exact"/>
        <w:rPr>
          <w:sz w:val="20"/>
          <w:szCs w:val="20"/>
          <w:color w:val="auto"/>
        </w:rPr>
      </w:pPr>
    </w:p>
    <w:p>
      <w:pPr>
        <w:ind w:left="560" w:right="900"/>
        <w:spacing w:after="0" w:line="273" w:lineRule="auto"/>
        <w:rPr>
          <w:sz w:val="20"/>
          <w:szCs w:val="20"/>
          <w:color w:val="auto"/>
        </w:rPr>
      </w:pPr>
      <w:r>
        <w:rPr>
          <w:rFonts w:ascii="Arial" w:cs="Arial" w:eastAsia="Arial" w:hAnsi="Arial"/>
          <w:sz w:val="16"/>
          <w:szCs w:val="16"/>
          <w:color w:val="auto"/>
        </w:rPr>
        <w:t>"Pay for performance" continues to be a fundamental tenet of our compensation philosophy, which includes the core principles of rewarding the attainment of appropriately challenging performance goals and aligning our executives' objectives with our stockholders' interests. The Committee also believes that executive compensation should be designed to attract and retain a high-caliber leadership team and take into consideration competitive practices and the overall market for executive talent.</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Compensation for our NEOs is typically comprised of the following components: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0" w:type="dxa"/>
            <w:vAlign w:val="bottom"/>
          </w:tcPr>
          <w:p>
            <w:pPr>
              <w:spacing w:after="0"/>
              <w:rPr>
                <w:sz w:val="18"/>
                <w:szCs w:val="18"/>
                <w:color w:val="auto"/>
              </w:rPr>
            </w:pPr>
          </w:p>
        </w:tc>
        <w:tc>
          <w:tcPr>
            <w:tcW w:w="22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Component</w:t>
            </w:r>
          </w:p>
        </w:tc>
        <w:tc>
          <w:tcPr>
            <w:tcW w:w="738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Function and Objective</w:t>
            </w:r>
          </w:p>
        </w:tc>
        <w:tc>
          <w:tcPr>
            <w:tcW w:w="620" w:type="dxa"/>
            <w:vAlign w:val="bottom"/>
          </w:tcPr>
          <w:p>
            <w:pPr>
              <w:spacing w:after="0"/>
              <w:rPr>
                <w:sz w:val="18"/>
                <w:szCs w:val="18"/>
                <w:color w:val="auto"/>
              </w:rPr>
            </w:pPr>
          </w:p>
        </w:tc>
      </w:tr>
      <w:tr>
        <w:trPr>
          <w:trHeight w:val="195"/>
        </w:trPr>
        <w:tc>
          <w:tcPr>
            <w:tcW w:w="560" w:type="dxa"/>
            <w:vAlign w:val="bottom"/>
          </w:tcPr>
          <w:p>
            <w:pPr>
              <w:spacing w:after="0"/>
              <w:rPr>
                <w:sz w:val="16"/>
                <w:szCs w:val="16"/>
                <w:color w:val="auto"/>
              </w:rPr>
            </w:pPr>
          </w:p>
        </w:tc>
        <w:tc>
          <w:tcPr>
            <w:tcW w:w="2240" w:type="dxa"/>
            <w:vAlign w:val="bottom"/>
            <w:shd w:val="clear" w:color="auto" w:fill="E9E9E9"/>
          </w:tcPr>
          <w:p>
            <w:pPr>
              <w:ind w:left="60"/>
              <w:spacing w:after="0"/>
              <w:rPr>
                <w:sz w:val="20"/>
                <w:szCs w:val="20"/>
                <w:color w:val="auto"/>
              </w:rPr>
            </w:pPr>
            <w:r>
              <w:rPr>
                <w:rFonts w:ascii="Arial" w:cs="Arial" w:eastAsia="Arial" w:hAnsi="Arial"/>
                <w:sz w:val="16"/>
                <w:szCs w:val="16"/>
                <w:i w:val="1"/>
                <w:iCs w:val="1"/>
                <w:color w:val="auto"/>
              </w:rPr>
              <w:t>Base Salary</w:t>
            </w:r>
          </w:p>
        </w:tc>
        <w:tc>
          <w:tcPr>
            <w:tcW w:w="7380" w:type="dxa"/>
            <w:vAlign w:val="bottom"/>
            <w:shd w:val="clear" w:color="auto" w:fill="E9E9E9"/>
          </w:tcPr>
          <w:p>
            <w:pPr>
              <w:ind w:left="340"/>
              <w:spacing w:after="0"/>
              <w:rPr>
                <w:sz w:val="20"/>
                <w:szCs w:val="20"/>
                <w:color w:val="auto"/>
              </w:rPr>
            </w:pPr>
            <w:r>
              <w:rPr>
                <w:rFonts w:ascii="Arial" w:cs="Arial" w:eastAsia="Arial" w:hAnsi="Arial"/>
                <w:sz w:val="16"/>
                <w:szCs w:val="16"/>
                <w:color w:val="auto"/>
                <w:w w:val="92"/>
              </w:rPr>
              <w:t>Base salaries are paid in the form of cash and provide a fixed and competitive form of annual compensation</w:t>
            </w:r>
          </w:p>
        </w:tc>
        <w:tc>
          <w:tcPr>
            <w:tcW w:w="620" w:type="dxa"/>
            <w:vAlign w:val="bottom"/>
          </w:tcPr>
          <w:p>
            <w:pPr>
              <w:spacing w:after="0"/>
              <w:rPr>
                <w:sz w:val="16"/>
                <w:szCs w:val="16"/>
                <w:color w:val="auto"/>
              </w:rPr>
            </w:pPr>
          </w:p>
        </w:tc>
      </w:tr>
      <w:tr>
        <w:trPr>
          <w:trHeight w:val="203"/>
        </w:trPr>
        <w:tc>
          <w:tcPr>
            <w:tcW w:w="560" w:type="dxa"/>
            <w:vAlign w:val="bottom"/>
          </w:tcPr>
          <w:p>
            <w:pPr>
              <w:spacing w:after="0"/>
              <w:rPr>
                <w:sz w:val="17"/>
                <w:szCs w:val="17"/>
                <w:color w:val="auto"/>
              </w:rPr>
            </w:pPr>
          </w:p>
        </w:tc>
        <w:tc>
          <w:tcPr>
            <w:tcW w:w="2240" w:type="dxa"/>
            <w:vAlign w:val="bottom"/>
            <w:shd w:val="clear" w:color="auto" w:fill="E9E9E9"/>
          </w:tcPr>
          <w:p>
            <w:pPr>
              <w:spacing w:after="0"/>
              <w:rPr>
                <w:sz w:val="17"/>
                <w:szCs w:val="17"/>
                <w:color w:val="auto"/>
              </w:rPr>
            </w:pPr>
          </w:p>
        </w:tc>
        <w:tc>
          <w:tcPr>
            <w:tcW w:w="7380" w:type="dxa"/>
            <w:vAlign w:val="bottom"/>
            <w:shd w:val="clear" w:color="auto" w:fill="E9E9E9"/>
          </w:tcPr>
          <w:p>
            <w:pPr>
              <w:ind w:left="340"/>
              <w:spacing w:after="0"/>
              <w:rPr>
                <w:sz w:val="20"/>
                <w:szCs w:val="20"/>
                <w:color w:val="auto"/>
              </w:rPr>
            </w:pPr>
            <w:r>
              <w:rPr>
                <w:rFonts w:ascii="Arial" w:cs="Arial" w:eastAsia="Arial" w:hAnsi="Arial"/>
                <w:sz w:val="16"/>
                <w:szCs w:val="16"/>
                <w:color w:val="auto"/>
                <w:w w:val="95"/>
              </w:rPr>
              <w:t>for the performance of primary responsibilities at a level consistent with each executive's experience and</w:t>
            </w: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2240" w:type="dxa"/>
            <w:vAlign w:val="bottom"/>
            <w:shd w:val="clear" w:color="auto" w:fill="E9E9E9"/>
          </w:tcPr>
          <w:p>
            <w:pPr>
              <w:spacing w:after="0"/>
              <w:rPr>
                <w:sz w:val="17"/>
                <w:szCs w:val="17"/>
                <w:color w:val="auto"/>
              </w:rPr>
            </w:pPr>
          </w:p>
        </w:tc>
        <w:tc>
          <w:tcPr>
            <w:tcW w:w="7380" w:type="dxa"/>
            <w:vAlign w:val="bottom"/>
            <w:shd w:val="clear" w:color="auto" w:fill="E9E9E9"/>
          </w:tcPr>
          <w:p>
            <w:pPr>
              <w:ind w:left="340"/>
              <w:spacing w:after="0"/>
              <w:rPr>
                <w:sz w:val="20"/>
                <w:szCs w:val="20"/>
                <w:color w:val="auto"/>
              </w:rPr>
            </w:pPr>
            <w:r>
              <w:rPr>
                <w:rFonts w:ascii="Arial" w:cs="Arial" w:eastAsia="Arial" w:hAnsi="Arial"/>
                <w:sz w:val="16"/>
                <w:szCs w:val="16"/>
                <w:color w:val="auto"/>
                <w:w w:val="97"/>
              </w:rPr>
              <w:t>role. Base salaries are designed to provide competitive compensation to attract and retain exceptional</w:t>
            </w:r>
          </w:p>
        </w:tc>
        <w:tc>
          <w:tcPr>
            <w:tcW w:w="620" w:type="dxa"/>
            <w:vAlign w:val="bottom"/>
          </w:tcPr>
          <w:p>
            <w:pPr>
              <w:spacing w:after="0"/>
              <w:rPr>
                <w:sz w:val="17"/>
                <w:szCs w:val="17"/>
                <w:color w:val="auto"/>
              </w:rPr>
            </w:pPr>
          </w:p>
        </w:tc>
      </w:tr>
      <w:tr>
        <w:trPr>
          <w:trHeight w:val="204"/>
        </w:trPr>
        <w:tc>
          <w:tcPr>
            <w:tcW w:w="560" w:type="dxa"/>
            <w:vAlign w:val="bottom"/>
          </w:tcPr>
          <w:p>
            <w:pPr>
              <w:spacing w:after="0"/>
              <w:rPr>
                <w:sz w:val="17"/>
                <w:szCs w:val="17"/>
                <w:color w:val="auto"/>
              </w:rPr>
            </w:pPr>
          </w:p>
        </w:tc>
        <w:tc>
          <w:tcPr>
            <w:tcW w:w="2240" w:type="dxa"/>
            <w:vAlign w:val="bottom"/>
            <w:shd w:val="clear" w:color="auto" w:fill="E9E9E9"/>
          </w:tcPr>
          <w:p>
            <w:pPr>
              <w:spacing w:after="0"/>
              <w:rPr>
                <w:sz w:val="17"/>
                <w:szCs w:val="17"/>
                <w:color w:val="auto"/>
              </w:rPr>
            </w:pPr>
          </w:p>
        </w:tc>
        <w:tc>
          <w:tcPr>
            <w:tcW w:w="7380" w:type="dxa"/>
            <w:vAlign w:val="bottom"/>
            <w:shd w:val="clear" w:color="auto" w:fill="E9E9E9"/>
          </w:tcPr>
          <w:p>
            <w:pPr>
              <w:ind w:left="340"/>
              <w:spacing w:after="0"/>
              <w:rPr>
                <w:sz w:val="20"/>
                <w:szCs w:val="20"/>
                <w:color w:val="auto"/>
              </w:rPr>
            </w:pPr>
            <w:r>
              <w:rPr>
                <w:rFonts w:ascii="Arial" w:cs="Arial" w:eastAsia="Arial" w:hAnsi="Arial"/>
                <w:sz w:val="16"/>
                <w:szCs w:val="16"/>
                <w:color w:val="auto"/>
              </w:rPr>
              <w:t>executive talent.</w:t>
            </w: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2240" w:type="dxa"/>
            <w:vAlign w:val="bottom"/>
          </w:tcPr>
          <w:p>
            <w:pPr>
              <w:ind w:left="60"/>
              <w:spacing w:after="0"/>
              <w:rPr>
                <w:sz w:val="20"/>
                <w:szCs w:val="20"/>
                <w:color w:val="auto"/>
              </w:rPr>
            </w:pPr>
            <w:r>
              <w:rPr>
                <w:rFonts w:ascii="Arial" w:cs="Arial" w:eastAsia="Arial" w:hAnsi="Arial"/>
                <w:sz w:val="16"/>
                <w:szCs w:val="16"/>
                <w:i w:val="1"/>
                <w:iCs w:val="1"/>
                <w:color w:val="auto"/>
              </w:rPr>
              <w:t>Annual Incentive Awards</w:t>
            </w:r>
          </w:p>
        </w:tc>
        <w:tc>
          <w:tcPr>
            <w:tcW w:w="7380" w:type="dxa"/>
            <w:vAlign w:val="bottom"/>
          </w:tcPr>
          <w:p>
            <w:pPr>
              <w:ind w:left="340"/>
              <w:spacing w:after="0"/>
              <w:rPr>
                <w:sz w:val="20"/>
                <w:szCs w:val="20"/>
                <w:color w:val="auto"/>
              </w:rPr>
            </w:pPr>
            <w:r>
              <w:rPr>
                <w:rFonts w:ascii="Arial" w:cs="Arial" w:eastAsia="Arial" w:hAnsi="Arial"/>
                <w:sz w:val="16"/>
                <w:szCs w:val="16"/>
                <w:color w:val="auto"/>
                <w:w w:val="91"/>
              </w:rPr>
              <w:t>Annual incentives are comprised of annual performance-based cash incentive opportunities, and reward our</w:t>
            </w: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380" w:type="dxa"/>
            <w:vAlign w:val="bottom"/>
          </w:tcPr>
          <w:p>
            <w:pPr>
              <w:ind w:left="340"/>
              <w:spacing w:after="0"/>
              <w:rPr>
                <w:sz w:val="20"/>
                <w:szCs w:val="20"/>
                <w:color w:val="auto"/>
              </w:rPr>
            </w:pPr>
            <w:r>
              <w:rPr>
                <w:rFonts w:ascii="Arial" w:cs="Arial" w:eastAsia="Arial" w:hAnsi="Arial"/>
                <w:sz w:val="16"/>
                <w:szCs w:val="16"/>
                <w:color w:val="auto"/>
                <w:w w:val="96"/>
              </w:rPr>
              <w:t>executives upon achieving or exceeding specific annual performance goals using performance metrics</w:t>
            </w: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380" w:type="dxa"/>
            <w:vAlign w:val="bottom"/>
          </w:tcPr>
          <w:p>
            <w:pPr>
              <w:ind w:left="340"/>
              <w:spacing w:after="0"/>
              <w:rPr>
                <w:sz w:val="20"/>
                <w:szCs w:val="20"/>
                <w:color w:val="auto"/>
              </w:rPr>
            </w:pPr>
            <w:r>
              <w:rPr>
                <w:rFonts w:ascii="Arial" w:cs="Arial" w:eastAsia="Arial" w:hAnsi="Arial"/>
                <w:sz w:val="16"/>
                <w:szCs w:val="16"/>
                <w:color w:val="auto"/>
                <w:w w:val="94"/>
              </w:rPr>
              <w:t>approved by the Committee and that the Company believes are appropriate measures of operational and</w:t>
            </w:r>
          </w:p>
        </w:tc>
        <w:tc>
          <w:tcPr>
            <w:tcW w:w="620" w:type="dxa"/>
            <w:vAlign w:val="bottom"/>
          </w:tcPr>
          <w:p>
            <w:pPr>
              <w:spacing w:after="0"/>
              <w:rPr>
                <w:sz w:val="17"/>
                <w:szCs w:val="17"/>
                <w:color w:val="auto"/>
              </w:rPr>
            </w:pPr>
          </w:p>
        </w:tc>
      </w:tr>
      <w:tr>
        <w:trPr>
          <w:trHeight w:val="204"/>
        </w:trPr>
        <w:tc>
          <w:tcPr>
            <w:tcW w:w="5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380" w:type="dxa"/>
            <w:vAlign w:val="bottom"/>
          </w:tcPr>
          <w:p>
            <w:pPr>
              <w:ind w:left="340"/>
              <w:spacing w:after="0"/>
              <w:rPr>
                <w:sz w:val="20"/>
                <w:szCs w:val="20"/>
                <w:color w:val="auto"/>
              </w:rPr>
            </w:pPr>
            <w:r>
              <w:rPr>
                <w:rFonts w:ascii="Arial" w:cs="Arial" w:eastAsia="Arial" w:hAnsi="Arial"/>
                <w:sz w:val="16"/>
                <w:szCs w:val="16"/>
                <w:color w:val="auto"/>
              </w:rPr>
              <w:t>financial performance.</w:t>
            </w: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2240" w:type="dxa"/>
            <w:vAlign w:val="bottom"/>
            <w:shd w:val="clear" w:color="auto" w:fill="E9E9E9"/>
          </w:tcPr>
          <w:p>
            <w:pPr>
              <w:ind w:left="60"/>
              <w:spacing w:after="0"/>
              <w:rPr>
                <w:sz w:val="20"/>
                <w:szCs w:val="20"/>
                <w:color w:val="auto"/>
              </w:rPr>
            </w:pPr>
            <w:r>
              <w:rPr>
                <w:rFonts w:ascii="Arial" w:cs="Arial" w:eastAsia="Arial" w:hAnsi="Arial"/>
                <w:sz w:val="16"/>
                <w:szCs w:val="16"/>
                <w:i w:val="1"/>
                <w:iCs w:val="1"/>
                <w:color w:val="auto"/>
              </w:rPr>
              <w:t>Long-Term Incentive Awards</w:t>
            </w:r>
          </w:p>
        </w:tc>
        <w:tc>
          <w:tcPr>
            <w:tcW w:w="7380" w:type="dxa"/>
            <w:vAlign w:val="bottom"/>
            <w:shd w:val="clear" w:color="auto" w:fill="E9E9E9"/>
          </w:tcPr>
          <w:p>
            <w:pPr>
              <w:ind w:left="340"/>
              <w:spacing w:after="0"/>
              <w:rPr>
                <w:sz w:val="20"/>
                <w:szCs w:val="20"/>
                <w:color w:val="auto"/>
              </w:rPr>
            </w:pPr>
            <w:r>
              <w:rPr>
                <w:rFonts w:ascii="Arial" w:cs="Arial" w:eastAsia="Arial" w:hAnsi="Arial"/>
                <w:sz w:val="16"/>
                <w:szCs w:val="16"/>
                <w:color w:val="auto"/>
                <w:w w:val="98"/>
              </w:rPr>
              <w:t>Long-term incentive awards are designed to attract and retain a highly qualified executive team, align</w:t>
            </w: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2240" w:type="dxa"/>
            <w:vAlign w:val="bottom"/>
            <w:shd w:val="clear" w:color="auto" w:fill="E9E9E9"/>
          </w:tcPr>
          <w:p>
            <w:pPr>
              <w:spacing w:after="0"/>
              <w:rPr>
                <w:sz w:val="17"/>
                <w:szCs w:val="17"/>
                <w:color w:val="auto"/>
              </w:rPr>
            </w:pPr>
          </w:p>
        </w:tc>
        <w:tc>
          <w:tcPr>
            <w:tcW w:w="7380" w:type="dxa"/>
            <w:vAlign w:val="bottom"/>
            <w:shd w:val="clear" w:color="auto" w:fill="E9E9E9"/>
          </w:tcPr>
          <w:p>
            <w:pPr>
              <w:ind w:left="340"/>
              <w:spacing w:after="0"/>
              <w:rPr>
                <w:sz w:val="20"/>
                <w:szCs w:val="20"/>
                <w:color w:val="auto"/>
              </w:rPr>
            </w:pPr>
            <w:r>
              <w:rPr>
                <w:rFonts w:ascii="Arial" w:cs="Arial" w:eastAsia="Arial" w:hAnsi="Arial"/>
                <w:sz w:val="16"/>
                <w:szCs w:val="16"/>
                <w:color w:val="auto"/>
                <w:w w:val="91"/>
              </w:rPr>
              <w:t>executive rewards with stockholder interests, provide an incentive for our executives to achieve appropriately</w:t>
            </w: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2240" w:type="dxa"/>
            <w:vAlign w:val="bottom"/>
            <w:shd w:val="clear" w:color="auto" w:fill="E9E9E9"/>
          </w:tcPr>
          <w:p>
            <w:pPr>
              <w:spacing w:after="0"/>
              <w:rPr>
                <w:sz w:val="17"/>
                <w:szCs w:val="17"/>
                <w:color w:val="auto"/>
              </w:rPr>
            </w:pPr>
          </w:p>
        </w:tc>
        <w:tc>
          <w:tcPr>
            <w:tcW w:w="7380" w:type="dxa"/>
            <w:vAlign w:val="bottom"/>
            <w:shd w:val="clear" w:color="auto" w:fill="E9E9E9"/>
          </w:tcPr>
          <w:p>
            <w:pPr>
              <w:ind w:left="340"/>
              <w:spacing w:after="0"/>
              <w:rPr>
                <w:sz w:val="20"/>
                <w:szCs w:val="20"/>
                <w:color w:val="auto"/>
              </w:rPr>
            </w:pPr>
            <w:r>
              <w:rPr>
                <w:rFonts w:ascii="Arial" w:cs="Arial" w:eastAsia="Arial" w:hAnsi="Arial"/>
                <w:sz w:val="16"/>
                <w:szCs w:val="16"/>
                <w:color w:val="auto"/>
                <w:w w:val="94"/>
              </w:rPr>
              <w:t>challenging long-range performance goals, and allow our executives to share in the value created for the</w:t>
            </w:r>
          </w:p>
        </w:tc>
        <w:tc>
          <w:tcPr>
            <w:tcW w:w="620" w:type="dxa"/>
            <w:vAlign w:val="bottom"/>
          </w:tcPr>
          <w:p>
            <w:pPr>
              <w:spacing w:after="0"/>
              <w:rPr>
                <w:sz w:val="17"/>
                <w:szCs w:val="17"/>
                <w:color w:val="auto"/>
              </w:rPr>
            </w:pPr>
          </w:p>
        </w:tc>
      </w:tr>
      <w:tr>
        <w:trPr>
          <w:trHeight w:val="204"/>
        </w:trPr>
        <w:tc>
          <w:tcPr>
            <w:tcW w:w="560" w:type="dxa"/>
            <w:vAlign w:val="bottom"/>
          </w:tcPr>
          <w:p>
            <w:pPr>
              <w:spacing w:after="0"/>
              <w:rPr>
                <w:sz w:val="17"/>
                <w:szCs w:val="17"/>
                <w:color w:val="auto"/>
              </w:rPr>
            </w:pPr>
          </w:p>
        </w:tc>
        <w:tc>
          <w:tcPr>
            <w:tcW w:w="2240" w:type="dxa"/>
            <w:vAlign w:val="bottom"/>
            <w:shd w:val="clear" w:color="auto" w:fill="E9E9E9"/>
          </w:tcPr>
          <w:p>
            <w:pPr>
              <w:spacing w:after="0"/>
              <w:rPr>
                <w:sz w:val="17"/>
                <w:szCs w:val="17"/>
                <w:color w:val="auto"/>
              </w:rPr>
            </w:pPr>
          </w:p>
        </w:tc>
        <w:tc>
          <w:tcPr>
            <w:tcW w:w="7380" w:type="dxa"/>
            <w:vAlign w:val="bottom"/>
            <w:shd w:val="clear" w:color="auto" w:fill="E9E9E9"/>
          </w:tcPr>
          <w:p>
            <w:pPr>
              <w:ind w:left="340"/>
              <w:spacing w:after="0"/>
              <w:rPr>
                <w:sz w:val="20"/>
                <w:szCs w:val="20"/>
                <w:color w:val="auto"/>
              </w:rPr>
            </w:pPr>
            <w:r>
              <w:rPr>
                <w:rFonts w:ascii="Arial" w:cs="Arial" w:eastAsia="Arial" w:hAnsi="Arial"/>
                <w:sz w:val="16"/>
                <w:szCs w:val="16"/>
                <w:color w:val="auto"/>
              </w:rPr>
              <w:t>Company's stockholders.</w:t>
            </w: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2240" w:type="dxa"/>
            <w:vAlign w:val="bottom"/>
          </w:tcPr>
          <w:p>
            <w:pPr>
              <w:ind w:left="60"/>
              <w:spacing w:after="0"/>
              <w:rPr>
                <w:sz w:val="20"/>
                <w:szCs w:val="20"/>
                <w:color w:val="auto"/>
              </w:rPr>
            </w:pPr>
            <w:r>
              <w:rPr>
                <w:rFonts w:ascii="Arial" w:cs="Arial" w:eastAsia="Arial" w:hAnsi="Arial"/>
                <w:sz w:val="16"/>
                <w:szCs w:val="16"/>
                <w:i w:val="1"/>
                <w:iCs w:val="1"/>
                <w:color w:val="auto"/>
              </w:rPr>
              <w:t>Other Compensation</w:t>
            </w:r>
          </w:p>
        </w:tc>
        <w:tc>
          <w:tcPr>
            <w:tcW w:w="7380" w:type="dxa"/>
            <w:vAlign w:val="bottom"/>
          </w:tcPr>
          <w:p>
            <w:pPr>
              <w:ind w:left="340"/>
              <w:spacing w:after="0"/>
              <w:rPr>
                <w:sz w:val="20"/>
                <w:szCs w:val="20"/>
                <w:color w:val="auto"/>
              </w:rPr>
            </w:pPr>
            <w:r>
              <w:rPr>
                <w:rFonts w:ascii="Arial" w:cs="Arial" w:eastAsia="Arial" w:hAnsi="Arial"/>
                <w:sz w:val="16"/>
                <w:szCs w:val="16"/>
                <w:color w:val="auto"/>
                <w:w w:val="93"/>
              </w:rPr>
              <w:t>We provide certain health, life insurance, disability and retirement benefits, which are all part of our broad-</w:t>
            </w: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380" w:type="dxa"/>
            <w:vAlign w:val="bottom"/>
          </w:tcPr>
          <w:p>
            <w:pPr>
              <w:ind w:left="340"/>
              <w:spacing w:after="0"/>
              <w:rPr>
                <w:sz w:val="20"/>
                <w:szCs w:val="20"/>
                <w:color w:val="auto"/>
              </w:rPr>
            </w:pPr>
            <w:r>
              <w:rPr>
                <w:rFonts w:ascii="Arial" w:cs="Arial" w:eastAsia="Arial" w:hAnsi="Arial"/>
                <w:sz w:val="16"/>
                <w:szCs w:val="16"/>
                <w:color w:val="auto"/>
                <w:w w:val="96"/>
              </w:rPr>
              <w:t>based employee benefits program. Retirement benefits for our NEOs (other than our Former President,</w:t>
            </w: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380" w:type="dxa"/>
            <w:vAlign w:val="bottom"/>
          </w:tcPr>
          <w:p>
            <w:pPr>
              <w:ind w:left="340"/>
              <w:spacing w:after="0"/>
              <w:rPr>
                <w:sz w:val="20"/>
                <w:szCs w:val="20"/>
                <w:color w:val="auto"/>
              </w:rPr>
            </w:pPr>
            <w:r>
              <w:rPr>
                <w:rFonts w:ascii="Arial" w:cs="Arial" w:eastAsia="Arial" w:hAnsi="Arial"/>
                <w:sz w:val="16"/>
                <w:szCs w:val="16"/>
                <w:color w:val="auto"/>
                <w:w w:val="94"/>
              </w:rPr>
              <w:t>LA/AP) are limited to (i) deferrals under the Company's deferred compensation plan for executives, which</w:t>
            </w: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380" w:type="dxa"/>
            <w:vAlign w:val="bottom"/>
          </w:tcPr>
          <w:p>
            <w:pPr>
              <w:ind w:left="340"/>
              <w:spacing w:after="0"/>
              <w:rPr>
                <w:sz w:val="20"/>
                <w:szCs w:val="20"/>
                <w:color w:val="auto"/>
              </w:rPr>
            </w:pPr>
            <w:r>
              <w:rPr>
                <w:rFonts w:ascii="Arial" w:cs="Arial" w:eastAsia="Arial" w:hAnsi="Arial"/>
                <w:sz w:val="16"/>
                <w:szCs w:val="16"/>
                <w:color w:val="auto"/>
                <w:w w:val="92"/>
              </w:rPr>
              <w:t>the Company matches up to a maximum of 6% of base salary and annual incentive, and/or (ii) participation</w:t>
            </w:r>
          </w:p>
        </w:tc>
        <w:tc>
          <w:tcPr>
            <w:tcW w:w="6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380" w:type="dxa"/>
            <w:vAlign w:val="bottom"/>
          </w:tcPr>
          <w:p>
            <w:pPr>
              <w:ind w:left="340"/>
              <w:spacing w:after="0"/>
              <w:rPr>
                <w:sz w:val="20"/>
                <w:szCs w:val="20"/>
                <w:color w:val="auto"/>
              </w:rPr>
            </w:pPr>
            <w:r>
              <w:rPr>
                <w:rFonts w:ascii="Arial" w:cs="Arial" w:eastAsia="Arial" w:hAnsi="Arial"/>
                <w:sz w:val="16"/>
                <w:szCs w:val="16"/>
                <w:color w:val="auto"/>
                <w:w w:val="91"/>
              </w:rPr>
              <w:t>in our 401(k) plan. Other executive benefits and perquisites include auto use and financial planning services.</w:t>
            </w:r>
          </w:p>
        </w:tc>
        <w:tc>
          <w:tcPr>
            <w:tcW w:w="620" w:type="dxa"/>
            <w:vAlign w:val="bottom"/>
          </w:tcPr>
          <w:p>
            <w:pPr>
              <w:spacing w:after="0"/>
              <w:rPr>
                <w:sz w:val="17"/>
                <w:szCs w:val="17"/>
                <w:color w:val="auto"/>
              </w:rPr>
            </w:pPr>
          </w:p>
        </w:tc>
      </w:tr>
      <w:tr>
        <w:trPr>
          <w:trHeight w:val="204"/>
        </w:trPr>
        <w:tc>
          <w:tcPr>
            <w:tcW w:w="560" w:type="dxa"/>
            <w:vAlign w:val="bottom"/>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73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Certain of our NEOs also are provided with limited personal use of Company aircraft services.</w:t>
            </w:r>
          </w:p>
        </w:tc>
        <w:tc>
          <w:tcPr>
            <w:tcW w:w="620" w:type="dxa"/>
            <w:vAlign w:val="bottom"/>
          </w:tcPr>
          <w:p>
            <w:pPr>
              <w:spacing w:after="0"/>
              <w:rPr>
                <w:sz w:val="17"/>
                <w:szCs w:val="17"/>
                <w:color w:val="auto"/>
              </w:rPr>
            </w:pPr>
          </w:p>
        </w:tc>
      </w:tr>
      <w:tr>
        <w:trPr>
          <w:trHeight w:val="207"/>
        </w:trPr>
        <w:tc>
          <w:tcPr>
            <w:tcW w:w="2800" w:type="dxa"/>
            <w:vAlign w:val="bottom"/>
            <w:gridSpan w:val="2"/>
          </w:tcPr>
          <w:p>
            <w:pPr>
              <w:jc w:val="right"/>
              <w:ind w:right="2000"/>
              <w:spacing w:after="0"/>
              <w:rPr>
                <w:sz w:val="20"/>
                <w:szCs w:val="20"/>
                <w:color w:val="auto"/>
              </w:rPr>
            </w:pPr>
            <w:r>
              <w:rPr>
                <w:rFonts w:ascii="Arial" w:cs="Arial" w:eastAsia="Arial" w:hAnsi="Arial"/>
                <w:sz w:val="16"/>
                <w:szCs w:val="16"/>
                <w:color w:val="auto"/>
              </w:rPr>
              <w:t>21</w:t>
            </w:r>
          </w:p>
        </w:tc>
        <w:tc>
          <w:tcPr>
            <w:tcW w:w="73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27"/>
        </w:trPr>
        <w:tc>
          <w:tcPr>
            <w:tcW w:w="560" w:type="dxa"/>
            <w:vAlign w:val="bottom"/>
            <w:tcBorders>
              <w:bottom w:val="single" w:sz="8" w:color="808080"/>
            </w:tcBorders>
          </w:tcPr>
          <w:p>
            <w:pPr>
              <w:spacing w:after="0"/>
              <w:rPr>
                <w:sz w:val="11"/>
                <w:szCs w:val="11"/>
                <w:color w:val="auto"/>
              </w:rPr>
            </w:pPr>
          </w:p>
        </w:tc>
        <w:tc>
          <w:tcPr>
            <w:tcW w:w="2240" w:type="dxa"/>
            <w:vAlign w:val="bottom"/>
            <w:tcBorders>
              <w:bottom w:val="single" w:sz="8" w:color="808080"/>
            </w:tcBorders>
          </w:tcPr>
          <w:p>
            <w:pPr>
              <w:spacing w:after="0"/>
              <w:rPr>
                <w:sz w:val="11"/>
                <w:szCs w:val="11"/>
                <w:color w:val="auto"/>
              </w:rPr>
            </w:pPr>
          </w:p>
        </w:tc>
        <w:tc>
          <w:tcPr>
            <w:tcW w:w="73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6843395</wp:posOffset>
            </wp:positionH>
            <wp:positionV relativeFrom="paragraph">
              <wp:posOffset>-34925</wp:posOffset>
            </wp:positionV>
            <wp:extent cx="12700" cy="35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-34925</wp:posOffset>
            </wp:positionV>
            <wp:extent cx="12700" cy="35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ectPr>
          <w:pgSz w:w="11900" w:h="16838" w:orient="portrait"/>
          <w:cols w:equalWidth="0" w:num="1">
            <w:col w:w="10800"/>
          </w:cols>
          <w:pgMar w:left="820" w:top="808" w:right="27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Analysis of 2014 Pay Decisions</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2014 Compensation for our CEO</w:t>
      </w:r>
    </w:p>
    <w:p>
      <w:pPr>
        <w:spacing w:after="0" w:line="250"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Consistent with 2013, for 2014, the Committee maintained for our CEO an annual base salary of $1.15 million and a target payout of 150% of base salary for the annual performance-based incentive, as further described under "Annual Incentive Program for all NEOs." The Committee also awarded our CEO a long- term incentive opportunity, with a grant date target value of $4.5 million, representing a $1.0 million increase in grant date target value compared to 2013. This increase was approved in connection with the extension of our CEO's employment agreement through the end of 2015 and in light of the Company's strong performance as reflected in the Company's stock price, which increased over 100% in 2013. Under our CEO's extended employment agreement, the Board has the ability to extend the term of the agreement to December 31, 2016 and appoint our CEO as Executive Chairman of the Board.</w:t>
      </w:r>
    </w:p>
    <w:p>
      <w:pPr>
        <w:spacing w:after="0" w:line="206" w:lineRule="exact"/>
        <w:rPr>
          <w:sz w:val="20"/>
          <w:szCs w:val="20"/>
          <w:color w:val="auto"/>
        </w:rPr>
      </w:pPr>
    </w:p>
    <w:p>
      <w:pPr>
        <w:ind w:right="20"/>
        <w:spacing w:after="0" w:line="318" w:lineRule="auto"/>
        <w:rPr>
          <w:sz w:val="20"/>
          <w:szCs w:val="20"/>
          <w:color w:val="auto"/>
        </w:rPr>
      </w:pPr>
      <w:r>
        <w:rPr>
          <w:rFonts w:ascii="Arial" w:cs="Arial" w:eastAsia="Arial" w:hAnsi="Arial"/>
          <w:sz w:val="14"/>
          <w:szCs w:val="14"/>
          <w:color w:val="auto"/>
        </w:rPr>
        <w:t>The long-term incentive award is predominantly performance-based, with 70% of the target award subject to the attainment of performance goals. The Committee determined that a long-term incentive award comprised of a mix of predominantly performance-based restricted stock units ("PSUs") was appropriate, considering our pay-for-performance philosophy. The target award consists of 59,966 PSUs and 25,700 time-based restricted stock units ("RSUs"). Each award component generally requires our CEO to remain employed through December 31, 2015 to coincide with the current termination date set forth in our employment agreement with our CEO, and the RSU award is scheduled to vest in full on such date.</w:t>
      </w:r>
    </w:p>
    <w:p>
      <w:pPr>
        <w:spacing w:after="0" w:line="188" w:lineRule="exact"/>
        <w:rPr>
          <w:sz w:val="20"/>
          <w:szCs w:val="20"/>
          <w:color w:val="auto"/>
        </w:rPr>
      </w:pPr>
    </w:p>
    <w:p>
      <w:pPr>
        <w:ind w:right="40"/>
        <w:spacing w:after="0" w:line="315" w:lineRule="auto"/>
        <w:rPr>
          <w:sz w:val="20"/>
          <w:szCs w:val="20"/>
          <w:color w:val="auto"/>
        </w:rPr>
      </w:pPr>
      <w:r>
        <w:rPr>
          <w:rFonts w:ascii="Arial" w:cs="Arial" w:eastAsia="Arial" w:hAnsi="Arial"/>
          <w:sz w:val="14"/>
          <w:szCs w:val="14"/>
          <w:color w:val="auto"/>
        </w:rPr>
        <w:t>For the PSUs, the Committee selected as a performance goal the relative total shareholder return of our Company's stock compared to that of the companies comprising the Russell 1000 Index ("Relative TSR") with a three-year measurement period in accordance with past practice for CEO long-term incentive awards. However, the Committee also acknowledged that achievement of $950 million to $1.0 billion of Adjusted EBITDA in 2015 would be a significant achievement and important milestone for the Company. Accordingly, the award provides for vesting based on Relative TSR as set forth below, however, the award can also vest at threshold through target levels (i.e., 50% to 100% of target) in January 2016 if Adjusted EBITDA for 2015 is $950 million to $1.0 billion, after giving pro forma effect to certain acquisition synergies and other strategic initiatives.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Pr>
          <w:p>
            <w:pPr>
              <w:jc w:val="center"/>
              <w:ind w:left="1721"/>
              <w:spacing w:after="0"/>
              <w:rPr>
                <w:sz w:val="20"/>
                <w:szCs w:val="20"/>
                <w:color w:val="auto"/>
              </w:rPr>
            </w:pPr>
            <w:r>
              <w:rPr>
                <w:rFonts w:ascii="Arial" w:cs="Arial" w:eastAsia="Arial" w:hAnsi="Arial"/>
                <w:sz w:val="16"/>
                <w:szCs w:val="16"/>
                <w:b w:val="1"/>
                <w:bCs w:val="1"/>
                <w:color w:val="auto"/>
                <w:w w:val="91"/>
              </w:rPr>
              <w:t>Relative TSR (compared to</w:t>
            </w:r>
          </w:p>
        </w:tc>
        <w:tc>
          <w:tcPr>
            <w:tcW w:w="4720" w:type="dxa"/>
            <w:vAlign w:val="bottom"/>
          </w:tcPr>
          <w:p>
            <w:pPr>
              <w:spacing w:after="0"/>
              <w:rPr>
                <w:sz w:val="17"/>
                <w:szCs w:val="17"/>
                <w:color w:val="auto"/>
              </w:rPr>
            </w:pPr>
          </w:p>
        </w:tc>
      </w:tr>
      <w:tr>
        <w:trPr>
          <w:trHeight w:val="203"/>
        </w:trPr>
        <w:tc>
          <w:tcPr>
            <w:tcW w:w="4900" w:type="dxa"/>
            <w:vAlign w:val="bottom"/>
          </w:tcPr>
          <w:p>
            <w:pPr>
              <w:jc w:val="center"/>
              <w:ind w:left="1721"/>
              <w:spacing w:after="0"/>
              <w:rPr>
                <w:sz w:val="20"/>
                <w:szCs w:val="20"/>
                <w:color w:val="auto"/>
              </w:rPr>
            </w:pPr>
            <w:r>
              <w:rPr>
                <w:rFonts w:ascii="Arial" w:cs="Arial" w:eastAsia="Arial" w:hAnsi="Arial"/>
                <w:sz w:val="16"/>
                <w:szCs w:val="16"/>
                <w:b w:val="1"/>
                <w:bCs w:val="1"/>
                <w:color w:val="auto"/>
                <w:w w:val="89"/>
              </w:rPr>
              <w:t>the Russell 1000 Index)</w:t>
            </w:r>
          </w:p>
        </w:tc>
        <w:tc>
          <w:tcPr>
            <w:tcW w:w="4720" w:type="dxa"/>
            <w:vAlign w:val="bottom"/>
          </w:tcPr>
          <w:p>
            <w:pPr>
              <w:spacing w:after="0"/>
              <w:rPr>
                <w:sz w:val="17"/>
                <w:szCs w:val="17"/>
                <w:color w:val="auto"/>
              </w:rPr>
            </w:pPr>
          </w:p>
        </w:tc>
      </w:tr>
      <w:tr>
        <w:trPr>
          <w:trHeight w:val="203"/>
        </w:trPr>
        <w:tc>
          <w:tcPr>
            <w:tcW w:w="4900" w:type="dxa"/>
            <w:vAlign w:val="bottom"/>
          </w:tcPr>
          <w:p>
            <w:pPr>
              <w:jc w:val="center"/>
              <w:ind w:left="1741"/>
              <w:spacing w:after="0"/>
              <w:rPr>
                <w:sz w:val="20"/>
                <w:szCs w:val="20"/>
                <w:color w:val="auto"/>
              </w:rPr>
            </w:pPr>
            <w:r>
              <w:rPr>
                <w:rFonts w:ascii="Arial" w:cs="Arial" w:eastAsia="Arial" w:hAnsi="Arial"/>
                <w:sz w:val="16"/>
                <w:szCs w:val="16"/>
                <w:b w:val="1"/>
                <w:bCs w:val="1"/>
                <w:color w:val="auto"/>
                <w:w w:val="91"/>
              </w:rPr>
              <w:t>over Three-Year</w:t>
            </w:r>
          </w:p>
        </w:tc>
        <w:tc>
          <w:tcPr>
            <w:tcW w:w="4720" w:type="dxa"/>
            <w:vAlign w:val="bottom"/>
          </w:tcPr>
          <w:p>
            <w:pPr>
              <w:jc w:val="center"/>
              <w:ind w:right="1920"/>
              <w:spacing w:after="0"/>
              <w:rPr>
                <w:sz w:val="20"/>
                <w:szCs w:val="20"/>
                <w:color w:val="auto"/>
              </w:rPr>
            </w:pPr>
            <w:r>
              <w:rPr>
                <w:rFonts w:ascii="Arial" w:cs="Arial" w:eastAsia="Arial" w:hAnsi="Arial"/>
                <w:sz w:val="16"/>
                <w:szCs w:val="16"/>
                <w:b w:val="1"/>
                <w:bCs w:val="1"/>
                <w:color w:val="auto"/>
                <w:w w:val="91"/>
              </w:rPr>
              <w:t>Achievement Level**</w:t>
            </w:r>
          </w:p>
        </w:tc>
      </w:tr>
      <w:tr>
        <w:trPr>
          <w:trHeight w:val="203"/>
        </w:trPr>
        <w:tc>
          <w:tcPr>
            <w:tcW w:w="4900" w:type="dxa"/>
            <w:vAlign w:val="bottom"/>
          </w:tcPr>
          <w:p>
            <w:pPr>
              <w:jc w:val="center"/>
              <w:ind w:left="1721"/>
              <w:spacing w:after="0"/>
              <w:rPr>
                <w:sz w:val="20"/>
                <w:szCs w:val="20"/>
                <w:color w:val="auto"/>
              </w:rPr>
            </w:pPr>
            <w:r>
              <w:rPr>
                <w:rFonts w:ascii="Arial" w:cs="Arial" w:eastAsia="Arial" w:hAnsi="Arial"/>
                <w:sz w:val="16"/>
                <w:szCs w:val="16"/>
                <w:b w:val="1"/>
                <w:bCs w:val="1"/>
                <w:color w:val="auto"/>
                <w:w w:val="90"/>
              </w:rPr>
              <w:t>Measurement Period</w:t>
            </w:r>
          </w:p>
        </w:tc>
        <w:tc>
          <w:tcPr>
            <w:tcW w:w="4720" w:type="dxa"/>
            <w:vAlign w:val="bottom"/>
          </w:tcPr>
          <w:p>
            <w:pPr>
              <w:jc w:val="center"/>
              <w:ind w:right="1920"/>
              <w:spacing w:after="0"/>
              <w:rPr>
                <w:sz w:val="20"/>
                <w:szCs w:val="20"/>
                <w:color w:val="auto"/>
              </w:rPr>
            </w:pPr>
            <w:r>
              <w:rPr>
                <w:rFonts w:ascii="Arial" w:cs="Arial" w:eastAsia="Arial" w:hAnsi="Arial"/>
                <w:sz w:val="16"/>
                <w:szCs w:val="16"/>
                <w:b w:val="1"/>
                <w:bCs w:val="1"/>
                <w:color w:val="auto"/>
                <w:w w:val="90"/>
              </w:rPr>
              <w:t>(as a % of target</w:t>
            </w:r>
          </w:p>
        </w:tc>
      </w:tr>
      <w:tr>
        <w:trPr>
          <w:trHeight w:val="208"/>
        </w:trPr>
        <w:tc>
          <w:tcPr>
            <w:tcW w:w="4900" w:type="dxa"/>
            <w:vAlign w:val="bottom"/>
            <w:tcBorders>
              <w:bottom w:val="single" w:sz="8" w:color="auto"/>
            </w:tcBorders>
          </w:tcPr>
          <w:p>
            <w:pPr>
              <w:jc w:val="center"/>
              <w:ind w:left="1721"/>
              <w:spacing w:after="0"/>
              <w:rPr>
                <w:sz w:val="20"/>
                <w:szCs w:val="20"/>
                <w:color w:val="auto"/>
              </w:rPr>
            </w:pPr>
            <w:r>
              <w:rPr>
                <w:rFonts w:ascii="Arial" w:cs="Arial" w:eastAsia="Arial" w:hAnsi="Arial"/>
                <w:sz w:val="16"/>
                <w:szCs w:val="16"/>
                <w:b w:val="1"/>
                <w:bCs w:val="1"/>
                <w:color w:val="auto"/>
                <w:w w:val="90"/>
              </w:rPr>
              <w:t>ending January 22, 2017*</w:t>
            </w:r>
          </w:p>
        </w:tc>
        <w:tc>
          <w:tcPr>
            <w:tcW w:w="4720" w:type="dxa"/>
            <w:vAlign w:val="bottom"/>
            <w:tcBorders>
              <w:bottom w:val="single" w:sz="8" w:color="auto"/>
            </w:tcBorders>
          </w:tcPr>
          <w:p>
            <w:pPr>
              <w:jc w:val="center"/>
              <w:ind w:right="1920"/>
              <w:spacing w:after="0"/>
              <w:rPr>
                <w:sz w:val="20"/>
                <w:szCs w:val="20"/>
                <w:color w:val="auto"/>
              </w:rPr>
            </w:pPr>
            <w:r>
              <w:rPr>
                <w:rFonts w:ascii="Arial" w:cs="Arial" w:eastAsia="Arial" w:hAnsi="Arial"/>
                <w:sz w:val="16"/>
                <w:szCs w:val="16"/>
                <w:b w:val="1"/>
                <w:bCs w:val="1"/>
                <w:color w:val="auto"/>
                <w:w w:val="92"/>
              </w:rPr>
              <w:t>units awarded)</w:t>
            </w:r>
          </w:p>
        </w:tc>
      </w:tr>
      <w:tr>
        <w:trPr>
          <w:trHeight w:val="207"/>
        </w:trPr>
        <w:tc>
          <w:tcPr>
            <w:tcW w:w="4900" w:type="dxa"/>
            <w:vAlign w:val="bottom"/>
          </w:tcPr>
          <w:p>
            <w:pPr>
              <w:jc w:val="center"/>
              <w:ind w:left="1721"/>
              <w:spacing w:after="0" w:line="207" w:lineRule="exact"/>
              <w:rPr>
                <w:sz w:val="20"/>
                <w:szCs w:val="20"/>
                <w:color w:val="auto"/>
              </w:rPr>
            </w:pPr>
            <w:r>
              <w:rPr>
                <w:rFonts w:ascii="Arial" w:cs="Arial" w:eastAsia="Arial" w:hAnsi="Arial"/>
                <w:sz w:val="15"/>
                <w:szCs w:val="15"/>
                <w:color w:val="auto"/>
                <w:w w:val="94"/>
              </w:rPr>
              <w:t>75</w:t>
            </w:r>
            <w:r>
              <w:rPr>
                <w:rFonts w:ascii="Arial" w:cs="Arial" w:eastAsia="Arial" w:hAnsi="Arial"/>
                <w:sz w:val="24"/>
                <w:szCs w:val="24"/>
                <w:color w:val="auto"/>
                <w:w w:val="94"/>
                <w:vertAlign w:val="superscript"/>
              </w:rPr>
              <w:t>th</w:t>
            </w:r>
            <w:r>
              <w:rPr>
                <w:rFonts w:ascii="Arial" w:cs="Arial" w:eastAsia="Arial" w:hAnsi="Arial"/>
                <w:sz w:val="15"/>
                <w:szCs w:val="15"/>
                <w:color w:val="auto"/>
                <w:w w:val="94"/>
              </w:rPr>
              <w:t xml:space="preserve"> Percentile or Higher</w:t>
            </w:r>
          </w:p>
        </w:tc>
        <w:tc>
          <w:tcPr>
            <w:tcW w:w="4720" w:type="dxa"/>
            <w:vAlign w:val="bottom"/>
          </w:tcPr>
          <w:p>
            <w:pPr>
              <w:jc w:val="center"/>
              <w:ind w:right="1920"/>
              <w:spacing w:after="0"/>
              <w:rPr>
                <w:sz w:val="20"/>
                <w:szCs w:val="20"/>
                <w:color w:val="auto"/>
              </w:rPr>
            </w:pPr>
            <w:r>
              <w:rPr>
                <w:rFonts w:ascii="Arial" w:cs="Arial" w:eastAsia="Arial" w:hAnsi="Arial"/>
                <w:sz w:val="16"/>
                <w:szCs w:val="16"/>
                <w:color w:val="auto"/>
                <w:w w:val="87"/>
              </w:rPr>
              <w:t>150%</w:t>
            </w:r>
          </w:p>
        </w:tc>
      </w:tr>
      <w:tr>
        <w:trPr>
          <w:trHeight w:val="203"/>
        </w:trPr>
        <w:tc>
          <w:tcPr>
            <w:tcW w:w="4900" w:type="dxa"/>
            <w:vAlign w:val="bottom"/>
            <w:shd w:val="clear" w:color="auto" w:fill="E9E9E9"/>
          </w:tcPr>
          <w:p>
            <w:pPr>
              <w:jc w:val="center"/>
              <w:ind w:left="1721"/>
              <w:spacing w:after="0"/>
              <w:rPr>
                <w:sz w:val="20"/>
                <w:szCs w:val="20"/>
                <w:color w:val="auto"/>
              </w:rPr>
            </w:pPr>
            <w:r>
              <w:rPr>
                <w:rFonts w:ascii="Arial" w:cs="Arial" w:eastAsia="Arial" w:hAnsi="Arial"/>
                <w:sz w:val="16"/>
                <w:szCs w:val="16"/>
                <w:color w:val="auto"/>
                <w:w w:val="93"/>
              </w:rPr>
              <w:t>Median of Index</w:t>
            </w:r>
          </w:p>
        </w:tc>
        <w:tc>
          <w:tcPr>
            <w:tcW w:w="4720" w:type="dxa"/>
            <w:vAlign w:val="bottom"/>
            <w:shd w:val="clear" w:color="auto" w:fill="E9E9E9"/>
          </w:tcPr>
          <w:p>
            <w:pPr>
              <w:jc w:val="center"/>
              <w:ind w:right="1920"/>
              <w:spacing w:after="0"/>
              <w:rPr>
                <w:sz w:val="20"/>
                <w:szCs w:val="20"/>
                <w:color w:val="auto"/>
              </w:rPr>
            </w:pPr>
            <w:r>
              <w:rPr>
                <w:rFonts w:ascii="Arial" w:cs="Arial" w:eastAsia="Arial" w:hAnsi="Arial"/>
                <w:sz w:val="16"/>
                <w:szCs w:val="16"/>
                <w:color w:val="auto"/>
                <w:w w:val="87"/>
              </w:rPr>
              <w:t>100%</w:t>
            </w:r>
          </w:p>
        </w:tc>
      </w:tr>
      <w:tr>
        <w:trPr>
          <w:trHeight w:val="215"/>
        </w:trPr>
        <w:tc>
          <w:tcPr>
            <w:tcW w:w="4900" w:type="dxa"/>
            <w:vAlign w:val="bottom"/>
          </w:tcPr>
          <w:p>
            <w:pPr>
              <w:jc w:val="center"/>
              <w:ind w:left="1721"/>
              <w:spacing w:after="0" w:line="216" w:lineRule="exact"/>
              <w:rPr>
                <w:sz w:val="20"/>
                <w:szCs w:val="20"/>
                <w:color w:val="auto"/>
              </w:rPr>
            </w:pPr>
            <w:r>
              <w:rPr>
                <w:rFonts w:ascii="Arial" w:cs="Arial" w:eastAsia="Arial" w:hAnsi="Arial"/>
                <w:sz w:val="15"/>
                <w:szCs w:val="15"/>
                <w:color w:val="auto"/>
                <w:w w:val="93"/>
              </w:rPr>
              <w:t>35</w:t>
            </w:r>
            <w:r>
              <w:rPr>
                <w:rFonts w:ascii="Arial" w:cs="Arial" w:eastAsia="Arial" w:hAnsi="Arial"/>
                <w:sz w:val="24"/>
                <w:szCs w:val="24"/>
                <w:color w:val="auto"/>
                <w:w w:val="93"/>
                <w:vertAlign w:val="superscript"/>
              </w:rPr>
              <w:t>th</w:t>
            </w:r>
            <w:r>
              <w:rPr>
                <w:rFonts w:ascii="Arial" w:cs="Arial" w:eastAsia="Arial" w:hAnsi="Arial"/>
                <w:sz w:val="15"/>
                <w:szCs w:val="15"/>
                <w:color w:val="auto"/>
                <w:w w:val="93"/>
              </w:rPr>
              <w:t xml:space="preserve"> Percentile</w:t>
            </w:r>
          </w:p>
        </w:tc>
        <w:tc>
          <w:tcPr>
            <w:tcW w:w="4720" w:type="dxa"/>
            <w:vAlign w:val="bottom"/>
          </w:tcPr>
          <w:p>
            <w:pPr>
              <w:jc w:val="center"/>
              <w:ind w:right="1920"/>
              <w:spacing w:after="0"/>
              <w:rPr>
                <w:sz w:val="20"/>
                <w:szCs w:val="20"/>
                <w:color w:val="auto"/>
              </w:rPr>
            </w:pPr>
            <w:r>
              <w:rPr>
                <w:rFonts w:ascii="Arial" w:cs="Arial" w:eastAsia="Arial" w:hAnsi="Arial"/>
                <w:sz w:val="16"/>
                <w:szCs w:val="16"/>
                <w:color w:val="auto"/>
                <w:w w:val="87"/>
              </w:rPr>
              <w:t>50%</w:t>
            </w:r>
          </w:p>
        </w:tc>
      </w:tr>
      <w:tr>
        <w:trPr>
          <w:trHeight w:val="215"/>
        </w:trPr>
        <w:tc>
          <w:tcPr>
            <w:tcW w:w="4900" w:type="dxa"/>
            <w:vAlign w:val="bottom"/>
            <w:shd w:val="clear" w:color="auto" w:fill="E9E9E9"/>
          </w:tcPr>
          <w:p>
            <w:pPr>
              <w:jc w:val="center"/>
              <w:ind w:left="1721"/>
              <w:spacing w:after="0" w:line="216" w:lineRule="exact"/>
              <w:rPr>
                <w:sz w:val="20"/>
                <w:szCs w:val="20"/>
                <w:color w:val="auto"/>
              </w:rPr>
            </w:pPr>
            <w:r>
              <w:rPr>
                <w:rFonts w:ascii="Arial" w:cs="Arial" w:eastAsia="Arial" w:hAnsi="Arial"/>
                <w:sz w:val="15"/>
                <w:szCs w:val="15"/>
                <w:color w:val="auto"/>
                <w:w w:val="93"/>
              </w:rPr>
              <w:t>25</w:t>
            </w:r>
            <w:r>
              <w:rPr>
                <w:rFonts w:ascii="Arial" w:cs="Arial" w:eastAsia="Arial" w:hAnsi="Arial"/>
                <w:sz w:val="24"/>
                <w:szCs w:val="24"/>
                <w:color w:val="auto"/>
                <w:w w:val="93"/>
                <w:vertAlign w:val="superscript"/>
              </w:rPr>
              <w:t>th</w:t>
            </w:r>
            <w:r>
              <w:rPr>
                <w:rFonts w:ascii="Arial" w:cs="Arial" w:eastAsia="Arial" w:hAnsi="Arial"/>
                <w:sz w:val="15"/>
                <w:szCs w:val="15"/>
                <w:color w:val="auto"/>
                <w:w w:val="93"/>
              </w:rPr>
              <w:t xml:space="preserve"> Percentile</w:t>
            </w:r>
          </w:p>
        </w:tc>
        <w:tc>
          <w:tcPr>
            <w:tcW w:w="4720" w:type="dxa"/>
            <w:vAlign w:val="bottom"/>
            <w:shd w:val="clear" w:color="auto" w:fill="E9E9E9"/>
          </w:tcPr>
          <w:p>
            <w:pPr>
              <w:jc w:val="center"/>
              <w:ind w:right="1920"/>
              <w:spacing w:after="0"/>
              <w:rPr>
                <w:sz w:val="20"/>
                <w:szCs w:val="20"/>
                <w:color w:val="auto"/>
              </w:rPr>
            </w:pPr>
            <w:r>
              <w:rPr>
                <w:rFonts w:ascii="Arial" w:cs="Arial" w:eastAsia="Arial" w:hAnsi="Arial"/>
                <w:sz w:val="16"/>
                <w:szCs w:val="16"/>
                <w:color w:val="auto"/>
                <w:w w:val="87"/>
              </w:rPr>
              <w:t>25%</w:t>
            </w:r>
          </w:p>
        </w:tc>
      </w:tr>
      <w:tr>
        <w:trPr>
          <w:trHeight w:val="332"/>
        </w:trPr>
        <w:tc>
          <w:tcPr>
            <w:tcW w:w="4900" w:type="dxa"/>
            <w:vAlign w:val="bottom"/>
          </w:tcPr>
          <w:p>
            <w:pPr>
              <w:jc w:val="center"/>
              <w:ind w:left="1721"/>
              <w:spacing w:after="0"/>
              <w:rPr>
                <w:sz w:val="20"/>
                <w:szCs w:val="20"/>
                <w:color w:val="auto"/>
              </w:rPr>
            </w:pPr>
            <w:r>
              <w:rPr>
                <w:rFonts w:ascii="Arial" w:cs="Arial" w:eastAsia="Arial" w:hAnsi="Arial"/>
                <w:sz w:val="16"/>
                <w:szCs w:val="16"/>
                <w:color w:val="auto"/>
                <w:w w:val="87"/>
              </w:rPr>
              <w:t>&lt;25</w:t>
            </w:r>
            <w:r>
              <w:rPr>
                <w:rFonts w:ascii="Arial" w:cs="Arial" w:eastAsia="Arial" w:hAnsi="Arial"/>
                <w:sz w:val="25"/>
                <w:szCs w:val="25"/>
                <w:color w:val="auto"/>
                <w:w w:val="87"/>
                <w:vertAlign w:val="superscript"/>
              </w:rPr>
              <w:t>th</w:t>
            </w:r>
            <w:r>
              <w:rPr>
                <w:rFonts w:ascii="Arial" w:cs="Arial" w:eastAsia="Arial" w:hAnsi="Arial"/>
                <w:sz w:val="16"/>
                <w:szCs w:val="16"/>
                <w:color w:val="auto"/>
                <w:w w:val="87"/>
              </w:rPr>
              <w:t xml:space="preserve"> Percentile</w:t>
            </w:r>
          </w:p>
        </w:tc>
        <w:tc>
          <w:tcPr>
            <w:tcW w:w="4720" w:type="dxa"/>
            <w:vAlign w:val="bottom"/>
          </w:tcPr>
          <w:p>
            <w:pPr>
              <w:jc w:val="center"/>
              <w:ind w:right="1920"/>
              <w:spacing w:after="0"/>
              <w:rPr>
                <w:sz w:val="20"/>
                <w:szCs w:val="20"/>
                <w:color w:val="auto"/>
              </w:rPr>
            </w:pPr>
            <w:r>
              <w:rPr>
                <w:rFonts w:ascii="Arial" w:cs="Arial" w:eastAsia="Arial" w:hAnsi="Arial"/>
                <w:sz w:val="16"/>
                <w:szCs w:val="16"/>
                <w:color w:val="auto"/>
                <w:w w:val="86"/>
              </w:rPr>
              <w:t>0%</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*Based on average closing prices for the 90-trading day periods prior to the beginning and end of the performance period.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**Straight-line interpolation is used for achievement between the specified goals.</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Base Salaries for our CFO and Regional Presidents</w:t>
      </w:r>
    </w:p>
    <w:p>
      <w:pPr>
        <w:spacing w:after="0" w:line="250" w:lineRule="exact"/>
        <w:rPr>
          <w:sz w:val="20"/>
          <w:szCs w:val="20"/>
          <w:color w:val="auto"/>
        </w:rPr>
      </w:pPr>
    </w:p>
    <w:p>
      <w:pPr>
        <w:ind w:right="140"/>
        <w:spacing w:after="0" w:line="291" w:lineRule="auto"/>
        <w:rPr>
          <w:sz w:val="20"/>
          <w:szCs w:val="20"/>
          <w:color w:val="auto"/>
        </w:rPr>
      </w:pPr>
      <w:r>
        <w:rPr>
          <w:rFonts w:ascii="Arial" w:cs="Arial" w:eastAsia="Arial" w:hAnsi="Arial"/>
          <w:sz w:val="15"/>
          <w:szCs w:val="15"/>
          <w:color w:val="auto"/>
        </w:rPr>
        <w:t>The Committee maintained base salaries for our CFO and Regional Presidents consistent with 2013 levels, with the exception of our Former President, LA/AP, who received a 5% increase. Salaries for our NEOs are generally determined based on several factors, including past practice, reasonable comparability with Peer Group pay data and Survey Data (as described under "Consideration of Peer Groups and Survey Data") and each NEO's responsibilities, capabilities and skills, commitment to our business, leadership and drive to add value. For our CFO, the Committee also considers the size and complexity of our balance sheet and capital structure. The Committee took into consideration increases approved in 2013 for our CFO and Regional Presidents when making decisions regarding 2014 base salaries.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620"/>
          </w:cols>
          <w:pgMar w:left="1380" w:top="434" w:right="89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Annual Incentive Awards for all NEOs</w:t>
      </w:r>
    </w:p>
    <w:p>
      <w:pPr>
        <w:spacing w:after="0" w:line="262" w:lineRule="exact"/>
        <w:rPr>
          <w:sz w:val="20"/>
          <w:szCs w:val="20"/>
          <w:color w:val="auto"/>
        </w:rPr>
      </w:pPr>
    </w:p>
    <w:p>
      <w:pPr>
        <w:ind w:right="340"/>
        <w:spacing w:after="0" w:line="278" w:lineRule="auto"/>
        <w:rPr>
          <w:sz w:val="20"/>
          <w:szCs w:val="20"/>
          <w:color w:val="auto"/>
        </w:rPr>
      </w:pPr>
      <w:r>
        <w:rPr>
          <w:rFonts w:ascii="Arial" w:cs="Arial" w:eastAsia="Arial" w:hAnsi="Arial"/>
          <w:sz w:val="16"/>
          <w:szCs w:val="16"/>
          <w:color w:val="auto"/>
        </w:rPr>
        <w:t>In establishing the 2014 annual incentive program, the Committee determined that target payouts as a percentage of base salary should remain consistent with 2013 levels. Accordingly, such targets for 2014 were 150% for our CEO and 100% for our other NEOs, with payout opportunities ranging from 25% to 200% of target.</w:t>
      </w:r>
    </w:p>
    <w:p>
      <w:pPr>
        <w:spacing w:after="0" w:line="197" w:lineRule="exact"/>
        <w:rPr>
          <w:sz w:val="20"/>
          <w:szCs w:val="20"/>
          <w:color w:val="auto"/>
        </w:rPr>
      </w:pPr>
    </w:p>
    <w:p>
      <w:pPr>
        <w:ind w:right="40"/>
        <w:spacing w:after="0" w:line="334" w:lineRule="auto"/>
        <w:rPr>
          <w:sz w:val="20"/>
          <w:szCs w:val="20"/>
          <w:color w:val="auto"/>
        </w:rPr>
      </w:pPr>
      <w:r>
        <w:rPr>
          <w:rFonts w:ascii="Arial" w:cs="Arial" w:eastAsia="Arial" w:hAnsi="Arial"/>
          <w:sz w:val="14"/>
          <w:szCs w:val="14"/>
          <w:color w:val="auto"/>
        </w:rPr>
        <w:t>Consistent with past practice, the performance metric for our 2014 annual incentive program was Adjusted EBITDA, which is a key measure of operational and financial performance and is driven by profitable sales and our strategic plan. The performance goals, presented below, were set based on the Company's 2014 business plan. At target, the global goal represented an increase of more than 10% compared to 2013 Adjusted EBITDA.</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3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2014 Adjusted EBITDA Goals</w:t>
            </w:r>
          </w:p>
        </w:tc>
        <w:tc>
          <w:tcPr>
            <w:tcW w:w="1140" w:type="dxa"/>
            <w:vAlign w:val="bottom"/>
          </w:tcPr>
          <w:p>
            <w:pPr>
              <w:spacing w:after="0"/>
              <w:rPr>
                <w:sz w:val="17"/>
                <w:szCs w:val="17"/>
                <w:color w:val="auto"/>
              </w:rPr>
            </w:pPr>
          </w:p>
        </w:tc>
      </w:tr>
      <w:tr>
        <w:trPr>
          <w:trHeight w:val="208"/>
        </w:trPr>
        <w:tc>
          <w:tcPr>
            <w:tcW w:w="25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(Dollars in Millions)</w:t>
            </w:r>
          </w:p>
        </w:tc>
        <w:tc>
          <w:tcPr>
            <w:tcW w:w="1140" w:type="dxa"/>
            <w:vAlign w:val="bottom"/>
            <w:tcBorders>
              <w:bottom w:val="single" w:sz="8" w:color="auto"/>
            </w:tcBorders>
          </w:tcPr>
          <w:p>
            <w:pPr>
              <w:spacing w:after="0"/>
              <w:rPr>
                <w:sz w:val="18"/>
                <w:szCs w:val="18"/>
                <w:color w:val="auto"/>
              </w:rPr>
            </w:pPr>
          </w:p>
        </w:tc>
      </w:tr>
      <w:tr>
        <w:trPr>
          <w:trHeight w:val="191"/>
        </w:trPr>
        <w:tc>
          <w:tcPr>
            <w:tcW w:w="2540" w:type="dxa"/>
            <w:vAlign w:val="bottom"/>
          </w:tcPr>
          <w:p>
            <w:pPr>
              <w:spacing w:after="0"/>
              <w:rPr>
                <w:sz w:val="16"/>
                <w:szCs w:val="16"/>
                <w:color w:val="auto"/>
              </w:rPr>
            </w:pPr>
          </w:p>
        </w:tc>
        <w:tc>
          <w:tcPr>
            <w:tcW w:w="2720" w:type="dxa"/>
            <w:vAlign w:val="bottom"/>
          </w:tcPr>
          <w:p>
            <w:pPr>
              <w:jc w:val="center"/>
              <w:ind w:left="1440"/>
              <w:spacing w:after="0"/>
              <w:rPr>
                <w:sz w:val="20"/>
                <w:szCs w:val="20"/>
                <w:color w:val="auto"/>
              </w:rPr>
            </w:pPr>
            <w:r>
              <w:rPr>
                <w:rFonts w:ascii="Arial" w:cs="Arial" w:eastAsia="Arial" w:hAnsi="Arial"/>
                <w:sz w:val="16"/>
                <w:szCs w:val="16"/>
                <w:b w:val="1"/>
                <w:bCs w:val="1"/>
                <w:color w:val="auto"/>
                <w:w w:val="89"/>
              </w:rPr>
              <w:t>Payout</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2540" w:type="dxa"/>
            <w:vAlign w:val="bottom"/>
          </w:tcPr>
          <w:p>
            <w:pPr>
              <w:ind w:left="60"/>
              <w:spacing w:after="0"/>
              <w:rPr>
                <w:sz w:val="20"/>
                <w:szCs w:val="20"/>
                <w:color w:val="auto"/>
              </w:rPr>
            </w:pPr>
            <w:r>
              <w:rPr>
                <w:rFonts w:ascii="Arial" w:cs="Arial" w:eastAsia="Arial" w:hAnsi="Arial"/>
                <w:sz w:val="16"/>
                <w:szCs w:val="16"/>
                <w:b w:val="1"/>
                <w:bCs w:val="1"/>
                <w:color w:val="auto"/>
              </w:rPr>
              <w:t>Achievement</w:t>
            </w:r>
          </w:p>
        </w:tc>
        <w:tc>
          <w:tcPr>
            <w:tcW w:w="2720" w:type="dxa"/>
            <w:vAlign w:val="bottom"/>
          </w:tcPr>
          <w:p>
            <w:pPr>
              <w:jc w:val="center"/>
              <w:ind w:left="1420"/>
              <w:spacing w:after="0"/>
              <w:rPr>
                <w:sz w:val="20"/>
                <w:szCs w:val="20"/>
                <w:color w:val="auto"/>
              </w:rPr>
            </w:pPr>
            <w:r>
              <w:rPr>
                <w:rFonts w:ascii="Arial" w:cs="Arial" w:eastAsia="Arial" w:hAnsi="Arial"/>
                <w:sz w:val="16"/>
                <w:szCs w:val="16"/>
                <w:b w:val="1"/>
                <w:bCs w:val="1"/>
                <w:color w:val="auto"/>
                <w:w w:val="93"/>
              </w:rPr>
              <w:t>Opportunity</w:t>
            </w: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4"/>
              </w:rPr>
              <w:t>Latin America/</w:t>
            </w:r>
          </w:p>
        </w:tc>
      </w:tr>
      <w:tr>
        <w:trPr>
          <w:trHeight w:val="208"/>
        </w:trPr>
        <w:tc>
          <w:tcPr>
            <w:tcW w:w="25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Level</w:t>
            </w:r>
          </w:p>
        </w:tc>
        <w:tc>
          <w:tcPr>
            <w:tcW w:w="2720" w:type="dxa"/>
            <w:vAlign w:val="bottom"/>
            <w:tcBorders>
              <w:bottom w:val="single" w:sz="8" w:color="auto"/>
            </w:tcBorders>
          </w:tcPr>
          <w:p>
            <w:pPr>
              <w:jc w:val="center"/>
              <w:ind w:left="1440"/>
              <w:spacing w:after="0"/>
              <w:rPr>
                <w:sz w:val="20"/>
                <w:szCs w:val="20"/>
                <w:color w:val="auto"/>
              </w:rPr>
            </w:pPr>
            <w:r>
              <w:rPr>
                <w:rFonts w:ascii="Arial" w:cs="Arial" w:eastAsia="Arial" w:hAnsi="Arial"/>
                <w:sz w:val="16"/>
                <w:szCs w:val="16"/>
                <w:b w:val="1"/>
                <w:bCs w:val="1"/>
                <w:color w:val="auto"/>
                <w:w w:val="96"/>
              </w:rPr>
              <w:t>(% of Target)*</w:t>
            </w: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Global**</w:t>
            </w:r>
          </w:p>
        </w:tc>
        <w:tc>
          <w:tcPr>
            <w:tcW w:w="134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2"/>
              </w:rPr>
              <w:t>North America</w:t>
            </w:r>
          </w:p>
        </w:tc>
        <w:tc>
          <w:tcPr>
            <w:tcW w:w="9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EMEA</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Asia-Pacific</w:t>
            </w:r>
          </w:p>
        </w:tc>
      </w:tr>
      <w:tr>
        <w:trPr>
          <w:trHeight w:val="195"/>
        </w:trPr>
        <w:tc>
          <w:tcPr>
            <w:tcW w:w="2540" w:type="dxa"/>
            <w:vAlign w:val="bottom"/>
          </w:tcPr>
          <w:p>
            <w:pPr>
              <w:ind w:left="60"/>
              <w:spacing w:after="0"/>
              <w:rPr>
                <w:sz w:val="20"/>
                <w:szCs w:val="20"/>
                <w:color w:val="auto"/>
              </w:rPr>
            </w:pPr>
            <w:r>
              <w:rPr>
                <w:rFonts w:ascii="Arial" w:cs="Arial" w:eastAsia="Arial" w:hAnsi="Arial"/>
                <w:sz w:val="16"/>
                <w:szCs w:val="16"/>
                <w:color w:val="auto"/>
              </w:rPr>
              <w:t>Maximum</w:t>
            </w:r>
          </w:p>
        </w:tc>
        <w:tc>
          <w:tcPr>
            <w:tcW w:w="2720" w:type="dxa"/>
            <w:vAlign w:val="bottom"/>
          </w:tcPr>
          <w:p>
            <w:pPr>
              <w:jc w:val="center"/>
              <w:ind w:left="1420"/>
              <w:spacing w:after="0"/>
              <w:rPr>
                <w:sz w:val="20"/>
                <w:szCs w:val="20"/>
                <w:color w:val="auto"/>
              </w:rPr>
            </w:pPr>
            <w:r>
              <w:rPr>
                <w:rFonts w:ascii="Arial" w:cs="Arial" w:eastAsia="Arial" w:hAnsi="Arial"/>
                <w:sz w:val="16"/>
                <w:szCs w:val="16"/>
                <w:color w:val="auto"/>
                <w:w w:val="92"/>
              </w:rPr>
              <w:t>200%</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$1,020</w:t>
            </w:r>
          </w:p>
        </w:tc>
        <w:tc>
          <w:tcPr>
            <w:tcW w:w="1340" w:type="dxa"/>
            <w:vAlign w:val="bottom"/>
          </w:tcPr>
          <w:p>
            <w:pPr>
              <w:jc w:val="center"/>
              <w:ind w:right="60"/>
              <w:spacing w:after="0"/>
              <w:rPr>
                <w:sz w:val="20"/>
                <w:szCs w:val="20"/>
                <w:color w:val="auto"/>
              </w:rPr>
            </w:pPr>
            <w:r>
              <w:rPr>
                <w:rFonts w:ascii="Arial" w:cs="Arial" w:eastAsia="Arial" w:hAnsi="Arial"/>
                <w:sz w:val="16"/>
                <w:szCs w:val="16"/>
                <w:color w:val="auto"/>
                <w:w w:val="89"/>
              </w:rPr>
              <w:t>$710</w:t>
            </w:r>
          </w:p>
        </w:tc>
        <w:tc>
          <w:tcPr>
            <w:tcW w:w="980" w:type="dxa"/>
            <w:vAlign w:val="bottom"/>
          </w:tcPr>
          <w:p>
            <w:pPr>
              <w:jc w:val="right"/>
              <w:ind w:right="300"/>
              <w:spacing w:after="0"/>
              <w:rPr>
                <w:sz w:val="20"/>
                <w:szCs w:val="20"/>
                <w:color w:val="auto"/>
              </w:rPr>
            </w:pPr>
            <w:r>
              <w:rPr>
                <w:rFonts w:ascii="Arial" w:cs="Arial" w:eastAsia="Arial" w:hAnsi="Arial"/>
                <w:sz w:val="16"/>
                <w:szCs w:val="16"/>
                <w:color w:val="auto"/>
              </w:rPr>
              <w:t>$203</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$161</w:t>
            </w:r>
          </w:p>
        </w:tc>
      </w:tr>
      <w:tr>
        <w:trPr>
          <w:trHeight w:val="203"/>
        </w:trPr>
        <w:tc>
          <w:tcPr>
            <w:tcW w:w="2540" w:type="dxa"/>
            <w:vAlign w:val="bottom"/>
            <w:shd w:val="clear" w:color="auto" w:fill="E9E9E9"/>
          </w:tcPr>
          <w:p>
            <w:pPr>
              <w:ind w:left="60"/>
              <w:spacing w:after="0"/>
              <w:rPr>
                <w:sz w:val="20"/>
                <w:szCs w:val="20"/>
                <w:color w:val="auto"/>
              </w:rPr>
            </w:pPr>
            <w:r>
              <w:rPr>
                <w:rFonts w:ascii="Arial" w:cs="Arial" w:eastAsia="Arial" w:hAnsi="Arial"/>
                <w:sz w:val="16"/>
                <w:szCs w:val="16"/>
                <w:color w:val="auto"/>
              </w:rPr>
              <w:t>Target</w:t>
            </w:r>
          </w:p>
        </w:tc>
        <w:tc>
          <w:tcPr>
            <w:tcW w:w="2720" w:type="dxa"/>
            <w:vAlign w:val="bottom"/>
            <w:shd w:val="clear" w:color="auto" w:fill="E9E9E9"/>
          </w:tcPr>
          <w:p>
            <w:pPr>
              <w:jc w:val="center"/>
              <w:ind w:left="1420"/>
              <w:spacing w:after="0"/>
              <w:rPr>
                <w:sz w:val="20"/>
                <w:szCs w:val="20"/>
                <w:color w:val="auto"/>
              </w:rPr>
            </w:pPr>
            <w:r>
              <w:rPr>
                <w:rFonts w:ascii="Arial" w:cs="Arial" w:eastAsia="Arial" w:hAnsi="Arial"/>
                <w:sz w:val="16"/>
                <w:szCs w:val="16"/>
                <w:color w:val="auto"/>
                <w:w w:val="92"/>
              </w:rPr>
              <w:t>100%</w:t>
            </w:r>
          </w:p>
        </w:tc>
        <w:tc>
          <w:tcPr>
            <w:tcW w:w="500" w:type="dxa"/>
            <w:vAlign w:val="bottom"/>
            <w:shd w:val="clear" w:color="auto" w:fill="E9E9E9"/>
          </w:tcPr>
          <w:p>
            <w:pPr>
              <w:jc w:val="center"/>
              <w:ind w:left="220"/>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850</w:t>
            </w:r>
          </w:p>
        </w:tc>
        <w:tc>
          <w:tcPr>
            <w:tcW w:w="1340" w:type="dxa"/>
            <w:vAlign w:val="bottom"/>
            <w:shd w:val="clear" w:color="auto" w:fill="E9E9E9"/>
          </w:tcPr>
          <w:p>
            <w:pPr>
              <w:jc w:val="center"/>
              <w:ind w:right="60"/>
              <w:spacing w:after="0"/>
              <w:rPr>
                <w:sz w:val="20"/>
                <w:szCs w:val="20"/>
                <w:color w:val="auto"/>
              </w:rPr>
            </w:pPr>
            <w:r>
              <w:rPr>
                <w:rFonts w:ascii="Arial" w:cs="Arial" w:eastAsia="Arial" w:hAnsi="Arial"/>
                <w:sz w:val="16"/>
                <w:szCs w:val="16"/>
                <w:color w:val="auto"/>
                <w:w w:val="89"/>
              </w:rPr>
              <w:t>$592</w:t>
            </w:r>
          </w:p>
        </w:tc>
        <w:tc>
          <w:tcPr>
            <w:tcW w:w="980" w:type="dxa"/>
            <w:vAlign w:val="bottom"/>
            <w:shd w:val="clear" w:color="auto" w:fill="E9E9E9"/>
          </w:tcPr>
          <w:p>
            <w:pPr>
              <w:jc w:val="right"/>
              <w:ind w:right="300"/>
              <w:spacing w:after="0"/>
              <w:rPr>
                <w:sz w:val="20"/>
                <w:szCs w:val="20"/>
                <w:color w:val="auto"/>
              </w:rPr>
            </w:pPr>
            <w:r>
              <w:rPr>
                <w:rFonts w:ascii="Arial" w:cs="Arial" w:eastAsia="Arial" w:hAnsi="Arial"/>
                <w:sz w:val="16"/>
                <w:szCs w:val="16"/>
                <w:color w:val="auto"/>
              </w:rPr>
              <w:t>$169</w:t>
            </w:r>
          </w:p>
        </w:tc>
        <w:tc>
          <w:tcPr>
            <w:tcW w:w="11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9"/>
              </w:rPr>
              <w:t>$134</w:t>
            </w:r>
          </w:p>
        </w:tc>
      </w:tr>
      <w:tr>
        <w:trPr>
          <w:trHeight w:val="204"/>
        </w:trPr>
        <w:tc>
          <w:tcPr>
            <w:tcW w:w="2540" w:type="dxa"/>
            <w:vAlign w:val="bottom"/>
          </w:tcPr>
          <w:p>
            <w:pPr>
              <w:ind w:left="60"/>
              <w:spacing w:after="0"/>
              <w:rPr>
                <w:sz w:val="20"/>
                <w:szCs w:val="20"/>
                <w:color w:val="auto"/>
              </w:rPr>
            </w:pPr>
            <w:r>
              <w:rPr>
                <w:rFonts w:ascii="Arial" w:cs="Arial" w:eastAsia="Arial" w:hAnsi="Arial"/>
                <w:sz w:val="16"/>
                <w:szCs w:val="16"/>
                <w:color w:val="auto"/>
              </w:rPr>
              <w:t>Threshold</w:t>
            </w:r>
          </w:p>
        </w:tc>
        <w:tc>
          <w:tcPr>
            <w:tcW w:w="2720" w:type="dxa"/>
            <w:vAlign w:val="bottom"/>
          </w:tcPr>
          <w:p>
            <w:pPr>
              <w:jc w:val="center"/>
              <w:ind w:left="1420"/>
              <w:spacing w:after="0"/>
              <w:rPr>
                <w:sz w:val="20"/>
                <w:szCs w:val="20"/>
                <w:color w:val="auto"/>
              </w:rPr>
            </w:pPr>
            <w:r>
              <w:rPr>
                <w:rFonts w:ascii="Arial" w:cs="Arial" w:eastAsia="Arial" w:hAnsi="Arial"/>
                <w:sz w:val="16"/>
                <w:szCs w:val="16"/>
                <w:color w:val="auto"/>
                <w:w w:val="93"/>
              </w:rPr>
              <w:t>25%</w:t>
            </w:r>
          </w:p>
        </w:tc>
        <w:tc>
          <w:tcPr>
            <w:tcW w:w="500" w:type="dxa"/>
            <w:vAlign w:val="bottom"/>
          </w:tcPr>
          <w:p>
            <w:pPr>
              <w:jc w:val="center"/>
              <w:ind w:left="220"/>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20"/>
              <w:spacing w:after="0"/>
              <w:rPr>
                <w:sz w:val="20"/>
                <w:szCs w:val="20"/>
                <w:color w:val="auto"/>
              </w:rPr>
            </w:pPr>
            <w:r>
              <w:rPr>
                <w:rFonts w:ascii="Arial" w:cs="Arial" w:eastAsia="Arial" w:hAnsi="Arial"/>
                <w:sz w:val="16"/>
                <w:szCs w:val="16"/>
                <w:color w:val="auto"/>
              </w:rPr>
              <w:t>765</w:t>
            </w:r>
          </w:p>
        </w:tc>
        <w:tc>
          <w:tcPr>
            <w:tcW w:w="1340" w:type="dxa"/>
            <w:vAlign w:val="bottom"/>
          </w:tcPr>
          <w:p>
            <w:pPr>
              <w:jc w:val="center"/>
              <w:ind w:right="60"/>
              <w:spacing w:after="0"/>
              <w:rPr>
                <w:sz w:val="20"/>
                <w:szCs w:val="20"/>
                <w:color w:val="auto"/>
              </w:rPr>
            </w:pPr>
            <w:r>
              <w:rPr>
                <w:rFonts w:ascii="Arial" w:cs="Arial" w:eastAsia="Arial" w:hAnsi="Arial"/>
                <w:sz w:val="16"/>
                <w:szCs w:val="16"/>
                <w:color w:val="auto"/>
                <w:w w:val="89"/>
              </w:rPr>
              <w:t>$533</w:t>
            </w:r>
          </w:p>
        </w:tc>
        <w:tc>
          <w:tcPr>
            <w:tcW w:w="980" w:type="dxa"/>
            <w:vAlign w:val="bottom"/>
          </w:tcPr>
          <w:p>
            <w:pPr>
              <w:jc w:val="right"/>
              <w:ind w:right="300"/>
              <w:spacing w:after="0"/>
              <w:rPr>
                <w:sz w:val="20"/>
                <w:szCs w:val="20"/>
                <w:color w:val="auto"/>
              </w:rPr>
            </w:pPr>
            <w:r>
              <w:rPr>
                <w:rFonts w:ascii="Arial" w:cs="Arial" w:eastAsia="Arial" w:hAnsi="Arial"/>
                <w:sz w:val="16"/>
                <w:szCs w:val="16"/>
                <w:color w:val="auto"/>
              </w:rPr>
              <w:t>$152</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$121</w:t>
            </w:r>
          </w:p>
        </w:tc>
      </w:tr>
    </w:tbl>
    <w:p>
      <w:pPr>
        <w:ind w:left="940" w:hanging="889"/>
        <w:spacing w:after="0"/>
        <w:tabs>
          <w:tab w:leader="none" w:pos="9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Straight-line interpolation is used for achievement between the specified goals.</w:t>
      </w:r>
    </w:p>
    <w:p>
      <w:pPr>
        <w:spacing w:after="0" w:line="19" w:lineRule="exact"/>
        <w:rPr>
          <w:sz w:val="20"/>
          <w:szCs w:val="20"/>
          <w:color w:val="auto"/>
        </w:rPr>
      </w:pPr>
    </w:p>
    <w:p>
      <w:pPr>
        <w:ind w:left="940" w:hanging="889"/>
        <w:spacing w:after="0"/>
        <w:tabs>
          <w:tab w:leader="none" w:pos="9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unallocated corporate expenses.</w:t>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For the 2014 annual incentive, global Adjusted EBITDA was $876 million</w:t>
      </w:r>
      <w:r>
        <w:rPr>
          <w:rFonts w:ascii="Arial" w:cs="Arial" w:eastAsia="Arial" w:hAnsi="Arial"/>
          <w:sz w:val="22"/>
          <w:szCs w:val="22"/>
          <w:color w:val="auto"/>
          <w:vertAlign w:val="superscript"/>
        </w:rPr>
        <w:t>1</w:t>
      </w:r>
      <w:r>
        <w:rPr>
          <w:rFonts w:ascii="Arial" w:cs="Arial" w:eastAsia="Arial" w:hAnsi="Arial"/>
          <w:sz w:val="14"/>
          <w:szCs w:val="14"/>
          <w:color w:val="auto"/>
        </w:rPr>
        <w:t>. Accordingly, actual payouts as a percentage of target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9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2"/>
          </w:tcPr>
          <w:p>
            <w:pPr>
              <w:ind w:left="660"/>
              <w:spacing w:after="0"/>
              <w:rPr>
                <w:sz w:val="20"/>
                <w:szCs w:val="20"/>
                <w:color w:val="auto"/>
              </w:rPr>
            </w:pPr>
            <w:r>
              <w:rPr>
                <w:rFonts w:ascii="Arial" w:cs="Arial" w:eastAsia="Arial" w:hAnsi="Arial"/>
                <w:sz w:val="16"/>
                <w:szCs w:val="16"/>
                <w:b w:val="1"/>
                <w:bCs w:val="1"/>
                <w:color w:val="auto"/>
              </w:rPr>
              <w:t>Regional Weighting</w:t>
            </w:r>
          </w:p>
        </w:tc>
        <w:tc>
          <w:tcPr>
            <w:tcW w:w="1280" w:type="dxa"/>
            <w:vAlign w:val="bottom"/>
            <w:tcBorders>
              <w:bottom w:val="single" w:sz="8" w:color="auto"/>
            </w:tcBorders>
          </w:tcPr>
          <w:p>
            <w:pPr>
              <w:spacing w:after="0"/>
              <w:rPr>
                <w:sz w:val="18"/>
                <w:szCs w:val="18"/>
                <w:color w:val="auto"/>
              </w:rPr>
            </w:pPr>
          </w:p>
        </w:tc>
      </w:tr>
      <w:tr>
        <w:trPr>
          <w:trHeight w:val="191"/>
        </w:trPr>
        <w:tc>
          <w:tcPr>
            <w:tcW w:w="2940" w:type="dxa"/>
            <w:vAlign w:val="bottom"/>
          </w:tcPr>
          <w:p>
            <w:pPr>
              <w:spacing w:after="0"/>
              <w:rPr>
                <w:sz w:val="16"/>
                <w:szCs w:val="16"/>
                <w:color w:val="auto"/>
              </w:rPr>
            </w:pPr>
          </w:p>
        </w:tc>
        <w:tc>
          <w:tcPr>
            <w:tcW w:w="2320" w:type="dxa"/>
            <w:vAlign w:val="bottom"/>
          </w:tcPr>
          <w:p>
            <w:pPr>
              <w:ind w:left="1260"/>
              <w:spacing w:after="0"/>
              <w:rPr>
                <w:sz w:val="20"/>
                <w:szCs w:val="20"/>
                <w:color w:val="auto"/>
              </w:rPr>
            </w:pPr>
            <w:r>
              <w:rPr>
                <w:rFonts w:ascii="Arial" w:cs="Arial" w:eastAsia="Arial" w:hAnsi="Arial"/>
                <w:sz w:val="16"/>
                <w:szCs w:val="16"/>
                <w:b w:val="1"/>
                <w:bCs w:val="1"/>
                <w:color w:val="auto"/>
                <w:w w:val="97"/>
              </w:rPr>
              <w:t>Actual Payout</w:t>
            </w:r>
          </w:p>
        </w:tc>
        <w:tc>
          <w:tcPr>
            <w:tcW w:w="8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jc w:val="center"/>
              <w:ind w:left="40"/>
              <w:spacing w:after="0"/>
              <w:rPr>
                <w:sz w:val="20"/>
                <w:szCs w:val="20"/>
                <w:color w:val="auto"/>
              </w:rPr>
            </w:pPr>
            <w:r>
              <w:rPr>
                <w:rFonts w:ascii="Arial" w:cs="Arial" w:eastAsia="Arial" w:hAnsi="Arial"/>
                <w:sz w:val="16"/>
                <w:szCs w:val="16"/>
                <w:b w:val="1"/>
                <w:bCs w:val="1"/>
                <w:color w:val="auto"/>
                <w:w w:val="94"/>
              </w:rPr>
              <w:t>Latin America/</w:t>
            </w:r>
          </w:p>
        </w:tc>
      </w:tr>
      <w:tr>
        <w:trPr>
          <w:trHeight w:val="208"/>
        </w:trPr>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NEO</w:t>
            </w:r>
          </w:p>
        </w:tc>
        <w:tc>
          <w:tcPr>
            <w:tcW w:w="2320" w:type="dxa"/>
            <w:vAlign w:val="bottom"/>
            <w:tcBorders>
              <w:bottom w:val="single" w:sz="8" w:color="auto"/>
            </w:tcBorders>
          </w:tcPr>
          <w:p>
            <w:pPr>
              <w:ind w:left="1280"/>
              <w:spacing w:after="0"/>
              <w:rPr>
                <w:sz w:val="20"/>
                <w:szCs w:val="20"/>
                <w:color w:val="auto"/>
              </w:rPr>
            </w:pPr>
            <w:r>
              <w:rPr>
                <w:rFonts w:ascii="Arial" w:cs="Arial" w:eastAsia="Arial" w:hAnsi="Arial"/>
                <w:sz w:val="16"/>
                <w:szCs w:val="16"/>
                <w:b w:val="1"/>
                <w:bCs w:val="1"/>
                <w:color w:val="auto"/>
              </w:rPr>
              <w:t>(% of Target)</w:t>
            </w:r>
          </w:p>
        </w:tc>
        <w:tc>
          <w:tcPr>
            <w:tcW w:w="8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Global</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North America</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EMEA</w:t>
            </w:r>
          </w:p>
        </w:tc>
        <w:tc>
          <w:tcPr>
            <w:tcW w:w="128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90"/>
              </w:rPr>
              <w:t>Asia-Pacific</w:t>
            </w:r>
          </w:p>
        </w:tc>
      </w:tr>
      <w:tr>
        <w:trPr>
          <w:trHeight w:val="195"/>
        </w:trPr>
        <w:tc>
          <w:tcPr>
            <w:tcW w:w="2940" w:type="dxa"/>
            <w:vAlign w:val="bottom"/>
          </w:tcPr>
          <w:p>
            <w:pPr>
              <w:ind w:left="60"/>
              <w:spacing w:after="0"/>
              <w:rPr>
                <w:sz w:val="20"/>
                <w:szCs w:val="20"/>
                <w:color w:val="auto"/>
              </w:rPr>
            </w:pPr>
            <w:r>
              <w:rPr>
                <w:rFonts w:ascii="Arial" w:cs="Arial" w:eastAsia="Arial" w:hAnsi="Arial"/>
                <w:sz w:val="16"/>
                <w:szCs w:val="16"/>
                <w:color w:val="auto"/>
              </w:rPr>
              <w:t>CEO</w:t>
            </w:r>
          </w:p>
        </w:tc>
        <w:tc>
          <w:tcPr>
            <w:tcW w:w="2320" w:type="dxa"/>
            <w:vAlign w:val="bottom"/>
          </w:tcPr>
          <w:p>
            <w:pPr>
              <w:jc w:val="center"/>
              <w:ind w:left="1080"/>
              <w:spacing w:after="0"/>
              <w:rPr>
                <w:sz w:val="20"/>
                <w:szCs w:val="20"/>
                <w:color w:val="auto"/>
              </w:rPr>
            </w:pPr>
            <w:r>
              <w:rPr>
                <w:rFonts w:ascii="Arial" w:cs="Arial" w:eastAsia="Arial" w:hAnsi="Arial"/>
                <w:sz w:val="16"/>
                <w:szCs w:val="16"/>
                <w:color w:val="auto"/>
                <w:w w:val="87"/>
              </w:rPr>
              <w:t>115%</w:t>
            </w:r>
          </w:p>
        </w:tc>
        <w:tc>
          <w:tcPr>
            <w:tcW w:w="840" w:type="dxa"/>
            <w:vAlign w:val="bottom"/>
          </w:tcPr>
          <w:p>
            <w:pPr>
              <w:jc w:val="center"/>
              <w:spacing w:after="0"/>
              <w:rPr>
                <w:sz w:val="20"/>
                <w:szCs w:val="20"/>
                <w:color w:val="auto"/>
              </w:rPr>
            </w:pPr>
            <w:r>
              <w:rPr>
                <w:rFonts w:ascii="Arial" w:cs="Arial" w:eastAsia="Arial" w:hAnsi="Arial"/>
                <w:sz w:val="16"/>
                <w:szCs w:val="16"/>
                <w:color w:val="auto"/>
                <w:w w:val="87"/>
              </w:rPr>
              <w:t>100%</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ind w:left="80"/>
              <w:spacing w:after="0"/>
              <w:rPr>
                <w:sz w:val="20"/>
                <w:szCs w:val="20"/>
                <w:color w:val="auto"/>
              </w:rPr>
            </w:pPr>
            <w:r>
              <w:rPr>
                <w:rFonts w:ascii="Arial" w:cs="Arial" w:eastAsia="Arial" w:hAnsi="Arial"/>
                <w:sz w:val="16"/>
                <w:szCs w:val="16"/>
                <w:color w:val="auto"/>
                <w:w w:val="99"/>
              </w:rPr>
              <w:t>—</w:t>
            </w:r>
          </w:p>
        </w:tc>
      </w:tr>
      <w:tr>
        <w:trPr>
          <w:trHeight w:val="203"/>
        </w:trPr>
        <w:tc>
          <w:tcPr>
            <w:tcW w:w="2940" w:type="dxa"/>
            <w:vAlign w:val="bottom"/>
            <w:shd w:val="clear" w:color="auto" w:fill="E9E9E9"/>
          </w:tcPr>
          <w:p>
            <w:pPr>
              <w:ind w:left="60"/>
              <w:spacing w:after="0"/>
              <w:rPr>
                <w:sz w:val="20"/>
                <w:szCs w:val="20"/>
                <w:color w:val="auto"/>
              </w:rPr>
            </w:pPr>
            <w:r>
              <w:rPr>
                <w:rFonts w:ascii="Arial" w:cs="Arial" w:eastAsia="Arial" w:hAnsi="Arial"/>
                <w:sz w:val="16"/>
                <w:szCs w:val="16"/>
                <w:color w:val="auto"/>
              </w:rPr>
              <w:t>CFO</w:t>
            </w:r>
          </w:p>
        </w:tc>
        <w:tc>
          <w:tcPr>
            <w:tcW w:w="2320" w:type="dxa"/>
            <w:vAlign w:val="bottom"/>
            <w:shd w:val="clear" w:color="auto" w:fill="E9E9E9"/>
          </w:tcPr>
          <w:p>
            <w:pPr>
              <w:jc w:val="center"/>
              <w:ind w:left="1080"/>
              <w:spacing w:after="0"/>
              <w:rPr>
                <w:sz w:val="20"/>
                <w:szCs w:val="20"/>
                <w:color w:val="auto"/>
              </w:rPr>
            </w:pPr>
            <w:r>
              <w:rPr>
                <w:rFonts w:ascii="Arial" w:cs="Arial" w:eastAsia="Arial" w:hAnsi="Arial"/>
                <w:sz w:val="16"/>
                <w:szCs w:val="16"/>
                <w:color w:val="auto"/>
                <w:w w:val="87"/>
              </w:rPr>
              <w:t>115%</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7"/>
              </w:rPr>
              <w:t>100%</w:t>
            </w:r>
          </w:p>
        </w:tc>
        <w:tc>
          <w:tcPr>
            <w:tcW w:w="14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shd w:val="clear" w:color="auto" w:fill="E9E9E9"/>
          </w:tcPr>
          <w:p>
            <w:pPr>
              <w:jc w:val="center"/>
              <w:ind w:left="80"/>
              <w:spacing w:after="0"/>
              <w:rPr>
                <w:sz w:val="20"/>
                <w:szCs w:val="20"/>
                <w:color w:val="auto"/>
              </w:rPr>
            </w:pPr>
            <w:r>
              <w:rPr>
                <w:rFonts w:ascii="Arial" w:cs="Arial" w:eastAsia="Arial" w:hAnsi="Arial"/>
                <w:sz w:val="16"/>
                <w:szCs w:val="16"/>
                <w:color w:val="auto"/>
                <w:w w:val="99"/>
              </w:rPr>
              <w:t>—</w:t>
            </w:r>
          </w:p>
        </w:tc>
      </w:tr>
      <w:tr>
        <w:trPr>
          <w:trHeight w:val="203"/>
        </w:trPr>
        <w:tc>
          <w:tcPr>
            <w:tcW w:w="2940" w:type="dxa"/>
            <w:vAlign w:val="bottom"/>
          </w:tcPr>
          <w:p>
            <w:pPr>
              <w:ind w:left="60"/>
              <w:spacing w:after="0"/>
              <w:rPr>
                <w:sz w:val="20"/>
                <w:szCs w:val="20"/>
                <w:color w:val="auto"/>
              </w:rPr>
            </w:pPr>
            <w:r>
              <w:rPr>
                <w:rFonts w:ascii="Arial" w:cs="Arial" w:eastAsia="Arial" w:hAnsi="Arial"/>
                <w:sz w:val="16"/>
                <w:szCs w:val="16"/>
                <w:color w:val="auto"/>
              </w:rPr>
              <w:t>Former President, NA</w:t>
            </w:r>
          </w:p>
        </w:tc>
        <w:tc>
          <w:tcPr>
            <w:tcW w:w="2320" w:type="dxa"/>
            <w:vAlign w:val="bottom"/>
          </w:tcPr>
          <w:p>
            <w:pPr>
              <w:jc w:val="center"/>
              <w:ind w:left="1080"/>
              <w:spacing w:after="0"/>
              <w:rPr>
                <w:sz w:val="20"/>
                <w:szCs w:val="20"/>
                <w:color w:val="auto"/>
              </w:rPr>
            </w:pPr>
            <w:r>
              <w:rPr>
                <w:rFonts w:ascii="Arial" w:cs="Arial" w:eastAsia="Arial" w:hAnsi="Arial"/>
                <w:sz w:val="16"/>
                <w:szCs w:val="16"/>
                <w:color w:val="auto"/>
                <w:w w:val="87"/>
              </w:rPr>
              <w:t>138%</w:t>
            </w:r>
          </w:p>
        </w:tc>
        <w:tc>
          <w:tcPr>
            <w:tcW w:w="840" w:type="dxa"/>
            <w:vAlign w:val="bottom"/>
          </w:tcPr>
          <w:p>
            <w:pPr>
              <w:jc w:val="center"/>
              <w:spacing w:after="0"/>
              <w:rPr>
                <w:sz w:val="20"/>
                <w:szCs w:val="20"/>
                <w:color w:val="auto"/>
              </w:rPr>
            </w:pPr>
            <w:r>
              <w:rPr>
                <w:rFonts w:ascii="Arial" w:cs="Arial" w:eastAsia="Arial" w:hAnsi="Arial"/>
                <w:sz w:val="16"/>
                <w:szCs w:val="16"/>
                <w:color w:val="auto"/>
                <w:w w:val="87"/>
              </w:rPr>
              <w:t>25%</w:t>
            </w:r>
          </w:p>
        </w:tc>
        <w:tc>
          <w:tcPr>
            <w:tcW w:w="1400" w:type="dxa"/>
            <w:vAlign w:val="bottom"/>
          </w:tcPr>
          <w:p>
            <w:pPr>
              <w:jc w:val="center"/>
              <w:spacing w:after="0"/>
              <w:rPr>
                <w:sz w:val="20"/>
                <w:szCs w:val="20"/>
                <w:color w:val="auto"/>
              </w:rPr>
            </w:pPr>
            <w:r>
              <w:rPr>
                <w:rFonts w:ascii="Arial" w:cs="Arial" w:eastAsia="Arial" w:hAnsi="Arial"/>
                <w:sz w:val="16"/>
                <w:szCs w:val="16"/>
                <w:color w:val="auto"/>
                <w:w w:val="93"/>
              </w:rPr>
              <w:t>75%</w:t>
            </w: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ind w:left="80"/>
              <w:spacing w:after="0"/>
              <w:rPr>
                <w:sz w:val="20"/>
                <w:szCs w:val="20"/>
                <w:color w:val="auto"/>
              </w:rPr>
            </w:pPr>
            <w:r>
              <w:rPr>
                <w:rFonts w:ascii="Arial" w:cs="Arial" w:eastAsia="Arial" w:hAnsi="Arial"/>
                <w:sz w:val="16"/>
                <w:szCs w:val="16"/>
                <w:color w:val="auto"/>
                <w:w w:val="99"/>
              </w:rPr>
              <w:t>—</w:t>
            </w:r>
          </w:p>
        </w:tc>
      </w:tr>
      <w:tr>
        <w:trPr>
          <w:trHeight w:val="203"/>
        </w:trPr>
        <w:tc>
          <w:tcPr>
            <w:tcW w:w="2940" w:type="dxa"/>
            <w:vAlign w:val="bottom"/>
            <w:shd w:val="clear" w:color="auto" w:fill="E9E9E9"/>
          </w:tcPr>
          <w:p>
            <w:pPr>
              <w:ind w:left="60"/>
              <w:spacing w:after="0"/>
              <w:rPr>
                <w:sz w:val="20"/>
                <w:szCs w:val="20"/>
                <w:color w:val="auto"/>
              </w:rPr>
            </w:pPr>
            <w:r>
              <w:rPr>
                <w:rFonts w:ascii="Arial" w:cs="Arial" w:eastAsia="Arial" w:hAnsi="Arial"/>
                <w:sz w:val="16"/>
                <w:szCs w:val="16"/>
                <w:color w:val="auto"/>
              </w:rPr>
              <w:t>President, International</w:t>
            </w:r>
          </w:p>
        </w:tc>
        <w:tc>
          <w:tcPr>
            <w:tcW w:w="2320" w:type="dxa"/>
            <w:vAlign w:val="bottom"/>
            <w:shd w:val="clear" w:color="auto" w:fill="E9E9E9"/>
          </w:tcPr>
          <w:p>
            <w:pPr>
              <w:jc w:val="center"/>
              <w:ind w:left="1080"/>
              <w:spacing w:after="0"/>
              <w:rPr>
                <w:sz w:val="20"/>
                <w:szCs w:val="20"/>
                <w:color w:val="auto"/>
              </w:rPr>
            </w:pPr>
            <w:r>
              <w:rPr>
                <w:rFonts w:ascii="Arial" w:cs="Arial" w:eastAsia="Arial" w:hAnsi="Arial"/>
                <w:sz w:val="16"/>
                <w:szCs w:val="16"/>
                <w:color w:val="auto"/>
                <w:w w:val="87"/>
              </w:rPr>
              <w:t>115%</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7"/>
              </w:rPr>
              <w:t>25%</w:t>
            </w:r>
          </w:p>
        </w:tc>
        <w:tc>
          <w:tcPr>
            <w:tcW w:w="14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3"/>
              </w:rPr>
              <w:t>75%</w:t>
            </w:r>
          </w:p>
        </w:tc>
        <w:tc>
          <w:tcPr>
            <w:tcW w:w="1280" w:type="dxa"/>
            <w:vAlign w:val="bottom"/>
            <w:shd w:val="clear" w:color="auto" w:fill="E9E9E9"/>
          </w:tcPr>
          <w:p>
            <w:pPr>
              <w:jc w:val="center"/>
              <w:ind w:left="80"/>
              <w:spacing w:after="0"/>
              <w:rPr>
                <w:sz w:val="20"/>
                <w:szCs w:val="20"/>
                <w:color w:val="auto"/>
              </w:rPr>
            </w:pPr>
            <w:r>
              <w:rPr>
                <w:rFonts w:ascii="Arial" w:cs="Arial" w:eastAsia="Arial" w:hAnsi="Arial"/>
                <w:sz w:val="16"/>
                <w:szCs w:val="16"/>
                <w:color w:val="auto"/>
                <w:w w:val="99"/>
              </w:rPr>
              <w:t>—</w:t>
            </w:r>
          </w:p>
        </w:tc>
      </w:tr>
      <w:tr>
        <w:trPr>
          <w:trHeight w:val="203"/>
        </w:trPr>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Former President, LA/AP</w:t>
            </w:r>
          </w:p>
        </w:tc>
        <w:tc>
          <w:tcPr>
            <w:tcW w:w="2320" w:type="dxa"/>
            <w:vAlign w:val="bottom"/>
            <w:tcBorders>
              <w:bottom w:val="single" w:sz="8" w:color="auto"/>
            </w:tcBorders>
          </w:tcPr>
          <w:p>
            <w:pPr>
              <w:jc w:val="center"/>
              <w:ind w:left="1080"/>
              <w:spacing w:after="0"/>
              <w:rPr>
                <w:sz w:val="20"/>
                <w:szCs w:val="20"/>
                <w:color w:val="auto"/>
              </w:rPr>
            </w:pPr>
            <w:r>
              <w:rPr>
                <w:rFonts w:ascii="Arial" w:cs="Arial" w:eastAsia="Arial" w:hAnsi="Arial"/>
                <w:sz w:val="16"/>
                <w:szCs w:val="16"/>
                <w:color w:val="auto"/>
                <w:w w:val="87"/>
              </w:rPr>
              <w:t>66%</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25%</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color w:val="auto"/>
                <w:w w:val="93"/>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90297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02970" cy="7620"/>
                    </a:xfrm>
                    <a:prstGeom prst="rect">
                      <a:avLst/>
                    </a:prstGeom>
                    <a:noFill/>
                  </pic:spPr>
                </pic:pic>
              </a:graphicData>
            </a:graphic>
          </wp:anchor>
        </w:drawing>
      </w:r>
    </w:p>
    <w:p>
      <w:pPr>
        <w:spacing w:after="0" w:line="195" w:lineRule="exact"/>
        <w:rPr>
          <w:sz w:val="20"/>
          <w:szCs w:val="20"/>
          <w:color w:val="auto"/>
        </w:rPr>
      </w:pPr>
    </w:p>
    <w:p>
      <w:pPr>
        <w:ind w:left="680" w:right="180" w:hanging="629"/>
        <w:spacing w:after="0" w:line="273" w:lineRule="auto"/>
        <w:tabs>
          <w:tab w:leader="none" w:pos="6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definition of Adjusted EBITDA for compensation purposes includes adjustments in certain circumstances for significant acquisitions (as defined) and for certain other items; however, no such adjustments were made in calculating 2014 global Adjusted EBITDA for the annual incentive program. A reconciliation of global Adjusted EBITDA for the year ended December 31, 2014 to net income is set forth below (dollars are in millions):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gridSpan w:val="2"/>
            <w:shd w:val="clear" w:color="auto" w:fill="E9E9E9"/>
          </w:tcPr>
          <w:p>
            <w:pPr>
              <w:ind w:left="60"/>
              <w:spacing w:after="0"/>
              <w:rPr>
                <w:sz w:val="20"/>
                <w:szCs w:val="20"/>
                <w:color w:val="auto"/>
              </w:rPr>
            </w:pPr>
            <w:r>
              <w:rPr>
                <w:rFonts w:ascii="Arial" w:cs="Arial" w:eastAsia="Arial" w:hAnsi="Arial"/>
                <w:sz w:val="16"/>
                <w:szCs w:val="16"/>
                <w:color w:val="auto"/>
              </w:rPr>
              <w:t>Adjusted EBITDA</w:t>
            </w:r>
          </w:p>
        </w:tc>
        <w:tc>
          <w:tcPr>
            <w:tcW w:w="160" w:type="dxa"/>
            <w:vAlign w:val="bottom"/>
            <w:shd w:val="clear" w:color="auto" w:fill="E9E9E9"/>
          </w:tcPr>
          <w:p>
            <w:pPr>
              <w:jc w:val="right"/>
              <w:ind w:right="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876</w:t>
            </w:r>
          </w:p>
        </w:tc>
        <w:tc>
          <w:tcPr>
            <w:tcW w:w="860" w:type="dxa"/>
            <w:vAlign w:val="bottom"/>
            <w:shd w:val="clear" w:color="auto" w:fill="E9E9E9"/>
          </w:tcPr>
          <w:p>
            <w:pPr>
              <w:spacing w:after="0"/>
              <w:rPr>
                <w:sz w:val="17"/>
                <w:szCs w:val="17"/>
                <w:color w:val="auto"/>
              </w:rPr>
            </w:pPr>
          </w:p>
        </w:tc>
      </w:tr>
      <w:tr>
        <w:trPr>
          <w:trHeight w:val="203"/>
        </w:trPr>
        <w:tc>
          <w:tcPr>
            <w:tcW w:w="540" w:type="dxa"/>
            <w:vAlign w:val="bottom"/>
          </w:tcPr>
          <w:p>
            <w:pPr>
              <w:ind w:left="60"/>
              <w:spacing w:after="0"/>
              <w:rPr>
                <w:sz w:val="20"/>
                <w:szCs w:val="20"/>
                <w:color w:val="auto"/>
              </w:rPr>
            </w:pPr>
            <w:r>
              <w:rPr>
                <w:rFonts w:ascii="Arial" w:cs="Arial" w:eastAsia="Arial" w:hAnsi="Arial"/>
                <w:sz w:val="16"/>
                <w:szCs w:val="16"/>
                <w:color w:val="auto"/>
              </w:rPr>
              <w:t>Less:</w:t>
            </w:r>
          </w:p>
        </w:tc>
        <w:tc>
          <w:tcPr>
            <w:tcW w:w="7680" w:type="dxa"/>
            <w:vAlign w:val="bottom"/>
          </w:tcPr>
          <w:p>
            <w:pPr>
              <w:ind w:left="160"/>
              <w:spacing w:after="0"/>
              <w:rPr>
                <w:sz w:val="20"/>
                <w:szCs w:val="20"/>
                <w:color w:val="auto"/>
              </w:rPr>
            </w:pPr>
            <w:r>
              <w:rPr>
                <w:rFonts w:ascii="Arial" w:cs="Arial" w:eastAsia="Arial" w:hAnsi="Arial"/>
                <w:sz w:val="16"/>
                <w:szCs w:val="16"/>
                <w:color w:val="auto"/>
              </w:rPr>
              <w:t>Non-vehicle depreciation and amortization</w:t>
            </w:r>
          </w:p>
        </w:tc>
        <w:tc>
          <w:tcPr>
            <w:tcW w:w="1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180</w:t>
            </w:r>
          </w:p>
        </w:tc>
        <w:tc>
          <w:tcPr>
            <w:tcW w:w="860" w:type="dxa"/>
            <w:vAlign w:val="bottom"/>
          </w:tcPr>
          <w:p>
            <w:pPr>
              <w:spacing w:after="0"/>
              <w:rPr>
                <w:sz w:val="17"/>
                <w:szCs w:val="17"/>
                <w:color w:val="auto"/>
              </w:rPr>
            </w:pPr>
          </w:p>
        </w:tc>
      </w:tr>
      <w:tr>
        <w:trPr>
          <w:trHeight w:val="203"/>
        </w:trPr>
        <w:tc>
          <w:tcPr>
            <w:tcW w:w="540" w:type="dxa"/>
            <w:vAlign w:val="bottom"/>
            <w:shd w:val="clear" w:color="auto" w:fill="E9E9E9"/>
          </w:tcPr>
          <w:p>
            <w:pPr>
              <w:spacing w:after="0"/>
              <w:rPr>
                <w:sz w:val="17"/>
                <w:szCs w:val="17"/>
                <w:color w:val="auto"/>
              </w:rPr>
            </w:pPr>
          </w:p>
        </w:tc>
        <w:tc>
          <w:tcPr>
            <w:tcW w:w="7680" w:type="dxa"/>
            <w:vAlign w:val="bottom"/>
            <w:shd w:val="clear" w:color="auto" w:fill="E9E9E9"/>
          </w:tcPr>
          <w:p>
            <w:pPr>
              <w:ind w:left="160"/>
              <w:spacing w:after="0"/>
              <w:rPr>
                <w:sz w:val="20"/>
                <w:szCs w:val="20"/>
                <w:color w:val="auto"/>
              </w:rPr>
            </w:pPr>
            <w:r>
              <w:rPr>
                <w:rFonts w:ascii="Arial" w:cs="Arial" w:eastAsia="Arial" w:hAnsi="Arial"/>
                <w:sz w:val="16"/>
                <w:szCs w:val="16"/>
                <w:color w:val="auto"/>
              </w:rPr>
              <w:t>Interest expense related to corporate debt, net:</w:t>
            </w:r>
          </w:p>
        </w:tc>
        <w:tc>
          <w:tcPr>
            <w:tcW w:w="160" w:type="dxa"/>
            <w:vAlign w:val="bottom"/>
            <w:shd w:val="clear" w:color="auto" w:fill="E9E9E9"/>
          </w:tcPr>
          <w:p>
            <w:pPr>
              <w:spacing w:after="0"/>
              <w:rPr>
                <w:sz w:val="17"/>
                <w:szCs w:val="17"/>
                <w:color w:val="auto"/>
              </w:rPr>
            </w:pPr>
          </w:p>
        </w:tc>
        <w:tc>
          <w:tcPr>
            <w:tcW w:w="380" w:type="dxa"/>
            <w:vAlign w:val="bottom"/>
            <w:shd w:val="clear" w:color="auto" w:fill="E9E9E9"/>
          </w:tcPr>
          <w:p>
            <w:pPr>
              <w:spacing w:after="0"/>
              <w:rPr>
                <w:sz w:val="17"/>
                <w:szCs w:val="17"/>
                <w:color w:val="auto"/>
              </w:rPr>
            </w:pPr>
          </w:p>
        </w:tc>
        <w:tc>
          <w:tcPr>
            <w:tcW w:w="860" w:type="dxa"/>
            <w:vAlign w:val="bottom"/>
            <w:shd w:val="clear" w:color="auto" w:fill="E9E9E9"/>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5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209</w:t>
            </w:r>
          </w:p>
        </w:tc>
        <w:tc>
          <w:tcPr>
            <w:tcW w:w="860" w:type="dxa"/>
            <w:vAlign w:val="bottom"/>
          </w:tcPr>
          <w:p>
            <w:pPr>
              <w:spacing w:after="0"/>
              <w:rPr>
                <w:sz w:val="17"/>
                <w:szCs w:val="17"/>
                <w:color w:val="auto"/>
              </w:rPr>
            </w:pPr>
          </w:p>
        </w:tc>
      </w:tr>
      <w:tr>
        <w:trPr>
          <w:trHeight w:val="203"/>
        </w:trPr>
        <w:tc>
          <w:tcPr>
            <w:tcW w:w="540" w:type="dxa"/>
            <w:vAlign w:val="bottom"/>
            <w:shd w:val="clear" w:color="auto" w:fill="E9E9E9"/>
          </w:tcPr>
          <w:p>
            <w:pPr>
              <w:spacing w:after="0"/>
              <w:rPr>
                <w:sz w:val="17"/>
                <w:szCs w:val="17"/>
                <w:color w:val="auto"/>
              </w:rPr>
            </w:pPr>
          </w:p>
        </w:tc>
        <w:tc>
          <w:tcPr>
            <w:tcW w:w="7680" w:type="dxa"/>
            <w:vAlign w:val="bottom"/>
            <w:shd w:val="clear" w:color="auto" w:fill="E9E9E9"/>
          </w:tcPr>
          <w:p>
            <w:pPr>
              <w:ind w:left="520"/>
              <w:spacing w:after="0"/>
              <w:rPr>
                <w:sz w:val="20"/>
                <w:szCs w:val="20"/>
                <w:color w:val="auto"/>
              </w:rPr>
            </w:pPr>
            <w:r>
              <w:rPr>
                <w:rFonts w:ascii="Arial" w:cs="Arial" w:eastAsia="Arial" w:hAnsi="Arial"/>
                <w:sz w:val="16"/>
                <w:szCs w:val="16"/>
                <w:color w:val="auto"/>
              </w:rPr>
              <w:t>Early extinguishment of debt</w:t>
            </w:r>
          </w:p>
        </w:tc>
        <w:tc>
          <w:tcPr>
            <w:tcW w:w="160" w:type="dxa"/>
            <w:vAlign w:val="bottom"/>
            <w:shd w:val="clear" w:color="auto" w:fill="E9E9E9"/>
          </w:tcPr>
          <w:p>
            <w:pPr>
              <w:spacing w:after="0"/>
              <w:rPr>
                <w:sz w:val="17"/>
                <w:szCs w:val="17"/>
                <w:color w:val="auto"/>
              </w:rPr>
            </w:pP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56</w:t>
            </w:r>
          </w:p>
        </w:tc>
        <w:tc>
          <w:tcPr>
            <w:tcW w:w="860" w:type="dxa"/>
            <w:vAlign w:val="bottom"/>
            <w:shd w:val="clear" w:color="auto" w:fill="E9E9E9"/>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60"/>
              <w:spacing w:after="0"/>
              <w:rPr>
                <w:sz w:val="20"/>
                <w:szCs w:val="20"/>
                <w:color w:val="auto"/>
              </w:rPr>
            </w:pPr>
            <w:r>
              <w:rPr>
                <w:rFonts w:ascii="Arial" w:cs="Arial" w:eastAsia="Arial" w:hAnsi="Arial"/>
                <w:sz w:val="16"/>
                <w:szCs w:val="16"/>
                <w:color w:val="auto"/>
              </w:rPr>
              <w:t>Restructuring expense</w:t>
            </w:r>
          </w:p>
        </w:tc>
        <w:tc>
          <w:tcPr>
            <w:tcW w:w="1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26</w:t>
            </w:r>
          </w:p>
        </w:tc>
        <w:tc>
          <w:tcPr>
            <w:tcW w:w="860" w:type="dxa"/>
            <w:vAlign w:val="bottom"/>
          </w:tcPr>
          <w:p>
            <w:pPr>
              <w:spacing w:after="0"/>
              <w:rPr>
                <w:sz w:val="17"/>
                <w:szCs w:val="17"/>
                <w:color w:val="auto"/>
              </w:rPr>
            </w:pPr>
          </w:p>
        </w:tc>
      </w:tr>
      <w:tr>
        <w:trPr>
          <w:trHeight w:val="203"/>
        </w:trPr>
        <w:tc>
          <w:tcPr>
            <w:tcW w:w="540" w:type="dxa"/>
            <w:vAlign w:val="bottom"/>
            <w:tcBorders>
              <w:bottom w:val="single" w:sz="8" w:color="E9E9E9"/>
            </w:tcBorders>
            <w:shd w:val="clear" w:color="auto" w:fill="E9E9E9"/>
          </w:tcPr>
          <w:p>
            <w:pPr>
              <w:spacing w:after="0"/>
              <w:rPr>
                <w:sz w:val="17"/>
                <w:szCs w:val="17"/>
                <w:color w:val="auto"/>
              </w:rPr>
            </w:pPr>
          </w:p>
        </w:tc>
        <w:tc>
          <w:tcPr>
            <w:tcW w:w="7680" w:type="dxa"/>
            <w:vAlign w:val="bottom"/>
            <w:tcBorders>
              <w:bottom w:val="single" w:sz="8" w:color="E9E9E9"/>
            </w:tcBorders>
            <w:shd w:val="clear" w:color="auto" w:fill="E9E9E9"/>
          </w:tcPr>
          <w:p>
            <w:pPr>
              <w:ind w:left="160"/>
              <w:spacing w:after="0"/>
              <w:rPr>
                <w:sz w:val="20"/>
                <w:szCs w:val="20"/>
                <w:color w:val="auto"/>
              </w:rPr>
            </w:pPr>
            <w:r>
              <w:rPr>
                <w:rFonts w:ascii="Arial" w:cs="Arial" w:eastAsia="Arial" w:hAnsi="Arial"/>
                <w:sz w:val="16"/>
                <w:szCs w:val="16"/>
                <w:color w:val="auto"/>
              </w:rPr>
              <w:t>Transaction-related costs</w:t>
            </w:r>
          </w:p>
        </w:tc>
        <w:tc>
          <w:tcPr>
            <w:tcW w:w="160" w:type="dxa"/>
            <w:vAlign w:val="bottom"/>
            <w:tcBorders>
              <w:bottom w:val="single" w:sz="8" w:color="auto"/>
            </w:tcBorders>
            <w:shd w:val="clear" w:color="auto" w:fill="E9E9E9"/>
          </w:tcPr>
          <w:p>
            <w:pPr>
              <w:spacing w:after="0"/>
              <w:rPr>
                <w:sz w:val="17"/>
                <w:szCs w:val="17"/>
                <w:color w:val="auto"/>
              </w:rPr>
            </w:pPr>
          </w:p>
        </w:tc>
        <w:tc>
          <w:tcPr>
            <w:tcW w:w="38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13</w:t>
            </w:r>
          </w:p>
        </w:tc>
        <w:tc>
          <w:tcPr>
            <w:tcW w:w="860" w:type="dxa"/>
            <w:vAlign w:val="bottom"/>
            <w:tcBorders>
              <w:bottom w:val="single" w:sz="8" w:color="E9E9E9"/>
            </w:tcBorders>
            <w:shd w:val="clear" w:color="auto" w:fill="E9E9E9"/>
          </w:tcPr>
          <w:p>
            <w:pPr>
              <w:spacing w:after="0"/>
              <w:rPr>
                <w:sz w:val="17"/>
                <w:szCs w:val="17"/>
                <w:color w:val="auto"/>
              </w:rPr>
            </w:pPr>
          </w:p>
        </w:tc>
      </w:tr>
      <w:tr>
        <w:trPr>
          <w:trHeight w:val="195"/>
        </w:trPr>
        <w:tc>
          <w:tcPr>
            <w:tcW w:w="8220" w:type="dxa"/>
            <w:vAlign w:val="bottom"/>
            <w:gridSpan w:val="2"/>
          </w:tcPr>
          <w:p>
            <w:pPr>
              <w:ind w:left="60"/>
              <w:spacing w:after="0"/>
              <w:rPr>
                <w:sz w:val="20"/>
                <w:szCs w:val="20"/>
                <w:color w:val="auto"/>
              </w:rPr>
            </w:pPr>
            <w:r>
              <w:rPr>
                <w:rFonts w:ascii="Arial" w:cs="Arial" w:eastAsia="Arial" w:hAnsi="Arial"/>
                <w:sz w:val="16"/>
                <w:szCs w:val="16"/>
                <w:color w:val="auto"/>
              </w:rPr>
              <w:t>Income before income taxes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392</w:t>
            </w:r>
          </w:p>
        </w:tc>
        <w:tc>
          <w:tcPr>
            <w:tcW w:w="860" w:type="dxa"/>
            <w:vAlign w:val="bottom"/>
          </w:tcPr>
          <w:p>
            <w:pPr>
              <w:spacing w:after="0"/>
              <w:rPr>
                <w:sz w:val="16"/>
                <w:szCs w:val="16"/>
                <w:color w:val="auto"/>
              </w:rPr>
            </w:pPr>
          </w:p>
        </w:tc>
      </w:tr>
      <w:tr>
        <w:trPr>
          <w:trHeight w:val="203"/>
        </w:trPr>
        <w:tc>
          <w:tcPr>
            <w:tcW w:w="540" w:type="dxa"/>
            <w:vAlign w:val="bottom"/>
            <w:shd w:val="clear" w:color="auto" w:fill="E9E9E9"/>
          </w:tcPr>
          <w:p>
            <w:pPr>
              <w:ind w:left="60"/>
              <w:spacing w:after="0"/>
              <w:rPr>
                <w:sz w:val="20"/>
                <w:szCs w:val="20"/>
                <w:color w:val="auto"/>
              </w:rPr>
            </w:pPr>
            <w:r>
              <w:rPr>
                <w:rFonts w:ascii="Arial" w:cs="Arial" w:eastAsia="Arial" w:hAnsi="Arial"/>
                <w:sz w:val="16"/>
                <w:szCs w:val="16"/>
                <w:color w:val="auto"/>
              </w:rPr>
              <w:t>Less:</w:t>
            </w:r>
          </w:p>
        </w:tc>
        <w:tc>
          <w:tcPr>
            <w:tcW w:w="7680" w:type="dxa"/>
            <w:vAlign w:val="bottom"/>
            <w:shd w:val="clear" w:color="auto" w:fill="E9E9E9"/>
          </w:tcPr>
          <w:p>
            <w:pPr>
              <w:ind w:left="160"/>
              <w:spacing w:after="0"/>
              <w:rPr>
                <w:sz w:val="20"/>
                <w:szCs w:val="20"/>
                <w:color w:val="auto"/>
              </w:rPr>
            </w:pPr>
            <w:r>
              <w:rPr>
                <w:rFonts w:ascii="Arial" w:cs="Arial" w:eastAsia="Arial" w:hAnsi="Arial"/>
                <w:sz w:val="16"/>
                <w:szCs w:val="16"/>
                <w:color w:val="auto"/>
              </w:rPr>
              <w:t>Provision for income taxes</w:t>
            </w:r>
          </w:p>
        </w:tc>
        <w:tc>
          <w:tcPr>
            <w:tcW w:w="160" w:type="dxa"/>
            <w:vAlign w:val="bottom"/>
            <w:shd w:val="clear" w:color="auto" w:fill="E9E9E9"/>
          </w:tcPr>
          <w:p>
            <w:pPr>
              <w:spacing w:after="0"/>
              <w:rPr>
                <w:sz w:val="17"/>
                <w:szCs w:val="17"/>
                <w:color w:val="auto"/>
              </w:rPr>
            </w:pP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147</w:t>
            </w:r>
          </w:p>
        </w:tc>
        <w:tc>
          <w:tcPr>
            <w:tcW w:w="860" w:type="dxa"/>
            <w:vAlign w:val="bottom"/>
            <w:shd w:val="clear" w:color="auto" w:fill="E9E9E9"/>
          </w:tcPr>
          <w:p>
            <w:pPr>
              <w:spacing w:after="0"/>
              <w:rPr>
                <w:sz w:val="17"/>
                <w:szCs w:val="17"/>
                <w:color w:val="auto"/>
              </w:rPr>
            </w:pPr>
          </w:p>
        </w:tc>
      </w:tr>
      <w:tr>
        <w:trPr>
          <w:trHeight w:val="219"/>
        </w:trPr>
        <w:tc>
          <w:tcPr>
            <w:tcW w:w="8220" w:type="dxa"/>
            <w:vAlign w:val="bottom"/>
            <w:gridSpan w:val="2"/>
          </w:tcPr>
          <w:p>
            <w:pPr>
              <w:ind w:left="6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860" w:type="dxa"/>
            <w:vAlign w:val="bottom"/>
          </w:tcPr>
          <w:p>
            <w:pPr>
              <w:spacing w:after="0"/>
              <w:rPr>
                <w:sz w:val="19"/>
                <w:szCs w:val="19"/>
                <w:color w:val="auto"/>
              </w:rPr>
            </w:pPr>
          </w:p>
        </w:tc>
      </w:tr>
    </w:tbl>
    <w:p>
      <w:pPr>
        <w:spacing w:after="0" w:line="107" w:lineRule="exact"/>
        <w:rPr>
          <w:sz w:val="20"/>
          <w:szCs w:val="20"/>
          <w:color w:val="auto"/>
        </w:rPr>
      </w:pPr>
    </w:p>
    <w:p>
      <w:pPr>
        <w:ind w:left="460" w:right="100"/>
        <w:spacing w:after="0" w:line="265" w:lineRule="auto"/>
        <w:rPr>
          <w:sz w:val="20"/>
          <w:szCs w:val="20"/>
          <w:color w:val="auto"/>
        </w:rPr>
      </w:pPr>
      <w:r>
        <w:rPr>
          <w:rFonts w:ascii="Arial" w:cs="Arial" w:eastAsia="Arial" w:hAnsi="Arial"/>
          <w:sz w:val="16"/>
          <w:szCs w:val="16"/>
          <w:color w:val="auto"/>
        </w:rPr>
        <w:t>We believe that Adjusted EBITDA is useful as a supplemental measure in evaluating the aggregate performance of our operating businesses. Adjusted EBITDA is the measure that is used by our management, including our chief operating decision maker, to perform such evaluation. It is also a component of our financial covenant calculations under our credit facilities, subject to certain adjustments. Adjusted EBITDA should not be considered in isolation or as a substitute for net income (loss) or other income (loss) statement data prepared in accordance with generally accepted accounting principles and our presentation of Adjusted EBITDA may not be comparable to similarly-titled measures used by other companies.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620"/>
          </w:cols>
          <w:pgMar w:left="1380" w:top="434" w:right="899" w:bottom="1440" w:gutter="0" w:footer="0" w:header="0"/>
        </w:sectPr>
      </w:pPr>
    </w:p>
    <w:bookmarkStart w:id="30" w:name="page31"/>
    <w:bookmarkEnd w:id="30"/>
    <w:p>
      <w:pPr>
        <w:ind w:left="332"/>
        <w:spacing w:after="0"/>
        <w:rPr>
          <w:sz w:val="20"/>
          <w:szCs w:val="20"/>
          <w:color w:val="auto"/>
        </w:rPr>
      </w:pPr>
      <w:r>
        <w:rPr>
          <w:rFonts w:ascii="Arial" w:cs="Arial" w:eastAsia="Arial" w:hAnsi="Arial"/>
          <w:sz w:val="16"/>
          <w:szCs w:val="16"/>
          <w:b w:val="1"/>
          <w:bCs w:val="1"/>
          <w:color w:val="auto"/>
        </w:rPr>
        <w:t>Long-Term Incentive Awards for our CFO and Regional Presidents</w:t>
      </w:r>
    </w:p>
    <w:p>
      <w:pPr>
        <w:spacing w:after="0" w:line="262" w:lineRule="exact"/>
        <w:rPr>
          <w:sz w:val="20"/>
          <w:szCs w:val="20"/>
          <w:color w:val="auto"/>
        </w:rPr>
      </w:pPr>
    </w:p>
    <w:p>
      <w:pPr>
        <w:ind w:left="332" w:right="220"/>
        <w:spacing w:after="0" w:line="271" w:lineRule="auto"/>
        <w:rPr>
          <w:sz w:val="20"/>
          <w:szCs w:val="20"/>
          <w:color w:val="auto"/>
        </w:rPr>
      </w:pPr>
      <w:r>
        <w:rPr>
          <w:rFonts w:ascii="Arial" w:cs="Arial" w:eastAsia="Arial" w:hAnsi="Arial"/>
          <w:sz w:val="16"/>
          <w:szCs w:val="16"/>
          <w:color w:val="auto"/>
        </w:rPr>
        <w:t>Awards granted to our CFO and our Regional Presidents under our regular long-term incentive program for 2014 (the "2014 LTIP") had grant date target values consistent with 2013 values. Fifty percent of the target 2014 LTIP awards consisted of RSUs, which are scheduled to vest one-third on each of the first three anniversaries of the date of grant, and fifty percent consisted of PSUs, which are scheduled to vest on the third anniversary of the date of grant based on achievement of Adjusted EBITDA and Relative TSR goals. Vesting of both the RSUs and PSUs generally is subject to continued service.</w:t>
      </w:r>
    </w:p>
    <w:p>
      <w:pPr>
        <w:spacing w:after="0" w:line="204" w:lineRule="exact"/>
        <w:rPr>
          <w:sz w:val="20"/>
          <w:szCs w:val="20"/>
          <w:color w:val="auto"/>
        </w:rPr>
      </w:pPr>
    </w:p>
    <w:p>
      <w:pPr>
        <w:ind w:left="332" w:right="80"/>
        <w:spacing w:after="0" w:line="273" w:lineRule="auto"/>
        <w:rPr>
          <w:sz w:val="20"/>
          <w:szCs w:val="20"/>
          <w:color w:val="auto"/>
        </w:rPr>
      </w:pPr>
      <w:r>
        <w:rPr>
          <w:rFonts w:ascii="Arial" w:cs="Arial" w:eastAsia="Arial" w:hAnsi="Arial"/>
          <w:sz w:val="16"/>
          <w:szCs w:val="16"/>
          <w:color w:val="auto"/>
        </w:rPr>
        <w:t>The following factors were reviewed to determine the appropriate type of equity to be granted: perceived value to award recipients to effect retention and incentive goals, a general review of peer practices, the degree of alignment with stockholder interests, potential dilution and projected expense balanced with the value delivered to award recipients. Based on an analysis of these factors, the Committee determined that an equal mix, at target, of PSUs and RSUs would:</w:t>
      </w:r>
    </w:p>
    <w:p>
      <w:pPr>
        <w:spacing w:after="0" w:line="203" w:lineRule="exact"/>
        <w:rPr>
          <w:sz w:val="20"/>
          <w:szCs w:val="20"/>
          <w:color w:val="auto"/>
        </w:rPr>
      </w:pPr>
    </w:p>
    <w:p>
      <w:pPr>
        <w:ind w:left="612" w:hanging="612"/>
        <w:spacing w:after="0"/>
        <w:tabs>
          <w:tab w:leader="none" w:pos="612" w:val="left"/>
        </w:tabs>
        <w:numPr>
          <w:ilvl w:val="0"/>
          <w:numId w:val="41"/>
        </w:numPr>
        <w:rPr>
          <w:rFonts w:ascii="Arial" w:cs="Arial" w:eastAsia="Arial" w:hAnsi="Arial"/>
          <w:sz w:val="16"/>
          <w:szCs w:val="16"/>
          <w:color w:val="auto"/>
        </w:rPr>
      </w:pPr>
      <w:r>
        <w:rPr>
          <w:rFonts w:ascii="Arial" w:cs="Arial" w:eastAsia="Arial" w:hAnsi="Arial"/>
          <w:sz w:val="16"/>
          <w:szCs w:val="16"/>
          <w:color w:val="auto"/>
        </w:rPr>
        <w:t>align incentives with stockholders' focus on profitability and financial performance;</w:t>
      </w:r>
    </w:p>
    <w:p>
      <w:pPr>
        <w:spacing w:after="0" w:line="258" w:lineRule="exact"/>
        <w:rPr>
          <w:rFonts w:ascii="Arial" w:cs="Arial" w:eastAsia="Arial" w:hAnsi="Arial"/>
          <w:sz w:val="16"/>
          <w:szCs w:val="16"/>
          <w:color w:val="auto"/>
        </w:rPr>
      </w:pPr>
    </w:p>
    <w:p>
      <w:pPr>
        <w:ind w:left="612" w:hanging="612"/>
        <w:spacing w:after="0"/>
        <w:tabs>
          <w:tab w:leader="none" w:pos="612"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reflect the relevant decision-making impact of the individual and the impact of those decisions on the Company; and</w:t>
      </w:r>
    </w:p>
    <w:p>
      <w:pPr>
        <w:spacing w:after="0" w:line="246" w:lineRule="exact"/>
        <w:rPr>
          <w:rFonts w:ascii="Arial" w:cs="Arial" w:eastAsia="Arial" w:hAnsi="Arial"/>
          <w:sz w:val="16"/>
          <w:szCs w:val="16"/>
          <w:color w:val="auto"/>
        </w:rPr>
      </w:pPr>
    </w:p>
    <w:p>
      <w:pPr>
        <w:ind w:left="612" w:hanging="612"/>
        <w:spacing w:after="0"/>
        <w:tabs>
          <w:tab w:leader="none" w:pos="612" w:val="left"/>
        </w:tabs>
        <w:numPr>
          <w:ilvl w:val="0"/>
          <w:numId w:val="41"/>
        </w:numPr>
        <w:rPr>
          <w:rFonts w:ascii="Arial" w:cs="Arial" w:eastAsia="Arial" w:hAnsi="Arial"/>
          <w:sz w:val="16"/>
          <w:szCs w:val="16"/>
          <w:color w:val="auto"/>
        </w:rPr>
      </w:pPr>
      <w:r>
        <w:rPr>
          <w:rFonts w:ascii="Arial" w:cs="Arial" w:eastAsia="Arial" w:hAnsi="Arial"/>
          <w:sz w:val="16"/>
          <w:szCs w:val="16"/>
          <w:color w:val="auto"/>
        </w:rPr>
        <w:t>maximize retention of key employees over the longer term.</w:t>
      </w:r>
    </w:p>
    <w:p>
      <w:pPr>
        <w:spacing w:after="0" w:line="246" w:lineRule="exact"/>
        <w:rPr>
          <w:sz w:val="20"/>
          <w:szCs w:val="20"/>
          <w:color w:val="auto"/>
        </w:rPr>
      </w:pPr>
    </w:p>
    <w:p>
      <w:pPr>
        <w:ind w:left="332" w:right="20"/>
        <w:spacing w:after="0" w:line="278" w:lineRule="auto"/>
        <w:rPr>
          <w:sz w:val="20"/>
          <w:szCs w:val="20"/>
          <w:color w:val="auto"/>
        </w:rPr>
      </w:pPr>
      <w:r>
        <w:rPr>
          <w:rFonts w:ascii="Arial" w:cs="Arial" w:eastAsia="Arial" w:hAnsi="Arial"/>
          <w:sz w:val="16"/>
          <w:szCs w:val="16"/>
          <w:color w:val="auto"/>
        </w:rPr>
        <w:t>Adjusted EBITDA, with three-year cumulative goals, was selected as the primary performance metric for the 2014 LTIP awards due to the importance of this measure to our Company's long-term profitable growth. These goals were based on the Company's 2013 results, plus a growth rate over the performance period, consistent with past practice.</w:t>
      </w:r>
    </w:p>
    <w:p>
      <w:pPr>
        <w:spacing w:after="0" w:line="209" w:lineRule="exact"/>
        <w:rPr>
          <w:sz w:val="20"/>
          <w:szCs w:val="20"/>
          <w:color w:val="auto"/>
        </w:rPr>
      </w:pPr>
    </w:p>
    <w:p>
      <w:pPr>
        <w:ind w:left="332"/>
        <w:spacing w:after="0"/>
        <w:rPr>
          <w:sz w:val="20"/>
          <w:szCs w:val="20"/>
          <w:color w:val="auto"/>
        </w:rPr>
      </w:pPr>
      <w:r>
        <w:rPr>
          <w:rFonts w:ascii="Arial" w:cs="Arial" w:eastAsia="Arial" w:hAnsi="Arial"/>
          <w:sz w:val="16"/>
          <w:szCs w:val="16"/>
          <w:color w:val="auto"/>
        </w:rPr>
        <w:t>Adjusted EBITDA goals for the 2014 LTIP are as follows:</w:t>
      </w:r>
    </w:p>
    <w:p>
      <w:pPr>
        <w:spacing w:after="0" w:line="182" w:lineRule="exact"/>
        <w:rPr>
          <w:sz w:val="20"/>
          <w:szCs w:val="20"/>
          <w:color w:val="auto"/>
        </w:rPr>
      </w:pPr>
    </w:p>
    <w:tbl>
      <w:tblPr>
        <w:tblLayout w:type="fixed"/>
        <w:tblInd w:w="332" w:type="dxa"/>
        <w:tblCellMar>
          <w:top w:w="0" w:type="dxa"/>
          <w:left w:w="0" w:type="dxa"/>
          <w:bottom w:w="0" w:type="dxa"/>
          <w:right w:w="0" w:type="dxa"/>
        </w:tblCellMar>
      </w:tblPr>
      <w:tr>
        <w:trPr>
          <w:trHeight w:val="203"/>
        </w:trPr>
        <w:tc>
          <w:tcPr>
            <w:tcW w:w="28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3040" w:type="dxa"/>
            <w:vAlign w:val="bottom"/>
          </w:tcPr>
          <w:p>
            <w:pPr>
              <w:jc w:val="center"/>
              <w:ind w:left="80"/>
              <w:spacing w:after="0"/>
              <w:rPr>
                <w:sz w:val="20"/>
                <w:szCs w:val="20"/>
                <w:color w:val="auto"/>
              </w:rPr>
            </w:pPr>
            <w:r>
              <w:rPr>
                <w:rFonts w:ascii="Arial" w:cs="Arial" w:eastAsia="Arial" w:hAnsi="Arial"/>
                <w:sz w:val="16"/>
                <w:szCs w:val="16"/>
                <w:b w:val="1"/>
                <w:bCs w:val="1"/>
                <w:color w:val="auto"/>
                <w:w w:val="91"/>
              </w:rPr>
              <w:t>Cumulative Three-Year</w:t>
            </w:r>
          </w:p>
        </w:tc>
      </w:tr>
      <w:tr>
        <w:trPr>
          <w:trHeight w:val="203"/>
        </w:trPr>
        <w:tc>
          <w:tcPr>
            <w:tcW w:w="2800" w:type="dxa"/>
            <w:vAlign w:val="bottom"/>
          </w:tcPr>
          <w:p>
            <w:pPr>
              <w:spacing w:after="0"/>
              <w:rPr>
                <w:sz w:val="17"/>
                <w:szCs w:val="17"/>
                <w:color w:val="auto"/>
              </w:rPr>
            </w:pPr>
          </w:p>
        </w:tc>
        <w:tc>
          <w:tcPr>
            <w:tcW w:w="3780" w:type="dxa"/>
            <w:vAlign w:val="bottom"/>
          </w:tcPr>
          <w:p>
            <w:pPr>
              <w:jc w:val="center"/>
              <w:spacing w:after="0"/>
              <w:rPr>
                <w:sz w:val="20"/>
                <w:szCs w:val="20"/>
                <w:color w:val="auto"/>
              </w:rPr>
            </w:pPr>
            <w:r>
              <w:rPr>
                <w:rFonts w:ascii="Arial" w:cs="Arial" w:eastAsia="Arial" w:hAnsi="Arial"/>
                <w:sz w:val="16"/>
                <w:szCs w:val="16"/>
                <w:b w:val="1"/>
                <w:bCs w:val="1"/>
                <w:color w:val="auto"/>
                <w:w w:val="91"/>
              </w:rPr>
              <w:t>Achievement Level*</w:t>
            </w:r>
          </w:p>
        </w:tc>
        <w:tc>
          <w:tcPr>
            <w:tcW w:w="3040" w:type="dxa"/>
            <w:vAlign w:val="bottom"/>
          </w:tcPr>
          <w:p>
            <w:pPr>
              <w:jc w:val="center"/>
              <w:ind w:left="80"/>
              <w:spacing w:after="0"/>
              <w:rPr>
                <w:sz w:val="20"/>
                <w:szCs w:val="20"/>
                <w:color w:val="auto"/>
              </w:rPr>
            </w:pPr>
            <w:r>
              <w:rPr>
                <w:rFonts w:ascii="Arial" w:cs="Arial" w:eastAsia="Arial" w:hAnsi="Arial"/>
                <w:sz w:val="16"/>
                <w:szCs w:val="16"/>
                <w:b w:val="1"/>
                <w:bCs w:val="1"/>
                <w:color w:val="auto"/>
                <w:w w:val="95"/>
              </w:rPr>
              <w:t>Adjusted EBITDA Goal</w:t>
            </w:r>
          </w:p>
        </w:tc>
      </w:tr>
      <w:tr>
        <w:trPr>
          <w:trHeight w:val="208"/>
        </w:trPr>
        <w:tc>
          <w:tcPr>
            <w:tcW w:w="280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Achievement Level</w:t>
            </w: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(as a % of target units awarded)</w:t>
            </w:r>
          </w:p>
        </w:tc>
        <w:tc>
          <w:tcPr>
            <w:tcW w:w="3040" w:type="dxa"/>
            <w:vAlign w:val="bottom"/>
            <w:tcBorders>
              <w:bottom w:val="single" w:sz="8" w:color="auto"/>
            </w:tcBorders>
          </w:tcPr>
          <w:p>
            <w:pPr>
              <w:jc w:val="center"/>
              <w:ind w:left="80"/>
              <w:spacing w:after="0"/>
              <w:rPr>
                <w:sz w:val="20"/>
                <w:szCs w:val="20"/>
                <w:color w:val="auto"/>
              </w:rPr>
            </w:pPr>
            <w:r>
              <w:rPr>
                <w:rFonts w:ascii="Arial" w:cs="Arial" w:eastAsia="Arial" w:hAnsi="Arial"/>
                <w:sz w:val="16"/>
                <w:szCs w:val="16"/>
                <w:b w:val="1"/>
                <w:bCs w:val="1"/>
                <w:color w:val="auto"/>
                <w:w w:val="91"/>
              </w:rPr>
              <w:t>(Dollars in billions)</w:t>
            </w:r>
          </w:p>
        </w:tc>
      </w:tr>
      <w:tr>
        <w:trPr>
          <w:trHeight w:val="195"/>
        </w:trPr>
        <w:tc>
          <w:tcPr>
            <w:tcW w:w="2800" w:type="dxa"/>
            <w:vAlign w:val="bottom"/>
            <w:shd w:val="clear" w:color="auto" w:fill="E9E9E9"/>
          </w:tcPr>
          <w:p>
            <w:pPr>
              <w:ind w:left="60"/>
              <w:spacing w:after="0"/>
              <w:rPr>
                <w:sz w:val="20"/>
                <w:szCs w:val="20"/>
                <w:color w:val="auto"/>
              </w:rPr>
            </w:pPr>
            <w:r>
              <w:rPr>
                <w:rFonts w:ascii="Arial" w:cs="Arial" w:eastAsia="Arial" w:hAnsi="Arial"/>
                <w:sz w:val="16"/>
                <w:szCs w:val="16"/>
                <w:color w:val="auto"/>
              </w:rPr>
              <w:t>Maximum</w:t>
            </w:r>
          </w:p>
        </w:tc>
        <w:tc>
          <w:tcPr>
            <w:tcW w:w="378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2"/>
              </w:rPr>
              <w:t>125%</w:t>
            </w:r>
          </w:p>
        </w:tc>
        <w:tc>
          <w:tcPr>
            <w:tcW w:w="3040" w:type="dxa"/>
            <w:vAlign w:val="bottom"/>
            <w:shd w:val="clear" w:color="auto" w:fill="E9E9E9"/>
          </w:tcPr>
          <w:p>
            <w:pPr>
              <w:jc w:val="center"/>
              <w:ind w:left="80"/>
              <w:spacing w:after="0"/>
              <w:rPr>
                <w:sz w:val="20"/>
                <w:szCs w:val="20"/>
                <w:color w:val="auto"/>
              </w:rPr>
            </w:pPr>
            <w:r>
              <w:rPr>
                <w:rFonts w:ascii="Arial" w:cs="Arial" w:eastAsia="Arial" w:hAnsi="Arial"/>
                <w:sz w:val="16"/>
                <w:szCs w:val="16"/>
                <w:color w:val="auto"/>
                <w:w w:val="89"/>
              </w:rPr>
              <w:t>$2.855</w:t>
            </w:r>
          </w:p>
        </w:tc>
      </w:tr>
      <w:tr>
        <w:trPr>
          <w:trHeight w:val="203"/>
        </w:trPr>
        <w:tc>
          <w:tcPr>
            <w:tcW w:w="2800" w:type="dxa"/>
            <w:vAlign w:val="bottom"/>
          </w:tcPr>
          <w:p>
            <w:pPr>
              <w:ind w:left="60"/>
              <w:spacing w:after="0"/>
              <w:rPr>
                <w:sz w:val="20"/>
                <w:szCs w:val="20"/>
                <w:color w:val="auto"/>
              </w:rPr>
            </w:pPr>
            <w:r>
              <w:rPr>
                <w:rFonts w:ascii="Arial" w:cs="Arial" w:eastAsia="Arial" w:hAnsi="Arial"/>
                <w:sz w:val="16"/>
                <w:szCs w:val="16"/>
                <w:color w:val="auto"/>
              </w:rPr>
              <w:t>Target</w:t>
            </w:r>
          </w:p>
        </w:tc>
        <w:tc>
          <w:tcPr>
            <w:tcW w:w="378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3040" w:type="dxa"/>
            <w:vAlign w:val="bottom"/>
          </w:tcPr>
          <w:p>
            <w:pPr>
              <w:jc w:val="center"/>
              <w:ind w:left="80"/>
              <w:spacing w:after="0"/>
              <w:rPr>
                <w:sz w:val="20"/>
                <w:szCs w:val="20"/>
                <w:color w:val="auto"/>
              </w:rPr>
            </w:pPr>
            <w:r>
              <w:rPr>
                <w:rFonts w:ascii="Arial" w:cs="Arial" w:eastAsia="Arial" w:hAnsi="Arial"/>
                <w:sz w:val="16"/>
                <w:szCs w:val="16"/>
                <w:color w:val="auto"/>
                <w:w w:val="89"/>
              </w:rPr>
              <w:t>$2.595</w:t>
            </w:r>
          </w:p>
        </w:tc>
      </w:tr>
      <w:tr>
        <w:trPr>
          <w:trHeight w:val="203"/>
        </w:trPr>
        <w:tc>
          <w:tcPr>
            <w:tcW w:w="2800" w:type="dxa"/>
            <w:vAlign w:val="bottom"/>
            <w:tcBorders>
              <w:bottom w:val="single" w:sz="8" w:color="auto"/>
            </w:tcBorders>
            <w:shd w:val="clear" w:color="auto" w:fill="E9E9E9"/>
          </w:tcPr>
          <w:p>
            <w:pPr>
              <w:ind w:left="60"/>
              <w:spacing w:after="0"/>
              <w:rPr>
                <w:sz w:val="20"/>
                <w:szCs w:val="20"/>
                <w:color w:val="auto"/>
              </w:rPr>
            </w:pPr>
            <w:r>
              <w:rPr>
                <w:rFonts w:ascii="Arial" w:cs="Arial" w:eastAsia="Arial" w:hAnsi="Arial"/>
                <w:sz w:val="16"/>
                <w:szCs w:val="16"/>
                <w:color w:val="auto"/>
              </w:rPr>
              <w:t>Threshold</w:t>
            </w:r>
          </w:p>
        </w:tc>
        <w:tc>
          <w:tcPr>
            <w:tcW w:w="3780" w:type="dxa"/>
            <w:vAlign w:val="bottom"/>
            <w:tcBorders>
              <w:bottom w:val="single" w:sz="8" w:color="auto"/>
            </w:tcBorders>
            <w:shd w:val="clear" w:color="auto" w:fill="E9E9E9"/>
          </w:tcPr>
          <w:p>
            <w:pPr>
              <w:jc w:val="center"/>
              <w:spacing w:after="0"/>
              <w:rPr>
                <w:sz w:val="20"/>
                <w:szCs w:val="20"/>
                <w:color w:val="auto"/>
              </w:rPr>
            </w:pPr>
            <w:r>
              <w:rPr>
                <w:rFonts w:ascii="Arial" w:cs="Arial" w:eastAsia="Arial" w:hAnsi="Arial"/>
                <w:sz w:val="16"/>
                <w:szCs w:val="16"/>
                <w:color w:val="auto"/>
                <w:w w:val="93"/>
              </w:rPr>
              <w:t>50%</w:t>
            </w:r>
          </w:p>
        </w:tc>
        <w:tc>
          <w:tcPr>
            <w:tcW w:w="3040" w:type="dxa"/>
            <w:vAlign w:val="bottom"/>
            <w:tcBorders>
              <w:bottom w:val="single" w:sz="8" w:color="auto"/>
            </w:tcBorders>
            <w:shd w:val="clear" w:color="auto" w:fill="E9E9E9"/>
          </w:tcPr>
          <w:p>
            <w:pPr>
              <w:jc w:val="center"/>
              <w:ind w:left="80"/>
              <w:spacing w:after="0"/>
              <w:rPr>
                <w:sz w:val="20"/>
                <w:szCs w:val="20"/>
                <w:color w:val="auto"/>
              </w:rPr>
            </w:pPr>
            <w:r>
              <w:rPr>
                <w:rFonts w:ascii="Arial" w:cs="Arial" w:eastAsia="Arial" w:hAnsi="Arial"/>
                <w:sz w:val="16"/>
                <w:szCs w:val="16"/>
                <w:color w:val="auto"/>
                <w:w w:val="89"/>
              </w:rPr>
              <w:t>$2.336</w:t>
            </w:r>
          </w:p>
        </w:tc>
      </w:tr>
    </w:tbl>
    <w:p>
      <w:pPr>
        <w:ind w:left="392"/>
        <w:spacing w:after="0"/>
        <w:rPr>
          <w:sz w:val="20"/>
          <w:szCs w:val="20"/>
          <w:color w:val="auto"/>
        </w:rPr>
      </w:pPr>
      <w:r>
        <w:rPr>
          <w:rFonts w:ascii="Arial" w:cs="Arial" w:eastAsia="Arial" w:hAnsi="Arial"/>
          <w:sz w:val="16"/>
          <w:szCs w:val="16"/>
          <w:color w:val="auto"/>
        </w:rPr>
        <w:t>* Straight-line interpolation is used for achievement between the specified goals.</w:t>
      </w:r>
    </w:p>
    <w:p>
      <w:pPr>
        <w:spacing w:after="0" w:line="246" w:lineRule="exact"/>
        <w:rPr>
          <w:sz w:val="20"/>
          <w:szCs w:val="20"/>
          <w:color w:val="auto"/>
        </w:rPr>
      </w:pPr>
    </w:p>
    <w:p>
      <w:pPr>
        <w:ind w:left="332" w:right="300"/>
        <w:spacing w:after="0" w:line="326" w:lineRule="auto"/>
        <w:rPr>
          <w:sz w:val="20"/>
          <w:szCs w:val="20"/>
          <w:color w:val="auto"/>
        </w:rPr>
      </w:pPr>
      <w:r>
        <w:rPr>
          <w:rFonts w:ascii="Arial" w:cs="Arial" w:eastAsia="Arial" w:hAnsi="Arial"/>
          <w:sz w:val="15"/>
          <w:szCs w:val="15"/>
          <w:color w:val="auto"/>
        </w:rPr>
        <w:t>A Relative TSR modifier was also included to reflect the importance of total shareholder return to stockholders. So long as the threshold Adjusted EBITDA goal is achieved, vesting can be increased by up to 20% if the following Relative TSR goals are achieved:</w:t>
      </w:r>
    </w:p>
    <w:p>
      <w:pPr>
        <w:spacing w:after="0" w:line="113" w:lineRule="exact"/>
        <w:rPr>
          <w:sz w:val="20"/>
          <w:szCs w:val="20"/>
          <w:color w:val="auto"/>
        </w:rPr>
      </w:pPr>
    </w:p>
    <w:tbl>
      <w:tblPr>
        <w:tblLayout w:type="fixed"/>
        <w:tblInd w:w="332" w:type="dxa"/>
        <w:tblCellMar>
          <w:top w:w="0" w:type="dxa"/>
          <w:left w:w="0" w:type="dxa"/>
          <w:bottom w:w="0" w:type="dxa"/>
          <w:right w:w="0" w:type="dxa"/>
        </w:tblCellMar>
      </w:tblPr>
      <w:tr>
        <w:trPr>
          <w:trHeight w:val="203"/>
        </w:trPr>
        <w:tc>
          <w:tcPr>
            <w:tcW w:w="5100" w:type="dxa"/>
            <w:vAlign w:val="bottom"/>
          </w:tcPr>
          <w:p>
            <w:pPr>
              <w:jc w:val="center"/>
              <w:ind w:left="2122"/>
              <w:spacing w:after="0"/>
              <w:rPr>
                <w:sz w:val="20"/>
                <w:szCs w:val="20"/>
                <w:color w:val="auto"/>
              </w:rPr>
            </w:pPr>
            <w:r>
              <w:rPr>
                <w:rFonts w:ascii="Arial" w:cs="Arial" w:eastAsia="Arial" w:hAnsi="Arial"/>
                <w:sz w:val="16"/>
                <w:szCs w:val="16"/>
                <w:b w:val="1"/>
                <w:bCs w:val="1"/>
                <w:color w:val="auto"/>
                <w:w w:val="91"/>
              </w:rPr>
              <w:t>Relative TSR</w:t>
            </w:r>
          </w:p>
        </w:tc>
        <w:tc>
          <w:tcPr>
            <w:tcW w:w="4520" w:type="dxa"/>
            <w:vAlign w:val="bottom"/>
          </w:tcPr>
          <w:p>
            <w:pPr>
              <w:spacing w:after="0"/>
              <w:rPr>
                <w:sz w:val="17"/>
                <w:szCs w:val="17"/>
                <w:color w:val="auto"/>
              </w:rPr>
            </w:pPr>
          </w:p>
        </w:tc>
      </w:tr>
      <w:tr>
        <w:trPr>
          <w:trHeight w:val="203"/>
        </w:trPr>
        <w:tc>
          <w:tcPr>
            <w:tcW w:w="5100" w:type="dxa"/>
            <w:vAlign w:val="bottom"/>
          </w:tcPr>
          <w:p>
            <w:pPr>
              <w:jc w:val="center"/>
              <w:ind w:left="2142"/>
              <w:spacing w:after="0"/>
              <w:rPr>
                <w:sz w:val="20"/>
                <w:szCs w:val="20"/>
                <w:color w:val="auto"/>
              </w:rPr>
            </w:pPr>
            <w:r>
              <w:rPr>
                <w:rFonts w:ascii="Arial" w:cs="Arial" w:eastAsia="Arial" w:hAnsi="Arial"/>
                <w:sz w:val="16"/>
                <w:szCs w:val="16"/>
                <w:b w:val="1"/>
                <w:bCs w:val="1"/>
                <w:color w:val="auto"/>
                <w:w w:val="93"/>
              </w:rPr>
              <w:t>Over Three-Year</w:t>
            </w:r>
          </w:p>
        </w:tc>
        <w:tc>
          <w:tcPr>
            <w:tcW w:w="4520" w:type="dxa"/>
            <w:vAlign w:val="bottom"/>
          </w:tcPr>
          <w:p>
            <w:pPr>
              <w:spacing w:after="0"/>
              <w:rPr>
                <w:sz w:val="17"/>
                <w:szCs w:val="17"/>
                <w:color w:val="auto"/>
              </w:rPr>
            </w:pPr>
          </w:p>
        </w:tc>
      </w:tr>
      <w:tr>
        <w:trPr>
          <w:trHeight w:val="208"/>
        </w:trPr>
        <w:tc>
          <w:tcPr>
            <w:tcW w:w="5100" w:type="dxa"/>
            <w:vAlign w:val="bottom"/>
            <w:tcBorders>
              <w:bottom w:val="single" w:sz="8" w:color="auto"/>
            </w:tcBorders>
          </w:tcPr>
          <w:p>
            <w:pPr>
              <w:jc w:val="center"/>
              <w:ind w:left="2122"/>
              <w:spacing w:after="0"/>
              <w:rPr>
                <w:sz w:val="20"/>
                <w:szCs w:val="20"/>
                <w:color w:val="auto"/>
              </w:rPr>
            </w:pPr>
            <w:r>
              <w:rPr>
                <w:rFonts w:ascii="Arial" w:cs="Arial" w:eastAsia="Arial" w:hAnsi="Arial"/>
                <w:sz w:val="16"/>
                <w:szCs w:val="16"/>
                <w:b w:val="1"/>
                <w:bCs w:val="1"/>
                <w:color w:val="auto"/>
                <w:w w:val="90"/>
              </w:rPr>
              <w:t>Measurement Period</w:t>
            </w:r>
          </w:p>
        </w:tc>
        <w:tc>
          <w:tcPr>
            <w:tcW w:w="452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Increase*</w:t>
            </w:r>
          </w:p>
        </w:tc>
      </w:tr>
      <w:tr>
        <w:trPr>
          <w:trHeight w:val="207"/>
        </w:trPr>
        <w:tc>
          <w:tcPr>
            <w:tcW w:w="5100" w:type="dxa"/>
            <w:vAlign w:val="bottom"/>
            <w:shd w:val="clear" w:color="auto" w:fill="E9E9E9"/>
          </w:tcPr>
          <w:p>
            <w:pPr>
              <w:jc w:val="center"/>
              <w:ind w:left="2122"/>
              <w:spacing w:after="0" w:line="207" w:lineRule="exact"/>
              <w:rPr>
                <w:sz w:val="20"/>
                <w:szCs w:val="20"/>
                <w:color w:val="auto"/>
              </w:rPr>
            </w:pPr>
            <w:r>
              <w:rPr>
                <w:rFonts w:ascii="Arial" w:cs="Arial" w:eastAsia="Arial" w:hAnsi="Arial"/>
                <w:sz w:val="15"/>
                <w:szCs w:val="15"/>
                <w:color w:val="auto"/>
                <w:w w:val="93"/>
              </w:rPr>
              <w:t>≥60</w:t>
            </w:r>
            <w:r>
              <w:rPr>
                <w:rFonts w:ascii="Arial" w:cs="Arial" w:eastAsia="Arial" w:hAnsi="Arial"/>
                <w:sz w:val="24"/>
                <w:szCs w:val="24"/>
                <w:color w:val="auto"/>
                <w:w w:val="93"/>
                <w:vertAlign w:val="superscript"/>
              </w:rPr>
              <w:t>th</w:t>
            </w:r>
            <w:r>
              <w:rPr>
                <w:rFonts w:ascii="Arial" w:cs="Arial" w:eastAsia="Arial" w:hAnsi="Arial"/>
                <w:sz w:val="15"/>
                <w:szCs w:val="15"/>
                <w:color w:val="auto"/>
                <w:w w:val="93"/>
              </w:rPr>
              <w:t xml:space="preserve"> Percentile</w:t>
            </w:r>
          </w:p>
        </w:tc>
        <w:tc>
          <w:tcPr>
            <w:tcW w:w="4520" w:type="dxa"/>
            <w:vAlign w:val="bottom"/>
            <w:shd w:val="clear" w:color="auto" w:fill="E9E9E9"/>
          </w:tcPr>
          <w:p>
            <w:pPr>
              <w:jc w:val="center"/>
              <w:ind w:right="2320"/>
              <w:spacing w:after="0"/>
              <w:rPr>
                <w:sz w:val="20"/>
                <w:szCs w:val="20"/>
                <w:color w:val="auto"/>
              </w:rPr>
            </w:pPr>
            <w:r>
              <w:rPr>
                <w:rFonts w:ascii="Arial" w:cs="Arial" w:eastAsia="Arial" w:hAnsi="Arial"/>
                <w:sz w:val="16"/>
                <w:szCs w:val="16"/>
                <w:color w:val="auto"/>
                <w:w w:val="87"/>
              </w:rPr>
              <w:t>20%</w:t>
            </w:r>
          </w:p>
        </w:tc>
      </w:tr>
      <w:tr>
        <w:trPr>
          <w:trHeight w:val="215"/>
        </w:trPr>
        <w:tc>
          <w:tcPr>
            <w:tcW w:w="5100" w:type="dxa"/>
            <w:vAlign w:val="bottom"/>
          </w:tcPr>
          <w:p>
            <w:pPr>
              <w:jc w:val="center"/>
              <w:ind w:left="2122"/>
              <w:spacing w:after="0" w:line="216" w:lineRule="exact"/>
              <w:rPr>
                <w:sz w:val="20"/>
                <w:szCs w:val="20"/>
                <w:color w:val="auto"/>
              </w:rPr>
            </w:pPr>
            <w:r>
              <w:rPr>
                <w:rFonts w:ascii="Arial" w:cs="Arial" w:eastAsia="Arial" w:hAnsi="Arial"/>
                <w:sz w:val="15"/>
                <w:szCs w:val="15"/>
                <w:color w:val="auto"/>
                <w:w w:val="93"/>
              </w:rPr>
              <w:t>55</w:t>
            </w:r>
            <w:r>
              <w:rPr>
                <w:rFonts w:ascii="Arial" w:cs="Arial" w:eastAsia="Arial" w:hAnsi="Arial"/>
                <w:sz w:val="24"/>
                <w:szCs w:val="24"/>
                <w:color w:val="auto"/>
                <w:w w:val="93"/>
                <w:vertAlign w:val="superscript"/>
              </w:rPr>
              <w:t>th</w:t>
            </w:r>
            <w:r>
              <w:rPr>
                <w:rFonts w:ascii="Arial" w:cs="Arial" w:eastAsia="Arial" w:hAnsi="Arial"/>
                <w:sz w:val="15"/>
                <w:szCs w:val="15"/>
                <w:color w:val="auto"/>
                <w:w w:val="93"/>
              </w:rPr>
              <w:t xml:space="preserve"> Percentile</w:t>
            </w:r>
          </w:p>
        </w:tc>
        <w:tc>
          <w:tcPr>
            <w:tcW w:w="4520" w:type="dxa"/>
            <w:vAlign w:val="bottom"/>
          </w:tcPr>
          <w:p>
            <w:pPr>
              <w:jc w:val="center"/>
              <w:ind w:right="2320"/>
              <w:spacing w:after="0"/>
              <w:rPr>
                <w:sz w:val="20"/>
                <w:szCs w:val="20"/>
                <w:color w:val="auto"/>
              </w:rPr>
            </w:pPr>
            <w:r>
              <w:rPr>
                <w:rFonts w:ascii="Arial" w:cs="Arial" w:eastAsia="Arial" w:hAnsi="Arial"/>
                <w:sz w:val="16"/>
                <w:szCs w:val="16"/>
                <w:color w:val="auto"/>
                <w:w w:val="87"/>
              </w:rPr>
              <w:t>10%</w:t>
            </w:r>
          </w:p>
        </w:tc>
      </w:tr>
      <w:tr>
        <w:trPr>
          <w:trHeight w:val="215"/>
        </w:trPr>
        <w:tc>
          <w:tcPr>
            <w:tcW w:w="5100" w:type="dxa"/>
            <w:vAlign w:val="bottom"/>
            <w:tcBorders>
              <w:bottom w:val="single" w:sz="8" w:color="auto"/>
            </w:tcBorders>
            <w:shd w:val="clear" w:color="auto" w:fill="E9E9E9"/>
          </w:tcPr>
          <w:p>
            <w:pPr>
              <w:jc w:val="center"/>
              <w:ind w:left="2122"/>
              <w:spacing w:after="0" w:line="216" w:lineRule="exact"/>
              <w:rPr>
                <w:sz w:val="20"/>
                <w:szCs w:val="20"/>
                <w:color w:val="auto"/>
              </w:rPr>
            </w:pPr>
            <w:r>
              <w:rPr>
                <w:rFonts w:ascii="Arial" w:cs="Arial" w:eastAsia="Arial" w:hAnsi="Arial"/>
                <w:sz w:val="15"/>
                <w:szCs w:val="15"/>
                <w:color w:val="auto"/>
                <w:w w:val="93"/>
              </w:rPr>
              <w:t>≤50</w:t>
            </w:r>
            <w:r>
              <w:rPr>
                <w:rFonts w:ascii="Arial" w:cs="Arial" w:eastAsia="Arial" w:hAnsi="Arial"/>
                <w:sz w:val="24"/>
                <w:szCs w:val="24"/>
                <w:color w:val="auto"/>
                <w:w w:val="93"/>
                <w:vertAlign w:val="superscript"/>
              </w:rPr>
              <w:t>th</w:t>
            </w:r>
            <w:r>
              <w:rPr>
                <w:rFonts w:ascii="Arial" w:cs="Arial" w:eastAsia="Arial" w:hAnsi="Arial"/>
                <w:sz w:val="15"/>
                <w:szCs w:val="15"/>
                <w:color w:val="auto"/>
                <w:w w:val="93"/>
              </w:rPr>
              <w:t xml:space="preserve"> Percentile</w:t>
            </w:r>
          </w:p>
        </w:tc>
        <w:tc>
          <w:tcPr>
            <w:tcW w:w="4520" w:type="dxa"/>
            <w:vAlign w:val="bottom"/>
            <w:tcBorders>
              <w:bottom w:val="single" w:sz="8" w:color="auto"/>
            </w:tcBorders>
            <w:shd w:val="clear" w:color="auto" w:fill="E9E9E9"/>
          </w:tcPr>
          <w:p>
            <w:pPr>
              <w:jc w:val="center"/>
              <w:ind w:right="2320"/>
              <w:spacing w:after="0"/>
              <w:rPr>
                <w:sz w:val="20"/>
                <w:szCs w:val="20"/>
                <w:color w:val="auto"/>
              </w:rPr>
            </w:pPr>
            <w:r>
              <w:rPr>
                <w:rFonts w:ascii="Arial" w:cs="Arial" w:eastAsia="Arial" w:hAnsi="Arial"/>
                <w:sz w:val="16"/>
                <w:szCs w:val="16"/>
                <w:color w:val="auto"/>
                <w:w w:val="86"/>
              </w:rPr>
              <w:t>0%</w:t>
            </w:r>
          </w:p>
        </w:tc>
      </w:tr>
    </w:tbl>
    <w:p>
      <w:pPr>
        <w:spacing w:after="0" w:line="226" w:lineRule="exact"/>
        <w:rPr>
          <w:sz w:val="20"/>
          <w:szCs w:val="20"/>
          <w:color w:val="auto"/>
        </w:rPr>
      </w:pPr>
    </w:p>
    <w:p>
      <w:pPr>
        <w:ind w:left="332"/>
        <w:spacing w:after="0"/>
        <w:rPr>
          <w:sz w:val="20"/>
          <w:szCs w:val="20"/>
          <w:color w:val="auto"/>
        </w:rPr>
      </w:pPr>
      <w:r>
        <w:rPr>
          <w:rFonts w:ascii="Arial" w:cs="Arial" w:eastAsia="Arial" w:hAnsi="Arial"/>
          <w:sz w:val="16"/>
          <w:szCs w:val="16"/>
          <w:color w:val="auto"/>
        </w:rPr>
        <w:t>* Straight-line interpolation is used for achievement between the specified goals.</w:t>
      </w:r>
    </w:p>
    <w:p>
      <w:pPr>
        <w:spacing w:after="0" w:line="246" w:lineRule="exact"/>
        <w:rPr>
          <w:sz w:val="20"/>
          <w:szCs w:val="20"/>
          <w:color w:val="auto"/>
        </w:rPr>
      </w:pPr>
    </w:p>
    <w:p>
      <w:pPr>
        <w:ind w:left="332" w:right="20"/>
        <w:spacing w:after="0" w:line="334" w:lineRule="auto"/>
        <w:rPr>
          <w:sz w:val="20"/>
          <w:szCs w:val="20"/>
          <w:color w:val="auto"/>
        </w:rPr>
      </w:pPr>
      <w:r>
        <w:rPr>
          <w:rFonts w:ascii="Arial" w:cs="Arial" w:eastAsia="Arial" w:hAnsi="Arial"/>
          <w:sz w:val="14"/>
          <w:szCs w:val="14"/>
          <w:color w:val="auto"/>
        </w:rPr>
        <w:t>In 2014, our President, International was also awarded an incremental long-term incentive to recognize his agreement to extend his foreign assignment and to recognize the success he has achieved in integrating and expanding our European business, which we acquired in 2011, including growing the Budget brand significantly in Europe and delivering revenue and EBITDA growth while navigating a difficult economic environment.</w:t>
      </w:r>
    </w:p>
    <w:p>
      <w:pPr>
        <w:spacing w:after="0" w:line="176" w:lineRule="exact"/>
        <w:rPr>
          <w:sz w:val="20"/>
          <w:szCs w:val="20"/>
          <w:color w:val="auto"/>
        </w:rPr>
      </w:pPr>
    </w:p>
    <w:p>
      <w:pPr>
        <w:ind w:left="332" w:right="100"/>
        <w:spacing w:after="0" w:line="273" w:lineRule="auto"/>
        <w:rPr>
          <w:sz w:val="20"/>
          <w:szCs w:val="20"/>
          <w:color w:val="auto"/>
        </w:rPr>
      </w:pPr>
      <w:r>
        <w:rPr>
          <w:rFonts w:ascii="Arial" w:cs="Arial" w:eastAsia="Arial" w:hAnsi="Arial"/>
          <w:sz w:val="16"/>
          <w:szCs w:val="16"/>
          <w:color w:val="auto"/>
        </w:rPr>
        <w:t>The award granted to our President, International had a grant date target value of $1.0 million and is scheduled to vest in January 2016. Fifty percent of the target award consisted of time-based RSUs and fifty percent consisted of PSUs, which are subject to the achievement of Adjusted EBITDA for the EMEA region. The PSUs can vest up to 150% of target if certain additional Adjusted EBITDA goals for the EMEA region are met. These Adjusted EBITDA goals are set forth below:</w:t>
      </w:r>
    </w:p>
    <w:p>
      <w:pPr>
        <w:spacing w:after="0" w:line="119" w:lineRule="exact"/>
        <w:rPr>
          <w:sz w:val="20"/>
          <w:szCs w:val="20"/>
          <w:color w:val="auto"/>
        </w:rPr>
      </w:pPr>
    </w:p>
    <w:p>
      <w:pPr>
        <w:ind w:left="332"/>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70485</wp:posOffset>
            </wp:positionV>
            <wp:extent cx="6850380" cy="35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952"/>
          </w:cols>
          <w:pgMar w:left="1048" w:top="434" w:right="8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3"/>
        </w:trPr>
        <w:tc>
          <w:tcPr>
            <w:tcW w:w="2840" w:type="dxa"/>
            <w:vAlign w:val="bottom"/>
          </w:tcPr>
          <w:p>
            <w:pPr>
              <w:spacing w:after="0"/>
              <w:rPr>
                <w:sz w:val="17"/>
                <w:szCs w:val="17"/>
                <w:color w:val="auto"/>
              </w:rPr>
            </w:pPr>
          </w:p>
        </w:tc>
        <w:tc>
          <w:tcPr>
            <w:tcW w:w="3780" w:type="dxa"/>
            <w:vAlign w:val="bottom"/>
          </w:tcPr>
          <w:p>
            <w:pPr>
              <w:jc w:val="center"/>
              <w:spacing w:after="0"/>
              <w:rPr>
                <w:sz w:val="20"/>
                <w:szCs w:val="20"/>
                <w:color w:val="auto"/>
              </w:rPr>
            </w:pPr>
            <w:r>
              <w:rPr>
                <w:rFonts w:ascii="Arial" w:cs="Arial" w:eastAsia="Arial" w:hAnsi="Arial"/>
                <w:sz w:val="16"/>
                <w:szCs w:val="16"/>
                <w:b w:val="1"/>
                <w:bCs w:val="1"/>
                <w:color w:val="auto"/>
                <w:w w:val="91"/>
              </w:rPr>
              <w:t>Achievement Level*</w:t>
            </w:r>
          </w:p>
        </w:tc>
        <w:tc>
          <w:tcPr>
            <w:tcW w:w="3000" w:type="dxa"/>
            <w:vAlign w:val="bottom"/>
          </w:tcPr>
          <w:p>
            <w:pPr>
              <w:jc w:val="center"/>
              <w:ind w:left="60"/>
              <w:spacing w:after="0"/>
              <w:rPr>
                <w:sz w:val="20"/>
                <w:szCs w:val="20"/>
                <w:color w:val="auto"/>
              </w:rPr>
            </w:pPr>
            <w:r>
              <w:rPr>
                <w:rFonts w:ascii="Arial" w:cs="Arial" w:eastAsia="Arial" w:hAnsi="Arial"/>
                <w:sz w:val="16"/>
                <w:szCs w:val="16"/>
                <w:b w:val="1"/>
                <w:bCs w:val="1"/>
                <w:color w:val="auto"/>
                <w:w w:val="93"/>
              </w:rPr>
              <w:t>2014 Adjusted EBITDA</w:t>
            </w:r>
          </w:p>
        </w:tc>
      </w:tr>
      <w:tr>
        <w:trPr>
          <w:trHeight w:val="208"/>
        </w:trPr>
        <w:tc>
          <w:tcPr>
            <w:tcW w:w="284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Achievement Level</w:t>
            </w: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(as a % of target units awarded)</w:t>
            </w:r>
          </w:p>
        </w:tc>
        <w:tc>
          <w:tcPr>
            <w:tcW w:w="3000" w:type="dxa"/>
            <w:vAlign w:val="bottom"/>
            <w:tcBorders>
              <w:bottom w:val="single" w:sz="8" w:color="auto"/>
            </w:tcBorders>
          </w:tcPr>
          <w:p>
            <w:pPr>
              <w:jc w:val="center"/>
              <w:ind w:left="60"/>
              <w:spacing w:after="0"/>
              <w:rPr>
                <w:sz w:val="20"/>
                <w:szCs w:val="20"/>
                <w:color w:val="auto"/>
              </w:rPr>
            </w:pPr>
            <w:r>
              <w:rPr>
                <w:rFonts w:ascii="Arial" w:cs="Arial" w:eastAsia="Arial" w:hAnsi="Arial"/>
                <w:sz w:val="16"/>
                <w:szCs w:val="16"/>
                <w:b w:val="1"/>
                <w:bCs w:val="1"/>
                <w:color w:val="auto"/>
                <w:w w:val="90"/>
              </w:rPr>
              <w:t>(Dollars in millions)</w:t>
            </w:r>
          </w:p>
        </w:tc>
      </w:tr>
      <w:tr>
        <w:trPr>
          <w:trHeight w:val="195"/>
        </w:trPr>
        <w:tc>
          <w:tcPr>
            <w:tcW w:w="2840" w:type="dxa"/>
            <w:vAlign w:val="bottom"/>
            <w:shd w:val="clear" w:color="auto" w:fill="E9E9E9"/>
          </w:tcPr>
          <w:p>
            <w:pPr>
              <w:ind w:left="60"/>
              <w:spacing w:after="0"/>
              <w:rPr>
                <w:sz w:val="20"/>
                <w:szCs w:val="20"/>
                <w:color w:val="auto"/>
              </w:rPr>
            </w:pPr>
            <w:r>
              <w:rPr>
                <w:rFonts w:ascii="Arial" w:cs="Arial" w:eastAsia="Arial" w:hAnsi="Arial"/>
                <w:sz w:val="16"/>
                <w:szCs w:val="16"/>
                <w:color w:val="auto"/>
              </w:rPr>
              <w:t>Maximum</w:t>
            </w:r>
          </w:p>
        </w:tc>
        <w:tc>
          <w:tcPr>
            <w:tcW w:w="378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2"/>
              </w:rPr>
              <w:t>150%</w:t>
            </w:r>
          </w:p>
        </w:tc>
        <w:tc>
          <w:tcPr>
            <w:tcW w:w="3000" w:type="dxa"/>
            <w:vAlign w:val="bottom"/>
            <w:shd w:val="clear" w:color="auto" w:fill="E9E9E9"/>
          </w:tcPr>
          <w:p>
            <w:pPr>
              <w:jc w:val="center"/>
              <w:ind w:left="40"/>
              <w:spacing w:after="0"/>
              <w:rPr>
                <w:sz w:val="20"/>
                <w:szCs w:val="20"/>
                <w:color w:val="auto"/>
              </w:rPr>
            </w:pPr>
            <w:r>
              <w:rPr>
                <w:rFonts w:ascii="Arial" w:cs="Arial" w:eastAsia="Arial" w:hAnsi="Arial"/>
                <w:sz w:val="16"/>
                <w:szCs w:val="16"/>
                <w:color w:val="auto"/>
                <w:w w:val="89"/>
              </w:rPr>
              <w:t>$186</w:t>
            </w:r>
          </w:p>
        </w:tc>
      </w:tr>
      <w:tr>
        <w:trPr>
          <w:trHeight w:val="203"/>
        </w:trPr>
        <w:tc>
          <w:tcPr>
            <w:tcW w:w="2840" w:type="dxa"/>
            <w:vAlign w:val="bottom"/>
          </w:tcPr>
          <w:p>
            <w:pPr>
              <w:ind w:left="60"/>
              <w:spacing w:after="0"/>
              <w:rPr>
                <w:sz w:val="20"/>
                <w:szCs w:val="20"/>
                <w:color w:val="auto"/>
              </w:rPr>
            </w:pPr>
            <w:r>
              <w:rPr>
                <w:rFonts w:ascii="Arial" w:cs="Arial" w:eastAsia="Arial" w:hAnsi="Arial"/>
                <w:sz w:val="16"/>
                <w:szCs w:val="16"/>
                <w:color w:val="auto"/>
              </w:rPr>
              <w:t>Target</w:t>
            </w:r>
          </w:p>
        </w:tc>
        <w:tc>
          <w:tcPr>
            <w:tcW w:w="378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3000" w:type="dxa"/>
            <w:vAlign w:val="bottom"/>
          </w:tcPr>
          <w:p>
            <w:pPr>
              <w:jc w:val="center"/>
              <w:ind w:left="40"/>
              <w:spacing w:after="0"/>
              <w:rPr>
                <w:sz w:val="20"/>
                <w:szCs w:val="20"/>
                <w:color w:val="auto"/>
              </w:rPr>
            </w:pPr>
            <w:r>
              <w:rPr>
                <w:rFonts w:ascii="Arial" w:cs="Arial" w:eastAsia="Arial" w:hAnsi="Arial"/>
                <w:sz w:val="16"/>
                <w:szCs w:val="16"/>
                <w:color w:val="auto"/>
                <w:w w:val="89"/>
              </w:rPr>
              <w:t>$169</w:t>
            </w:r>
          </w:p>
        </w:tc>
      </w:tr>
      <w:tr>
        <w:trPr>
          <w:trHeight w:val="203"/>
        </w:trPr>
        <w:tc>
          <w:tcPr>
            <w:tcW w:w="2840" w:type="dxa"/>
            <w:vAlign w:val="bottom"/>
            <w:tcBorders>
              <w:bottom w:val="single" w:sz="8" w:color="auto"/>
            </w:tcBorders>
            <w:shd w:val="clear" w:color="auto" w:fill="E9E9E9"/>
          </w:tcPr>
          <w:p>
            <w:pPr>
              <w:ind w:left="60"/>
              <w:spacing w:after="0"/>
              <w:rPr>
                <w:sz w:val="20"/>
                <w:szCs w:val="20"/>
                <w:color w:val="auto"/>
              </w:rPr>
            </w:pPr>
            <w:r>
              <w:rPr>
                <w:rFonts w:ascii="Arial" w:cs="Arial" w:eastAsia="Arial" w:hAnsi="Arial"/>
                <w:sz w:val="16"/>
                <w:szCs w:val="16"/>
                <w:color w:val="auto"/>
              </w:rPr>
              <w:t>Threshold</w:t>
            </w:r>
          </w:p>
        </w:tc>
        <w:tc>
          <w:tcPr>
            <w:tcW w:w="3780" w:type="dxa"/>
            <w:vAlign w:val="bottom"/>
            <w:tcBorders>
              <w:bottom w:val="single" w:sz="8" w:color="auto"/>
            </w:tcBorders>
            <w:shd w:val="clear" w:color="auto" w:fill="E9E9E9"/>
          </w:tcPr>
          <w:p>
            <w:pPr>
              <w:jc w:val="center"/>
              <w:spacing w:after="0"/>
              <w:rPr>
                <w:sz w:val="20"/>
                <w:szCs w:val="20"/>
                <w:color w:val="auto"/>
              </w:rPr>
            </w:pPr>
            <w:r>
              <w:rPr>
                <w:rFonts w:ascii="Arial" w:cs="Arial" w:eastAsia="Arial" w:hAnsi="Arial"/>
                <w:sz w:val="16"/>
                <w:szCs w:val="16"/>
                <w:color w:val="auto"/>
                <w:w w:val="92"/>
              </w:rPr>
              <w:t>37.5%</w:t>
            </w:r>
          </w:p>
        </w:tc>
        <w:tc>
          <w:tcPr>
            <w:tcW w:w="3000" w:type="dxa"/>
            <w:vAlign w:val="bottom"/>
            <w:tcBorders>
              <w:bottom w:val="single" w:sz="8" w:color="auto"/>
            </w:tcBorders>
            <w:shd w:val="clear" w:color="auto" w:fill="E9E9E9"/>
          </w:tcPr>
          <w:p>
            <w:pPr>
              <w:jc w:val="center"/>
              <w:ind w:left="40"/>
              <w:spacing w:after="0"/>
              <w:rPr>
                <w:sz w:val="20"/>
                <w:szCs w:val="20"/>
                <w:color w:val="auto"/>
              </w:rPr>
            </w:pPr>
            <w:r>
              <w:rPr>
                <w:rFonts w:ascii="Arial" w:cs="Arial" w:eastAsia="Arial" w:hAnsi="Arial"/>
                <w:sz w:val="16"/>
                <w:szCs w:val="16"/>
                <w:color w:val="auto"/>
                <w:w w:val="89"/>
              </w:rPr>
              <w:t>$139</w:t>
            </w:r>
          </w:p>
        </w:tc>
      </w:tr>
    </w:tbl>
    <w:p>
      <w:pPr>
        <w:ind w:left="60"/>
        <w:spacing w:after="0"/>
        <w:rPr>
          <w:sz w:val="20"/>
          <w:szCs w:val="20"/>
          <w:color w:val="auto"/>
        </w:rPr>
      </w:pPr>
      <w:r>
        <w:rPr>
          <w:rFonts w:ascii="Arial" w:cs="Arial" w:eastAsia="Arial" w:hAnsi="Arial"/>
          <w:sz w:val="16"/>
          <w:szCs w:val="16"/>
          <w:color w:val="auto"/>
        </w:rPr>
        <w:t>* Straight-line interpolation is used for achievement between the specified goals.</w:t>
      </w:r>
    </w:p>
    <w:p>
      <w:pPr>
        <w:spacing w:after="0" w:line="24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For any portion of the award for which 2014 performance goals are not met, there is an ability to achieve full vesting based on the following Adjusted EBITDA goals for 2015:</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6"/>
                <w:szCs w:val="16"/>
                <w:b w:val="1"/>
                <w:bCs w:val="1"/>
                <w:color w:val="auto"/>
                <w:w w:val="91"/>
              </w:rPr>
              <w:t>Achievement Level*</w:t>
            </w:r>
          </w:p>
        </w:tc>
        <w:tc>
          <w:tcPr>
            <w:tcW w:w="3080" w:type="dxa"/>
            <w:vAlign w:val="bottom"/>
          </w:tcPr>
          <w:p>
            <w:pPr>
              <w:jc w:val="center"/>
              <w:ind w:left="160"/>
              <w:spacing w:after="0"/>
              <w:rPr>
                <w:sz w:val="20"/>
                <w:szCs w:val="20"/>
                <w:color w:val="auto"/>
              </w:rPr>
            </w:pPr>
            <w:r>
              <w:rPr>
                <w:rFonts w:ascii="Arial" w:cs="Arial" w:eastAsia="Arial" w:hAnsi="Arial"/>
                <w:sz w:val="16"/>
                <w:szCs w:val="16"/>
                <w:b w:val="1"/>
                <w:bCs w:val="1"/>
                <w:color w:val="auto"/>
                <w:w w:val="95"/>
              </w:rPr>
              <w:t>2015 Adjusted EBITDA</w:t>
            </w:r>
          </w:p>
        </w:tc>
      </w:tr>
      <w:tr>
        <w:trPr>
          <w:trHeight w:val="208"/>
        </w:trPr>
        <w:tc>
          <w:tcPr>
            <w:tcW w:w="296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Achievement Level</w:t>
            </w: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(as a % of maximum units)</w:t>
            </w:r>
          </w:p>
        </w:tc>
        <w:tc>
          <w:tcPr>
            <w:tcW w:w="3080" w:type="dxa"/>
            <w:vAlign w:val="bottom"/>
            <w:tcBorders>
              <w:bottom w:val="single" w:sz="8" w:color="auto"/>
            </w:tcBorders>
          </w:tcPr>
          <w:p>
            <w:pPr>
              <w:jc w:val="center"/>
              <w:ind w:left="160"/>
              <w:spacing w:after="0"/>
              <w:rPr>
                <w:sz w:val="20"/>
                <w:szCs w:val="20"/>
                <w:color w:val="auto"/>
              </w:rPr>
            </w:pPr>
            <w:r>
              <w:rPr>
                <w:rFonts w:ascii="Arial" w:cs="Arial" w:eastAsia="Arial" w:hAnsi="Arial"/>
                <w:sz w:val="16"/>
                <w:szCs w:val="16"/>
                <w:b w:val="1"/>
                <w:bCs w:val="1"/>
                <w:color w:val="auto"/>
                <w:w w:val="91"/>
              </w:rPr>
              <w:t>(Dollars in millions)</w:t>
            </w:r>
          </w:p>
        </w:tc>
      </w:tr>
      <w:tr>
        <w:trPr>
          <w:trHeight w:val="195"/>
        </w:trPr>
        <w:tc>
          <w:tcPr>
            <w:tcW w:w="2960" w:type="dxa"/>
            <w:vAlign w:val="bottom"/>
            <w:shd w:val="clear" w:color="auto" w:fill="E9E9E9"/>
          </w:tcPr>
          <w:p>
            <w:pPr>
              <w:ind w:left="60"/>
              <w:spacing w:after="0"/>
              <w:rPr>
                <w:sz w:val="20"/>
                <w:szCs w:val="20"/>
                <w:color w:val="auto"/>
              </w:rPr>
            </w:pPr>
            <w:r>
              <w:rPr>
                <w:rFonts w:ascii="Arial" w:cs="Arial" w:eastAsia="Arial" w:hAnsi="Arial"/>
                <w:sz w:val="16"/>
                <w:szCs w:val="16"/>
                <w:color w:val="auto"/>
              </w:rPr>
              <w:t>Maximum</w:t>
            </w:r>
          </w:p>
        </w:tc>
        <w:tc>
          <w:tcPr>
            <w:tcW w:w="358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2"/>
              </w:rPr>
              <w:t>100%</w:t>
            </w:r>
          </w:p>
        </w:tc>
        <w:tc>
          <w:tcPr>
            <w:tcW w:w="3080" w:type="dxa"/>
            <w:vAlign w:val="bottom"/>
            <w:shd w:val="clear" w:color="auto" w:fill="E9E9E9"/>
          </w:tcPr>
          <w:p>
            <w:pPr>
              <w:jc w:val="center"/>
              <w:ind w:left="160"/>
              <w:spacing w:after="0"/>
              <w:rPr>
                <w:sz w:val="20"/>
                <w:szCs w:val="20"/>
                <w:color w:val="auto"/>
              </w:rPr>
            </w:pPr>
            <w:r>
              <w:rPr>
                <w:rFonts w:ascii="Arial" w:cs="Arial" w:eastAsia="Arial" w:hAnsi="Arial"/>
                <w:sz w:val="16"/>
                <w:szCs w:val="16"/>
                <w:color w:val="auto"/>
                <w:w w:val="89"/>
              </w:rPr>
              <w:t>$215</w:t>
            </w:r>
          </w:p>
        </w:tc>
      </w:tr>
      <w:tr>
        <w:trPr>
          <w:trHeight w:val="203"/>
        </w:trPr>
        <w:tc>
          <w:tcPr>
            <w:tcW w:w="2960" w:type="dxa"/>
            <w:vAlign w:val="bottom"/>
          </w:tcPr>
          <w:p>
            <w:pPr>
              <w:ind w:left="60"/>
              <w:spacing w:after="0"/>
              <w:rPr>
                <w:sz w:val="20"/>
                <w:szCs w:val="20"/>
                <w:color w:val="auto"/>
              </w:rPr>
            </w:pPr>
            <w:r>
              <w:rPr>
                <w:rFonts w:ascii="Arial" w:cs="Arial" w:eastAsia="Arial" w:hAnsi="Arial"/>
                <w:sz w:val="16"/>
                <w:szCs w:val="16"/>
                <w:color w:val="auto"/>
              </w:rPr>
              <w:t>Target</w:t>
            </w:r>
          </w:p>
        </w:tc>
        <w:tc>
          <w:tcPr>
            <w:tcW w:w="3580" w:type="dxa"/>
            <w:vAlign w:val="bottom"/>
          </w:tcPr>
          <w:p>
            <w:pPr>
              <w:jc w:val="center"/>
              <w:spacing w:after="0"/>
              <w:rPr>
                <w:sz w:val="20"/>
                <w:szCs w:val="20"/>
                <w:color w:val="auto"/>
              </w:rPr>
            </w:pPr>
            <w:r>
              <w:rPr>
                <w:rFonts w:ascii="Arial" w:cs="Arial" w:eastAsia="Arial" w:hAnsi="Arial"/>
                <w:sz w:val="16"/>
                <w:szCs w:val="16"/>
                <w:color w:val="auto"/>
                <w:w w:val="93"/>
              </w:rPr>
              <w:t>67%</w:t>
            </w:r>
          </w:p>
        </w:tc>
        <w:tc>
          <w:tcPr>
            <w:tcW w:w="3080" w:type="dxa"/>
            <w:vAlign w:val="bottom"/>
          </w:tcPr>
          <w:p>
            <w:pPr>
              <w:jc w:val="center"/>
              <w:ind w:left="160"/>
              <w:spacing w:after="0"/>
              <w:rPr>
                <w:sz w:val="20"/>
                <w:szCs w:val="20"/>
                <w:color w:val="auto"/>
              </w:rPr>
            </w:pPr>
            <w:r>
              <w:rPr>
                <w:rFonts w:ascii="Arial" w:cs="Arial" w:eastAsia="Arial" w:hAnsi="Arial"/>
                <w:sz w:val="16"/>
                <w:szCs w:val="16"/>
                <w:color w:val="auto"/>
                <w:w w:val="89"/>
              </w:rPr>
              <w:t>$195</w:t>
            </w:r>
          </w:p>
        </w:tc>
      </w:tr>
      <w:tr>
        <w:trPr>
          <w:trHeight w:val="203"/>
        </w:trPr>
        <w:tc>
          <w:tcPr>
            <w:tcW w:w="2960" w:type="dxa"/>
            <w:vAlign w:val="bottom"/>
            <w:tcBorders>
              <w:bottom w:val="single" w:sz="8" w:color="auto"/>
            </w:tcBorders>
            <w:shd w:val="clear" w:color="auto" w:fill="E9E9E9"/>
          </w:tcPr>
          <w:p>
            <w:pPr>
              <w:ind w:left="60"/>
              <w:spacing w:after="0"/>
              <w:rPr>
                <w:sz w:val="20"/>
                <w:szCs w:val="20"/>
                <w:color w:val="auto"/>
              </w:rPr>
            </w:pPr>
            <w:r>
              <w:rPr>
                <w:rFonts w:ascii="Arial" w:cs="Arial" w:eastAsia="Arial" w:hAnsi="Arial"/>
                <w:sz w:val="16"/>
                <w:szCs w:val="16"/>
                <w:color w:val="auto"/>
              </w:rPr>
              <w:t>Threshold</w:t>
            </w:r>
          </w:p>
        </w:tc>
        <w:tc>
          <w:tcPr>
            <w:tcW w:w="3580" w:type="dxa"/>
            <w:vAlign w:val="bottom"/>
            <w:tcBorders>
              <w:bottom w:val="single" w:sz="8" w:color="auto"/>
            </w:tcBorders>
            <w:shd w:val="clear" w:color="auto" w:fill="E9E9E9"/>
          </w:tcPr>
          <w:p>
            <w:pPr>
              <w:jc w:val="center"/>
              <w:spacing w:after="0"/>
              <w:rPr>
                <w:sz w:val="20"/>
                <w:szCs w:val="20"/>
                <w:color w:val="auto"/>
              </w:rPr>
            </w:pPr>
            <w:r>
              <w:rPr>
                <w:rFonts w:ascii="Arial" w:cs="Arial" w:eastAsia="Arial" w:hAnsi="Arial"/>
                <w:sz w:val="16"/>
                <w:szCs w:val="16"/>
                <w:color w:val="auto"/>
                <w:w w:val="93"/>
              </w:rPr>
              <w:t>25%</w:t>
            </w:r>
          </w:p>
        </w:tc>
        <w:tc>
          <w:tcPr>
            <w:tcW w:w="3080" w:type="dxa"/>
            <w:vAlign w:val="bottom"/>
            <w:tcBorders>
              <w:bottom w:val="single" w:sz="8" w:color="auto"/>
            </w:tcBorders>
            <w:shd w:val="clear" w:color="auto" w:fill="E9E9E9"/>
          </w:tcPr>
          <w:p>
            <w:pPr>
              <w:jc w:val="center"/>
              <w:ind w:left="160"/>
              <w:spacing w:after="0"/>
              <w:rPr>
                <w:sz w:val="20"/>
                <w:szCs w:val="20"/>
                <w:color w:val="auto"/>
              </w:rPr>
            </w:pPr>
            <w:r>
              <w:rPr>
                <w:rFonts w:ascii="Arial" w:cs="Arial" w:eastAsia="Arial" w:hAnsi="Arial"/>
                <w:sz w:val="16"/>
                <w:szCs w:val="16"/>
                <w:color w:val="auto"/>
                <w:w w:val="89"/>
              </w:rPr>
              <w:t>$160</w:t>
            </w:r>
          </w:p>
        </w:tc>
      </w:tr>
    </w:tbl>
    <w:p>
      <w:pPr>
        <w:ind w:left="60"/>
        <w:spacing w:after="0"/>
        <w:rPr>
          <w:sz w:val="20"/>
          <w:szCs w:val="20"/>
          <w:color w:val="auto"/>
        </w:rPr>
      </w:pPr>
      <w:r>
        <w:rPr>
          <w:rFonts w:ascii="Arial" w:cs="Arial" w:eastAsia="Arial" w:hAnsi="Arial"/>
          <w:sz w:val="16"/>
          <w:szCs w:val="16"/>
          <w:color w:val="auto"/>
        </w:rPr>
        <w:t>* Straight-line interpolation is used for achievement between the specified goals.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Setting CEO and Other NEO Compensation</w:t>
      </w:r>
    </w:p>
    <w:p>
      <w:pPr>
        <w:spacing w:after="0" w:line="250" w:lineRule="exact"/>
        <w:rPr>
          <w:sz w:val="20"/>
          <w:szCs w:val="20"/>
          <w:color w:val="auto"/>
        </w:rPr>
      </w:pPr>
    </w:p>
    <w:p>
      <w:pPr>
        <w:ind w:right="480"/>
        <w:spacing w:after="0" w:line="291" w:lineRule="auto"/>
        <w:rPr>
          <w:sz w:val="20"/>
          <w:szCs w:val="20"/>
          <w:color w:val="auto"/>
        </w:rPr>
      </w:pPr>
      <w:r>
        <w:rPr>
          <w:rFonts w:ascii="Arial" w:cs="Arial" w:eastAsia="Arial" w:hAnsi="Arial"/>
          <w:sz w:val="16"/>
          <w:szCs w:val="16"/>
          <w:color w:val="auto"/>
        </w:rPr>
        <w:t>Our Board has assigned to the Committee the responsibility to approve compensation for all NEOs, including our CEO. The roles and duties of participants in the decision-making process for our executive program and their duties are summarized below.</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 of the Independent Compensation Consultant</w:t>
      </w:r>
    </w:p>
    <w:p>
      <w:pPr>
        <w:spacing w:after="0" w:line="250"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As permitted by its charter, the Committee continued its engagement of Pay Governance LLC, a compensation consulting firm, to work with the Committee and the Company as an adviser on executive compensation matters in 2014. The compensation consultant reports to, and is directed by, the Committee, which retains the authority to retain or terminate compensation advisers. In early 2014, the Committee reviewed information regarding the independence and potential conflicts of interest of Pay Governance, taking into account, among other things, the factors set forth in the NASDAQ listing standards. Based on this review, the Committee concluded that the engagement of Pay Governance did not raise any conflict of interest. Outside of services provided for the Committee and advice to the Corporate Governance Committee related to compensation of non-employee directors, the compensation consultant did not provide additional services to the Company in 2014.</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Decisions</w:t>
      </w:r>
    </w:p>
    <w:p>
      <w:pPr>
        <w:spacing w:after="0" w:line="262"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In the case of named executive officers other than the CEO, our Human Resources staff develops recommendations as to the level of compensation for each pay component generally based on position scope (defined as the executive's relative responsibilities compared to others within the Company and the individual's potential impact on Company operations), and the individual's experience level and performance in addition to the factors discussed under "Analysis of 2014 Pay Decisions" above. Performance criteria and goals are recommended by our Human Resources staff based on the Company's business plan and goals, with input from the CFO and his staff. Recommendations related to the mix of compensation elements generally reflect a review of practices of our Peer Group (as defined below) and are typically designed to take into consideration past practice and our strategy to tie a greater portion of total target compensation to variable versus fixed compensation.</w:t>
      </w:r>
    </w:p>
    <w:p>
      <w:pPr>
        <w:spacing w:after="0" w:line="195"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Each recommendation is then discussed with our CEO for feedback and final approval. Final recommendations are reviewed with the compensation consultant and the Chairman of the Committee to ensure that they are consistent with the Committee's expectations and the Company's compensation philosophy, and ultimately submitted to the Committee for consideration. The Committee has the ultimate right and authority to revise and/or approve recommendations of management.</w:t>
      </w:r>
    </w:p>
    <w:p>
      <w:pPr>
        <w:spacing w:after="0" w:line="203"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Our CEO's compensation is determined by the Committee, working directly with the compensation consultant. The Committee determines each component of our CEO's compensation, taking into consideration our CEO's performance as well as market and Peer Group data and other factors such as level of experience and responsibilities, leadership, skill, contributions to the Company and the size and complexity of the Company's balance sheet and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620"/>
          </w:cols>
          <w:pgMar w:left="1380" w:top="314" w:right="89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Risk Assessment</w:t>
      </w:r>
    </w:p>
    <w:p>
      <w:pPr>
        <w:spacing w:after="0" w:line="262"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In approving annual and long-term incentive awards for our NEOs, the Committee assesses the risks associated with the adoption of these awards, including the performance measures and goals for the awards, and for 2014, concluded that the incentive awards approved would not be likely to encourage excessive risk-taking. Consistent with past practice, management also reviewed the Company's compensation policies and practices for employees generally with the Chairmen of the Audit and Compensation committees and the Company's compensation consultant to determine whether these programs create incentives that might motivate inappropriate or excessive risk-taking. For additional information, please see "Functions and Meetings of the Board of Directors—Risk Management and Risk Assessment."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Consideration of Peer Groups and Survey Data</w:t>
      </w:r>
    </w:p>
    <w:p>
      <w:pPr>
        <w:spacing w:after="0" w:line="250"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Given that there is an insufficient number of public companies in the car rental sector to establish a sufficiently large peer group, peer companies are selected to supplement the one other U.S.-based publicly traded car rental company with additional companies from industry sectors that are viewed as most relevant to our business based on the following criteria: company size based on revenue as the primary factor, headcount, market capitalization, enterprise value, and debt and assets. Given our capital structure, we place a greater emphasis on enterprise value than market capitalization when developing the peer group. For 2014 pay decisions, the Company's peer group consisted of the following 16 companies (the "Peer Group"):</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AutoNation Inc.</w:t>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Carmax, Inc.</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Carnival Corporation</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Cintas Corporation</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Hertz Global Holdings, Inc.</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J.B. Hunt Transport Services, Inc.</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Marriott International, Inc.</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Norfolk Southern Corporation</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Office Depot, Inc.</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Pitney Bowes Inc.</w:t>
      </w:r>
    </w:p>
    <w:p>
      <w:pPr>
        <w:spacing w:after="0" w:line="19" w:lineRule="exact"/>
        <w:rPr>
          <w:sz w:val="20"/>
          <w:szCs w:val="20"/>
          <w:color w:val="auto"/>
        </w:rPr>
      </w:pPr>
    </w:p>
    <w:p>
      <w:pPr>
        <w:ind w:left="240" w:right="7240" w:firstLine="2"/>
        <w:spacing w:after="0" w:line="302" w:lineRule="auto"/>
        <w:tabs>
          <w:tab w:leader="none" w:pos="492" w:val="left"/>
        </w:tabs>
        <w:numPr>
          <w:ilvl w:val="0"/>
          <w:numId w:val="42"/>
        </w:numPr>
        <w:rPr>
          <w:rFonts w:ascii="Arial" w:cs="Arial" w:eastAsia="Arial" w:hAnsi="Arial"/>
          <w:sz w:val="14"/>
          <w:szCs w:val="14"/>
          <w:color w:val="auto"/>
        </w:rPr>
      </w:pPr>
      <w:r>
        <w:rPr>
          <w:rFonts w:ascii="Arial" w:cs="Arial" w:eastAsia="Arial" w:hAnsi="Arial"/>
          <w:sz w:val="14"/>
          <w:szCs w:val="14"/>
          <w:color w:val="auto"/>
        </w:rPr>
        <w:t>Donnelley &amp; Sons Company Royal Caribbean Cruises Ltd. Ryder System, Inc.</w:t>
      </w:r>
    </w:p>
    <w:p>
      <w:pPr>
        <w:spacing w:after="0" w:line="1" w:lineRule="exact"/>
        <w:rPr>
          <w:rFonts w:ascii="Arial" w:cs="Arial" w:eastAsia="Arial" w:hAnsi="Arial"/>
          <w:sz w:val="14"/>
          <w:szCs w:val="14"/>
          <w:color w:val="auto"/>
        </w:rPr>
      </w:pPr>
    </w:p>
    <w:p>
      <w:pPr>
        <w:ind w:left="240" w:right="6840"/>
        <w:spacing w:after="0" w:line="282" w:lineRule="auto"/>
        <w:rPr>
          <w:rFonts w:ascii="Arial" w:cs="Arial" w:eastAsia="Arial" w:hAnsi="Arial"/>
          <w:sz w:val="14"/>
          <w:szCs w:val="14"/>
          <w:color w:val="auto"/>
        </w:rPr>
      </w:pPr>
      <w:r>
        <w:rPr>
          <w:rFonts w:ascii="Arial" w:cs="Arial" w:eastAsia="Arial" w:hAnsi="Arial"/>
          <w:sz w:val="15"/>
          <w:szCs w:val="15"/>
          <w:color w:val="auto"/>
        </w:rPr>
        <w:t>Starwood Hotels &amp; Resorts Worldwide Waste Management, Inc.</w:t>
      </w:r>
    </w:p>
    <w:p>
      <w:pPr>
        <w:ind w:left="240"/>
        <w:spacing w:after="0"/>
        <w:rPr>
          <w:rFonts w:ascii="Arial" w:cs="Arial" w:eastAsia="Arial" w:hAnsi="Arial"/>
          <w:sz w:val="14"/>
          <w:szCs w:val="14"/>
          <w:color w:val="auto"/>
        </w:rPr>
      </w:pPr>
      <w:r>
        <w:rPr>
          <w:rFonts w:ascii="Arial" w:cs="Arial" w:eastAsia="Arial" w:hAnsi="Arial"/>
          <w:sz w:val="16"/>
          <w:szCs w:val="16"/>
          <w:color w:val="auto"/>
        </w:rPr>
        <w:t>Wyndham Worldwide Corporation</w:t>
      </w:r>
    </w:p>
    <w:p>
      <w:pPr>
        <w:spacing w:after="0" w:line="245"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 current Peer Group was initially approved in 2011 and reviewed in subsequent years. In 2014, the Committee approved the replacement of Officemax with Office Depot following the merger of Officemax with Office Depot. The Committee reviewed pay data of the Peer Group as previously discussed and in order to ensure reasonable comparability of the pay packages of our NEOs, but the Committee does not specifically target any percentile within the Peer Group when setting overall compensation, any individual element of compensation or the relative pay mix among different elements of compensation. The Committee expects to review the Peer Group from time to time in order to ensure that the component companies continue to meet the criteria for which they were selected, as well as to identify other companies that may become appropriate for inclusion.</w:t>
      </w:r>
    </w:p>
    <w:p>
      <w:pPr>
        <w:spacing w:after="0" w:line="206"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The Committee recognizes that our executives have opportunities available to them in a range of industries and that any peer group for the Company will have some inherent limitations given the absence of a large sample of public companies in the vehicle rental business. In order to compare ourselves to a broad set of general industry market data available, the Committee also reviews widely-used survey data from consulting firms such as Aon Hewitt and Towers Watson for companies that have revenue comparable to ours (the "Survey Data") as another data point. The Survey Data</w:t>
      </w:r>
      <w:r>
        <w:rPr>
          <w:rFonts w:ascii="Arial" w:cs="Arial" w:eastAsia="Arial" w:hAnsi="Arial"/>
          <w:sz w:val="24"/>
          <w:szCs w:val="24"/>
          <w:color w:val="auto"/>
          <w:vertAlign w:val="superscript"/>
        </w:rPr>
        <w:t>2</w:t>
      </w:r>
      <w:r>
        <w:rPr>
          <w:rFonts w:ascii="Arial" w:cs="Arial" w:eastAsia="Arial" w:hAnsi="Arial"/>
          <w:sz w:val="15"/>
          <w:szCs w:val="15"/>
          <w:color w:val="auto"/>
        </w:rPr>
        <w:t xml:space="preserve"> represent data from over 1,000 companies sized according to revenue, assets and number of employees.</w:t>
      </w:r>
    </w:p>
    <w:p>
      <w:pPr>
        <w:spacing w:after="0" w:line="224" w:lineRule="exact"/>
        <w:rPr>
          <w:sz w:val="20"/>
          <w:szCs w:val="20"/>
          <w:color w:val="auto"/>
        </w:rPr>
      </w:pPr>
    </w:p>
    <w:p>
      <w:pPr>
        <w:ind w:right="20"/>
        <w:spacing w:after="0" w:line="334" w:lineRule="auto"/>
        <w:rPr>
          <w:sz w:val="20"/>
          <w:szCs w:val="20"/>
          <w:color w:val="auto"/>
        </w:rPr>
      </w:pPr>
      <w:r>
        <w:rPr>
          <w:rFonts w:ascii="Arial" w:cs="Arial" w:eastAsia="Arial" w:hAnsi="Arial"/>
          <w:sz w:val="14"/>
          <w:szCs w:val="14"/>
          <w:color w:val="auto"/>
        </w:rPr>
        <w:t>In 2014, the Committee considered the Survey Data for each element of the 2014 compensation and benefits package as a general check and to ensure reasonable comparability. Consideration of the Peer Group and the Survey Data represented just two factors considered in setting executive compensation for 2014. Please refer to "Analysis of 2014 Pay Decisions" for the other factors considered in setting executive compensation for 2014.</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 Consideration of the Company's 2014 Stockholder Vote on Executive Compensation</w:t>
      </w:r>
    </w:p>
    <w:p>
      <w:pPr>
        <w:spacing w:after="0" w:line="250"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The Committee reviewed the results of the Company's stockholder advisory vote on executive compensation ("Say on Pay") in 2014. At the 2014 annual meeting of stockholders, over 98% of the votes cast were in support of the Company's Say on Pay proposal. Based on the 2014 Say on Pay results and feedback from stockholders, the Committee concluded that the Company's overall compensation program as it relates to its NEOs enjoys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227965</wp:posOffset>
            </wp:positionV>
            <wp:extent cx="232981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29815" cy="7620"/>
                    </a:xfrm>
                    <a:prstGeom prst="rect">
                      <a:avLst/>
                    </a:prstGeom>
                    <a:noFill/>
                  </pic:spPr>
                </pic:pic>
              </a:graphicData>
            </a:graphic>
          </wp:anchor>
        </w:drawing>
      </w:r>
    </w:p>
    <w:p>
      <w:pPr>
        <w:spacing w:after="0" w:line="350" w:lineRule="exact"/>
        <w:rPr>
          <w:sz w:val="20"/>
          <w:szCs w:val="20"/>
          <w:color w:val="auto"/>
        </w:rPr>
      </w:pPr>
    </w:p>
    <w:p>
      <w:pPr>
        <w:ind w:left="2820" w:right="2320" w:hanging="523"/>
        <w:spacing w:after="0" w:line="269" w:lineRule="auto"/>
        <w:tabs>
          <w:tab w:leader="none" w:pos="28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While the Survey Data include a general list of participating companies, each survey provides information on a "no-names" basis —i.e., for each position comparison, it does not identify by name which companies comparable in revenue size to our company produced results for each position matched, and thus we are unable to list the comparable companies that are included in the Survey Data utilized.</w:t>
      </w:r>
    </w:p>
    <w:p>
      <w:pPr>
        <w:sectPr>
          <w:pgSz w:w="11900" w:h="16838" w:orient="portrait"/>
          <w:cols w:equalWidth="0" w:num="1">
            <w:col w:w="9580"/>
          </w:cols>
          <w:pgMar w:left="1380" w:top="434" w:right="939" w:bottom="1440" w:gutter="0" w:footer="0" w:header="0"/>
        </w:sectPr>
      </w:pP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85090</wp:posOffset>
            </wp:positionV>
            <wp:extent cx="6850380" cy="35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580"/>
          </w:cols>
          <w:pgMar w:left="1380" w:top="434" w:right="9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color w:val="auto"/>
        </w:rPr>
        <w:t>support of the Company's stockholders and does not require revision to address any broad stockholder concerns.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Policy Related to Equity Awards</w:t>
      </w:r>
    </w:p>
    <w:p>
      <w:pPr>
        <w:spacing w:after="0" w:line="250"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Our practice is to grant long-term incentive awards at pre-established meetings of the Committee. Annual long-term incentive awards, which typically include the awards to all of the NEOs, are usually approved on the date of the first regularly scheduled Committee meeting each year. However, the Committee retains the ability to determine, and has in the past determined, that another grant date may be appropriate in certain circumstances. Awards are also approved at each of the other pre-established Committee meetings typically for executives hired or promoted since the prior meeting. In connection with valuing the grants of stock-based awards, it is our policy generally to use, as the grant or strike price for any stock-based compensation vehicle, the closing price of our Common Stock on the date the Committee approves the award. The Committee typically approves a dollar amount for each restricted unit award, which is then divided by the closing price of our Common Stock on the date of grant to arrive at the number of restricted units to be granted.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Stock Ownership Guidelines</w:t>
      </w:r>
    </w:p>
    <w:p>
      <w:pPr>
        <w:spacing w:after="0" w:line="262"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Our executive stock ownership guidelines require senior officers to acquire and hold designated levels of Avis Budget Common Stock. Under these guidelines, our CEO is required to retain 100%, and other NEOs (who are currently executive officers) are required to retain a minimum of 50% of the net shares (net of taxes) obtained upon the vesting of restricted stock awards and of vested stock options, until reaching the following specified ownership thresholds: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80" w:type="dxa"/>
            <w:vAlign w:val="bottom"/>
            <w:tcBorders>
              <w:bottom w:val="single" w:sz="8" w:color="auto"/>
            </w:tcBorders>
          </w:tcPr>
          <w:p>
            <w:pPr>
              <w:ind w:left="2480"/>
              <w:spacing w:after="0"/>
              <w:rPr>
                <w:sz w:val="20"/>
                <w:szCs w:val="20"/>
                <w:color w:val="auto"/>
              </w:rPr>
            </w:pPr>
            <w:r>
              <w:rPr>
                <w:rFonts w:ascii="Arial" w:cs="Arial" w:eastAsia="Arial" w:hAnsi="Arial"/>
                <w:sz w:val="16"/>
                <w:szCs w:val="16"/>
                <w:b w:val="1"/>
                <w:bCs w:val="1"/>
                <w:color w:val="auto"/>
              </w:rPr>
              <w:t>Officer(s)</w:t>
            </w:r>
          </w:p>
        </w:tc>
        <w:tc>
          <w:tcPr>
            <w:tcW w:w="5540" w:type="dxa"/>
            <w:vAlign w:val="bottom"/>
            <w:tcBorders>
              <w:bottom w:val="single" w:sz="8" w:color="auto"/>
            </w:tcBorders>
          </w:tcPr>
          <w:p>
            <w:pPr>
              <w:ind w:left="800"/>
              <w:spacing w:after="0"/>
              <w:rPr>
                <w:sz w:val="20"/>
                <w:szCs w:val="20"/>
                <w:color w:val="auto"/>
              </w:rPr>
            </w:pPr>
            <w:r>
              <w:rPr>
                <w:rFonts w:ascii="Arial" w:cs="Arial" w:eastAsia="Arial" w:hAnsi="Arial"/>
                <w:sz w:val="16"/>
                <w:szCs w:val="16"/>
                <w:b w:val="1"/>
                <w:bCs w:val="1"/>
                <w:color w:val="auto"/>
              </w:rPr>
              <w:t>Threshold</w:t>
            </w:r>
          </w:p>
        </w:tc>
      </w:tr>
      <w:tr>
        <w:trPr>
          <w:trHeight w:val="195"/>
        </w:trPr>
        <w:tc>
          <w:tcPr>
            <w:tcW w:w="4080" w:type="dxa"/>
            <w:vAlign w:val="bottom"/>
            <w:shd w:val="clear" w:color="auto" w:fill="E9E9E9"/>
          </w:tcPr>
          <w:p>
            <w:pPr>
              <w:ind w:left="2480"/>
              <w:spacing w:after="0"/>
              <w:rPr>
                <w:sz w:val="20"/>
                <w:szCs w:val="20"/>
                <w:color w:val="auto"/>
              </w:rPr>
            </w:pPr>
            <w:r>
              <w:rPr>
                <w:rFonts w:ascii="Arial" w:cs="Arial" w:eastAsia="Arial" w:hAnsi="Arial"/>
                <w:sz w:val="16"/>
                <w:szCs w:val="16"/>
                <w:color w:val="auto"/>
              </w:rPr>
              <w:t>CEO</w:t>
            </w:r>
          </w:p>
        </w:tc>
        <w:tc>
          <w:tcPr>
            <w:tcW w:w="5540" w:type="dxa"/>
            <w:vAlign w:val="bottom"/>
            <w:shd w:val="clear" w:color="auto" w:fill="E9E9E9"/>
          </w:tcPr>
          <w:p>
            <w:pPr>
              <w:ind w:left="800"/>
              <w:spacing w:after="0"/>
              <w:rPr>
                <w:sz w:val="20"/>
                <w:szCs w:val="20"/>
                <w:color w:val="auto"/>
              </w:rPr>
            </w:pPr>
            <w:r>
              <w:rPr>
                <w:rFonts w:ascii="Arial" w:cs="Arial" w:eastAsia="Arial" w:hAnsi="Arial"/>
                <w:sz w:val="16"/>
                <w:szCs w:val="16"/>
                <w:color w:val="auto"/>
              </w:rPr>
              <w:t>Five times base salary</w:t>
            </w:r>
          </w:p>
        </w:tc>
      </w:tr>
      <w:tr>
        <w:trPr>
          <w:trHeight w:val="204"/>
        </w:trPr>
        <w:tc>
          <w:tcPr>
            <w:tcW w:w="4080" w:type="dxa"/>
            <w:vAlign w:val="bottom"/>
          </w:tcPr>
          <w:p>
            <w:pPr>
              <w:ind w:left="2480"/>
              <w:spacing w:after="0"/>
              <w:rPr>
                <w:sz w:val="20"/>
                <w:szCs w:val="20"/>
                <w:color w:val="auto"/>
              </w:rPr>
            </w:pPr>
            <w:r>
              <w:rPr>
                <w:rFonts w:ascii="Arial" w:cs="Arial" w:eastAsia="Arial" w:hAnsi="Arial"/>
                <w:sz w:val="16"/>
                <w:szCs w:val="16"/>
                <w:color w:val="auto"/>
              </w:rPr>
              <w:t>Other NEOs</w:t>
            </w:r>
          </w:p>
        </w:tc>
        <w:tc>
          <w:tcPr>
            <w:tcW w:w="5540" w:type="dxa"/>
            <w:vAlign w:val="bottom"/>
          </w:tcPr>
          <w:p>
            <w:pPr>
              <w:ind w:left="800"/>
              <w:spacing w:after="0"/>
              <w:rPr>
                <w:sz w:val="20"/>
                <w:szCs w:val="20"/>
                <w:color w:val="auto"/>
              </w:rPr>
            </w:pPr>
            <w:r>
              <w:rPr>
                <w:rFonts w:ascii="Arial" w:cs="Arial" w:eastAsia="Arial" w:hAnsi="Arial"/>
                <w:sz w:val="16"/>
                <w:szCs w:val="16"/>
                <w:color w:val="auto"/>
              </w:rPr>
              <w:t>Three times base salary</w:t>
            </w:r>
          </w:p>
        </w:tc>
      </w:tr>
    </w:tbl>
    <w:p>
      <w:pPr>
        <w:spacing w:after="0" w:line="226"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Given the mandatory hold provision until thresholds are obtained, there is no specified deadline for achieving designated thresholds. For purposes of the executive stock ownership guidelines, stock ownership is defined to include stock owned by the executive directly, stock owned indirectly through the Company's savings plan, and the "in-the-money" portion of vested stock options. Each of our NEOs who is currently an executive officer has exceeded his specified ownership threshold.</w:t>
      </w:r>
    </w:p>
    <w:p>
      <w:pPr>
        <w:spacing w:after="0" w:line="21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Following attainment of ownership thresholds, our NEOs who are currently executive officers are required, for a period of one year, to hold an amount equal to 50% of the net shares obtained upon the vesting of any equity award and 50% of all stock options that vest.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and Change of Control Agreements; Severance Arrangements</w:t>
      </w:r>
    </w:p>
    <w:p>
      <w:pPr>
        <w:spacing w:after="0" w:line="250"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To foster the retention of our key management team, we entered into an employment agreement with each of our CEO and CFO in 2006. These agreements allowed us, among other things, to obtain post-employment non-competition covenants from these executive officers. We consider it essential to the best interests of our stockholders to foster the continued employment of key management personnel. Thus, we have also entered into a severance agreement with our President, International, under which the Company seeks to provide him with appropriate protections consistent with prevailing market practices.</w:t>
      </w:r>
    </w:p>
    <w:p>
      <w:pPr>
        <w:spacing w:after="0" w:line="216"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In connection with the retirement of Mr. Gartland and Mr. Siniscalchi from their respective positions as President, North America and President Latin America/Asia-Pacific, effective December 31, 2014, Mr. Gartland and Mr. Siniscalchi have agreed to provide consulting services to the Company. While Mr. Gartland's arrangement is primarily to provide transitional assistance, Mr. Siniscalchi is also expected to be involved in the Company's joint ventures in China and Brazil.</w:t>
      </w:r>
    </w:p>
    <w:p>
      <w:pPr>
        <w:spacing w:after="0" w:line="203"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A description of the Company's agreements with our NEOs is set forth below under the heading "Employment Agreements and Other Arrangements," and the benefits that would be received by our NEOs in the event of termination without cause or a change in control are set forth below under the heading "Termination, Severance and Change of Control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Perquisites and Benefits</w:t>
      </w:r>
    </w:p>
    <w:p>
      <w:pPr>
        <w:spacing w:after="0" w:line="262" w:lineRule="exact"/>
        <w:rPr>
          <w:sz w:val="20"/>
          <w:szCs w:val="20"/>
          <w:color w:val="auto"/>
        </w:rPr>
      </w:pPr>
    </w:p>
    <w:p>
      <w:pPr>
        <w:ind w:right="20"/>
        <w:spacing w:after="0" w:line="318" w:lineRule="auto"/>
        <w:rPr>
          <w:sz w:val="20"/>
          <w:szCs w:val="20"/>
          <w:color w:val="auto"/>
        </w:rPr>
      </w:pPr>
      <w:r>
        <w:rPr>
          <w:rFonts w:ascii="Arial" w:cs="Arial" w:eastAsia="Arial" w:hAnsi="Arial"/>
          <w:sz w:val="14"/>
          <w:szCs w:val="14"/>
          <w:color w:val="auto"/>
        </w:rPr>
        <w:t>Avis Budget seeks to provide perquisites to its executives that are consistent with those provided by Peer Group companies. Our perquisites currently consist primarily of financial planning services, auto use or allowance, discounted auto insurance for up to four vehicles for our CEO and generally two vehicles for our other NEOs, auto leasing through the employee lease program and limited personal use of company aircraft services. In 2014, our President, International was also provided with expatriate benefits associated with a Company-requested long-term assignment to the United Kingdom. The Company does not provide tax reimbursements on perquisites for any of our NEOs other than relocation and expatriate benefits.</w:t>
      </w:r>
    </w:p>
    <w:p>
      <w:pPr>
        <w:spacing w:after="0" w:line="176" w:lineRule="exact"/>
        <w:rPr>
          <w:sz w:val="20"/>
          <w:szCs w:val="20"/>
          <w:color w:val="auto"/>
        </w:rPr>
      </w:pPr>
    </w:p>
    <w:p>
      <w:pPr>
        <w:ind w:right="480"/>
        <w:spacing w:after="0" w:line="291" w:lineRule="auto"/>
        <w:rPr>
          <w:sz w:val="20"/>
          <w:szCs w:val="20"/>
          <w:color w:val="auto"/>
        </w:rPr>
      </w:pPr>
      <w:r>
        <w:rPr>
          <w:rFonts w:ascii="Arial" w:cs="Arial" w:eastAsia="Arial" w:hAnsi="Arial"/>
          <w:sz w:val="16"/>
          <w:szCs w:val="16"/>
          <w:color w:val="auto"/>
        </w:rPr>
        <w:t>The Company pays annual dues for a membership in a private, not-for-profit dining club for use by our CEO primarily for Company-sponsored meetings. Employees,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620"/>
          </w:cols>
          <w:pgMar w:left="1380" w:top="438" w:right="899" w:bottom="1440" w:gutter="0" w:footer="0" w:header="0"/>
        </w:sectPr>
      </w:pPr>
    </w:p>
    <w:bookmarkStart w:id="34" w:name="page35"/>
    <w:bookmarkEnd w:id="34"/>
    <w:p>
      <w:pPr>
        <w:spacing w:after="0" w:line="297" w:lineRule="auto"/>
        <w:rPr>
          <w:sz w:val="20"/>
          <w:szCs w:val="20"/>
          <w:color w:val="auto"/>
        </w:rPr>
      </w:pPr>
      <w:r>
        <w:rPr>
          <w:rFonts w:ascii="Arial" w:cs="Arial" w:eastAsia="Arial" w:hAnsi="Arial"/>
          <w:sz w:val="15"/>
          <w:szCs w:val="15"/>
          <w:color w:val="auto"/>
        </w:rPr>
        <w:t>including our NEOs, may also receive tickets for professional baseball games held at Yankee Stadium, which are part of the Company's season ticket subscription, and do not result in an associated incremental cost to our Company. Our ticket allocation policy is generally seniority-based, with a valid business purpose superseding any personal use. We will continue to review our compensation and benefit programs to ensure that we remain competitive with comparable companies and are able to attract and retain highly qualified senior executives.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Anti-Hedging Policy</w:t>
      </w:r>
    </w:p>
    <w:p>
      <w:pPr>
        <w:spacing w:after="0" w:line="250" w:lineRule="exact"/>
        <w:rPr>
          <w:sz w:val="20"/>
          <w:szCs w:val="20"/>
          <w:color w:val="auto"/>
        </w:rPr>
      </w:pPr>
    </w:p>
    <w:p>
      <w:pPr>
        <w:ind w:right="180"/>
        <w:spacing w:after="0" w:line="273" w:lineRule="auto"/>
        <w:rPr>
          <w:sz w:val="20"/>
          <w:szCs w:val="20"/>
          <w:color w:val="auto"/>
        </w:rPr>
      </w:pPr>
      <w:r>
        <w:rPr>
          <w:rFonts w:ascii="Arial" w:cs="Arial" w:eastAsia="Arial" w:hAnsi="Arial"/>
          <w:sz w:val="16"/>
          <w:szCs w:val="16"/>
          <w:color w:val="auto"/>
        </w:rPr>
        <w:t>The Company's insider trading policy prohibits executive officers and directors from, among other things, (i) engaging in hedging transactions with respect to Company securities, including through the use of financial instruments such as prepaid variable forwards, equity swaps, collars and exchange funds, and (ii) holding Company securities in a margin account or otherwise pledging Company securities as collateral for a loan. Short sales of the Company's securities are also prohibited under such policy.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Recoupment (Clawback) Policy</w:t>
      </w:r>
    </w:p>
    <w:p>
      <w:pPr>
        <w:spacing w:after="0" w:line="262"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auto"/>
        </w:rPr>
        <w:t>Our Board of Directors has adopted a policy that provides that if the Board learns of any intentional misconduct by an "executive officer" (as defined under Section 16 of the Exchange Act) that resulted in an increase to incentive income awarded to that officer, the Board will, to the full extent permitted by applicable law, in all appropriate cases, require reimbursement of the increased portion of incentive income awarded to that officer. We intend to amend our clawback policy, if necessary, to comply with any rules adopted by the SEC.</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Deductibility of Compensation</w:t>
      </w:r>
    </w:p>
    <w:p>
      <w:pPr>
        <w:spacing w:after="0" w:line="250" w:lineRule="exact"/>
        <w:rPr>
          <w:sz w:val="20"/>
          <w:szCs w:val="20"/>
          <w:color w:val="auto"/>
        </w:rPr>
      </w:pPr>
    </w:p>
    <w:p>
      <w:pPr>
        <w:ind w:right="40"/>
        <w:spacing w:after="0" w:line="313" w:lineRule="auto"/>
        <w:rPr>
          <w:sz w:val="20"/>
          <w:szCs w:val="20"/>
          <w:color w:val="auto"/>
        </w:rPr>
      </w:pPr>
      <w:r>
        <w:rPr>
          <w:rFonts w:ascii="Arial" w:cs="Arial" w:eastAsia="Arial" w:hAnsi="Arial"/>
          <w:sz w:val="14"/>
          <w:szCs w:val="14"/>
          <w:color w:val="auto"/>
        </w:rPr>
        <w:t>Section 162(m) of the Code limits our ability to deduct certain compensation in excess of $1.0 million per year paid to our CEO and to certain of our other named executive officers (the "covered NEOs"). This limitation does not apply to compensation that qualifies under applicable regulations as "performance-based." We aim to design the performance-based compensation we pay to our NEOs so that it will satisfy the requirements for deductibility under Section 162(m); however, the Committee is authorized to exercise discretion in determining payments in relation to levels of achievement of performance goals and believes that the total compensation program for executive officers should be managed in accordance with the objectives outlined in our compensation philosophy and in the best overall interests of our stockholders. For this reason, some compensation intended to be performance-based may exceed the limitations or not meet the requirements for deductibility under Section 162(m).</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Report</w:t>
      </w:r>
    </w:p>
    <w:p>
      <w:pPr>
        <w:spacing w:after="0" w:line="250" w:lineRule="exact"/>
        <w:rPr>
          <w:sz w:val="20"/>
          <w:szCs w:val="20"/>
          <w:color w:val="auto"/>
        </w:rPr>
      </w:pPr>
    </w:p>
    <w:p>
      <w:pPr>
        <w:jc w:val="both"/>
        <w:ind w:right="460"/>
        <w:spacing w:after="0" w:line="278" w:lineRule="auto"/>
        <w:rPr>
          <w:sz w:val="20"/>
          <w:szCs w:val="20"/>
          <w:color w:val="auto"/>
        </w:rPr>
      </w:pPr>
      <w:r>
        <w:rPr>
          <w:rFonts w:ascii="Arial" w:cs="Arial" w:eastAsia="Arial" w:hAnsi="Arial"/>
          <w:sz w:val="16"/>
          <w:szCs w:val="16"/>
          <w:color w:val="auto"/>
        </w:rPr>
        <w:t>The Avis Budget Compensation Committee has reviewed and discussed the Compensation Discussion and Analysis required by Item 402(b) of Regulation S-K with management and, based on this review and discussion, the Compensation Committee recommended to the Board that the Compensation Discussion and Analysis be included in this Proxy Statement.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THE COMPENSATION COMMITTEE</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John D. Hardy, Jr., Chairman</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Leonard S. Coleman</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Lynn Krominga</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580"/>
          </w:cols>
          <w:pgMar w:left="1380" w:top="438" w:right="9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8"/>
        </w:trPr>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Summary Compensation Table</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78"/>
        </w:trPr>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jc w:val="center"/>
              <w:ind w:right="20"/>
              <w:spacing w:after="0"/>
              <w:rPr>
                <w:sz w:val="20"/>
                <w:szCs w:val="20"/>
                <w:color w:val="auto"/>
              </w:rPr>
            </w:pPr>
            <w:r>
              <w:rPr>
                <w:rFonts w:ascii="Arial" w:cs="Arial" w:eastAsia="Arial" w:hAnsi="Arial"/>
                <w:sz w:val="16"/>
                <w:szCs w:val="16"/>
                <w:b w:val="1"/>
                <w:bCs w:val="1"/>
                <w:color w:val="auto"/>
                <w:w w:val="90"/>
              </w:rPr>
              <w:t>Change in</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1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3"/>
              </w:rPr>
              <w:t>Pension</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Value and</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0"/>
              </w:rPr>
              <w:t>Nonqualified</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Non-Equity</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Deferred</w:t>
            </w:r>
          </w:p>
        </w:tc>
        <w:tc>
          <w:tcPr>
            <w:tcW w:w="840" w:type="dxa"/>
            <w:vAlign w:val="bottom"/>
          </w:tcPr>
          <w:p>
            <w:pPr>
              <w:jc w:val="center"/>
              <w:ind w:right="20"/>
              <w:spacing w:after="0"/>
              <w:rPr>
                <w:sz w:val="20"/>
                <w:szCs w:val="20"/>
                <w:color w:val="auto"/>
              </w:rPr>
            </w:pPr>
            <w:r>
              <w:rPr>
                <w:rFonts w:ascii="Arial" w:cs="Arial" w:eastAsia="Arial" w:hAnsi="Arial"/>
                <w:sz w:val="16"/>
                <w:szCs w:val="16"/>
                <w:b w:val="1"/>
                <w:bCs w:val="1"/>
                <w:color w:val="auto"/>
              </w:rPr>
              <w:t>All</w:t>
            </w:r>
          </w:p>
        </w:tc>
        <w:tc>
          <w:tcPr>
            <w:tcW w:w="80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ind w:left="180"/>
              <w:spacing w:after="0"/>
              <w:rPr>
                <w:sz w:val="20"/>
                <w:szCs w:val="20"/>
                <w:color w:val="auto"/>
              </w:rPr>
            </w:pPr>
            <w:r>
              <w:rPr>
                <w:rFonts w:ascii="Arial" w:cs="Arial" w:eastAsia="Arial" w:hAnsi="Arial"/>
                <w:sz w:val="16"/>
                <w:szCs w:val="16"/>
                <w:b w:val="1"/>
                <w:bCs w:val="1"/>
                <w:color w:val="auto"/>
              </w:rPr>
              <w:t>Stock</w:t>
            </w: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Incentive Plan</w:t>
            </w:r>
          </w:p>
        </w:tc>
        <w:tc>
          <w:tcPr>
            <w:tcW w:w="1240" w:type="dxa"/>
            <w:vAlign w:val="bottom"/>
          </w:tcPr>
          <w:p>
            <w:pPr>
              <w:jc w:val="center"/>
              <w:ind w:right="20"/>
              <w:spacing w:after="0"/>
              <w:rPr>
                <w:sz w:val="20"/>
                <w:szCs w:val="20"/>
                <w:color w:val="auto"/>
              </w:rPr>
            </w:pPr>
            <w:r>
              <w:rPr>
                <w:rFonts w:ascii="Arial" w:cs="Arial" w:eastAsia="Arial" w:hAnsi="Arial"/>
                <w:sz w:val="16"/>
                <w:szCs w:val="16"/>
                <w:b w:val="1"/>
                <w:bCs w:val="1"/>
                <w:color w:val="auto"/>
                <w:w w:val="88"/>
              </w:rPr>
              <w:t>Compensation</w:t>
            </w:r>
          </w:p>
        </w:tc>
        <w:tc>
          <w:tcPr>
            <w:tcW w:w="840" w:type="dxa"/>
            <w:vAlign w:val="bottom"/>
          </w:tcPr>
          <w:p>
            <w:pPr>
              <w:jc w:val="center"/>
              <w:ind w:right="20"/>
              <w:spacing w:after="0"/>
              <w:rPr>
                <w:sz w:val="20"/>
                <w:szCs w:val="20"/>
                <w:color w:val="auto"/>
              </w:rPr>
            </w:pPr>
            <w:r>
              <w:rPr>
                <w:rFonts w:ascii="Arial" w:cs="Arial" w:eastAsia="Arial" w:hAnsi="Arial"/>
                <w:sz w:val="16"/>
                <w:szCs w:val="16"/>
                <w:b w:val="1"/>
                <w:bCs w:val="1"/>
                <w:color w:val="auto"/>
                <w:w w:val="98"/>
              </w:rPr>
              <w:t>Other</w:t>
            </w:r>
          </w:p>
        </w:tc>
        <w:tc>
          <w:tcPr>
            <w:tcW w:w="800" w:type="dxa"/>
            <w:vAlign w:val="bottom"/>
          </w:tcPr>
          <w:p>
            <w:pPr>
              <w:spacing w:after="0"/>
              <w:rPr>
                <w:sz w:val="17"/>
                <w:szCs w:val="17"/>
                <w:color w:val="auto"/>
              </w:rPr>
            </w:pPr>
          </w:p>
        </w:tc>
      </w:tr>
      <w:tr>
        <w:trPr>
          <w:trHeight w:val="203"/>
        </w:trPr>
        <w:tc>
          <w:tcPr>
            <w:tcW w:w="1800" w:type="dxa"/>
            <w:vAlign w:val="bottom"/>
          </w:tcPr>
          <w:p>
            <w:pPr>
              <w:ind w:left="60"/>
              <w:spacing w:after="0"/>
              <w:rPr>
                <w:sz w:val="20"/>
                <w:szCs w:val="20"/>
                <w:color w:val="auto"/>
              </w:rPr>
            </w:pPr>
            <w:r>
              <w:rPr>
                <w:rFonts w:ascii="Arial" w:cs="Arial" w:eastAsia="Arial" w:hAnsi="Arial"/>
                <w:sz w:val="16"/>
                <w:szCs w:val="16"/>
                <w:b w:val="1"/>
                <w:bCs w:val="1"/>
                <w:color w:val="auto"/>
              </w:rPr>
              <w:t>Name and</w:t>
            </w:r>
          </w:p>
        </w:tc>
        <w:tc>
          <w:tcPr>
            <w:tcW w:w="620" w:type="dxa"/>
            <w:vAlign w:val="bottom"/>
          </w:tcPr>
          <w:p>
            <w:pPr>
              <w:spacing w:after="0"/>
              <w:rPr>
                <w:sz w:val="17"/>
                <w:szCs w:val="17"/>
                <w:color w:val="auto"/>
              </w:rPr>
            </w:pPr>
          </w:p>
        </w:tc>
        <w:tc>
          <w:tcPr>
            <w:tcW w:w="860" w:type="dxa"/>
            <w:vAlign w:val="bottom"/>
          </w:tcPr>
          <w:p>
            <w:pPr>
              <w:jc w:val="right"/>
              <w:ind w:right="160"/>
              <w:spacing w:after="0"/>
              <w:rPr>
                <w:sz w:val="20"/>
                <w:szCs w:val="20"/>
                <w:color w:val="auto"/>
              </w:rPr>
            </w:pPr>
            <w:r>
              <w:rPr>
                <w:rFonts w:ascii="Arial" w:cs="Arial" w:eastAsia="Arial" w:hAnsi="Arial"/>
                <w:sz w:val="16"/>
                <w:szCs w:val="16"/>
                <w:b w:val="1"/>
                <w:bCs w:val="1"/>
                <w:color w:val="auto"/>
              </w:rPr>
              <w:t>Salary</w:t>
            </w:r>
          </w:p>
        </w:tc>
        <w:tc>
          <w:tcPr>
            <w:tcW w:w="760" w:type="dxa"/>
            <w:vAlign w:val="bottom"/>
          </w:tcPr>
          <w:p>
            <w:pPr>
              <w:jc w:val="right"/>
              <w:ind w:right="140"/>
              <w:spacing w:after="0"/>
              <w:rPr>
                <w:sz w:val="20"/>
                <w:szCs w:val="20"/>
                <w:color w:val="auto"/>
              </w:rPr>
            </w:pPr>
            <w:r>
              <w:rPr>
                <w:rFonts w:ascii="Arial" w:cs="Arial" w:eastAsia="Arial" w:hAnsi="Arial"/>
                <w:sz w:val="16"/>
                <w:szCs w:val="16"/>
                <w:b w:val="1"/>
                <w:bCs w:val="1"/>
                <w:color w:val="auto"/>
              </w:rPr>
              <w:t>Bonus</w:t>
            </w:r>
          </w:p>
        </w:tc>
        <w:tc>
          <w:tcPr>
            <w:tcW w:w="800" w:type="dxa"/>
            <w:vAlign w:val="bottom"/>
          </w:tcPr>
          <w:p>
            <w:pPr>
              <w:ind w:left="120"/>
              <w:spacing w:after="0"/>
              <w:rPr>
                <w:sz w:val="20"/>
                <w:szCs w:val="20"/>
                <w:color w:val="auto"/>
              </w:rPr>
            </w:pPr>
            <w:r>
              <w:rPr>
                <w:rFonts w:ascii="Arial" w:cs="Arial" w:eastAsia="Arial" w:hAnsi="Arial"/>
                <w:sz w:val="16"/>
                <w:szCs w:val="16"/>
                <w:b w:val="1"/>
                <w:bCs w:val="1"/>
                <w:color w:val="auto"/>
              </w:rPr>
              <w:t>Awards</w:t>
            </w: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89"/>
              </w:rPr>
              <w:t>Awards</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8"/>
              </w:rPr>
              <w:t>Compensation</w:t>
            </w:r>
          </w:p>
        </w:tc>
        <w:tc>
          <w:tcPr>
            <w:tcW w:w="1240" w:type="dxa"/>
            <w:vAlign w:val="bottom"/>
          </w:tcPr>
          <w:p>
            <w:pPr>
              <w:jc w:val="center"/>
              <w:ind w:right="20"/>
              <w:spacing w:after="0"/>
              <w:rPr>
                <w:sz w:val="20"/>
                <w:szCs w:val="20"/>
                <w:color w:val="auto"/>
              </w:rPr>
            </w:pPr>
            <w:r>
              <w:rPr>
                <w:rFonts w:ascii="Arial" w:cs="Arial" w:eastAsia="Arial" w:hAnsi="Arial"/>
                <w:sz w:val="16"/>
                <w:szCs w:val="16"/>
                <w:b w:val="1"/>
                <w:bCs w:val="1"/>
                <w:color w:val="auto"/>
                <w:w w:val="90"/>
              </w:rPr>
              <w:t>Earnings</w:t>
            </w:r>
          </w:p>
        </w:tc>
        <w:tc>
          <w:tcPr>
            <w:tcW w:w="840" w:type="dxa"/>
            <w:vAlign w:val="bottom"/>
          </w:tcPr>
          <w:p>
            <w:pPr>
              <w:jc w:val="center"/>
              <w:ind w:right="20"/>
              <w:spacing w:after="0"/>
              <w:rPr>
                <w:sz w:val="20"/>
                <w:szCs w:val="20"/>
                <w:color w:val="auto"/>
              </w:rPr>
            </w:pPr>
            <w:r>
              <w:rPr>
                <w:rFonts w:ascii="Arial" w:cs="Arial" w:eastAsia="Arial" w:hAnsi="Arial"/>
                <w:sz w:val="16"/>
                <w:szCs w:val="16"/>
                <w:b w:val="1"/>
                <w:bCs w:val="1"/>
                <w:color w:val="auto"/>
                <w:w w:val="92"/>
              </w:rPr>
              <w:t>Comp</w:t>
            </w:r>
          </w:p>
        </w:tc>
        <w:tc>
          <w:tcPr>
            <w:tcW w:w="800" w:type="dxa"/>
            <w:vAlign w:val="bottom"/>
          </w:tcPr>
          <w:p>
            <w:pPr>
              <w:jc w:val="right"/>
              <w:ind w:right="180"/>
              <w:spacing w:after="0"/>
              <w:rPr>
                <w:sz w:val="20"/>
                <w:szCs w:val="20"/>
                <w:color w:val="auto"/>
              </w:rPr>
            </w:pPr>
            <w:r>
              <w:rPr>
                <w:rFonts w:ascii="Arial" w:cs="Arial" w:eastAsia="Arial" w:hAnsi="Arial"/>
                <w:sz w:val="16"/>
                <w:szCs w:val="16"/>
                <w:b w:val="1"/>
                <w:bCs w:val="1"/>
                <w:color w:val="auto"/>
              </w:rPr>
              <w:t>Total</w:t>
            </w:r>
          </w:p>
        </w:tc>
      </w:tr>
      <w:tr>
        <w:trPr>
          <w:trHeight w:val="208"/>
        </w:trPr>
        <w:tc>
          <w:tcPr>
            <w:tcW w:w="18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Principal Position</w:t>
            </w: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Year</w:t>
            </w:r>
          </w:p>
        </w:tc>
        <w:tc>
          <w:tcPr>
            <w:tcW w:w="8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($)(a)</w:t>
            </w:r>
          </w:p>
        </w:tc>
        <w:tc>
          <w:tcPr>
            <w:tcW w:w="7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($)(b)</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w:t>
            </w:r>
          </w:p>
        </w:tc>
        <w:tc>
          <w:tcPr>
            <w:tcW w:w="124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4"/>
              </w:rPr>
              <w:t>($)(d)</w:t>
            </w:r>
          </w:p>
        </w:tc>
        <w:tc>
          <w:tcPr>
            <w:tcW w:w="84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7"/>
              </w:rPr>
              <w:t>($)(e)</w:t>
            </w:r>
          </w:p>
        </w:tc>
        <w:tc>
          <w:tcPr>
            <w:tcW w:w="8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w:t>
            </w:r>
          </w:p>
        </w:tc>
      </w:tr>
      <w:tr>
        <w:trPr>
          <w:trHeight w:val="195"/>
        </w:trPr>
        <w:tc>
          <w:tcPr>
            <w:tcW w:w="1800" w:type="dxa"/>
            <w:vAlign w:val="bottom"/>
            <w:shd w:val="clear" w:color="auto" w:fill="E9E9E9"/>
          </w:tcPr>
          <w:p>
            <w:pPr>
              <w:ind w:left="60"/>
              <w:spacing w:after="0"/>
              <w:rPr>
                <w:sz w:val="20"/>
                <w:szCs w:val="20"/>
                <w:color w:val="auto"/>
              </w:rPr>
            </w:pPr>
            <w:r>
              <w:rPr>
                <w:rFonts w:ascii="Arial" w:cs="Arial" w:eastAsia="Arial" w:hAnsi="Arial"/>
                <w:sz w:val="16"/>
                <w:szCs w:val="16"/>
                <w:color w:val="auto"/>
              </w:rPr>
              <w:t>Nelson, Ronald L.</w:t>
            </w:r>
          </w:p>
        </w:tc>
        <w:tc>
          <w:tcPr>
            <w:tcW w:w="620" w:type="dxa"/>
            <w:vAlign w:val="bottom"/>
            <w:shd w:val="clear" w:color="auto" w:fill="E9E9E9"/>
          </w:tcPr>
          <w:p>
            <w:pPr>
              <w:ind w:left="180"/>
              <w:spacing w:after="0"/>
              <w:rPr>
                <w:sz w:val="20"/>
                <w:szCs w:val="20"/>
                <w:color w:val="auto"/>
              </w:rPr>
            </w:pPr>
            <w:r>
              <w:rPr>
                <w:rFonts w:ascii="Arial" w:cs="Arial" w:eastAsia="Arial" w:hAnsi="Arial"/>
                <w:sz w:val="16"/>
                <w:szCs w:val="16"/>
                <w:color w:val="auto"/>
              </w:rPr>
              <w:t>2014</w:t>
            </w:r>
          </w:p>
        </w:tc>
        <w:tc>
          <w:tcPr>
            <w:tcW w:w="86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1,150,000</w:t>
            </w:r>
          </w:p>
        </w:tc>
        <w:tc>
          <w:tcPr>
            <w:tcW w:w="76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0</w:t>
            </w:r>
          </w:p>
        </w:tc>
        <w:tc>
          <w:tcPr>
            <w:tcW w:w="800" w:type="dxa"/>
            <w:vAlign w:val="bottom"/>
            <w:shd w:val="clear" w:color="auto" w:fill="E9E9E9"/>
          </w:tcPr>
          <w:p>
            <w:pPr>
              <w:ind w:left="100"/>
              <w:spacing w:after="0"/>
              <w:rPr>
                <w:sz w:val="20"/>
                <w:szCs w:val="20"/>
                <w:color w:val="auto"/>
              </w:rPr>
            </w:pPr>
            <w:r>
              <w:rPr>
                <w:rFonts w:ascii="Arial" w:cs="Arial" w:eastAsia="Arial" w:hAnsi="Arial"/>
                <w:sz w:val="16"/>
                <w:szCs w:val="16"/>
                <w:color w:val="auto"/>
                <w:w w:val="95"/>
              </w:rPr>
              <w:t>5,731,437</w:t>
            </w:r>
          </w:p>
        </w:tc>
        <w:tc>
          <w:tcPr>
            <w:tcW w:w="7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1,983,750</w:t>
            </w:r>
          </w:p>
        </w:tc>
        <w:tc>
          <w:tcPr>
            <w:tcW w:w="124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0</w:t>
            </w:r>
          </w:p>
        </w:tc>
        <w:tc>
          <w:tcPr>
            <w:tcW w:w="84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306,814</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9,172,001</w:t>
            </w:r>
          </w:p>
        </w:tc>
      </w:tr>
      <w:tr>
        <w:trPr>
          <w:trHeight w:val="203"/>
        </w:trPr>
        <w:tc>
          <w:tcPr>
            <w:tcW w:w="1800" w:type="dxa"/>
            <w:vAlign w:val="bottom"/>
            <w:shd w:val="clear" w:color="auto" w:fill="E9E9E9"/>
          </w:tcPr>
          <w:p>
            <w:pPr>
              <w:ind w:left="60"/>
              <w:spacing w:after="0"/>
              <w:rPr>
                <w:sz w:val="20"/>
                <w:szCs w:val="20"/>
                <w:color w:val="auto"/>
              </w:rPr>
            </w:pPr>
            <w:r>
              <w:rPr>
                <w:rFonts w:ascii="Arial" w:cs="Arial" w:eastAsia="Arial" w:hAnsi="Arial"/>
                <w:sz w:val="16"/>
                <w:szCs w:val="16"/>
                <w:color w:val="auto"/>
              </w:rPr>
              <w:t>Chairman &amp; CEO</w:t>
            </w:r>
          </w:p>
        </w:tc>
        <w:tc>
          <w:tcPr>
            <w:tcW w:w="620" w:type="dxa"/>
            <w:vAlign w:val="bottom"/>
            <w:shd w:val="clear" w:color="auto" w:fill="E9E9E9"/>
          </w:tcPr>
          <w:p>
            <w:pPr>
              <w:ind w:left="180"/>
              <w:spacing w:after="0"/>
              <w:rPr>
                <w:sz w:val="20"/>
                <w:szCs w:val="20"/>
                <w:color w:val="auto"/>
              </w:rPr>
            </w:pPr>
            <w:r>
              <w:rPr>
                <w:rFonts w:ascii="Arial" w:cs="Arial" w:eastAsia="Arial" w:hAnsi="Arial"/>
                <w:sz w:val="16"/>
                <w:szCs w:val="16"/>
                <w:color w:val="auto"/>
              </w:rPr>
              <w:t>2013</w:t>
            </w:r>
          </w:p>
        </w:tc>
        <w:tc>
          <w:tcPr>
            <w:tcW w:w="86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1,150,000</w:t>
            </w:r>
          </w:p>
        </w:tc>
        <w:tc>
          <w:tcPr>
            <w:tcW w:w="76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0</w:t>
            </w:r>
          </w:p>
        </w:tc>
        <w:tc>
          <w:tcPr>
            <w:tcW w:w="800" w:type="dxa"/>
            <w:vAlign w:val="bottom"/>
            <w:shd w:val="clear" w:color="auto" w:fill="E9E9E9"/>
          </w:tcPr>
          <w:p>
            <w:pPr>
              <w:ind w:left="100"/>
              <w:spacing w:after="0"/>
              <w:rPr>
                <w:sz w:val="20"/>
                <w:szCs w:val="20"/>
                <w:color w:val="auto"/>
              </w:rPr>
            </w:pPr>
            <w:r>
              <w:rPr>
                <w:rFonts w:ascii="Arial" w:cs="Arial" w:eastAsia="Arial" w:hAnsi="Arial"/>
                <w:sz w:val="16"/>
                <w:szCs w:val="16"/>
                <w:color w:val="auto"/>
                <w:w w:val="95"/>
              </w:rPr>
              <w:t>4,021,195</w:t>
            </w:r>
          </w:p>
        </w:tc>
        <w:tc>
          <w:tcPr>
            <w:tcW w:w="7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1,811,250</w:t>
            </w:r>
          </w:p>
        </w:tc>
        <w:tc>
          <w:tcPr>
            <w:tcW w:w="124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0</w:t>
            </w:r>
          </w:p>
        </w:tc>
        <w:tc>
          <w:tcPr>
            <w:tcW w:w="84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293,252</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7,275,697</w:t>
            </w:r>
          </w:p>
        </w:tc>
      </w:tr>
      <w:tr>
        <w:trPr>
          <w:trHeight w:val="203"/>
        </w:trPr>
        <w:tc>
          <w:tcPr>
            <w:tcW w:w="1800" w:type="dxa"/>
            <w:vAlign w:val="bottom"/>
            <w:shd w:val="clear" w:color="auto" w:fill="E9E9E9"/>
          </w:tcPr>
          <w:p>
            <w:pPr>
              <w:spacing w:after="0"/>
              <w:rPr>
                <w:sz w:val="17"/>
                <w:szCs w:val="17"/>
                <w:color w:val="auto"/>
              </w:rPr>
            </w:pPr>
          </w:p>
        </w:tc>
        <w:tc>
          <w:tcPr>
            <w:tcW w:w="620" w:type="dxa"/>
            <w:vAlign w:val="bottom"/>
            <w:shd w:val="clear" w:color="auto" w:fill="E9E9E9"/>
          </w:tcPr>
          <w:p>
            <w:pPr>
              <w:ind w:left="180"/>
              <w:spacing w:after="0"/>
              <w:rPr>
                <w:sz w:val="20"/>
                <w:szCs w:val="20"/>
                <w:color w:val="auto"/>
              </w:rPr>
            </w:pPr>
            <w:r>
              <w:rPr>
                <w:rFonts w:ascii="Arial" w:cs="Arial" w:eastAsia="Arial" w:hAnsi="Arial"/>
                <w:sz w:val="16"/>
                <w:szCs w:val="16"/>
                <w:color w:val="auto"/>
              </w:rPr>
              <w:t>2012</w:t>
            </w:r>
          </w:p>
        </w:tc>
        <w:tc>
          <w:tcPr>
            <w:tcW w:w="86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1,150,000</w:t>
            </w:r>
          </w:p>
        </w:tc>
        <w:tc>
          <w:tcPr>
            <w:tcW w:w="76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0</w:t>
            </w:r>
          </w:p>
        </w:tc>
        <w:tc>
          <w:tcPr>
            <w:tcW w:w="800" w:type="dxa"/>
            <w:vAlign w:val="bottom"/>
            <w:shd w:val="clear" w:color="auto" w:fill="E9E9E9"/>
          </w:tcPr>
          <w:p>
            <w:pPr>
              <w:ind w:left="100"/>
              <w:spacing w:after="0"/>
              <w:rPr>
                <w:sz w:val="20"/>
                <w:szCs w:val="20"/>
                <w:color w:val="auto"/>
              </w:rPr>
            </w:pPr>
            <w:r>
              <w:rPr>
                <w:rFonts w:ascii="Arial" w:cs="Arial" w:eastAsia="Arial" w:hAnsi="Arial"/>
                <w:sz w:val="16"/>
                <w:szCs w:val="16"/>
                <w:color w:val="auto"/>
                <w:w w:val="95"/>
              </w:rPr>
              <w:t>3,939,278</w:t>
            </w:r>
          </w:p>
        </w:tc>
        <w:tc>
          <w:tcPr>
            <w:tcW w:w="7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1,828,500</w:t>
            </w:r>
          </w:p>
        </w:tc>
        <w:tc>
          <w:tcPr>
            <w:tcW w:w="124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0</w:t>
            </w:r>
          </w:p>
        </w:tc>
        <w:tc>
          <w:tcPr>
            <w:tcW w:w="84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328,862</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7,246,640</w:t>
            </w:r>
          </w:p>
        </w:tc>
      </w:tr>
      <w:tr>
        <w:trPr>
          <w:trHeight w:val="203"/>
        </w:trPr>
        <w:tc>
          <w:tcPr>
            <w:tcW w:w="1800" w:type="dxa"/>
            <w:vAlign w:val="bottom"/>
          </w:tcPr>
          <w:p>
            <w:pPr>
              <w:ind w:left="60"/>
              <w:spacing w:after="0"/>
              <w:rPr>
                <w:sz w:val="20"/>
                <w:szCs w:val="20"/>
                <w:color w:val="auto"/>
              </w:rPr>
            </w:pPr>
            <w:r>
              <w:rPr>
                <w:rFonts w:ascii="Arial" w:cs="Arial" w:eastAsia="Arial" w:hAnsi="Arial"/>
                <w:sz w:val="16"/>
                <w:szCs w:val="16"/>
                <w:color w:val="auto"/>
              </w:rPr>
              <w:t>Wyshner, David B.</w:t>
            </w:r>
          </w:p>
        </w:tc>
        <w:tc>
          <w:tcPr>
            <w:tcW w:w="620" w:type="dxa"/>
            <w:vAlign w:val="bottom"/>
          </w:tcPr>
          <w:p>
            <w:pPr>
              <w:ind w:left="180"/>
              <w:spacing w:after="0"/>
              <w:rPr>
                <w:sz w:val="20"/>
                <w:szCs w:val="20"/>
                <w:color w:val="auto"/>
              </w:rPr>
            </w:pPr>
            <w:r>
              <w:rPr>
                <w:rFonts w:ascii="Arial" w:cs="Arial" w:eastAsia="Arial" w:hAnsi="Arial"/>
                <w:sz w:val="16"/>
                <w:szCs w:val="16"/>
                <w:color w:val="auto"/>
              </w:rPr>
              <w:t>2014</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700,000</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800" w:type="dxa"/>
            <w:vAlign w:val="bottom"/>
          </w:tcPr>
          <w:p>
            <w:pPr>
              <w:ind w:left="100"/>
              <w:spacing w:after="0"/>
              <w:rPr>
                <w:sz w:val="20"/>
                <w:szCs w:val="20"/>
                <w:color w:val="auto"/>
              </w:rPr>
            </w:pPr>
            <w:r>
              <w:rPr>
                <w:rFonts w:ascii="Arial" w:cs="Arial" w:eastAsia="Arial" w:hAnsi="Arial"/>
                <w:sz w:val="16"/>
                <w:szCs w:val="16"/>
                <w:color w:val="auto"/>
                <w:w w:val="95"/>
              </w:rPr>
              <w:t>1,285,445</w:t>
            </w:r>
          </w:p>
        </w:tc>
        <w:tc>
          <w:tcPr>
            <w:tcW w:w="700" w:type="dxa"/>
            <w:vAlign w:val="bottom"/>
          </w:tcPr>
          <w:p>
            <w:pPr>
              <w:jc w:val="right"/>
              <w:spacing w:after="0"/>
              <w:rPr>
                <w:sz w:val="20"/>
                <w:szCs w:val="20"/>
                <w:color w:val="auto"/>
              </w:rPr>
            </w:pPr>
            <w:r>
              <w:rPr>
                <w:rFonts w:ascii="Arial" w:cs="Arial" w:eastAsia="Arial" w:hAnsi="Arial"/>
                <w:sz w:val="16"/>
                <w:szCs w:val="16"/>
                <w:color w:val="auto"/>
              </w:rPr>
              <w:t>0</w:t>
            </w:r>
          </w:p>
        </w:tc>
        <w:tc>
          <w:tcPr>
            <w:tcW w:w="1200" w:type="dxa"/>
            <w:vAlign w:val="bottom"/>
          </w:tcPr>
          <w:p>
            <w:pPr>
              <w:jc w:val="right"/>
              <w:spacing w:after="0"/>
              <w:rPr>
                <w:sz w:val="20"/>
                <w:szCs w:val="20"/>
                <w:color w:val="auto"/>
              </w:rPr>
            </w:pPr>
            <w:r>
              <w:rPr>
                <w:rFonts w:ascii="Arial" w:cs="Arial" w:eastAsia="Arial" w:hAnsi="Arial"/>
                <w:sz w:val="16"/>
                <w:szCs w:val="16"/>
                <w:color w:val="auto"/>
              </w:rPr>
              <w:t>805,000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123,765</w:t>
            </w:r>
          </w:p>
        </w:tc>
        <w:tc>
          <w:tcPr>
            <w:tcW w:w="800" w:type="dxa"/>
            <w:vAlign w:val="bottom"/>
          </w:tcPr>
          <w:p>
            <w:pPr>
              <w:jc w:val="right"/>
              <w:spacing w:after="0"/>
              <w:rPr>
                <w:sz w:val="20"/>
                <w:szCs w:val="20"/>
                <w:color w:val="auto"/>
              </w:rPr>
            </w:pPr>
            <w:r>
              <w:rPr>
                <w:rFonts w:ascii="Arial" w:cs="Arial" w:eastAsia="Arial" w:hAnsi="Arial"/>
                <w:sz w:val="16"/>
                <w:szCs w:val="16"/>
                <w:color w:val="auto"/>
              </w:rPr>
              <w:t>2,914,210</w:t>
            </w:r>
          </w:p>
        </w:tc>
      </w:tr>
      <w:tr>
        <w:trPr>
          <w:trHeight w:val="203"/>
        </w:trPr>
        <w:tc>
          <w:tcPr>
            <w:tcW w:w="1800" w:type="dxa"/>
            <w:vAlign w:val="bottom"/>
          </w:tcPr>
          <w:p>
            <w:pPr>
              <w:ind w:left="60"/>
              <w:spacing w:after="0"/>
              <w:rPr>
                <w:sz w:val="20"/>
                <w:szCs w:val="20"/>
                <w:color w:val="auto"/>
              </w:rPr>
            </w:pPr>
            <w:r>
              <w:rPr>
                <w:rFonts w:ascii="Arial" w:cs="Arial" w:eastAsia="Arial" w:hAnsi="Arial"/>
                <w:sz w:val="16"/>
                <w:szCs w:val="16"/>
                <w:color w:val="auto"/>
              </w:rPr>
              <w:t>CFO</w:t>
            </w:r>
          </w:p>
        </w:tc>
        <w:tc>
          <w:tcPr>
            <w:tcW w:w="620" w:type="dxa"/>
            <w:vAlign w:val="bottom"/>
          </w:tcPr>
          <w:p>
            <w:pPr>
              <w:ind w:left="180"/>
              <w:spacing w:after="0"/>
              <w:rPr>
                <w:sz w:val="20"/>
                <w:szCs w:val="20"/>
                <w:color w:val="auto"/>
              </w:rPr>
            </w:pPr>
            <w:r>
              <w:rPr>
                <w:rFonts w:ascii="Arial" w:cs="Arial" w:eastAsia="Arial" w:hAnsi="Arial"/>
                <w:sz w:val="16"/>
                <w:szCs w:val="16"/>
                <w:color w:val="auto"/>
              </w:rPr>
              <w:t>2013</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680,769</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800" w:type="dxa"/>
            <w:vAlign w:val="bottom"/>
          </w:tcPr>
          <w:p>
            <w:pPr>
              <w:ind w:left="100"/>
              <w:spacing w:after="0"/>
              <w:rPr>
                <w:sz w:val="20"/>
                <w:szCs w:val="20"/>
                <w:color w:val="auto"/>
              </w:rPr>
            </w:pPr>
            <w:r>
              <w:rPr>
                <w:rFonts w:ascii="Arial" w:cs="Arial" w:eastAsia="Arial" w:hAnsi="Arial"/>
                <w:sz w:val="16"/>
                <w:szCs w:val="16"/>
                <w:color w:val="auto"/>
                <w:w w:val="95"/>
              </w:rPr>
              <w:t>1,289,439</w:t>
            </w:r>
          </w:p>
        </w:tc>
        <w:tc>
          <w:tcPr>
            <w:tcW w:w="700" w:type="dxa"/>
            <w:vAlign w:val="bottom"/>
          </w:tcPr>
          <w:p>
            <w:pPr>
              <w:jc w:val="right"/>
              <w:spacing w:after="0"/>
              <w:rPr>
                <w:sz w:val="20"/>
                <w:szCs w:val="20"/>
                <w:color w:val="auto"/>
              </w:rPr>
            </w:pPr>
            <w:r>
              <w:rPr>
                <w:rFonts w:ascii="Arial" w:cs="Arial" w:eastAsia="Arial" w:hAnsi="Arial"/>
                <w:sz w:val="16"/>
                <w:szCs w:val="16"/>
                <w:color w:val="auto"/>
              </w:rPr>
              <w:t>0</w:t>
            </w:r>
          </w:p>
        </w:tc>
        <w:tc>
          <w:tcPr>
            <w:tcW w:w="1200" w:type="dxa"/>
            <w:vAlign w:val="bottom"/>
          </w:tcPr>
          <w:p>
            <w:pPr>
              <w:jc w:val="right"/>
              <w:spacing w:after="0"/>
              <w:rPr>
                <w:sz w:val="20"/>
                <w:szCs w:val="20"/>
                <w:color w:val="auto"/>
              </w:rPr>
            </w:pPr>
            <w:r>
              <w:rPr>
                <w:rFonts w:ascii="Arial" w:cs="Arial" w:eastAsia="Arial" w:hAnsi="Arial"/>
                <w:sz w:val="16"/>
                <w:szCs w:val="16"/>
                <w:color w:val="auto"/>
              </w:rPr>
              <w:t>714,808</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142,283</w:t>
            </w:r>
          </w:p>
        </w:tc>
        <w:tc>
          <w:tcPr>
            <w:tcW w:w="800" w:type="dxa"/>
            <w:vAlign w:val="bottom"/>
          </w:tcPr>
          <w:p>
            <w:pPr>
              <w:jc w:val="right"/>
              <w:spacing w:after="0"/>
              <w:rPr>
                <w:sz w:val="20"/>
                <w:szCs w:val="20"/>
                <w:color w:val="auto"/>
              </w:rPr>
            </w:pPr>
            <w:r>
              <w:rPr>
                <w:rFonts w:ascii="Arial" w:cs="Arial" w:eastAsia="Arial" w:hAnsi="Arial"/>
                <w:sz w:val="16"/>
                <w:szCs w:val="16"/>
                <w:color w:val="auto"/>
              </w:rPr>
              <w:t>2,827,299</w:t>
            </w:r>
          </w:p>
        </w:tc>
      </w:tr>
      <w:tr>
        <w:trPr>
          <w:trHeight w:val="204"/>
        </w:trPr>
        <w:tc>
          <w:tcPr>
            <w:tcW w:w="1800" w:type="dxa"/>
            <w:vAlign w:val="bottom"/>
          </w:tcPr>
          <w:p>
            <w:pPr>
              <w:spacing w:after="0"/>
              <w:rPr>
                <w:sz w:val="17"/>
                <w:szCs w:val="17"/>
                <w:color w:val="auto"/>
              </w:rPr>
            </w:pPr>
          </w:p>
        </w:tc>
        <w:tc>
          <w:tcPr>
            <w:tcW w:w="620" w:type="dxa"/>
            <w:vAlign w:val="bottom"/>
          </w:tcPr>
          <w:p>
            <w:pPr>
              <w:ind w:left="180"/>
              <w:spacing w:after="0"/>
              <w:rPr>
                <w:sz w:val="20"/>
                <w:szCs w:val="20"/>
                <w:color w:val="auto"/>
              </w:rPr>
            </w:pPr>
            <w:r>
              <w:rPr>
                <w:rFonts w:ascii="Arial" w:cs="Arial" w:eastAsia="Arial" w:hAnsi="Arial"/>
                <w:sz w:val="16"/>
                <w:szCs w:val="16"/>
                <w:color w:val="auto"/>
              </w:rPr>
              <w:t>2012</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600,000</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800" w:type="dxa"/>
            <w:vAlign w:val="bottom"/>
          </w:tcPr>
          <w:p>
            <w:pPr>
              <w:ind w:left="100"/>
              <w:spacing w:after="0"/>
              <w:rPr>
                <w:sz w:val="20"/>
                <w:szCs w:val="20"/>
                <w:color w:val="auto"/>
              </w:rPr>
            </w:pPr>
            <w:r>
              <w:rPr>
                <w:rFonts w:ascii="Arial" w:cs="Arial" w:eastAsia="Arial" w:hAnsi="Arial"/>
                <w:sz w:val="16"/>
                <w:szCs w:val="16"/>
                <w:color w:val="auto"/>
                <w:w w:val="95"/>
              </w:rPr>
              <w:t>3,042,210</w:t>
            </w:r>
          </w:p>
        </w:tc>
        <w:tc>
          <w:tcPr>
            <w:tcW w:w="700" w:type="dxa"/>
            <w:vAlign w:val="bottom"/>
          </w:tcPr>
          <w:p>
            <w:pPr>
              <w:jc w:val="right"/>
              <w:spacing w:after="0"/>
              <w:rPr>
                <w:sz w:val="20"/>
                <w:szCs w:val="20"/>
                <w:color w:val="auto"/>
              </w:rPr>
            </w:pPr>
            <w:r>
              <w:rPr>
                <w:rFonts w:ascii="Arial" w:cs="Arial" w:eastAsia="Arial" w:hAnsi="Arial"/>
                <w:sz w:val="16"/>
                <w:szCs w:val="16"/>
                <w:color w:val="auto"/>
              </w:rPr>
              <w:t>0</w:t>
            </w:r>
          </w:p>
        </w:tc>
        <w:tc>
          <w:tcPr>
            <w:tcW w:w="1200" w:type="dxa"/>
            <w:vAlign w:val="bottom"/>
          </w:tcPr>
          <w:p>
            <w:pPr>
              <w:jc w:val="right"/>
              <w:spacing w:after="0"/>
              <w:rPr>
                <w:sz w:val="20"/>
                <w:szCs w:val="20"/>
                <w:color w:val="auto"/>
              </w:rPr>
            </w:pPr>
            <w:r>
              <w:rPr>
                <w:rFonts w:ascii="Arial" w:cs="Arial" w:eastAsia="Arial" w:hAnsi="Arial"/>
                <w:sz w:val="16"/>
                <w:szCs w:val="16"/>
                <w:color w:val="auto"/>
              </w:rPr>
              <w:t>636,000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116,051</w:t>
            </w:r>
          </w:p>
        </w:tc>
        <w:tc>
          <w:tcPr>
            <w:tcW w:w="800" w:type="dxa"/>
            <w:vAlign w:val="bottom"/>
          </w:tcPr>
          <w:p>
            <w:pPr>
              <w:jc w:val="right"/>
              <w:spacing w:after="0"/>
              <w:rPr>
                <w:sz w:val="20"/>
                <w:szCs w:val="20"/>
                <w:color w:val="auto"/>
              </w:rPr>
            </w:pPr>
            <w:r>
              <w:rPr>
                <w:rFonts w:ascii="Arial" w:cs="Arial" w:eastAsia="Arial" w:hAnsi="Arial"/>
                <w:sz w:val="16"/>
                <w:szCs w:val="16"/>
                <w:color w:val="auto"/>
              </w:rPr>
              <w:t>4,394,261</w:t>
            </w:r>
          </w:p>
        </w:tc>
      </w:tr>
      <w:tr>
        <w:trPr>
          <w:trHeight w:val="203"/>
        </w:trPr>
        <w:tc>
          <w:tcPr>
            <w:tcW w:w="1800" w:type="dxa"/>
            <w:vAlign w:val="bottom"/>
            <w:shd w:val="clear" w:color="auto" w:fill="E9E9E9"/>
          </w:tcPr>
          <w:p>
            <w:pPr>
              <w:ind w:left="60"/>
              <w:spacing w:after="0"/>
              <w:rPr>
                <w:sz w:val="20"/>
                <w:szCs w:val="20"/>
                <w:color w:val="auto"/>
              </w:rPr>
            </w:pPr>
            <w:r>
              <w:rPr>
                <w:rFonts w:ascii="Arial" w:cs="Arial" w:eastAsia="Arial" w:hAnsi="Arial"/>
                <w:sz w:val="16"/>
                <w:szCs w:val="16"/>
                <w:color w:val="auto"/>
              </w:rPr>
              <w:t>Gartland, Thomas M.</w:t>
            </w:r>
          </w:p>
        </w:tc>
        <w:tc>
          <w:tcPr>
            <w:tcW w:w="620" w:type="dxa"/>
            <w:vAlign w:val="bottom"/>
            <w:shd w:val="clear" w:color="auto" w:fill="E9E9E9"/>
          </w:tcPr>
          <w:p>
            <w:pPr>
              <w:ind w:left="180"/>
              <w:spacing w:after="0"/>
              <w:rPr>
                <w:sz w:val="20"/>
                <w:szCs w:val="20"/>
                <w:color w:val="auto"/>
              </w:rPr>
            </w:pPr>
            <w:r>
              <w:rPr>
                <w:rFonts w:ascii="Arial" w:cs="Arial" w:eastAsia="Arial" w:hAnsi="Arial"/>
                <w:sz w:val="16"/>
                <w:szCs w:val="16"/>
                <w:color w:val="auto"/>
              </w:rPr>
              <w:t>2014</w:t>
            </w:r>
          </w:p>
        </w:tc>
        <w:tc>
          <w:tcPr>
            <w:tcW w:w="86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700,000</w:t>
            </w:r>
          </w:p>
        </w:tc>
        <w:tc>
          <w:tcPr>
            <w:tcW w:w="76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0</w:t>
            </w:r>
          </w:p>
        </w:tc>
        <w:tc>
          <w:tcPr>
            <w:tcW w:w="800" w:type="dxa"/>
            <w:vAlign w:val="bottom"/>
            <w:shd w:val="clear" w:color="auto" w:fill="E9E9E9"/>
          </w:tcPr>
          <w:p>
            <w:pPr>
              <w:ind w:left="100"/>
              <w:spacing w:after="0"/>
              <w:rPr>
                <w:sz w:val="20"/>
                <w:szCs w:val="20"/>
                <w:color w:val="auto"/>
              </w:rPr>
            </w:pPr>
            <w:r>
              <w:rPr>
                <w:rFonts w:ascii="Arial" w:cs="Arial" w:eastAsia="Arial" w:hAnsi="Arial"/>
                <w:sz w:val="16"/>
                <w:szCs w:val="16"/>
                <w:color w:val="auto"/>
                <w:w w:val="95"/>
              </w:rPr>
              <w:t>1,285,445</w:t>
            </w:r>
          </w:p>
        </w:tc>
        <w:tc>
          <w:tcPr>
            <w:tcW w:w="7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967,750</w:t>
            </w:r>
          </w:p>
        </w:tc>
        <w:tc>
          <w:tcPr>
            <w:tcW w:w="124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0</w:t>
            </w:r>
          </w:p>
        </w:tc>
        <w:tc>
          <w:tcPr>
            <w:tcW w:w="84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173,312</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3,126,507</w:t>
            </w:r>
          </w:p>
        </w:tc>
      </w:tr>
      <w:tr>
        <w:trPr>
          <w:trHeight w:val="203"/>
        </w:trPr>
        <w:tc>
          <w:tcPr>
            <w:tcW w:w="1800" w:type="dxa"/>
            <w:vAlign w:val="bottom"/>
            <w:shd w:val="clear" w:color="auto" w:fill="E9E9E9"/>
          </w:tcPr>
          <w:p>
            <w:pPr>
              <w:ind w:left="60"/>
              <w:spacing w:after="0"/>
              <w:rPr>
                <w:sz w:val="20"/>
                <w:szCs w:val="20"/>
                <w:color w:val="auto"/>
              </w:rPr>
            </w:pPr>
            <w:r>
              <w:rPr>
                <w:rFonts w:ascii="Arial" w:cs="Arial" w:eastAsia="Arial" w:hAnsi="Arial"/>
                <w:sz w:val="16"/>
                <w:szCs w:val="16"/>
                <w:color w:val="auto"/>
              </w:rPr>
              <w:t>Former President, NA</w:t>
            </w:r>
          </w:p>
        </w:tc>
        <w:tc>
          <w:tcPr>
            <w:tcW w:w="620" w:type="dxa"/>
            <w:vAlign w:val="bottom"/>
            <w:shd w:val="clear" w:color="auto" w:fill="E9E9E9"/>
          </w:tcPr>
          <w:p>
            <w:pPr>
              <w:ind w:left="180"/>
              <w:spacing w:after="0"/>
              <w:rPr>
                <w:sz w:val="20"/>
                <w:szCs w:val="20"/>
                <w:color w:val="auto"/>
              </w:rPr>
            </w:pPr>
            <w:r>
              <w:rPr>
                <w:rFonts w:ascii="Arial" w:cs="Arial" w:eastAsia="Arial" w:hAnsi="Arial"/>
                <w:sz w:val="16"/>
                <w:szCs w:val="16"/>
                <w:color w:val="auto"/>
              </w:rPr>
              <w:t>2013</w:t>
            </w:r>
          </w:p>
        </w:tc>
        <w:tc>
          <w:tcPr>
            <w:tcW w:w="86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680,769</w:t>
            </w:r>
          </w:p>
        </w:tc>
        <w:tc>
          <w:tcPr>
            <w:tcW w:w="76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0</w:t>
            </w:r>
          </w:p>
        </w:tc>
        <w:tc>
          <w:tcPr>
            <w:tcW w:w="800" w:type="dxa"/>
            <w:vAlign w:val="bottom"/>
            <w:shd w:val="clear" w:color="auto" w:fill="E9E9E9"/>
          </w:tcPr>
          <w:p>
            <w:pPr>
              <w:ind w:left="100"/>
              <w:spacing w:after="0"/>
              <w:rPr>
                <w:sz w:val="20"/>
                <w:szCs w:val="20"/>
                <w:color w:val="auto"/>
              </w:rPr>
            </w:pPr>
            <w:r>
              <w:rPr>
                <w:rFonts w:ascii="Arial" w:cs="Arial" w:eastAsia="Arial" w:hAnsi="Arial"/>
                <w:sz w:val="16"/>
                <w:szCs w:val="16"/>
                <w:color w:val="auto"/>
                <w:w w:val="95"/>
              </w:rPr>
              <w:t>1,289,439</w:t>
            </w:r>
          </w:p>
        </w:tc>
        <w:tc>
          <w:tcPr>
            <w:tcW w:w="7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740,337</w:t>
            </w:r>
          </w:p>
        </w:tc>
        <w:tc>
          <w:tcPr>
            <w:tcW w:w="124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0</w:t>
            </w:r>
          </w:p>
        </w:tc>
        <w:tc>
          <w:tcPr>
            <w:tcW w:w="84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144,306</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2,854,851</w:t>
            </w:r>
          </w:p>
        </w:tc>
      </w:tr>
      <w:tr>
        <w:trPr>
          <w:trHeight w:val="203"/>
        </w:trPr>
        <w:tc>
          <w:tcPr>
            <w:tcW w:w="1800" w:type="dxa"/>
            <w:vAlign w:val="bottom"/>
            <w:shd w:val="clear" w:color="auto" w:fill="E9E9E9"/>
          </w:tcPr>
          <w:p>
            <w:pPr>
              <w:spacing w:after="0"/>
              <w:rPr>
                <w:sz w:val="17"/>
                <w:szCs w:val="17"/>
                <w:color w:val="auto"/>
              </w:rPr>
            </w:pPr>
          </w:p>
        </w:tc>
        <w:tc>
          <w:tcPr>
            <w:tcW w:w="620" w:type="dxa"/>
            <w:vAlign w:val="bottom"/>
            <w:shd w:val="clear" w:color="auto" w:fill="E9E9E9"/>
          </w:tcPr>
          <w:p>
            <w:pPr>
              <w:ind w:left="180"/>
              <w:spacing w:after="0"/>
              <w:rPr>
                <w:sz w:val="20"/>
                <w:szCs w:val="20"/>
                <w:color w:val="auto"/>
              </w:rPr>
            </w:pPr>
            <w:r>
              <w:rPr>
                <w:rFonts w:ascii="Arial" w:cs="Arial" w:eastAsia="Arial" w:hAnsi="Arial"/>
                <w:sz w:val="16"/>
                <w:szCs w:val="16"/>
                <w:color w:val="auto"/>
              </w:rPr>
              <w:t>2012</w:t>
            </w:r>
          </w:p>
        </w:tc>
        <w:tc>
          <w:tcPr>
            <w:tcW w:w="86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600,000</w:t>
            </w:r>
          </w:p>
        </w:tc>
        <w:tc>
          <w:tcPr>
            <w:tcW w:w="76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0</w:t>
            </w:r>
          </w:p>
        </w:tc>
        <w:tc>
          <w:tcPr>
            <w:tcW w:w="800" w:type="dxa"/>
            <w:vAlign w:val="bottom"/>
            <w:shd w:val="clear" w:color="auto" w:fill="E9E9E9"/>
          </w:tcPr>
          <w:p>
            <w:pPr>
              <w:ind w:left="100"/>
              <w:spacing w:after="0"/>
              <w:rPr>
                <w:sz w:val="20"/>
                <w:szCs w:val="20"/>
                <w:color w:val="auto"/>
              </w:rPr>
            </w:pPr>
            <w:r>
              <w:rPr>
                <w:rFonts w:ascii="Arial" w:cs="Arial" w:eastAsia="Arial" w:hAnsi="Arial"/>
                <w:sz w:val="16"/>
                <w:szCs w:val="16"/>
                <w:color w:val="auto"/>
                <w:w w:val="95"/>
              </w:rPr>
              <w:t>3,042,210</w:t>
            </w:r>
          </w:p>
        </w:tc>
        <w:tc>
          <w:tcPr>
            <w:tcW w:w="7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715,200</w:t>
            </w:r>
          </w:p>
        </w:tc>
        <w:tc>
          <w:tcPr>
            <w:tcW w:w="124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0</w:t>
            </w:r>
          </w:p>
        </w:tc>
        <w:tc>
          <w:tcPr>
            <w:tcW w:w="84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167,228</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4,524,638</w:t>
            </w:r>
          </w:p>
        </w:tc>
      </w:tr>
      <w:tr>
        <w:trPr>
          <w:trHeight w:val="203"/>
        </w:trPr>
        <w:tc>
          <w:tcPr>
            <w:tcW w:w="1800" w:type="dxa"/>
            <w:vAlign w:val="bottom"/>
          </w:tcPr>
          <w:p>
            <w:pPr>
              <w:ind w:left="60"/>
              <w:spacing w:after="0"/>
              <w:rPr>
                <w:sz w:val="20"/>
                <w:szCs w:val="20"/>
                <w:color w:val="auto"/>
              </w:rPr>
            </w:pPr>
            <w:r>
              <w:rPr>
                <w:rFonts w:ascii="Arial" w:cs="Arial" w:eastAsia="Arial" w:hAnsi="Arial"/>
                <w:sz w:val="16"/>
                <w:szCs w:val="16"/>
                <w:color w:val="auto"/>
              </w:rPr>
              <w:t>De Shon, Larry D.</w:t>
            </w:r>
          </w:p>
        </w:tc>
        <w:tc>
          <w:tcPr>
            <w:tcW w:w="620" w:type="dxa"/>
            <w:vAlign w:val="bottom"/>
          </w:tcPr>
          <w:p>
            <w:pPr>
              <w:ind w:left="180"/>
              <w:spacing w:after="0"/>
              <w:rPr>
                <w:sz w:val="20"/>
                <w:szCs w:val="20"/>
                <w:color w:val="auto"/>
              </w:rPr>
            </w:pPr>
            <w:r>
              <w:rPr>
                <w:rFonts w:ascii="Arial" w:cs="Arial" w:eastAsia="Arial" w:hAnsi="Arial"/>
                <w:sz w:val="16"/>
                <w:szCs w:val="16"/>
                <w:color w:val="auto"/>
              </w:rPr>
              <w:t>2014</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700,000</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800" w:type="dxa"/>
            <w:vAlign w:val="bottom"/>
          </w:tcPr>
          <w:p>
            <w:pPr>
              <w:ind w:left="100"/>
              <w:spacing w:after="0"/>
              <w:rPr>
                <w:sz w:val="20"/>
                <w:szCs w:val="20"/>
                <w:color w:val="auto"/>
              </w:rPr>
            </w:pPr>
            <w:r>
              <w:rPr>
                <w:rFonts w:ascii="Arial" w:cs="Arial" w:eastAsia="Arial" w:hAnsi="Arial"/>
                <w:sz w:val="16"/>
                <w:szCs w:val="16"/>
                <w:color w:val="auto"/>
                <w:w w:val="95"/>
              </w:rPr>
              <w:t>2,535,459</w:t>
            </w:r>
          </w:p>
        </w:tc>
        <w:tc>
          <w:tcPr>
            <w:tcW w:w="700" w:type="dxa"/>
            <w:vAlign w:val="bottom"/>
          </w:tcPr>
          <w:p>
            <w:pPr>
              <w:jc w:val="right"/>
              <w:spacing w:after="0"/>
              <w:rPr>
                <w:sz w:val="20"/>
                <w:szCs w:val="20"/>
                <w:color w:val="auto"/>
              </w:rPr>
            </w:pPr>
            <w:r>
              <w:rPr>
                <w:rFonts w:ascii="Arial" w:cs="Arial" w:eastAsia="Arial" w:hAnsi="Arial"/>
                <w:sz w:val="16"/>
                <w:szCs w:val="16"/>
                <w:color w:val="auto"/>
              </w:rPr>
              <w:t>0</w:t>
            </w:r>
          </w:p>
        </w:tc>
        <w:tc>
          <w:tcPr>
            <w:tcW w:w="1200" w:type="dxa"/>
            <w:vAlign w:val="bottom"/>
          </w:tcPr>
          <w:p>
            <w:pPr>
              <w:jc w:val="right"/>
              <w:spacing w:after="0"/>
              <w:rPr>
                <w:sz w:val="20"/>
                <w:szCs w:val="20"/>
                <w:color w:val="auto"/>
              </w:rPr>
            </w:pPr>
            <w:r>
              <w:rPr>
                <w:rFonts w:ascii="Arial" w:cs="Arial" w:eastAsia="Arial" w:hAnsi="Arial"/>
                <w:sz w:val="16"/>
                <w:szCs w:val="16"/>
                <w:color w:val="auto"/>
              </w:rPr>
              <w:t>805,000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3,671,369</w:t>
            </w:r>
          </w:p>
        </w:tc>
        <w:tc>
          <w:tcPr>
            <w:tcW w:w="800" w:type="dxa"/>
            <w:vAlign w:val="bottom"/>
          </w:tcPr>
          <w:p>
            <w:pPr>
              <w:jc w:val="right"/>
              <w:spacing w:after="0"/>
              <w:rPr>
                <w:sz w:val="20"/>
                <w:szCs w:val="20"/>
                <w:color w:val="auto"/>
              </w:rPr>
            </w:pPr>
            <w:r>
              <w:rPr>
                <w:rFonts w:ascii="Arial" w:cs="Arial" w:eastAsia="Arial" w:hAnsi="Arial"/>
                <w:sz w:val="16"/>
                <w:szCs w:val="16"/>
                <w:color w:val="auto"/>
              </w:rPr>
              <w:t>7,711,828</w:t>
            </w:r>
          </w:p>
        </w:tc>
      </w:tr>
      <w:tr>
        <w:trPr>
          <w:trHeight w:val="203"/>
        </w:trPr>
        <w:tc>
          <w:tcPr>
            <w:tcW w:w="1800" w:type="dxa"/>
            <w:vAlign w:val="bottom"/>
          </w:tcPr>
          <w:p>
            <w:pPr>
              <w:ind w:left="60"/>
              <w:spacing w:after="0"/>
              <w:rPr>
                <w:sz w:val="20"/>
                <w:szCs w:val="20"/>
                <w:color w:val="auto"/>
              </w:rPr>
            </w:pPr>
            <w:r>
              <w:rPr>
                <w:rFonts w:ascii="Arial" w:cs="Arial" w:eastAsia="Arial" w:hAnsi="Arial"/>
                <w:sz w:val="16"/>
                <w:szCs w:val="16"/>
                <w:color w:val="auto"/>
              </w:rPr>
              <w:t>President, International</w:t>
            </w:r>
          </w:p>
        </w:tc>
        <w:tc>
          <w:tcPr>
            <w:tcW w:w="620" w:type="dxa"/>
            <w:vAlign w:val="bottom"/>
          </w:tcPr>
          <w:p>
            <w:pPr>
              <w:ind w:left="180"/>
              <w:spacing w:after="0"/>
              <w:rPr>
                <w:sz w:val="20"/>
                <w:szCs w:val="20"/>
                <w:color w:val="auto"/>
              </w:rPr>
            </w:pPr>
            <w:r>
              <w:rPr>
                <w:rFonts w:ascii="Arial" w:cs="Arial" w:eastAsia="Arial" w:hAnsi="Arial"/>
                <w:sz w:val="16"/>
                <w:szCs w:val="16"/>
                <w:color w:val="auto"/>
              </w:rPr>
              <w:t>2013</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680,769</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800" w:type="dxa"/>
            <w:vAlign w:val="bottom"/>
          </w:tcPr>
          <w:p>
            <w:pPr>
              <w:ind w:left="100"/>
              <w:spacing w:after="0"/>
              <w:rPr>
                <w:sz w:val="20"/>
                <w:szCs w:val="20"/>
                <w:color w:val="auto"/>
              </w:rPr>
            </w:pPr>
            <w:r>
              <w:rPr>
                <w:rFonts w:ascii="Arial" w:cs="Arial" w:eastAsia="Arial" w:hAnsi="Arial"/>
                <w:sz w:val="16"/>
                <w:szCs w:val="16"/>
                <w:color w:val="auto"/>
                <w:w w:val="95"/>
              </w:rPr>
              <w:t>1,289,439</w:t>
            </w:r>
          </w:p>
        </w:tc>
        <w:tc>
          <w:tcPr>
            <w:tcW w:w="700" w:type="dxa"/>
            <w:vAlign w:val="bottom"/>
          </w:tcPr>
          <w:p>
            <w:pPr>
              <w:jc w:val="right"/>
              <w:spacing w:after="0"/>
              <w:rPr>
                <w:sz w:val="20"/>
                <w:szCs w:val="20"/>
                <w:color w:val="auto"/>
              </w:rPr>
            </w:pPr>
            <w:r>
              <w:rPr>
                <w:rFonts w:ascii="Arial" w:cs="Arial" w:eastAsia="Arial" w:hAnsi="Arial"/>
                <w:sz w:val="16"/>
                <w:szCs w:val="16"/>
                <w:color w:val="auto"/>
              </w:rPr>
              <w:t>0</w:t>
            </w:r>
          </w:p>
        </w:tc>
        <w:tc>
          <w:tcPr>
            <w:tcW w:w="1200" w:type="dxa"/>
            <w:vAlign w:val="bottom"/>
          </w:tcPr>
          <w:p>
            <w:pPr>
              <w:jc w:val="right"/>
              <w:spacing w:after="0"/>
              <w:rPr>
                <w:sz w:val="20"/>
                <w:szCs w:val="20"/>
                <w:color w:val="auto"/>
              </w:rPr>
            </w:pPr>
            <w:r>
              <w:rPr>
                <w:rFonts w:ascii="Arial" w:cs="Arial" w:eastAsia="Arial" w:hAnsi="Arial"/>
                <w:sz w:val="16"/>
                <w:szCs w:val="16"/>
                <w:color w:val="auto"/>
              </w:rPr>
              <w:t>816,923</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2,043,140</w:t>
            </w:r>
          </w:p>
        </w:tc>
        <w:tc>
          <w:tcPr>
            <w:tcW w:w="800" w:type="dxa"/>
            <w:vAlign w:val="bottom"/>
          </w:tcPr>
          <w:p>
            <w:pPr>
              <w:jc w:val="right"/>
              <w:spacing w:after="0"/>
              <w:rPr>
                <w:sz w:val="20"/>
                <w:szCs w:val="20"/>
                <w:color w:val="auto"/>
              </w:rPr>
            </w:pPr>
            <w:r>
              <w:rPr>
                <w:rFonts w:ascii="Arial" w:cs="Arial" w:eastAsia="Arial" w:hAnsi="Arial"/>
                <w:sz w:val="16"/>
                <w:szCs w:val="16"/>
                <w:color w:val="auto"/>
              </w:rPr>
              <w:t>4,830,272</w:t>
            </w:r>
          </w:p>
        </w:tc>
      </w:tr>
      <w:tr>
        <w:trPr>
          <w:trHeight w:val="204"/>
        </w:trPr>
        <w:tc>
          <w:tcPr>
            <w:tcW w:w="1800" w:type="dxa"/>
            <w:vAlign w:val="bottom"/>
          </w:tcPr>
          <w:p>
            <w:pPr>
              <w:spacing w:after="0"/>
              <w:rPr>
                <w:sz w:val="17"/>
                <w:szCs w:val="17"/>
                <w:color w:val="auto"/>
              </w:rPr>
            </w:pPr>
          </w:p>
        </w:tc>
        <w:tc>
          <w:tcPr>
            <w:tcW w:w="620" w:type="dxa"/>
            <w:vAlign w:val="bottom"/>
          </w:tcPr>
          <w:p>
            <w:pPr>
              <w:ind w:left="180"/>
              <w:spacing w:after="0"/>
              <w:rPr>
                <w:sz w:val="20"/>
                <w:szCs w:val="20"/>
                <w:color w:val="auto"/>
              </w:rPr>
            </w:pPr>
            <w:r>
              <w:rPr>
                <w:rFonts w:ascii="Arial" w:cs="Arial" w:eastAsia="Arial" w:hAnsi="Arial"/>
                <w:sz w:val="16"/>
                <w:szCs w:val="16"/>
                <w:color w:val="auto"/>
              </w:rPr>
              <w:t>2012</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600,000</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200,000</w:t>
            </w:r>
          </w:p>
        </w:tc>
        <w:tc>
          <w:tcPr>
            <w:tcW w:w="800" w:type="dxa"/>
            <w:vAlign w:val="bottom"/>
          </w:tcPr>
          <w:p>
            <w:pPr>
              <w:ind w:left="100"/>
              <w:spacing w:after="0"/>
              <w:rPr>
                <w:sz w:val="20"/>
                <w:szCs w:val="20"/>
                <w:color w:val="auto"/>
              </w:rPr>
            </w:pPr>
            <w:r>
              <w:rPr>
                <w:rFonts w:ascii="Arial" w:cs="Arial" w:eastAsia="Arial" w:hAnsi="Arial"/>
                <w:sz w:val="16"/>
                <w:szCs w:val="16"/>
                <w:color w:val="auto"/>
                <w:w w:val="95"/>
              </w:rPr>
              <w:t>3,042,210</w:t>
            </w:r>
          </w:p>
        </w:tc>
        <w:tc>
          <w:tcPr>
            <w:tcW w:w="700" w:type="dxa"/>
            <w:vAlign w:val="bottom"/>
          </w:tcPr>
          <w:p>
            <w:pPr>
              <w:jc w:val="right"/>
              <w:spacing w:after="0"/>
              <w:rPr>
                <w:sz w:val="20"/>
                <w:szCs w:val="20"/>
                <w:color w:val="auto"/>
              </w:rPr>
            </w:pPr>
            <w:r>
              <w:rPr>
                <w:rFonts w:ascii="Arial" w:cs="Arial" w:eastAsia="Arial" w:hAnsi="Arial"/>
                <w:sz w:val="16"/>
                <w:szCs w:val="16"/>
                <w:color w:val="auto"/>
              </w:rPr>
              <w:t>0</w:t>
            </w:r>
          </w:p>
        </w:tc>
        <w:tc>
          <w:tcPr>
            <w:tcW w:w="1200" w:type="dxa"/>
            <w:vAlign w:val="bottom"/>
          </w:tcPr>
          <w:p>
            <w:pPr>
              <w:jc w:val="right"/>
              <w:spacing w:after="0"/>
              <w:rPr>
                <w:sz w:val="20"/>
                <w:szCs w:val="20"/>
                <w:color w:val="auto"/>
              </w:rPr>
            </w:pPr>
            <w:r>
              <w:rPr>
                <w:rFonts w:ascii="Arial" w:cs="Arial" w:eastAsia="Arial" w:hAnsi="Arial"/>
                <w:sz w:val="16"/>
                <w:szCs w:val="16"/>
                <w:color w:val="auto"/>
              </w:rPr>
              <w:t>254,400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414,721</w:t>
            </w:r>
          </w:p>
        </w:tc>
        <w:tc>
          <w:tcPr>
            <w:tcW w:w="800" w:type="dxa"/>
            <w:vAlign w:val="bottom"/>
          </w:tcPr>
          <w:p>
            <w:pPr>
              <w:jc w:val="right"/>
              <w:spacing w:after="0"/>
              <w:rPr>
                <w:sz w:val="20"/>
                <w:szCs w:val="20"/>
                <w:color w:val="auto"/>
              </w:rPr>
            </w:pPr>
            <w:r>
              <w:rPr>
                <w:rFonts w:ascii="Arial" w:cs="Arial" w:eastAsia="Arial" w:hAnsi="Arial"/>
                <w:sz w:val="16"/>
                <w:szCs w:val="16"/>
                <w:color w:val="auto"/>
              </w:rPr>
              <w:t>4,511,331</w:t>
            </w:r>
          </w:p>
        </w:tc>
      </w:tr>
      <w:tr>
        <w:trPr>
          <w:trHeight w:val="203"/>
        </w:trPr>
        <w:tc>
          <w:tcPr>
            <w:tcW w:w="1800" w:type="dxa"/>
            <w:vAlign w:val="bottom"/>
            <w:shd w:val="clear" w:color="auto" w:fill="E9E9E9"/>
          </w:tcPr>
          <w:p>
            <w:pPr>
              <w:ind w:left="60"/>
              <w:spacing w:after="0"/>
              <w:rPr>
                <w:sz w:val="20"/>
                <w:szCs w:val="20"/>
                <w:color w:val="auto"/>
              </w:rPr>
            </w:pPr>
            <w:r>
              <w:rPr>
                <w:rFonts w:ascii="Arial" w:cs="Arial" w:eastAsia="Arial" w:hAnsi="Arial"/>
                <w:sz w:val="16"/>
                <w:szCs w:val="16"/>
                <w:color w:val="auto"/>
              </w:rPr>
              <w:t>Siniscalchi, Patric.</w:t>
            </w:r>
          </w:p>
        </w:tc>
        <w:tc>
          <w:tcPr>
            <w:tcW w:w="620" w:type="dxa"/>
            <w:vAlign w:val="bottom"/>
            <w:shd w:val="clear" w:color="auto" w:fill="E9E9E9"/>
          </w:tcPr>
          <w:p>
            <w:pPr>
              <w:ind w:left="180"/>
              <w:spacing w:after="0"/>
              <w:rPr>
                <w:sz w:val="20"/>
                <w:szCs w:val="20"/>
                <w:color w:val="auto"/>
              </w:rPr>
            </w:pPr>
            <w:r>
              <w:rPr>
                <w:rFonts w:ascii="Arial" w:cs="Arial" w:eastAsia="Arial" w:hAnsi="Arial"/>
                <w:sz w:val="16"/>
                <w:szCs w:val="16"/>
                <w:color w:val="auto"/>
              </w:rPr>
              <w:t>2014</w:t>
            </w:r>
          </w:p>
        </w:tc>
        <w:tc>
          <w:tcPr>
            <w:tcW w:w="86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544,231</w:t>
            </w:r>
          </w:p>
        </w:tc>
        <w:tc>
          <w:tcPr>
            <w:tcW w:w="76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0</w:t>
            </w:r>
          </w:p>
        </w:tc>
        <w:tc>
          <w:tcPr>
            <w:tcW w:w="800" w:type="dxa"/>
            <w:vAlign w:val="bottom"/>
            <w:shd w:val="clear" w:color="auto" w:fill="E9E9E9"/>
          </w:tcPr>
          <w:p>
            <w:pPr>
              <w:ind w:left="100"/>
              <w:spacing w:after="0"/>
              <w:rPr>
                <w:sz w:val="20"/>
                <w:szCs w:val="20"/>
                <w:color w:val="auto"/>
              </w:rPr>
            </w:pPr>
            <w:r>
              <w:rPr>
                <w:rFonts w:ascii="Arial" w:cs="Arial" w:eastAsia="Arial" w:hAnsi="Arial"/>
                <w:sz w:val="16"/>
                <w:szCs w:val="16"/>
                <w:color w:val="auto"/>
                <w:w w:val="95"/>
              </w:rPr>
              <w:t>1,071,217</w:t>
            </w:r>
          </w:p>
        </w:tc>
        <w:tc>
          <w:tcPr>
            <w:tcW w:w="7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360,553</w:t>
            </w:r>
          </w:p>
        </w:tc>
        <w:tc>
          <w:tcPr>
            <w:tcW w:w="124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95,170</w:t>
            </w:r>
          </w:p>
        </w:tc>
        <w:tc>
          <w:tcPr>
            <w:tcW w:w="84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80,759</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2,151,930</w:t>
            </w:r>
          </w:p>
        </w:tc>
      </w:tr>
      <w:tr>
        <w:trPr>
          <w:trHeight w:val="203"/>
        </w:trPr>
        <w:tc>
          <w:tcPr>
            <w:tcW w:w="1800" w:type="dxa"/>
            <w:vAlign w:val="bottom"/>
            <w:shd w:val="clear" w:color="auto" w:fill="E9E9E9"/>
          </w:tcPr>
          <w:p>
            <w:pPr>
              <w:ind w:left="60"/>
              <w:spacing w:after="0"/>
              <w:rPr>
                <w:sz w:val="20"/>
                <w:szCs w:val="20"/>
                <w:color w:val="auto"/>
              </w:rPr>
            </w:pPr>
            <w:r>
              <w:rPr>
                <w:rFonts w:ascii="Arial" w:cs="Arial" w:eastAsia="Arial" w:hAnsi="Arial"/>
                <w:sz w:val="16"/>
                <w:szCs w:val="16"/>
                <w:color w:val="auto"/>
                <w:w w:val="96"/>
              </w:rPr>
              <w:t>Former President, LA/AP</w:t>
            </w:r>
          </w:p>
        </w:tc>
        <w:tc>
          <w:tcPr>
            <w:tcW w:w="620" w:type="dxa"/>
            <w:vAlign w:val="bottom"/>
            <w:shd w:val="clear" w:color="auto" w:fill="E9E9E9"/>
          </w:tcPr>
          <w:p>
            <w:pPr>
              <w:ind w:left="180"/>
              <w:spacing w:after="0"/>
              <w:rPr>
                <w:sz w:val="20"/>
                <w:szCs w:val="20"/>
                <w:color w:val="auto"/>
              </w:rPr>
            </w:pPr>
            <w:r>
              <w:rPr>
                <w:rFonts w:ascii="Arial" w:cs="Arial" w:eastAsia="Arial" w:hAnsi="Arial"/>
                <w:sz w:val="16"/>
                <w:szCs w:val="16"/>
                <w:color w:val="auto"/>
              </w:rPr>
              <w:t>2013</w:t>
            </w:r>
          </w:p>
        </w:tc>
        <w:tc>
          <w:tcPr>
            <w:tcW w:w="86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516,154</w:t>
            </w:r>
          </w:p>
        </w:tc>
        <w:tc>
          <w:tcPr>
            <w:tcW w:w="76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0</w:t>
            </w:r>
          </w:p>
        </w:tc>
        <w:tc>
          <w:tcPr>
            <w:tcW w:w="800" w:type="dxa"/>
            <w:vAlign w:val="bottom"/>
            <w:shd w:val="clear" w:color="auto" w:fill="E9E9E9"/>
          </w:tcPr>
          <w:p>
            <w:pPr>
              <w:ind w:left="100"/>
              <w:spacing w:after="0"/>
              <w:rPr>
                <w:sz w:val="20"/>
                <w:szCs w:val="20"/>
                <w:color w:val="auto"/>
              </w:rPr>
            </w:pPr>
            <w:r>
              <w:rPr>
                <w:rFonts w:ascii="Arial" w:cs="Arial" w:eastAsia="Arial" w:hAnsi="Arial"/>
                <w:sz w:val="16"/>
                <w:szCs w:val="16"/>
                <w:color w:val="auto"/>
                <w:w w:val="95"/>
              </w:rPr>
              <w:t>1,074,533</w:t>
            </w:r>
          </w:p>
        </w:tc>
        <w:tc>
          <w:tcPr>
            <w:tcW w:w="7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522,606</w:t>
            </w:r>
          </w:p>
        </w:tc>
        <w:tc>
          <w:tcPr>
            <w:tcW w:w="124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75,998</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2,189,291</w:t>
            </w:r>
          </w:p>
        </w:tc>
      </w:tr>
      <w:tr>
        <w:trPr>
          <w:trHeight w:val="203"/>
        </w:trPr>
        <w:tc>
          <w:tcPr>
            <w:tcW w:w="1800" w:type="dxa"/>
            <w:vAlign w:val="bottom"/>
            <w:tcBorders>
              <w:bottom w:val="single" w:sz="8" w:color="auto"/>
            </w:tcBorders>
            <w:shd w:val="clear" w:color="auto" w:fill="E9E9E9"/>
          </w:tcPr>
          <w:p>
            <w:pPr>
              <w:spacing w:after="0"/>
              <w:rPr>
                <w:sz w:val="17"/>
                <w:szCs w:val="17"/>
                <w:color w:val="auto"/>
              </w:rPr>
            </w:pPr>
          </w:p>
        </w:tc>
        <w:tc>
          <w:tcPr>
            <w:tcW w:w="620" w:type="dxa"/>
            <w:vAlign w:val="bottom"/>
            <w:tcBorders>
              <w:bottom w:val="single" w:sz="8" w:color="auto"/>
            </w:tcBorders>
            <w:shd w:val="clear" w:color="auto" w:fill="E9E9E9"/>
          </w:tcPr>
          <w:p>
            <w:pPr>
              <w:ind w:left="180"/>
              <w:spacing w:after="0"/>
              <w:rPr>
                <w:sz w:val="20"/>
                <w:szCs w:val="20"/>
                <w:color w:val="auto"/>
              </w:rPr>
            </w:pPr>
            <w:r>
              <w:rPr>
                <w:rFonts w:ascii="Arial" w:cs="Arial" w:eastAsia="Arial" w:hAnsi="Arial"/>
                <w:sz w:val="16"/>
                <w:szCs w:val="16"/>
                <w:color w:val="auto"/>
              </w:rPr>
              <w:t>2012</w:t>
            </w:r>
          </w:p>
        </w:tc>
        <w:tc>
          <w:tcPr>
            <w:tcW w:w="860" w:type="dxa"/>
            <w:vAlign w:val="bottom"/>
            <w:tcBorders>
              <w:bottom w:val="single" w:sz="8" w:color="auto"/>
            </w:tcBorders>
            <w:shd w:val="clear" w:color="auto" w:fill="E9E9E9"/>
          </w:tcPr>
          <w:p>
            <w:pPr>
              <w:jc w:val="right"/>
              <w:ind w:right="40"/>
              <w:spacing w:after="0"/>
              <w:rPr>
                <w:sz w:val="20"/>
                <w:szCs w:val="20"/>
                <w:color w:val="auto"/>
              </w:rPr>
            </w:pPr>
            <w:r>
              <w:rPr>
                <w:rFonts w:ascii="Arial" w:cs="Arial" w:eastAsia="Arial" w:hAnsi="Arial"/>
                <w:sz w:val="16"/>
                <w:szCs w:val="16"/>
                <w:color w:val="auto"/>
              </w:rPr>
              <w:t>500,000</w:t>
            </w:r>
          </w:p>
        </w:tc>
        <w:tc>
          <w:tcPr>
            <w:tcW w:w="760" w:type="dxa"/>
            <w:vAlign w:val="bottom"/>
            <w:tcBorders>
              <w:bottom w:val="single" w:sz="8" w:color="auto"/>
            </w:tcBorders>
            <w:shd w:val="clear" w:color="auto" w:fill="E9E9E9"/>
          </w:tcPr>
          <w:p>
            <w:pPr>
              <w:jc w:val="right"/>
              <w:ind w:right="20"/>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auto"/>
            </w:tcBorders>
            <w:shd w:val="clear" w:color="auto" w:fill="E9E9E9"/>
          </w:tcPr>
          <w:p>
            <w:pPr>
              <w:ind w:left="100"/>
              <w:spacing w:after="0"/>
              <w:rPr>
                <w:sz w:val="20"/>
                <w:szCs w:val="20"/>
                <w:color w:val="auto"/>
              </w:rPr>
            </w:pPr>
            <w:r>
              <w:rPr>
                <w:rFonts w:ascii="Arial" w:cs="Arial" w:eastAsia="Arial" w:hAnsi="Arial"/>
                <w:sz w:val="16"/>
                <w:szCs w:val="16"/>
                <w:color w:val="auto"/>
                <w:w w:val="95"/>
              </w:rPr>
              <w:t>1,868,488</w:t>
            </w:r>
          </w:p>
        </w:tc>
        <w:tc>
          <w:tcPr>
            <w:tcW w:w="70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20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671,000</w:t>
            </w:r>
          </w:p>
        </w:tc>
        <w:tc>
          <w:tcPr>
            <w:tcW w:w="1240" w:type="dxa"/>
            <w:vAlign w:val="bottom"/>
            <w:tcBorders>
              <w:bottom w:val="single" w:sz="8" w:color="auto"/>
            </w:tcBorders>
            <w:shd w:val="clear" w:color="auto" w:fill="E9E9E9"/>
          </w:tcPr>
          <w:p>
            <w:pPr>
              <w:jc w:val="right"/>
              <w:ind w:right="20"/>
              <w:spacing w:after="0"/>
              <w:rPr>
                <w:sz w:val="20"/>
                <w:szCs w:val="20"/>
                <w:color w:val="auto"/>
              </w:rPr>
            </w:pPr>
            <w:r>
              <w:rPr>
                <w:rFonts w:ascii="Arial" w:cs="Arial" w:eastAsia="Arial" w:hAnsi="Arial"/>
                <w:sz w:val="16"/>
                <w:szCs w:val="16"/>
                <w:color w:val="auto"/>
              </w:rPr>
              <w:t>78,220</w:t>
            </w:r>
          </w:p>
        </w:tc>
        <w:tc>
          <w:tcPr>
            <w:tcW w:w="840" w:type="dxa"/>
            <w:vAlign w:val="bottom"/>
            <w:tcBorders>
              <w:bottom w:val="single" w:sz="8" w:color="auto"/>
            </w:tcBorders>
            <w:shd w:val="clear" w:color="auto" w:fill="E9E9E9"/>
          </w:tcPr>
          <w:p>
            <w:pPr>
              <w:jc w:val="right"/>
              <w:ind w:right="20"/>
              <w:spacing w:after="0"/>
              <w:rPr>
                <w:sz w:val="20"/>
                <w:szCs w:val="20"/>
                <w:color w:val="auto"/>
              </w:rPr>
            </w:pPr>
            <w:r>
              <w:rPr>
                <w:rFonts w:ascii="Arial" w:cs="Arial" w:eastAsia="Arial" w:hAnsi="Arial"/>
                <w:sz w:val="16"/>
                <w:szCs w:val="16"/>
                <w:color w:val="auto"/>
              </w:rPr>
              <w:t>83,529</w:t>
            </w:r>
          </w:p>
        </w:tc>
        <w:tc>
          <w:tcPr>
            <w:tcW w:w="80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3,201,237</w:t>
            </w:r>
          </w:p>
        </w:tc>
      </w:tr>
    </w:tbl>
    <w:p>
      <w:pPr>
        <w:spacing w:after="0" w:line="107" w:lineRule="exact"/>
        <w:rPr>
          <w:sz w:val="20"/>
          <w:szCs w:val="20"/>
          <w:color w:val="auto"/>
        </w:rPr>
      </w:pPr>
    </w:p>
    <w:p>
      <w:pPr>
        <w:ind w:left="420" w:hanging="369"/>
        <w:spacing w:after="0"/>
        <w:tabs>
          <w:tab w:leader="none" w:pos="4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Salary includes amounts deferred under the Company's Deferred Compensation Plan or 401(k) Plan.</w:t>
      </w:r>
    </w:p>
    <w:p>
      <w:pPr>
        <w:spacing w:after="0" w:line="19" w:lineRule="exact"/>
        <w:rPr>
          <w:rFonts w:ascii="Arial" w:cs="Arial" w:eastAsia="Arial" w:hAnsi="Arial"/>
          <w:sz w:val="16"/>
          <w:szCs w:val="16"/>
          <w:color w:val="auto"/>
        </w:rPr>
      </w:pPr>
    </w:p>
    <w:p>
      <w:pPr>
        <w:ind w:left="420" w:right="260" w:hanging="369"/>
        <w:spacing w:after="0" w:line="302" w:lineRule="auto"/>
        <w:tabs>
          <w:tab w:leader="none" w:pos="4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the aggregate grant date fair value computed in accordance with Financial Accounting Standards Board ("FASB") Accounting Standards Codification ("ASC") Topic 718, Compensation—Stock Compensation. Assumptions used in the calculation of the grant date fair value of the 2014 stock awards are included in Note 16 to our audited financial statements for the fiscal year ended December 31, 2014, included in our 2014 Form 10-K. The grant date value of the 2014 stock awards assuming achievement of the highest level of performance conditions are: for Mr. Nelson, $6,075,042, Mr. Wyshner, $1,500,000; Mr. Gartland, $1,500,000; Mr. De Shon, $2,750,013; and Mr. Siniscalchi, $1,250,014. Awards granted in 2014 are further discussed under "Long-Term Incentive Awards."</w:t>
      </w:r>
    </w:p>
    <w:p>
      <w:pPr>
        <w:spacing w:after="0" w:line="3" w:lineRule="exact"/>
        <w:rPr>
          <w:rFonts w:ascii="Arial" w:cs="Arial" w:eastAsia="Arial" w:hAnsi="Arial"/>
          <w:sz w:val="14"/>
          <w:szCs w:val="14"/>
          <w:color w:val="auto"/>
        </w:rPr>
      </w:pPr>
    </w:p>
    <w:p>
      <w:pPr>
        <w:ind w:left="420" w:right="520" w:hanging="369"/>
        <w:spacing w:after="0" w:line="302" w:lineRule="auto"/>
        <w:tabs>
          <w:tab w:leader="none" w:pos="4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Amounts reflected were earned based on achievement of annual performance goals established for each year, pursuant to the Company's Amended and Restated Equity and Incentive Plan and include deferrals under the Company's Deferred Compensation Plan.</w:t>
      </w:r>
    </w:p>
    <w:p>
      <w:pPr>
        <w:spacing w:after="0" w:line="1" w:lineRule="exact"/>
        <w:rPr>
          <w:rFonts w:ascii="Arial" w:cs="Arial" w:eastAsia="Arial" w:hAnsi="Arial"/>
          <w:sz w:val="14"/>
          <w:szCs w:val="14"/>
          <w:color w:val="auto"/>
        </w:rPr>
      </w:pPr>
    </w:p>
    <w:p>
      <w:pPr>
        <w:ind w:left="420" w:right="160" w:hanging="369"/>
        <w:spacing w:after="0" w:line="265" w:lineRule="auto"/>
        <w:tabs>
          <w:tab w:leader="none" w:pos="4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 Mr. Siniscalchi, the reported change in pension value during the year represents the sum of the increased value accumulated in the Avis Rent A Car System, LLC Pension Plan and the Avis Rent A Car System, LLC Retirement Equalization Benefit Plan. During 2013, such value decreased by $40,538, primarily driven by a change in the discount rate. Avis froze its qualified and non-qualified defined benefit pension plans to new participation and future benefit accruals as of December 31, 1998. Please see the "Pension Benefits Table" below for further information regarding these plans.</w:t>
      </w:r>
    </w:p>
    <w:p>
      <w:pPr>
        <w:ind w:left="420" w:hanging="369"/>
        <w:spacing w:after="0"/>
        <w:tabs>
          <w:tab w:leader="none" w:pos="4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All Other Compensation includes the personal benefits and perquisites presented in the following tables.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620"/>
          </w:cols>
          <w:pgMar w:left="1380" w:top="434" w:right="89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8"/>
        </w:trPr>
        <w:tc>
          <w:tcPr>
            <w:tcW w:w="2560" w:type="dxa"/>
            <w:vAlign w:val="bottom"/>
          </w:tcPr>
          <w:p>
            <w:pPr>
              <w:spacing w:after="0"/>
              <w:rPr>
                <w:sz w:val="20"/>
                <w:szCs w:val="20"/>
                <w:color w:val="auto"/>
              </w:rPr>
            </w:pPr>
            <w:r>
              <w:rPr>
                <w:rFonts w:ascii="Arial" w:cs="Arial" w:eastAsia="Arial" w:hAnsi="Arial"/>
                <w:sz w:val="16"/>
                <w:szCs w:val="16"/>
                <w:b w:val="1"/>
                <w:bCs w:val="1"/>
                <w:color w:val="auto"/>
              </w:rPr>
              <w:t>All Other Compensation Table</w:t>
            </w: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78"/>
        </w:trPr>
        <w:tc>
          <w:tcPr>
            <w:tcW w:w="2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3"/>
        </w:trPr>
        <w:tc>
          <w:tcPr>
            <w:tcW w:w="2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1"/>
              </w:rPr>
              <w:t>Contributions</w:t>
            </w:r>
          </w:p>
        </w:tc>
        <w:tc>
          <w:tcPr>
            <w:tcW w:w="10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2"/>
              </w:rPr>
              <w:t>Expatriate,</w:t>
            </w:r>
          </w:p>
        </w:tc>
        <w:tc>
          <w:tcPr>
            <w:tcW w:w="13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2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1"/>
              </w:rPr>
              <w:t>To Deferred</w:t>
            </w:r>
          </w:p>
        </w:tc>
        <w:tc>
          <w:tcPr>
            <w:tcW w:w="10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7"/>
              </w:rPr>
              <w:t>Relocation</w:t>
            </w:r>
          </w:p>
        </w:tc>
        <w:tc>
          <w:tcPr>
            <w:tcW w:w="1380" w:type="dxa"/>
            <w:vAlign w:val="bottom"/>
          </w:tcPr>
          <w:p>
            <w:pPr>
              <w:jc w:val="center"/>
              <w:ind w:right="60"/>
              <w:spacing w:after="0"/>
              <w:rPr>
                <w:sz w:val="20"/>
                <w:szCs w:val="20"/>
                <w:color w:val="auto"/>
              </w:rPr>
            </w:pPr>
            <w:r>
              <w:rPr>
                <w:rFonts w:ascii="Arial" w:cs="Arial" w:eastAsia="Arial" w:hAnsi="Arial"/>
                <w:sz w:val="16"/>
                <w:szCs w:val="16"/>
                <w:b w:val="1"/>
                <w:bCs w:val="1"/>
                <w:color w:val="auto"/>
                <w:w w:val="93"/>
              </w:rPr>
              <w:t>Expatriate</w:t>
            </w:r>
          </w:p>
        </w:tc>
        <w:tc>
          <w:tcPr>
            <w:tcW w:w="1340" w:type="dxa"/>
            <w:vAlign w:val="bottom"/>
          </w:tcPr>
          <w:p>
            <w:pPr>
              <w:spacing w:after="0"/>
              <w:rPr>
                <w:sz w:val="17"/>
                <w:szCs w:val="17"/>
                <w:color w:val="auto"/>
              </w:rPr>
            </w:pPr>
          </w:p>
        </w:tc>
      </w:tr>
      <w:tr>
        <w:trPr>
          <w:trHeight w:val="203"/>
        </w:trPr>
        <w:tc>
          <w:tcPr>
            <w:tcW w:w="2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8"/>
              </w:rPr>
              <w:t>Compensation</w:t>
            </w:r>
          </w:p>
        </w:tc>
        <w:tc>
          <w:tcPr>
            <w:tcW w:w="1020" w:type="dxa"/>
            <w:vAlign w:val="bottom"/>
          </w:tcPr>
          <w:p>
            <w:pPr>
              <w:spacing w:after="0"/>
              <w:rPr>
                <w:sz w:val="17"/>
                <w:szCs w:val="17"/>
                <w:color w:val="auto"/>
              </w:rPr>
            </w:pPr>
          </w:p>
        </w:tc>
        <w:tc>
          <w:tcPr>
            <w:tcW w:w="1000" w:type="dxa"/>
            <w:vAlign w:val="bottom"/>
          </w:tcPr>
          <w:p>
            <w:pPr>
              <w:jc w:val="center"/>
              <w:ind w:right="20"/>
              <w:spacing w:after="0"/>
              <w:rPr>
                <w:sz w:val="20"/>
                <w:szCs w:val="20"/>
                <w:color w:val="auto"/>
              </w:rPr>
            </w:pPr>
            <w:r>
              <w:rPr>
                <w:rFonts w:ascii="Arial" w:cs="Arial" w:eastAsia="Arial" w:hAnsi="Arial"/>
                <w:sz w:val="16"/>
                <w:szCs w:val="16"/>
                <w:b w:val="1"/>
                <w:bCs w:val="1"/>
                <w:color w:val="auto"/>
                <w:w w:val="92"/>
              </w:rPr>
              <w:t>and Other</w:t>
            </w:r>
          </w:p>
        </w:tc>
        <w:tc>
          <w:tcPr>
            <w:tcW w:w="1380" w:type="dxa"/>
            <w:vAlign w:val="bottom"/>
          </w:tcPr>
          <w:p>
            <w:pPr>
              <w:jc w:val="center"/>
              <w:ind w:right="40"/>
              <w:spacing w:after="0"/>
              <w:rPr>
                <w:sz w:val="20"/>
                <w:szCs w:val="20"/>
                <w:color w:val="auto"/>
              </w:rPr>
            </w:pPr>
            <w:r>
              <w:rPr>
                <w:rFonts w:ascii="Arial" w:cs="Arial" w:eastAsia="Arial" w:hAnsi="Arial"/>
                <w:sz w:val="16"/>
                <w:szCs w:val="16"/>
                <w:b w:val="1"/>
                <w:bCs w:val="1"/>
                <w:color w:val="auto"/>
                <w:w w:val="94"/>
              </w:rPr>
              <w:t>Tax</w:t>
            </w:r>
          </w:p>
        </w:tc>
        <w:tc>
          <w:tcPr>
            <w:tcW w:w="1340" w:type="dxa"/>
            <w:vAlign w:val="bottom"/>
          </w:tcPr>
          <w:p>
            <w:pPr>
              <w:jc w:val="center"/>
              <w:ind w:right="20"/>
              <w:spacing w:after="0"/>
              <w:rPr>
                <w:sz w:val="20"/>
                <w:szCs w:val="20"/>
                <w:color w:val="auto"/>
              </w:rPr>
            </w:pPr>
            <w:r>
              <w:rPr>
                <w:rFonts w:ascii="Arial" w:cs="Arial" w:eastAsia="Arial" w:hAnsi="Arial"/>
                <w:sz w:val="16"/>
                <w:szCs w:val="16"/>
                <w:b w:val="1"/>
                <w:bCs w:val="1"/>
                <w:color w:val="auto"/>
                <w:w w:val="94"/>
              </w:rPr>
              <w:t>Total All Other</w:t>
            </w:r>
          </w:p>
        </w:tc>
      </w:tr>
      <w:tr>
        <w:trPr>
          <w:trHeight w:val="203"/>
        </w:trPr>
        <w:tc>
          <w:tcPr>
            <w:tcW w:w="2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4"/>
              </w:rPr>
              <w:t>Plans</w:t>
            </w:r>
          </w:p>
        </w:tc>
        <w:tc>
          <w:tcPr>
            <w:tcW w:w="1020" w:type="dxa"/>
            <w:vAlign w:val="bottom"/>
          </w:tcPr>
          <w:p>
            <w:pPr>
              <w:jc w:val="right"/>
              <w:ind w:right="100"/>
              <w:spacing w:after="0"/>
              <w:rPr>
                <w:sz w:val="20"/>
                <w:szCs w:val="20"/>
                <w:color w:val="auto"/>
              </w:rPr>
            </w:pPr>
            <w:r>
              <w:rPr>
                <w:rFonts w:ascii="Arial" w:cs="Arial" w:eastAsia="Arial" w:hAnsi="Arial"/>
                <w:sz w:val="16"/>
                <w:szCs w:val="16"/>
                <w:b w:val="1"/>
                <w:bCs w:val="1"/>
                <w:color w:val="auto"/>
                <w:w w:val="95"/>
              </w:rPr>
              <w:t>Perquisites</w:t>
            </w:r>
          </w:p>
        </w:tc>
        <w:tc>
          <w:tcPr>
            <w:tcW w:w="1000" w:type="dxa"/>
            <w:vAlign w:val="bottom"/>
          </w:tcPr>
          <w:p>
            <w:pPr>
              <w:jc w:val="center"/>
              <w:ind w:right="20"/>
              <w:spacing w:after="0"/>
              <w:rPr>
                <w:sz w:val="20"/>
                <w:szCs w:val="20"/>
                <w:color w:val="auto"/>
              </w:rPr>
            </w:pPr>
            <w:r>
              <w:rPr>
                <w:rFonts w:ascii="Arial" w:cs="Arial" w:eastAsia="Arial" w:hAnsi="Arial"/>
                <w:sz w:val="16"/>
                <w:szCs w:val="16"/>
                <w:b w:val="1"/>
                <w:bCs w:val="1"/>
                <w:color w:val="auto"/>
                <w:w w:val="85"/>
              </w:rPr>
              <w:t>Benefits</w:t>
            </w:r>
          </w:p>
        </w:tc>
        <w:tc>
          <w:tcPr>
            <w:tcW w:w="1380" w:type="dxa"/>
            <w:vAlign w:val="bottom"/>
          </w:tcPr>
          <w:p>
            <w:pPr>
              <w:jc w:val="center"/>
              <w:ind w:right="60"/>
              <w:spacing w:after="0"/>
              <w:rPr>
                <w:sz w:val="20"/>
                <w:szCs w:val="20"/>
                <w:color w:val="auto"/>
              </w:rPr>
            </w:pPr>
            <w:r>
              <w:rPr>
                <w:rFonts w:ascii="Arial" w:cs="Arial" w:eastAsia="Arial" w:hAnsi="Arial"/>
                <w:sz w:val="16"/>
                <w:szCs w:val="16"/>
                <w:b w:val="1"/>
                <w:bCs w:val="1"/>
                <w:color w:val="auto"/>
                <w:w w:val="89"/>
              </w:rPr>
              <w:t>Reimbursement</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8"/>
              </w:rPr>
              <w:t>Compensation</w:t>
            </w:r>
          </w:p>
        </w:tc>
      </w:tr>
      <w:tr>
        <w:trPr>
          <w:trHeight w:val="208"/>
        </w:trPr>
        <w:tc>
          <w:tcPr>
            <w:tcW w:w="25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w:t>
            </w:r>
          </w:p>
        </w:tc>
        <w:tc>
          <w:tcPr>
            <w:tcW w:w="98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Year</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w:t>
            </w:r>
          </w:p>
        </w:tc>
        <w:tc>
          <w:tcPr>
            <w:tcW w:w="10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($)(b)</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w:t>
            </w:r>
          </w:p>
        </w:tc>
        <w:tc>
          <w:tcPr>
            <w:tcW w:w="138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4"/>
              </w:rPr>
              <w:t>($)(d)</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r>
      <w:tr>
        <w:trPr>
          <w:trHeight w:val="195"/>
        </w:trPr>
        <w:tc>
          <w:tcPr>
            <w:tcW w:w="2560" w:type="dxa"/>
            <w:vAlign w:val="bottom"/>
            <w:shd w:val="clear" w:color="auto" w:fill="E9E9E9"/>
          </w:tcPr>
          <w:p>
            <w:pPr>
              <w:ind w:left="60"/>
              <w:spacing w:after="0"/>
              <w:rPr>
                <w:sz w:val="20"/>
                <w:szCs w:val="20"/>
                <w:color w:val="auto"/>
              </w:rPr>
            </w:pPr>
            <w:r>
              <w:rPr>
                <w:rFonts w:ascii="Arial" w:cs="Arial" w:eastAsia="Arial" w:hAnsi="Arial"/>
                <w:sz w:val="16"/>
                <w:szCs w:val="16"/>
                <w:color w:val="auto"/>
              </w:rPr>
              <w:t>Mr. Nelson</w:t>
            </w:r>
          </w:p>
        </w:tc>
        <w:tc>
          <w:tcPr>
            <w:tcW w:w="980" w:type="dxa"/>
            <w:vAlign w:val="bottom"/>
            <w:shd w:val="clear" w:color="auto" w:fill="E9E9E9"/>
          </w:tcPr>
          <w:p>
            <w:pPr>
              <w:ind w:left="460"/>
              <w:spacing w:after="0"/>
              <w:rPr>
                <w:sz w:val="20"/>
                <w:szCs w:val="20"/>
                <w:color w:val="auto"/>
              </w:rPr>
            </w:pPr>
            <w:r>
              <w:rPr>
                <w:rFonts w:ascii="Arial" w:cs="Arial" w:eastAsia="Arial" w:hAnsi="Arial"/>
                <w:sz w:val="16"/>
                <w:szCs w:val="16"/>
                <w:color w:val="auto"/>
              </w:rPr>
              <w:t>2014</w:t>
            </w:r>
          </w:p>
        </w:tc>
        <w:tc>
          <w:tcPr>
            <w:tcW w:w="13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188,025</w:t>
            </w:r>
          </w:p>
        </w:tc>
        <w:tc>
          <w:tcPr>
            <w:tcW w:w="10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118,033</w:t>
            </w:r>
          </w:p>
        </w:tc>
        <w:tc>
          <w:tcPr>
            <w:tcW w:w="100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756</w:t>
            </w:r>
          </w:p>
        </w:tc>
        <w:tc>
          <w:tcPr>
            <w:tcW w:w="138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306,814</w:t>
            </w:r>
          </w:p>
        </w:tc>
      </w:tr>
      <w:tr>
        <w:trPr>
          <w:trHeight w:val="203"/>
        </w:trPr>
        <w:tc>
          <w:tcPr>
            <w:tcW w:w="2560" w:type="dxa"/>
            <w:vAlign w:val="bottom"/>
            <w:shd w:val="clear" w:color="auto" w:fill="E9E9E9"/>
          </w:tcPr>
          <w:p>
            <w:pPr>
              <w:spacing w:after="0"/>
              <w:rPr>
                <w:sz w:val="17"/>
                <w:szCs w:val="17"/>
                <w:color w:val="auto"/>
              </w:rPr>
            </w:pPr>
          </w:p>
        </w:tc>
        <w:tc>
          <w:tcPr>
            <w:tcW w:w="980" w:type="dxa"/>
            <w:vAlign w:val="bottom"/>
            <w:shd w:val="clear" w:color="auto" w:fill="E9E9E9"/>
          </w:tcPr>
          <w:p>
            <w:pPr>
              <w:ind w:left="460"/>
              <w:spacing w:after="0"/>
              <w:rPr>
                <w:sz w:val="20"/>
                <w:szCs w:val="20"/>
                <w:color w:val="auto"/>
              </w:rPr>
            </w:pPr>
            <w:r>
              <w:rPr>
                <w:rFonts w:ascii="Arial" w:cs="Arial" w:eastAsia="Arial" w:hAnsi="Arial"/>
                <w:sz w:val="16"/>
                <w:szCs w:val="16"/>
                <w:color w:val="auto"/>
              </w:rPr>
              <w:t>2013</w:t>
            </w:r>
          </w:p>
        </w:tc>
        <w:tc>
          <w:tcPr>
            <w:tcW w:w="13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177,675</w:t>
            </w:r>
          </w:p>
        </w:tc>
        <w:tc>
          <w:tcPr>
            <w:tcW w:w="10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114,701</w:t>
            </w:r>
          </w:p>
        </w:tc>
        <w:tc>
          <w:tcPr>
            <w:tcW w:w="100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876</w:t>
            </w:r>
          </w:p>
        </w:tc>
        <w:tc>
          <w:tcPr>
            <w:tcW w:w="138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293,252</w:t>
            </w:r>
          </w:p>
        </w:tc>
      </w:tr>
      <w:tr>
        <w:trPr>
          <w:trHeight w:val="203"/>
        </w:trPr>
        <w:tc>
          <w:tcPr>
            <w:tcW w:w="2560" w:type="dxa"/>
            <w:vAlign w:val="bottom"/>
            <w:shd w:val="clear" w:color="auto" w:fill="E9E9E9"/>
          </w:tcPr>
          <w:p>
            <w:pPr>
              <w:spacing w:after="0"/>
              <w:rPr>
                <w:sz w:val="17"/>
                <w:szCs w:val="17"/>
                <w:color w:val="auto"/>
              </w:rPr>
            </w:pPr>
          </w:p>
        </w:tc>
        <w:tc>
          <w:tcPr>
            <w:tcW w:w="980" w:type="dxa"/>
            <w:vAlign w:val="bottom"/>
            <w:shd w:val="clear" w:color="auto" w:fill="E9E9E9"/>
          </w:tcPr>
          <w:p>
            <w:pPr>
              <w:ind w:left="460"/>
              <w:spacing w:after="0"/>
              <w:rPr>
                <w:sz w:val="20"/>
                <w:szCs w:val="20"/>
                <w:color w:val="auto"/>
              </w:rPr>
            </w:pPr>
            <w:r>
              <w:rPr>
                <w:rFonts w:ascii="Arial" w:cs="Arial" w:eastAsia="Arial" w:hAnsi="Arial"/>
                <w:sz w:val="16"/>
                <w:szCs w:val="16"/>
                <w:color w:val="auto"/>
              </w:rPr>
              <w:t>2012</w:t>
            </w:r>
          </w:p>
        </w:tc>
        <w:tc>
          <w:tcPr>
            <w:tcW w:w="13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178,710</w:t>
            </w:r>
          </w:p>
        </w:tc>
        <w:tc>
          <w:tcPr>
            <w:tcW w:w="10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149,276</w:t>
            </w:r>
          </w:p>
        </w:tc>
        <w:tc>
          <w:tcPr>
            <w:tcW w:w="100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876</w:t>
            </w:r>
          </w:p>
        </w:tc>
        <w:tc>
          <w:tcPr>
            <w:tcW w:w="138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328,862</w:t>
            </w:r>
          </w:p>
        </w:tc>
      </w:tr>
      <w:tr>
        <w:trPr>
          <w:trHeight w:val="203"/>
        </w:trPr>
        <w:tc>
          <w:tcPr>
            <w:tcW w:w="2560" w:type="dxa"/>
            <w:vAlign w:val="bottom"/>
          </w:tcPr>
          <w:p>
            <w:pPr>
              <w:ind w:left="60"/>
              <w:spacing w:after="0"/>
              <w:rPr>
                <w:sz w:val="20"/>
                <w:szCs w:val="20"/>
                <w:color w:val="auto"/>
              </w:rPr>
            </w:pPr>
            <w:r>
              <w:rPr>
                <w:rFonts w:ascii="Arial" w:cs="Arial" w:eastAsia="Arial" w:hAnsi="Arial"/>
                <w:sz w:val="16"/>
                <w:szCs w:val="16"/>
                <w:color w:val="auto"/>
              </w:rPr>
              <w:t>Mr. Wyshner</w:t>
            </w:r>
          </w:p>
        </w:tc>
        <w:tc>
          <w:tcPr>
            <w:tcW w:w="980" w:type="dxa"/>
            <w:vAlign w:val="bottom"/>
          </w:tcPr>
          <w:p>
            <w:pPr>
              <w:ind w:left="460"/>
              <w:spacing w:after="0"/>
              <w:rPr>
                <w:sz w:val="20"/>
                <w:szCs w:val="20"/>
                <w:color w:val="auto"/>
              </w:rPr>
            </w:pPr>
            <w:r>
              <w:rPr>
                <w:rFonts w:ascii="Arial" w:cs="Arial" w:eastAsia="Arial" w:hAnsi="Arial"/>
                <w:sz w:val="16"/>
                <w:szCs w:val="16"/>
                <w:color w:val="auto"/>
              </w:rPr>
              <w:t>2014</w:t>
            </w:r>
          </w:p>
        </w:tc>
        <w:tc>
          <w:tcPr>
            <w:tcW w:w="1340" w:type="dxa"/>
            <w:vAlign w:val="bottom"/>
          </w:tcPr>
          <w:p>
            <w:pPr>
              <w:jc w:val="right"/>
              <w:spacing w:after="0"/>
              <w:rPr>
                <w:sz w:val="20"/>
                <w:szCs w:val="20"/>
                <w:color w:val="auto"/>
              </w:rPr>
            </w:pPr>
            <w:r>
              <w:rPr>
                <w:rFonts w:ascii="Arial" w:cs="Arial" w:eastAsia="Arial" w:hAnsi="Arial"/>
                <w:sz w:val="16"/>
                <w:szCs w:val="16"/>
                <w:color w:val="auto"/>
              </w:rPr>
              <w:t>90,300</w:t>
            </w:r>
          </w:p>
        </w:tc>
        <w:tc>
          <w:tcPr>
            <w:tcW w:w="1020" w:type="dxa"/>
            <w:vAlign w:val="bottom"/>
          </w:tcPr>
          <w:p>
            <w:pPr>
              <w:jc w:val="right"/>
              <w:spacing w:after="0"/>
              <w:rPr>
                <w:sz w:val="20"/>
                <w:szCs w:val="20"/>
                <w:color w:val="auto"/>
              </w:rPr>
            </w:pPr>
            <w:r>
              <w:rPr>
                <w:rFonts w:ascii="Arial" w:cs="Arial" w:eastAsia="Arial" w:hAnsi="Arial"/>
                <w:sz w:val="16"/>
                <w:szCs w:val="16"/>
                <w:color w:val="auto"/>
              </w:rPr>
              <w:t>32,709</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756</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123,765</w:t>
            </w:r>
          </w:p>
        </w:tc>
      </w:tr>
      <w:tr>
        <w:trPr>
          <w:trHeight w:val="203"/>
        </w:trPr>
        <w:tc>
          <w:tcPr>
            <w:tcW w:w="2560" w:type="dxa"/>
            <w:vAlign w:val="bottom"/>
          </w:tcPr>
          <w:p>
            <w:pPr>
              <w:spacing w:after="0"/>
              <w:rPr>
                <w:sz w:val="17"/>
                <w:szCs w:val="17"/>
                <w:color w:val="auto"/>
              </w:rPr>
            </w:pPr>
          </w:p>
        </w:tc>
        <w:tc>
          <w:tcPr>
            <w:tcW w:w="980" w:type="dxa"/>
            <w:vAlign w:val="bottom"/>
          </w:tcPr>
          <w:p>
            <w:pPr>
              <w:ind w:left="460"/>
              <w:spacing w:after="0"/>
              <w:rPr>
                <w:sz w:val="20"/>
                <w:szCs w:val="20"/>
                <w:color w:val="auto"/>
              </w:rPr>
            </w:pPr>
            <w:r>
              <w:rPr>
                <w:rFonts w:ascii="Arial" w:cs="Arial" w:eastAsia="Arial" w:hAnsi="Arial"/>
                <w:sz w:val="16"/>
                <w:szCs w:val="16"/>
                <w:color w:val="auto"/>
              </w:rPr>
              <w:t>2013</w:t>
            </w:r>
          </w:p>
        </w:tc>
        <w:tc>
          <w:tcPr>
            <w:tcW w:w="1340" w:type="dxa"/>
            <w:vAlign w:val="bottom"/>
          </w:tcPr>
          <w:p>
            <w:pPr>
              <w:jc w:val="right"/>
              <w:spacing w:after="0"/>
              <w:rPr>
                <w:sz w:val="20"/>
                <w:szCs w:val="20"/>
                <w:color w:val="auto"/>
              </w:rPr>
            </w:pPr>
            <w:r>
              <w:rPr>
                <w:rFonts w:ascii="Arial" w:cs="Arial" w:eastAsia="Arial" w:hAnsi="Arial"/>
                <w:sz w:val="16"/>
                <w:szCs w:val="16"/>
                <w:color w:val="auto"/>
              </w:rPr>
              <w:t>83,735</w:t>
            </w:r>
          </w:p>
        </w:tc>
        <w:tc>
          <w:tcPr>
            <w:tcW w:w="1020" w:type="dxa"/>
            <w:vAlign w:val="bottom"/>
          </w:tcPr>
          <w:p>
            <w:pPr>
              <w:jc w:val="right"/>
              <w:spacing w:after="0"/>
              <w:rPr>
                <w:sz w:val="20"/>
                <w:szCs w:val="20"/>
                <w:color w:val="auto"/>
              </w:rPr>
            </w:pPr>
            <w:r>
              <w:rPr>
                <w:rFonts w:ascii="Arial" w:cs="Arial" w:eastAsia="Arial" w:hAnsi="Arial"/>
                <w:sz w:val="16"/>
                <w:szCs w:val="16"/>
                <w:color w:val="auto"/>
              </w:rPr>
              <w:t>57,672</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876</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142,283</w:t>
            </w:r>
          </w:p>
        </w:tc>
      </w:tr>
      <w:tr>
        <w:trPr>
          <w:trHeight w:val="204"/>
        </w:trPr>
        <w:tc>
          <w:tcPr>
            <w:tcW w:w="2560" w:type="dxa"/>
            <w:vAlign w:val="bottom"/>
          </w:tcPr>
          <w:p>
            <w:pPr>
              <w:spacing w:after="0"/>
              <w:rPr>
                <w:sz w:val="17"/>
                <w:szCs w:val="17"/>
                <w:color w:val="auto"/>
              </w:rPr>
            </w:pPr>
          </w:p>
        </w:tc>
        <w:tc>
          <w:tcPr>
            <w:tcW w:w="980" w:type="dxa"/>
            <w:vAlign w:val="bottom"/>
          </w:tcPr>
          <w:p>
            <w:pPr>
              <w:ind w:left="460"/>
              <w:spacing w:after="0"/>
              <w:rPr>
                <w:sz w:val="20"/>
                <w:szCs w:val="20"/>
                <w:color w:val="auto"/>
              </w:rPr>
            </w:pPr>
            <w:r>
              <w:rPr>
                <w:rFonts w:ascii="Arial" w:cs="Arial" w:eastAsia="Arial" w:hAnsi="Arial"/>
                <w:sz w:val="16"/>
                <w:szCs w:val="16"/>
                <w:color w:val="auto"/>
              </w:rPr>
              <w:t>2012</w:t>
            </w:r>
          </w:p>
        </w:tc>
        <w:tc>
          <w:tcPr>
            <w:tcW w:w="1340" w:type="dxa"/>
            <w:vAlign w:val="bottom"/>
          </w:tcPr>
          <w:p>
            <w:pPr>
              <w:jc w:val="right"/>
              <w:spacing w:after="0"/>
              <w:rPr>
                <w:sz w:val="20"/>
                <w:szCs w:val="20"/>
                <w:color w:val="auto"/>
              </w:rPr>
            </w:pPr>
            <w:r>
              <w:rPr>
                <w:rFonts w:ascii="Arial" w:cs="Arial" w:eastAsia="Arial" w:hAnsi="Arial"/>
                <w:sz w:val="16"/>
                <w:szCs w:val="16"/>
                <w:color w:val="auto"/>
              </w:rPr>
              <w:t>74,160</w:t>
            </w:r>
          </w:p>
        </w:tc>
        <w:tc>
          <w:tcPr>
            <w:tcW w:w="1020" w:type="dxa"/>
            <w:vAlign w:val="bottom"/>
          </w:tcPr>
          <w:p>
            <w:pPr>
              <w:jc w:val="right"/>
              <w:spacing w:after="0"/>
              <w:rPr>
                <w:sz w:val="20"/>
                <w:szCs w:val="20"/>
                <w:color w:val="auto"/>
              </w:rPr>
            </w:pPr>
            <w:r>
              <w:rPr>
                <w:rFonts w:ascii="Arial" w:cs="Arial" w:eastAsia="Arial" w:hAnsi="Arial"/>
                <w:sz w:val="16"/>
                <w:szCs w:val="16"/>
                <w:color w:val="auto"/>
              </w:rPr>
              <w:t>41,103</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788</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116,051</w:t>
            </w:r>
          </w:p>
        </w:tc>
      </w:tr>
      <w:tr>
        <w:trPr>
          <w:trHeight w:val="203"/>
        </w:trPr>
        <w:tc>
          <w:tcPr>
            <w:tcW w:w="2560" w:type="dxa"/>
            <w:vAlign w:val="bottom"/>
            <w:shd w:val="clear" w:color="auto" w:fill="E9E9E9"/>
          </w:tcPr>
          <w:p>
            <w:pPr>
              <w:ind w:left="60"/>
              <w:spacing w:after="0"/>
              <w:rPr>
                <w:sz w:val="20"/>
                <w:szCs w:val="20"/>
                <w:color w:val="auto"/>
              </w:rPr>
            </w:pPr>
            <w:r>
              <w:rPr>
                <w:rFonts w:ascii="Arial" w:cs="Arial" w:eastAsia="Arial" w:hAnsi="Arial"/>
                <w:sz w:val="16"/>
                <w:szCs w:val="16"/>
                <w:color w:val="auto"/>
              </w:rPr>
              <w:t>Mr. Gartland</w:t>
            </w:r>
          </w:p>
        </w:tc>
        <w:tc>
          <w:tcPr>
            <w:tcW w:w="980" w:type="dxa"/>
            <w:vAlign w:val="bottom"/>
            <w:shd w:val="clear" w:color="auto" w:fill="E9E9E9"/>
          </w:tcPr>
          <w:p>
            <w:pPr>
              <w:ind w:left="460"/>
              <w:spacing w:after="0"/>
              <w:rPr>
                <w:sz w:val="20"/>
                <w:szCs w:val="20"/>
                <w:color w:val="auto"/>
              </w:rPr>
            </w:pPr>
            <w:r>
              <w:rPr>
                <w:rFonts w:ascii="Arial" w:cs="Arial" w:eastAsia="Arial" w:hAnsi="Arial"/>
                <w:sz w:val="16"/>
                <w:szCs w:val="16"/>
                <w:color w:val="auto"/>
              </w:rPr>
              <w:t>2014</w:t>
            </w:r>
          </w:p>
        </w:tc>
        <w:tc>
          <w:tcPr>
            <w:tcW w:w="13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100,065</w:t>
            </w:r>
          </w:p>
        </w:tc>
        <w:tc>
          <w:tcPr>
            <w:tcW w:w="10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72,491</w:t>
            </w:r>
          </w:p>
        </w:tc>
        <w:tc>
          <w:tcPr>
            <w:tcW w:w="100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756</w:t>
            </w:r>
          </w:p>
        </w:tc>
        <w:tc>
          <w:tcPr>
            <w:tcW w:w="138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173,312</w:t>
            </w:r>
          </w:p>
        </w:tc>
      </w:tr>
      <w:tr>
        <w:trPr>
          <w:trHeight w:val="203"/>
        </w:trPr>
        <w:tc>
          <w:tcPr>
            <w:tcW w:w="2560" w:type="dxa"/>
            <w:vAlign w:val="bottom"/>
            <w:shd w:val="clear" w:color="auto" w:fill="E9E9E9"/>
          </w:tcPr>
          <w:p>
            <w:pPr>
              <w:spacing w:after="0"/>
              <w:rPr>
                <w:sz w:val="17"/>
                <w:szCs w:val="17"/>
                <w:color w:val="auto"/>
              </w:rPr>
            </w:pPr>
          </w:p>
        </w:tc>
        <w:tc>
          <w:tcPr>
            <w:tcW w:w="980" w:type="dxa"/>
            <w:vAlign w:val="bottom"/>
            <w:shd w:val="clear" w:color="auto" w:fill="E9E9E9"/>
          </w:tcPr>
          <w:p>
            <w:pPr>
              <w:ind w:left="460"/>
              <w:spacing w:after="0"/>
              <w:rPr>
                <w:sz w:val="20"/>
                <w:szCs w:val="20"/>
                <w:color w:val="auto"/>
              </w:rPr>
            </w:pPr>
            <w:r>
              <w:rPr>
                <w:rFonts w:ascii="Arial" w:cs="Arial" w:eastAsia="Arial" w:hAnsi="Arial"/>
                <w:sz w:val="16"/>
                <w:szCs w:val="16"/>
                <w:color w:val="auto"/>
              </w:rPr>
              <w:t>2013</w:t>
            </w:r>
          </w:p>
        </w:tc>
        <w:tc>
          <w:tcPr>
            <w:tcW w:w="13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85,266</w:t>
            </w:r>
          </w:p>
        </w:tc>
        <w:tc>
          <w:tcPr>
            <w:tcW w:w="10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58,164</w:t>
            </w:r>
          </w:p>
        </w:tc>
        <w:tc>
          <w:tcPr>
            <w:tcW w:w="100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876</w:t>
            </w:r>
          </w:p>
        </w:tc>
        <w:tc>
          <w:tcPr>
            <w:tcW w:w="138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144,306</w:t>
            </w:r>
          </w:p>
        </w:tc>
      </w:tr>
      <w:tr>
        <w:trPr>
          <w:trHeight w:val="203"/>
        </w:trPr>
        <w:tc>
          <w:tcPr>
            <w:tcW w:w="2560" w:type="dxa"/>
            <w:vAlign w:val="bottom"/>
            <w:shd w:val="clear" w:color="auto" w:fill="E9E9E9"/>
          </w:tcPr>
          <w:p>
            <w:pPr>
              <w:spacing w:after="0"/>
              <w:rPr>
                <w:sz w:val="17"/>
                <w:szCs w:val="17"/>
                <w:color w:val="auto"/>
              </w:rPr>
            </w:pPr>
          </w:p>
        </w:tc>
        <w:tc>
          <w:tcPr>
            <w:tcW w:w="980" w:type="dxa"/>
            <w:vAlign w:val="bottom"/>
            <w:shd w:val="clear" w:color="auto" w:fill="E9E9E9"/>
          </w:tcPr>
          <w:p>
            <w:pPr>
              <w:ind w:left="460"/>
              <w:spacing w:after="0"/>
              <w:rPr>
                <w:sz w:val="20"/>
                <w:szCs w:val="20"/>
                <w:color w:val="auto"/>
              </w:rPr>
            </w:pPr>
            <w:r>
              <w:rPr>
                <w:rFonts w:ascii="Arial" w:cs="Arial" w:eastAsia="Arial" w:hAnsi="Arial"/>
                <w:sz w:val="16"/>
                <w:szCs w:val="16"/>
                <w:color w:val="auto"/>
              </w:rPr>
              <w:t>2012</w:t>
            </w:r>
          </w:p>
        </w:tc>
        <w:tc>
          <w:tcPr>
            <w:tcW w:w="13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78,912</w:t>
            </w:r>
          </w:p>
        </w:tc>
        <w:tc>
          <w:tcPr>
            <w:tcW w:w="10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87,528</w:t>
            </w:r>
          </w:p>
        </w:tc>
        <w:tc>
          <w:tcPr>
            <w:tcW w:w="100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788</w:t>
            </w:r>
          </w:p>
        </w:tc>
        <w:tc>
          <w:tcPr>
            <w:tcW w:w="138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167,228</w:t>
            </w:r>
          </w:p>
        </w:tc>
      </w:tr>
      <w:tr>
        <w:trPr>
          <w:trHeight w:val="203"/>
        </w:trPr>
        <w:tc>
          <w:tcPr>
            <w:tcW w:w="2560" w:type="dxa"/>
            <w:vAlign w:val="bottom"/>
          </w:tcPr>
          <w:p>
            <w:pPr>
              <w:ind w:left="60"/>
              <w:spacing w:after="0"/>
              <w:rPr>
                <w:sz w:val="20"/>
                <w:szCs w:val="20"/>
                <w:color w:val="auto"/>
              </w:rPr>
            </w:pPr>
            <w:r>
              <w:rPr>
                <w:rFonts w:ascii="Arial" w:cs="Arial" w:eastAsia="Arial" w:hAnsi="Arial"/>
                <w:sz w:val="16"/>
                <w:szCs w:val="16"/>
                <w:color w:val="auto"/>
              </w:rPr>
              <w:t>Mr. De Shon</w:t>
            </w:r>
          </w:p>
        </w:tc>
        <w:tc>
          <w:tcPr>
            <w:tcW w:w="980" w:type="dxa"/>
            <w:vAlign w:val="bottom"/>
          </w:tcPr>
          <w:p>
            <w:pPr>
              <w:ind w:left="460"/>
              <w:spacing w:after="0"/>
              <w:rPr>
                <w:sz w:val="20"/>
                <w:szCs w:val="20"/>
                <w:color w:val="auto"/>
              </w:rPr>
            </w:pPr>
            <w:r>
              <w:rPr>
                <w:rFonts w:ascii="Arial" w:cs="Arial" w:eastAsia="Arial" w:hAnsi="Arial"/>
                <w:sz w:val="16"/>
                <w:szCs w:val="16"/>
                <w:color w:val="auto"/>
              </w:rPr>
              <w:t>2014</w:t>
            </w:r>
          </w:p>
        </w:tc>
        <w:tc>
          <w:tcPr>
            <w:tcW w:w="1340" w:type="dxa"/>
            <w:vAlign w:val="bottom"/>
          </w:tcPr>
          <w:p>
            <w:pPr>
              <w:jc w:val="right"/>
              <w:spacing w:after="0"/>
              <w:rPr>
                <w:sz w:val="20"/>
                <w:szCs w:val="20"/>
                <w:color w:val="auto"/>
              </w:rPr>
            </w:pPr>
            <w:r>
              <w:rPr>
                <w:rFonts w:ascii="Arial" w:cs="Arial" w:eastAsia="Arial" w:hAnsi="Arial"/>
                <w:sz w:val="16"/>
                <w:szCs w:val="16"/>
                <w:color w:val="auto"/>
              </w:rPr>
              <w:t>90,300</w:t>
            </w:r>
          </w:p>
        </w:tc>
        <w:tc>
          <w:tcPr>
            <w:tcW w:w="1020" w:type="dxa"/>
            <w:vAlign w:val="bottom"/>
          </w:tcPr>
          <w:p>
            <w:pPr>
              <w:jc w:val="right"/>
              <w:spacing w:after="0"/>
              <w:rPr>
                <w:sz w:val="20"/>
                <w:szCs w:val="20"/>
                <w:color w:val="auto"/>
              </w:rPr>
            </w:pPr>
            <w:r>
              <w:rPr>
                <w:rFonts w:ascii="Arial" w:cs="Arial" w:eastAsia="Arial" w:hAnsi="Arial"/>
                <w:sz w:val="16"/>
                <w:szCs w:val="16"/>
                <w:color w:val="auto"/>
              </w:rPr>
              <w:t>59,026</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346,822</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3,175,221</w:t>
            </w:r>
          </w:p>
        </w:tc>
        <w:tc>
          <w:tcPr>
            <w:tcW w:w="1340" w:type="dxa"/>
            <w:vAlign w:val="bottom"/>
          </w:tcPr>
          <w:p>
            <w:pPr>
              <w:jc w:val="right"/>
              <w:spacing w:after="0"/>
              <w:rPr>
                <w:sz w:val="20"/>
                <w:szCs w:val="20"/>
                <w:color w:val="auto"/>
              </w:rPr>
            </w:pPr>
            <w:r>
              <w:rPr>
                <w:rFonts w:ascii="Arial" w:cs="Arial" w:eastAsia="Arial" w:hAnsi="Arial"/>
                <w:sz w:val="16"/>
                <w:szCs w:val="16"/>
                <w:color w:val="auto"/>
              </w:rPr>
              <w:t>3,671,369</w:t>
            </w:r>
          </w:p>
        </w:tc>
      </w:tr>
      <w:tr>
        <w:trPr>
          <w:trHeight w:val="203"/>
        </w:trPr>
        <w:tc>
          <w:tcPr>
            <w:tcW w:w="2560" w:type="dxa"/>
            <w:vAlign w:val="bottom"/>
          </w:tcPr>
          <w:p>
            <w:pPr>
              <w:spacing w:after="0"/>
              <w:rPr>
                <w:sz w:val="17"/>
                <w:szCs w:val="17"/>
                <w:color w:val="auto"/>
              </w:rPr>
            </w:pPr>
          </w:p>
        </w:tc>
        <w:tc>
          <w:tcPr>
            <w:tcW w:w="980" w:type="dxa"/>
            <w:vAlign w:val="bottom"/>
          </w:tcPr>
          <w:p>
            <w:pPr>
              <w:ind w:left="460"/>
              <w:spacing w:after="0"/>
              <w:rPr>
                <w:sz w:val="20"/>
                <w:szCs w:val="20"/>
                <w:color w:val="auto"/>
              </w:rPr>
            </w:pPr>
            <w:r>
              <w:rPr>
                <w:rFonts w:ascii="Arial" w:cs="Arial" w:eastAsia="Arial" w:hAnsi="Arial"/>
                <w:sz w:val="16"/>
                <w:szCs w:val="16"/>
                <w:color w:val="auto"/>
              </w:rPr>
              <w:t>2013</w:t>
            </w:r>
          </w:p>
        </w:tc>
        <w:tc>
          <w:tcPr>
            <w:tcW w:w="1340" w:type="dxa"/>
            <w:vAlign w:val="bottom"/>
          </w:tcPr>
          <w:p>
            <w:pPr>
              <w:jc w:val="right"/>
              <w:spacing w:after="0"/>
              <w:rPr>
                <w:sz w:val="20"/>
                <w:szCs w:val="20"/>
                <w:color w:val="auto"/>
              </w:rPr>
            </w:pPr>
            <w:r>
              <w:rPr>
                <w:rFonts w:ascii="Arial" w:cs="Arial" w:eastAsia="Arial" w:hAnsi="Arial"/>
                <w:sz w:val="16"/>
                <w:szCs w:val="16"/>
                <w:color w:val="auto"/>
              </w:rPr>
              <w:t>64,015</w:t>
            </w:r>
          </w:p>
        </w:tc>
        <w:tc>
          <w:tcPr>
            <w:tcW w:w="1020" w:type="dxa"/>
            <w:vAlign w:val="bottom"/>
          </w:tcPr>
          <w:p>
            <w:pPr>
              <w:jc w:val="right"/>
              <w:spacing w:after="0"/>
              <w:rPr>
                <w:sz w:val="20"/>
                <w:szCs w:val="20"/>
                <w:color w:val="auto"/>
              </w:rPr>
            </w:pPr>
            <w:r>
              <w:rPr>
                <w:rFonts w:ascii="Arial" w:cs="Arial" w:eastAsia="Arial" w:hAnsi="Arial"/>
                <w:sz w:val="16"/>
                <w:szCs w:val="16"/>
                <w:color w:val="auto"/>
              </w:rPr>
              <w:t>36,327</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299,558</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1,643,240</w:t>
            </w:r>
          </w:p>
        </w:tc>
        <w:tc>
          <w:tcPr>
            <w:tcW w:w="1340" w:type="dxa"/>
            <w:vAlign w:val="bottom"/>
          </w:tcPr>
          <w:p>
            <w:pPr>
              <w:jc w:val="right"/>
              <w:spacing w:after="0"/>
              <w:rPr>
                <w:sz w:val="20"/>
                <w:szCs w:val="20"/>
                <w:color w:val="auto"/>
              </w:rPr>
            </w:pPr>
            <w:r>
              <w:rPr>
                <w:rFonts w:ascii="Arial" w:cs="Arial" w:eastAsia="Arial" w:hAnsi="Arial"/>
                <w:sz w:val="16"/>
                <w:szCs w:val="16"/>
                <w:color w:val="auto"/>
              </w:rPr>
              <w:t>2,043,140</w:t>
            </w:r>
          </w:p>
        </w:tc>
      </w:tr>
      <w:tr>
        <w:trPr>
          <w:trHeight w:val="204"/>
        </w:trPr>
        <w:tc>
          <w:tcPr>
            <w:tcW w:w="2560" w:type="dxa"/>
            <w:vAlign w:val="bottom"/>
          </w:tcPr>
          <w:p>
            <w:pPr>
              <w:spacing w:after="0"/>
              <w:rPr>
                <w:sz w:val="17"/>
                <w:szCs w:val="17"/>
                <w:color w:val="auto"/>
              </w:rPr>
            </w:pPr>
          </w:p>
        </w:tc>
        <w:tc>
          <w:tcPr>
            <w:tcW w:w="980" w:type="dxa"/>
            <w:vAlign w:val="bottom"/>
          </w:tcPr>
          <w:p>
            <w:pPr>
              <w:ind w:left="460"/>
              <w:spacing w:after="0"/>
              <w:rPr>
                <w:sz w:val="20"/>
                <w:szCs w:val="20"/>
                <w:color w:val="auto"/>
              </w:rPr>
            </w:pPr>
            <w:r>
              <w:rPr>
                <w:rFonts w:ascii="Arial" w:cs="Arial" w:eastAsia="Arial" w:hAnsi="Arial"/>
                <w:sz w:val="16"/>
                <w:szCs w:val="16"/>
                <w:color w:val="auto"/>
              </w:rPr>
              <w:t>2012</w:t>
            </w:r>
          </w:p>
        </w:tc>
        <w:tc>
          <w:tcPr>
            <w:tcW w:w="1340" w:type="dxa"/>
            <w:vAlign w:val="bottom"/>
          </w:tcPr>
          <w:p>
            <w:pPr>
              <w:jc w:val="right"/>
              <w:spacing w:after="0"/>
              <w:rPr>
                <w:sz w:val="20"/>
                <w:szCs w:val="20"/>
                <w:color w:val="auto"/>
              </w:rPr>
            </w:pPr>
            <w:r>
              <w:rPr>
                <w:rFonts w:ascii="Arial" w:cs="Arial" w:eastAsia="Arial" w:hAnsi="Arial"/>
                <w:sz w:val="16"/>
                <w:szCs w:val="16"/>
                <w:color w:val="auto"/>
              </w:rPr>
              <w:t>29,956</w:t>
            </w:r>
          </w:p>
        </w:tc>
        <w:tc>
          <w:tcPr>
            <w:tcW w:w="1020" w:type="dxa"/>
            <w:vAlign w:val="bottom"/>
          </w:tcPr>
          <w:p>
            <w:pPr>
              <w:jc w:val="right"/>
              <w:spacing w:after="0"/>
              <w:rPr>
                <w:sz w:val="20"/>
                <w:szCs w:val="20"/>
                <w:color w:val="auto"/>
              </w:rPr>
            </w:pPr>
            <w:r>
              <w:rPr>
                <w:rFonts w:ascii="Arial" w:cs="Arial" w:eastAsia="Arial" w:hAnsi="Arial"/>
                <w:sz w:val="16"/>
                <w:szCs w:val="16"/>
                <w:color w:val="auto"/>
              </w:rPr>
              <w:t>41,332</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331,384</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12,049</w:t>
            </w:r>
          </w:p>
        </w:tc>
        <w:tc>
          <w:tcPr>
            <w:tcW w:w="1340" w:type="dxa"/>
            <w:vAlign w:val="bottom"/>
          </w:tcPr>
          <w:p>
            <w:pPr>
              <w:jc w:val="right"/>
              <w:spacing w:after="0"/>
              <w:rPr>
                <w:sz w:val="20"/>
                <w:szCs w:val="20"/>
                <w:color w:val="auto"/>
              </w:rPr>
            </w:pPr>
            <w:r>
              <w:rPr>
                <w:rFonts w:ascii="Arial" w:cs="Arial" w:eastAsia="Arial" w:hAnsi="Arial"/>
                <w:sz w:val="16"/>
                <w:szCs w:val="16"/>
                <w:color w:val="auto"/>
              </w:rPr>
              <w:t>414,721</w:t>
            </w:r>
          </w:p>
        </w:tc>
      </w:tr>
      <w:tr>
        <w:trPr>
          <w:trHeight w:val="203"/>
        </w:trPr>
        <w:tc>
          <w:tcPr>
            <w:tcW w:w="2560" w:type="dxa"/>
            <w:vAlign w:val="bottom"/>
            <w:shd w:val="clear" w:color="auto" w:fill="E9E9E9"/>
          </w:tcPr>
          <w:p>
            <w:pPr>
              <w:ind w:left="60"/>
              <w:spacing w:after="0"/>
              <w:rPr>
                <w:sz w:val="20"/>
                <w:szCs w:val="20"/>
                <w:color w:val="auto"/>
              </w:rPr>
            </w:pPr>
            <w:r>
              <w:rPr>
                <w:rFonts w:ascii="Arial" w:cs="Arial" w:eastAsia="Arial" w:hAnsi="Arial"/>
                <w:sz w:val="16"/>
                <w:szCs w:val="16"/>
                <w:color w:val="auto"/>
              </w:rPr>
              <w:t>Mr. Siniscalchi</w:t>
            </w:r>
          </w:p>
        </w:tc>
        <w:tc>
          <w:tcPr>
            <w:tcW w:w="980" w:type="dxa"/>
            <w:vAlign w:val="bottom"/>
            <w:shd w:val="clear" w:color="auto" w:fill="E9E9E9"/>
          </w:tcPr>
          <w:p>
            <w:pPr>
              <w:ind w:left="460"/>
              <w:spacing w:after="0"/>
              <w:rPr>
                <w:sz w:val="20"/>
                <w:szCs w:val="20"/>
                <w:color w:val="auto"/>
              </w:rPr>
            </w:pPr>
            <w:r>
              <w:rPr>
                <w:rFonts w:ascii="Arial" w:cs="Arial" w:eastAsia="Arial" w:hAnsi="Arial"/>
                <w:sz w:val="16"/>
                <w:szCs w:val="16"/>
                <w:color w:val="auto"/>
              </w:rPr>
              <w:t>2014</w:t>
            </w:r>
          </w:p>
        </w:tc>
        <w:tc>
          <w:tcPr>
            <w:tcW w:w="13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54,287</w:t>
            </w:r>
          </w:p>
        </w:tc>
        <w:tc>
          <w:tcPr>
            <w:tcW w:w="10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25,882</w:t>
            </w:r>
          </w:p>
        </w:tc>
        <w:tc>
          <w:tcPr>
            <w:tcW w:w="100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590</w:t>
            </w:r>
          </w:p>
        </w:tc>
        <w:tc>
          <w:tcPr>
            <w:tcW w:w="138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80,759</w:t>
            </w:r>
          </w:p>
        </w:tc>
      </w:tr>
      <w:tr>
        <w:trPr>
          <w:trHeight w:val="203"/>
        </w:trPr>
        <w:tc>
          <w:tcPr>
            <w:tcW w:w="2560" w:type="dxa"/>
            <w:vAlign w:val="bottom"/>
            <w:shd w:val="clear" w:color="auto" w:fill="E9E9E9"/>
          </w:tcPr>
          <w:p>
            <w:pPr>
              <w:spacing w:after="0"/>
              <w:rPr>
                <w:sz w:val="17"/>
                <w:szCs w:val="17"/>
                <w:color w:val="auto"/>
              </w:rPr>
            </w:pPr>
          </w:p>
        </w:tc>
        <w:tc>
          <w:tcPr>
            <w:tcW w:w="980" w:type="dxa"/>
            <w:vAlign w:val="bottom"/>
            <w:shd w:val="clear" w:color="auto" w:fill="E9E9E9"/>
          </w:tcPr>
          <w:p>
            <w:pPr>
              <w:ind w:left="460"/>
              <w:spacing w:after="0"/>
              <w:rPr>
                <w:sz w:val="20"/>
                <w:szCs w:val="20"/>
                <w:color w:val="auto"/>
              </w:rPr>
            </w:pPr>
            <w:r>
              <w:rPr>
                <w:rFonts w:ascii="Arial" w:cs="Arial" w:eastAsia="Arial" w:hAnsi="Arial"/>
                <w:sz w:val="16"/>
                <w:szCs w:val="16"/>
                <w:color w:val="auto"/>
              </w:rPr>
              <w:t>2013</w:t>
            </w:r>
          </w:p>
        </w:tc>
        <w:tc>
          <w:tcPr>
            <w:tcW w:w="13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46,356</w:t>
            </w:r>
          </w:p>
        </w:tc>
        <w:tc>
          <w:tcPr>
            <w:tcW w:w="10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28,959</w:t>
            </w:r>
          </w:p>
        </w:tc>
        <w:tc>
          <w:tcPr>
            <w:tcW w:w="100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683</w:t>
            </w:r>
          </w:p>
        </w:tc>
        <w:tc>
          <w:tcPr>
            <w:tcW w:w="138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75,998</w:t>
            </w:r>
          </w:p>
        </w:tc>
      </w:tr>
      <w:tr>
        <w:trPr>
          <w:trHeight w:val="203"/>
        </w:trPr>
        <w:tc>
          <w:tcPr>
            <w:tcW w:w="2560" w:type="dxa"/>
            <w:vAlign w:val="bottom"/>
            <w:tcBorders>
              <w:bottom w:val="single" w:sz="8" w:color="auto"/>
            </w:tcBorders>
            <w:shd w:val="clear" w:color="auto" w:fill="E9E9E9"/>
          </w:tcPr>
          <w:p>
            <w:pPr>
              <w:spacing w:after="0"/>
              <w:rPr>
                <w:sz w:val="17"/>
                <w:szCs w:val="17"/>
                <w:color w:val="auto"/>
              </w:rPr>
            </w:pPr>
          </w:p>
        </w:tc>
        <w:tc>
          <w:tcPr>
            <w:tcW w:w="980" w:type="dxa"/>
            <w:vAlign w:val="bottom"/>
            <w:tcBorders>
              <w:bottom w:val="single" w:sz="8" w:color="auto"/>
            </w:tcBorders>
            <w:shd w:val="clear" w:color="auto" w:fill="E9E9E9"/>
          </w:tcPr>
          <w:p>
            <w:pPr>
              <w:ind w:left="460"/>
              <w:spacing w:after="0"/>
              <w:rPr>
                <w:sz w:val="20"/>
                <w:szCs w:val="20"/>
                <w:color w:val="auto"/>
              </w:rPr>
            </w:pPr>
            <w:r>
              <w:rPr>
                <w:rFonts w:ascii="Arial" w:cs="Arial" w:eastAsia="Arial" w:hAnsi="Arial"/>
                <w:sz w:val="16"/>
                <w:szCs w:val="16"/>
                <w:color w:val="auto"/>
              </w:rPr>
              <w:t>2012</w:t>
            </w:r>
          </w:p>
        </w:tc>
        <w:tc>
          <w:tcPr>
            <w:tcW w:w="134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54,952</w:t>
            </w:r>
          </w:p>
        </w:tc>
        <w:tc>
          <w:tcPr>
            <w:tcW w:w="102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27,920</w:t>
            </w:r>
          </w:p>
        </w:tc>
        <w:tc>
          <w:tcPr>
            <w:tcW w:w="1000" w:type="dxa"/>
            <w:vAlign w:val="bottom"/>
            <w:tcBorders>
              <w:bottom w:val="single" w:sz="8" w:color="auto"/>
            </w:tcBorders>
            <w:shd w:val="clear" w:color="auto" w:fill="E9E9E9"/>
          </w:tcPr>
          <w:p>
            <w:pPr>
              <w:jc w:val="right"/>
              <w:ind w:right="20"/>
              <w:spacing w:after="0"/>
              <w:rPr>
                <w:sz w:val="20"/>
                <w:szCs w:val="20"/>
                <w:color w:val="auto"/>
              </w:rPr>
            </w:pPr>
            <w:r>
              <w:rPr>
                <w:rFonts w:ascii="Arial" w:cs="Arial" w:eastAsia="Arial" w:hAnsi="Arial"/>
                <w:sz w:val="16"/>
                <w:szCs w:val="16"/>
                <w:color w:val="auto"/>
              </w:rPr>
              <w:t>657</w:t>
            </w:r>
          </w:p>
        </w:tc>
        <w:tc>
          <w:tcPr>
            <w:tcW w:w="1380" w:type="dxa"/>
            <w:vAlign w:val="bottom"/>
            <w:tcBorders>
              <w:bottom w:val="single" w:sz="8" w:color="auto"/>
            </w:tcBorders>
            <w:shd w:val="clear" w:color="auto" w:fill="E9E9E9"/>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83,529</w:t>
            </w:r>
          </w:p>
        </w:tc>
      </w:tr>
    </w:tbl>
    <w:p>
      <w:pPr>
        <w:spacing w:after="0" w:line="107" w:lineRule="exact"/>
        <w:rPr>
          <w:sz w:val="20"/>
          <w:szCs w:val="20"/>
          <w:color w:val="auto"/>
        </w:rPr>
      </w:pPr>
    </w:p>
    <w:p>
      <w:pPr>
        <w:ind w:left="420" w:right="180" w:hanging="369"/>
        <w:spacing w:after="0" w:line="265" w:lineRule="auto"/>
        <w:tabs>
          <w:tab w:leader="none" w:pos="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Represents Company matching contributions to a non-qualified deferred compensation plan maintained by the Company for the benefit of certain of our executive officers. Under this plan, participants are permitted to defer compensation, with the Company matching contributions up to a 6% cap under the terms of the plan. For Mr. De Shon and Mr. Siniscalchi, amounts for 2013 and 2012 include $15,000 and $14,692, respectively, in respect of a Company match under the Company's 401(K) plan.</w:t>
      </w:r>
    </w:p>
    <w:p>
      <w:pPr>
        <w:ind w:left="420" w:hanging="369"/>
        <w:spacing w:after="0"/>
        <w:tabs>
          <w:tab w:leader="none" w:pos="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Represents the perquisites presented in the table below.</w:t>
      </w:r>
    </w:p>
    <w:p>
      <w:pPr>
        <w:spacing w:after="0" w:line="19" w:lineRule="exact"/>
        <w:rPr>
          <w:rFonts w:ascii="Arial" w:cs="Arial" w:eastAsia="Arial" w:hAnsi="Arial"/>
          <w:sz w:val="16"/>
          <w:szCs w:val="16"/>
          <w:color w:val="auto"/>
        </w:rPr>
      </w:pPr>
    </w:p>
    <w:p>
      <w:pPr>
        <w:ind w:left="420" w:right="380" w:hanging="369"/>
        <w:spacing w:after="0" w:line="365" w:lineRule="auto"/>
        <w:tabs>
          <w:tab w:leader="none" w:pos="4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the value of insurance premiums paid by the Company for a broad-based life insurance benefit. For Mr. De Shon, also includes expatriate and relocation benefits in connection with Mr. De Shon's long-term assignment to the United Kingdom as set forth below:</w:t>
      </w:r>
    </w:p>
    <w:p>
      <w:pPr>
        <w:spacing w:after="0" w:line="100" w:lineRule="exact"/>
        <w:rPr>
          <w:sz w:val="20"/>
          <w:szCs w:val="20"/>
          <w:color w:val="auto"/>
        </w:rPr>
      </w:pPr>
    </w:p>
    <w:tbl>
      <w:tblPr>
        <w:tblLayout w:type="fixed"/>
        <w:tblInd w:w="380" w:type="dxa"/>
        <w:tblCellMar>
          <w:top w:w="0" w:type="dxa"/>
          <w:left w:w="0" w:type="dxa"/>
          <w:bottom w:w="0" w:type="dxa"/>
          <w:right w:w="0" w:type="dxa"/>
        </w:tblCellMar>
      </w:tblPr>
      <w:tr>
        <w:trPr>
          <w:trHeight w:val="215"/>
        </w:trPr>
        <w:tc>
          <w:tcPr>
            <w:tcW w:w="1140" w:type="dxa"/>
            <w:vAlign w:val="bottom"/>
            <w:tcBorders>
              <w:top w:val="single" w:sz="8" w:color="auto"/>
            </w:tcBorders>
          </w:tcPr>
          <w:p>
            <w:pPr>
              <w:ind w:left="420"/>
              <w:spacing w:after="0"/>
              <w:rPr>
                <w:sz w:val="20"/>
                <w:szCs w:val="20"/>
                <w:color w:val="auto"/>
              </w:rPr>
            </w:pPr>
            <w:r>
              <w:rPr>
                <w:rFonts w:ascii="Arial" w:cs="Arial" w:eastAsia="Arial" w:hAnsi="Arial"/>
                <w:sz w:val="16"/>
                <w:szCs w:val="16"/>
                <w:b w:val="1"/>
                <w:bCs w:val="1"/>
                <w:color w:val="auto"/>
              </w:rPr>
              <w:t>Year</w:t>
            </w: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Housing Allowance</w:t>
            </w:r>
          </w:p>
        </w:tc>
        <w:tc>
          <w:tcPr>
            <w:tcW w:w="2020" w:type="dxa"/>
            <w:vAlign w:val="bottom"/>
            <w:tcBorders>
              <w:top w:val="single" w:sz="8" w:color="auto"/>
            </w:tcBorders>
          </w:tcPr>
          <w:p>
            <w:pPr>
              <w:ind w:left="360"/>
              <w:spacing w:after="0"/>
              <w:rPr>
                <w:sz w:val="20"/>
                <w:szCs w:val="20"/>
                <w:color w:val="auto"/>
              </w:rPr>
            </w:pPr>
            <w:r>
              <w:rPr>
                <w:rFonts w:ascii="Arial" w:cs="Arial" w:eastAsia="Arial" w:hAnsi="Arial"/>
                <w:sz w:val="16"/>
                <w:szCs w:val="16"/>
                <w:b w:val="1"/>
                <w:bCs w:val="1"/>
                <w:color w:val="auto"/>
              </w:rPr>
              <w:t>Relocation Benefits</w:t>
            </w:r>
          </w:p>
        </w:tc>
        <w:tc>
          <w:tcPr>
            <w:tcW w:w="2240" w:type="dxa"/>
            <w:vAlign w:val="bottom"/>
            <w:tcBorders>
              <w:top w:val="single" w:sz="8" w:color="auto"/>
            </w:tcBorders>
          </w:tcPr>
          <w:p>
            <w:pPr>
              <w:jc w:val="center"/>
              <w:ind w:right="120"/>
              <w:spacing w:after="0"/>
              <w:rPr>
                <w:sz w:val="20"/>
                <w:szCs w:val="20"/>
                <w:color w:val="auto"/>
              </w:rPr>
            </w:pPr>
            <w:r>
              <w:rPr>
                <w:rFonts w:ascii="Arial" w:cs="Arial" w:eastAsia="Arial" w:hAnsi="Arial"/>
                <w:sz w:val="16"/>
                <w:szCs w:val="16"/>
                <w:b w:val="1"/>
                <w:bCs w:val="1"/>
                <w:color w:val="auto"/>
                <w:w w:val="92"/>
              </w:rPr>
              <w:t>Other Allowances**</w:t>
            </w:r>
          </w:p>
        </w:tc>
        <w:tc>
          <w:tcPr>
            <w:tcW w:w="1800" w:type="dxa"/>
            <w:vAlign w:val="bottom"/>
            <w:tcBorders>
              <w:top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w w:val="88"/>
              </w:rPr>
              <w:t>Total</w:t>
            </w:r>
          </w:p>
        </w:tc>
      </w:tr>
      <w:tr>
        <w:trPr>
          <w:trHeight w:val="203"/>
        </w:trPr>
        <w:tc>
          <w:tcPr>
            <w:tcW w:w="1140" w:type="dxa"/>
            <w:vAlign w:val="bottom"/>
          </w:tcPr>
          <w:p>
            <w:pPr>
              <w:ind w:left="420"/>
              <w:spacing w:after="0"/>
              <w:rPr>
                <w:sz w:val="20"/>
                <w:szCs w:val="20"/>
                <w:color w:val="auto"/>
              </w:rPr>
            </w:pPr>
            <w:r>
              <w:rPr>
                <w:rFonts w:ascii="Arial" w:cs="Arial" w:eastAsia="Arial" w:hAnsi="Arial"/>
                <w:sz w:val="16"/>
                <w:szCs w:val="16"/>
                <w:color w:val="auto"/>
              </w:rPr>
              <w:t>2014</w:t>
            </w:r>
          </w:p>
        </w:tc>
        <w:tc>
          <w:tcPr>
            <w:tcW w:w="2040" w:type="dxa"/>
            <w:vAlign w:val="bottom"/>
          </w:tcPr>
          <w:p>
            <w:pPr>
              <w:jc w:val="center"/>
              <w:spacing w:after="0"/>
              <w:rPr>
                <w:sz w:val="20"/>
                <w:szCs w:val="20"/>
                <w:color w:val="auto"/>
              </w:rPr>
            </w:pPr>
            <w:r>
              <w:rPr>
                <w:rFonts w:ascii="Arial" w:cs="Arial" w:eastAsia="Arial" w:hAnsi="Arial"/>
                <w:sz w:val="16"/>
                <w:szCs w:val="16"/>
                <w:color w:val="auto"/>
                <w:w w:val="89"/>
              </w:rPr>
              <w:t>264,563</w:t>
            </w:r>
          </w:p>
        </w:tc>
        <w:tc>
          <w:tcPr>
            <w:tcW w:w="2020" w:type="dxa"/>
            <w:vAlign w:val="bottom"/>
          </w:tcPr>
          <w:p>
            <w:pPr>
              <w:jc w:val="center"/>
              <w:spacing w:after="0"/>
              <w:rPr>
                <w:sz w:val="20"/>
                <w:szCs w:val="20"/>
                <w:color w:val="auto"/>
              </w:rPr>
            </w:pPr>
            <w:r>
              <w:rPr>
                <w:rFonts w:ascii="Arial" w:cs="Arial" w:eastAsia="Arial" w:hAnsi="Arial"/>
                <w:sz w:val="16"/>
                <w:szCs w:val="16"/>
                <w:color w:val="auto"/>
                <w:w w:val="93"/>
              </w:rPr>
              <w:t>--</w:t>
            </w:r>
          </w:p>
        </w:tc>
        <w:tc>
          <w:tcPr>
            <w:tcW w:w="2240" w:type="dxa"/>
            <w:vAlign w:val="bottom"/>
          </w:tcPr>
          <w:p>
            <w:pPr>
              <w:jc w:val="center"/>
              <w:ind w:right="120"/>
              <w:spacing w:after="0"/>
              <w:rPr>
                <w:sz w:val="20"/>
                <w:szCs w:val="20"/>
                <w:color w:val="auto"/>
              </w:rPr>
            </w:pPr>
            <w:r>
              <w:rPr>
                <w:rFonts w:ascii="Arial" w:cs="Arial" w:eastAsia="Arial" w:hAnsi="Arial"/>
                <w:sz w:val="16"/>
                <w:szCs w:val="16"/>
                <w:color w:val="auto"/>
                <w:w w:val="89"/>
              </w:rPr>
              <w:t>81,503</w:t>
            </w:r>
          </w:p>
        </w:tc>
        <w:tc>
          <w:tcPr>
            <w:tcW w:w="1800" w:type="dxa"/>
            <w:vAlign w:val="bottom"/>
          </w:tcPr>
          <w:p>
            <w:pPr>
              <w:jc w:val="center"/>
              <w:ind w:right="120"/>
              <w:spacing w:after="0"/>
              <w:rPr>
                <w:sz w:val="20"/>
                <w:szCs w:val="20"/>
                <w:color w:val="auto"/>
              </w:rPr>
            </w:pPr>
            <w:r>
              <w:rPr>
                <w:rFonts w:ascii="Arial" w:cs="Arial" w:eastAsia="Arial" w:hAnsi="Arial"/>
                <w:sz w:val="16"/>
                <w:szCs w:val="16"/>
                <w:color w:val="auto"/>
                <w:w w:val="89"/>
              </w:rPr>
              <w:t>346,066</w:t>
            </w:r>
          </w:p>
        </w:tc>
      </w:tr>
      <w:tr>
        <w:trPr>
          <w:trHeight w:val="203"/>
        </w:trPr>
        <w:tc>
          <w:tcPr>
            <w:tcW w:w="1140" w:type="dxa"/>
            <w:vAlign w:val="bottom"/>
          </w:tcPr>
          <w:p>
            <w:pPr>
              <w:ind w:left="420"/>
              <w:spacing w:after="0"/>
              <w:rPr>
                <w:sz w:val="20"/>
                <w:szCs w:val="20"/>
                <w:color w:val="auto"/>
              </w:rPr>
            </w:pPr>
            <w:r>
              <w:rPr>
                <w:rFonts w:ascii="Arial" w:cs="Arial" w:eastAsia="Arial" w:hAnsi="Arial"/>
                <w:sz w:val="16"/>
                <w:szCs w:val="16"/>
                <w:color w:val="auto"/>
              </w:rPr>
              <w:t>2013</w:t>
            </w:r>
          </w:p>
        </w:tc>
        <w:tc>
          <w:tcPr>
            <w:tcW w:w="2040" w:type="dxa"/>
            <w:vAlign w:val="bottom"/>
          </w:tcPr>
          <w:p>
            <w:pPr>
              <w:jc w:val="center"/>
              <w:spacing w:after="0"/>
              <w:rPr>
                <w:sz w:val="20"/>
                <w:szCs w:val="20"/>
                <w:color w:val="auto"/>
              </w:rPr>
            </w:pPr>
            <w:r>
              <w:rPr>
                <w:rFonts w:ascii="Arial" w:cs="Arial" w:eastAsia="Arial" w:hAnsi="Arial"/>
                <w:sz w:val="16"/>
                <w:szCs w:val="16"/>
                <w:color w:val="auto"/>
                <w:w w:val="89"/>
              </w:rPr>
              <w:t>219,915</w:t>
            </w:r>
          </w:p>
        </w:tc>
        <w:tc>
          <w:tcPr>
            <w:tcW w:w="2020" w:type="dxa"/>
            <w:vAlign w:val="bottom"/>
          </w:tcPr>
          <w:p>
            <w:pPr>
              <w:jc w:val="center"/>
              <w:spacing w:after="0"/>
              <w:rPr>
                <w:sz w:val="20"/>
                <w:szCs w:val="20"/>
                <w:color w:val="auto"/>
              </w:rPr>
            </w:pPr>
            <w:r>
              <w:rPr>
                <w:rFonts w:ascii="Arial" w:cs="Arial" w:eastAsia="Arial" w:hAnsi="Arial"/>
                <w:sz w:val="16"/>
                <w:szCs w:val="16"/>
                <w:color w:val="auto"/>
                <w:w w:val="89"/>
              </w:rPr>
              <w:t>3,919</w:t>
            </w:r>
          </w:p>
        </w:tc>
        <w:tc>
          <w:tcPr>
            <w:tcW w:w="2240" w:type="dxa"/>
            <w:vAlign w:val="bottom"/>
          </w:tcPr>
          <w:p>
            <w:pPr>
              <w:jc w:val="center"/>
              <w:ind w:right="120"/>
              <w:spacing w:after="0"/>
              <w:rPr>
                <w:sz w:val="20"/>
                <w:szCs w:val="20"/>
                <w:color w:val="auto"/>
              </w:rPr>
            </w:pPr>
            <w:r>
              <w:rPr>
                <w:rFonts w:ascii="Arial" w:cs="Arial" w:eastAsia="Arial" w:hAnsi="Arial"/>
                <w:sz w:val="16"/>
                <w:szCs w:val="16"/>
                <w:color w:val="auto"/>
                <w:w w:val="89"/>
              </w:rPr>
              <w:t>74,849</w:t>
            </w:r>
          </w:p>
        </w:tc>
        <w:tc>
          <w:tcPr>
            <w:tcW w:w="1800" w:type="dxa"/>
            <w:vAlign w:val="bottom"/>
          </w:tcPr>
          <w:p>
            <w:pPr>
              <w:jc w:val="center"/>
              <w:ind w:right="120"/>
              <w:spacing w:after="0"/>
              <w:rPr>
                <w:sz w:val="20"/>
                <w:szCs w:val="20"/>
                <w:color w:val="auto"/>
              </w:rPr>
            </w:pPr>
            <w:r>
              <w:rPr>
                <w:rFonts w:ascii="Arial" w:cs="Arial" w:eastAsia="Arial" w:hAnsi="Arial"/>
                <w:sz w:val="16"/>
                <w:szCs w:val="16"/>
                <w:color w:val="auto"/>
                <w:w w:val="89"/>
              </w:rPr>
              <w:t>298,682</w:t>
            </w:r>
          </w:p>
        </w:tc>
      </w:tr>
      <w:tr>
        <w:trPr>
          <w:trHeight w:val="204"/>
        </w:trPr>
        <w:tc>
          <w:tcPr>
            <w:tcW w:w="1140" w:type="dxa"/>
            <w:vAlign w:val="bottom"/>
          </w:tcPr>
          <w:p>
            <w:pPr>
              <w:ind w:left="420"/>
              <w:spacing w:after="0"/>
              <w:rPr>
                <w:sz w:val="20"/>
                <w:szCs w:val="20"/>
                <w:color w:val="auto"/>
              </w:rPr>
            </w:pPr>
            <w:r>
              <w:rPr>
                <w:rFonts w:ascii="Arial" w:cs="Arial" w:eastAsia="Arial" w:hAnsi="Arial"/>
                <w:sz w:val="16"/>
                <w:szCs w:val="16"/>
                <w:color w:val="auto"/>
              </w:rPr>
              <w:t>2012</w:t>
            </w:r>
          </w:p>
        </w:tc>
        <w:tc>
          <w:tcPr>
            <w:tcW w:w="2040" w:type="dxa"/>
            <w:vAlign w:val="bottom"/>
          </w:tcPr>
          <w:p>
            <w:pPr>
              <w:jc w:val="center"/>
              <w:spacing w:after="0"/>
              <w:rPr>
                <w:sz w:val="20"/>
                <w:szCs w:val="20"/>
                <w:color w:val="auto"/>
              </w:rPr>
            </w:pPr>
            <w:r>
              <w:rPr>
                <w:rFonts w:ascii="Arial" w:cs="Arial" w:eastAsia="Arial" w:hAnsi="Arial"/>
                <w:sz w:val="16"/>
                <w:szCs w:val="16"/>
                <w:color w:val="auto"/>
                <w:w w:val="89"/>
              </w:rPr>
              <w:t>217,599</w:t>
            </w:r>
          </w:p>
        </w:tc>
        <w:tc>
          <w:tcPr>
            <w:tcW w:w="2020" w:type="dxa"/>
            <w:vAlign w:val="bottom"/>
          </w:tcPr>
          <w:p>
            <w:pPr>
              <w:jc w:val="center"/>
              <w:spacing w:after="0"/>
              <w:rPr>
                <w:sz w:val="20"/>
                <w:szCs w:val="20"/>
                <w:color w:val="auto"/>
              </w:rPr>
            </w:pPr>
            <w:r>
              <w:rPr>
                <w:rFonts w:ascii="Arial" w:cs="Arial" w:eastAsia="Arial" w:hAnsi="Arial"/>
                <w:sz w:val="16"/>
                <w:szCs w:val="16"/>
                <w:color w:val="auto"/>
                <w:w w:val="89"/>
              </w:rPr>
              <w:t>42,271</w:t>
            </w:r>
          </w:p>
        </w:tc>
        <w:tc>
          <w:tcPr>
            <w:tcW w:w="2240" w:type="dxa"/>
            <w:vAlign w:val="bottom"/>
          </w:tcPr>
          <w:p>
            <w:pPr>
              <w:jc w:val="center"/>
              <w:ind w:right="120"/>
              <w:spacing w:after="0"/>
              <w:rPr>
                <w:sz w:val="20"/>
                <w:szCs w:val="20"/>
                <w:color w:val="auto"/>
              </w:rPr>
            </w:pPr>
            <w:r>
              <w:rPr>
                <w:rFonts w:ascii="Arial" w:cs="Arial" w:eastAsia="Arial" w:hAnsi="Arial"/>
                <w:sz w:val="16"/>
                <w:szCs w:val="16"/>
                <w:color w:val="auto"/>
                <w:w w:val="89"/>
              </w:rPr>
              <w:t>70,726</w:t>
            </w:r>
          </w:p>
        </w:tc>
        <w:tc>
          <w:tcPr>
            <w:tcW w:w="1800" w:type="dxa"/>
            <w:vAlign w:val="bottom"/>
          </w:tcPr>
          <w:p>
            <w:pPr>
              <w:jc w:val="center"/>
              <w:ind w:right="120"/>
              <w:spacing w:after="0"/>
              <w:rPr>
                <w:sz w:val="20"/>
                <w:szCs w:val="20"/>
                <w:color w:val="auto"/>
              </w:rPr>
            </w:pPr>
            <w:r>
              <w:rPr>
                <w:rFonts w:ascii="Arial" w:cs="Arial" w:eastAsia="Arial" w:hAnsi="Arial"/>
                <w:sz w:val="16"/>
                <w:szCs w:val="16"/>
                <w:color w:val="auto"/>
                <w:w w:val="89"/>
              </w:rPr>
              <w:t>330,596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0</wp:posOffset>
            </wp:positionV>
            <wp:extent cx="586613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66130" cy="762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6"/>
          <w:szCs w:val="16"/>
          <w:color w:val="auto"/>
        </w:rPr>
        <w:t>*Reflects a £/$ exchange rate as of the date paid, received or allocated.</w:t>
      </w:r>
    </w:p>
    <w:p>
      <w:pPr>
        <w:spacing w:after="0" w:line="20" w:lineRule="exact"/>
        <w:rPr>
          <w:sz w:val="20"/>
          <w:szCs w:val="20"/>
          <w:color w:val="auto"/>
        </w:rPr>
      </w:pPr>
    </w:p>
    <w:p>
      <w:pPr>
        <w:ind w:left="420" w:right="120"/>
        <w:spacing w:after="0" w:line="265" w:lineRule="auto"/>
        <w:rPr>
          <w:sz w:val="20"/>
          <w:szCs w:val="20"/>
          <w:color w:val="auto"/>
        </w:rPr>
      </w:pPr>
      <w:r>
        <w:rPr>
          <w:rFonts w:ascii="Arial" w:cs="Arial" w:eastAsia="Arial" w:hAnsi="Arial"/>
          <w:sz w:val="16"/>
          <w:szCs w:val="16"/>
          <w:color w:val="auto"/>
        </w:rPr>
        <w:t>**Includes allowances for home leave, utilities, and a goods and services differential to make up for the difference in prices between the home and host locations.</w:t>
      </w:r>
    </w:p>
    <w:p>
      <w:pPr>
        <w:ind w:left="420" w:right="440" w:hanging="369"/>
        <w:spacing w:after="0" w:line="265" w:lineRule="auto"/>
        <w:tabs>
          <w:tab w:leader="none" w:pos="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For Mr. De Shon, amounts represent Company-paid tax payments relating to expatriate and relocation benefits in connection with Mr. De Shon's long-term assignment to the United Kingdom.</w:t>
      </w:r>
    </w:p>
    <w:p>
      <w:pP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620"/>
          </w:cols>
          <w:pgMar w:left="1380" w:top="434" w:right="8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8"/>
        </w:trPr>
        <w:tc>
          <w:tcPr>
            <w:tcW w:w="2540" w:type="dxa"/>
            <w:vAlign w:val="bottom"/>
          </w:tcPr>
          <w:p>
            <w:pPr>
              <w:spacing w:after="0"/>
              <w:rPr>
                <w:sz w:val="20"/>
                <w:szCs w:val="20"/>
                <w:color w:val="auto"/>
              </w:rPr>
            </w:pPr>
            <w:r>
              <w:rPr>
                <w:rFonts w:ascii="Arial" w:cs="Arial" w:eastAsia="Arial" w:hAnsi="Arial"/>
                <w:sz w:val="16"/>
                <w:szCs w:val="16"/>
                <w:b w:val="1"/>
                <w:bCs w:val="1"/>
                <w:color w:val="auto"/>
              </w:rPr>
              <w:t>Perquisites Table</w:t>
            </w:r>
          </w:p>
        </w:tc>
        <w:tc>
          <w:tcPr>
            <w:tcW w:w="2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78"/>
        </w:trPr>
        <w:tc>
          <w:tcPr>
            <w:tcW w:w="2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80" w:type="dxa"/>
            <w:vAlign w:val="bottom"/>
          </w:tcPr>
          <w:p>
            <w:pPr>
              <w:jc w:val="center"/>
              <w:ind w:right="20"/>
              <w:spacing w:after="0"/>
              <w:rPr>
                <w:sz w:val="20"/>
                <w:szCs w:val="20"/>
                <w:color w:val="auto"/>
              </w:rPr>
            </w:pPr>
            <w:r>
              <w:rPr>
                <w:rFonts w:ascii="Arial" w:cs="Arial" w:eastAsia="Arial" w:hAnsi="Arial"/>
                <w:sz w:val="16"/>
                <w:szCs w:val="16"/>
                <w:b w:val="1"/>
                <w:bCs w:val="1"/>
                <w:color w:val="auto"/>
                <w:w w:val="88"/>
              </w:rPr>
              <w:t>Personal</w:t>
            </w: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5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5"/>
              </w:rPr>
              <w:t>Use of</w:t>
            </w:r>
          </w:p>
        </w:tc>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0"/>
              </w:rPr>
              <w:t>Company</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2"/>
              </w:rPr>
              <w:t>Financial</w:t>
            </w:r>
          </w:p>
        </w:tc>
        <w:tc>
          <w:tcPr>
            <w:tcW w:w="1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8"/>
              </w:rPr>
              <w:t>Total</w:t>
            </w:r>
          </w:p>
        </w:tc>
      </w:tr>
      <w:tr>
        <w:trPr>
          <w:trHeight w:val="203"/>
        </w:trPr>
        <w:tc>
          <w:tcPr>
            <w:tcW w:w="25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80" w:type="dxa"/>
            <w:vAlign w:val="bottom"/>
          </w:tcPr>
          <w:p>
            <w:pPr>
              <w:jc w:val="center"/>
              <w:ind w:right="20"/>
              <w:spacing w:after="0"/>
              <w:rPr>
                <w:sz w:val="20"/>
                <w:szCs w:val="20"/>
                <w:color w:val="auto"/>
              </w:rPr>
            </w:pPr>
            <w:r>
              <w:rPr>
                <w:rFonts w:ascii="Arial" w:cs="Arial" w:eastAsia="Arial" w:hAnsi="Arial"/>
                <w:sz w:val="16"/>
                <w:szCs w:val="16"/>
                <w:b w:val="1"/>
                <w:bCs w:val="1"/>
                <w:color w:val="auto"/>
                <w:w w:val="98"/>
              </w:rPr>
              <w:t>Aircraft</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5"/>
              </w:rPr>
              <w:t>Services</w:t>
            </w:r>
          </w:p>
        </w:tc>
        <w:tc>
          <w:tcPr>
            <w:tcW w:w="1100" w:type="dxa"/>
            <w:vAlign w:val="bottom"/>
          </w:tcPr>
          <w:p>
            <w:pPr>
              <w:ind w:left="420"/>
              <w:spacing w:after="0"/>
              <w:rPr>
                <w:sz w:val="20"/>
                <w:szCs w:val="20"/>
                <w:color w:val="auto"/>
              </w:rPr>
            </w:pPr>
            <w:r>
              <w:rPr>
                <w:rFonts w:ascii="Arial" w:cs="Arial" w:eastAsia="Arial" w:hAnsi="Arial"/>
                <w:sz w:val="16"/>
                <w:szCs w:val="16"/>
                <w:b w:val="1"/>
                <w:bCs w:val="1"/>
                <w:color w:val="auto"/>
              </w:rPr>
              <w:t>Car</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5"/>
              </w:rPr>
              <w:t>Perquisites</w:t>
            </w:r>
          </w:p>
        </w:tc>
      </w:tr>
      <w:tr>
        <w:trPr>
          <w:trHeight w:val="208"/>
        </w:trPr>
        <w:tc>
          <w:tcPr>
            <w:tcW w:w="25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w:t>
            </w:r>
          </w:p>
        </w:tc>
        <w:tc>
          <w:tcPr>
            <w:tcW w:w="2000" w:type="dxa"/>
            <w:vAlign w:val="bottom"/>
            <w:tcBorders>
              <w:bottom w:val="single" w:sz="8" w:color="auto"/>
            </w:tcBorders>
          </w:tcPr>
          <w:p>
            <w:pPr>
              <w:ind w:left="1380"/>
              <w:spacing w:after="0"/>
              <w:rPr>
                <w:sz w:val="20"/>
                <w:szCs w:val="20"/>
                <w:color w:val="auto"/>
              </w:rPr>
            </w:pPr>
            <w:r>
              <w:rPr>
                <w:rFonts w:ascii="Arial" w:cs="Arial" w:eastAsia="Arial" w:hAnsi="Arial"/>
                <w:sz w:val="16"/>
                <w:szCs w:val="16"/>
                <w:b w:val="1"/>
                <w:bCs w:val="1"/>
                <w:color w:val="auto"/>
              </w:rPr>
              <w:t>Year</w:t>
            </w:r>
          </w:p>
        </w:tc>
        <w:tc>
          <w:tcPr>
            <w:tcW w:w="138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1"/>
              </w:rPr>
              <w:t>($)(a)</w:t>
            </w:r>
          </w:p>
        </w:tc>
        <w:tc>
          <w:tcPr>
            <w:tcW w:w="144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4"/>
              </w:rPr>
              <w:t>($)(b)</w:t>
            </w:r>
          </w:p>
        </w:tc>
        <w:tc>
          <w:tcPr>
            <w:tcW w:w="110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($)(c)</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($)(d)(e)</w:t>
            </w:r>
          </w:p>
        </w:tc>
      </w:tr>
      <w:tr>
        <w:trPr>
          <w:trHeight w:val="195"/>
        </w:trPr>
        <w:tc>
          <w:tcPr>
            <w:tcW w:w="2540" w:type="dxa"/>
            <w:vAlign w:val="bottom"/>
            <w:shd w:val="clear" w:color="auto" w:fill="E9E9E9"/>
          </w:tcPr>
          <w:p>
            <w:pPr>
              <w:ind w:left="60"/>
              <w:spacing w:after="0"/>
              <w:rPr>
                <w:sz w:val="20"/>
                <w:szCs w:val="20"/>
                <w:color w:val="auto"/>
              </w:rPr>
            </w:pPr>
            <w:r>
              <w:rPr>
                <w:rFonts w:ascii="Arial" w:cs="Arial" w:eastAsia="Arial" w:hAnsi="Arial"/>
                <w:sz w:val="16"/>
                <w:szCs w:val="16"/>
                <w:color w:val="auto"/>
              </w:rPr>
              <w:t>Mr. Nelson</w:t>
            </w:r>
          </w:p>
        </w:tc>
        <w:tc>
          <w:tcPr>
            <w:tcW w:w="2000" w:type="dxa"/>
            <w:vAlign w:val="bottom"/>
            <w:shd w:val="clear" w:color="auto" w:fill="E9E9E9"/>
          </w:tcPr>
          <w:p>
            <w:pPr>
              <w:ind w:left="1380"/>
              <w:spacing w:after="0"/>
              <w:rPr>
                <w:sz w:val="20"/>
                <w:szCs w:val="20"/>
                <w:color w:val="auto"/>
              </w:rPr>
            </w:pPr>
            <w:r>
              <w:rPr>
                <w:rFonts w:ascii="Arial" w:cs="Arial" w:eastAsia="Arial" w:hAnsi="Arial"/>
                <w:sz w:val="16"/>
                <w:szCs w:val="16"/>
                <w:color w:val="auto"/>
              </w:rPr>
              <w:t>2014</w:t>
            </w:r>
          </w:p>
        </w:tc>
        <w:tc>
          <w:tcPr>
            <w:tcW w:w="1380" w:type="dxa"/>
            <w:vAlign w:val="bottom"/>
            <w:shd w:val="clear" w:color="auto" w:fill="E9E9E9"/>
          </w:tcPr>
          <w:p>
            <w:pPr>
              <w:jc w:val="right"/>
              <w:ind w:right="260"/>
              <w:spacing w:after="0"/>
              <w:rPr>
                <w:sz w:val="20"/>
                <w:szCs w:val="20"/>
                <w:color w:val="auto"/>
              </w:rPr>
            </w:pPr>
            <w:r>
              <w:rPr>
                <w:rFonts w:ascii="Arial" w:cs="Arial" w:eastAsia="Arial" w:hAnsi="Arial"/>
                <w:sz w:val="16"/>
                <w:szCs w:val="16"/>
                <w:color w:val="auto"/>
              </w:rPr>
              <w:t>74,820</w:t>
            </w:r>
          </w:p>
        </w:tc>
        <w:tc>
          <w:tcPr>
            <w:tcW w:w="1440" w:type="dxa"/>
            <w:vAlign w:val="bottom"/>
            <w:shd w:val="clear" w:color="auto" w:fill="E9E9E9"/>
          </w:tcPr>
          <w:p>
            <w:pPr>
              <w:jc w:val="right"/>
              <w:ind w:right="300"/>
              <w:spacing w:after="0"/>
              <w:rPr>
                <w:sz w:val="20"/>
                <w:szCs w:val="20"/>
                <w:color w:val="auto"/>
              </w:rPr>
            </w:pPr>
            <w:r>
              <w:rPr>
                <w:rFonts w:ascii="Arial" w:cs="Arial" w:eastAsia="Arial" w:hAnsi="Arial"/>
                <w:sz w:val="16"/>
                <w:szCs w:val="16"/>
                <w:color w:val="auto"/>
              </w:rPr>
              <w:t>14,056</w:t>
            </w:r>
          </w:p>
        </w:tc>
        <w:tc>
          <w:tcPr>
            <w:tcW w:w="1100" w:type="dxa"/>
            <w:vAlign w:val="bottom"/>
            <w:shd w:val="clear" w:color="auto" w:fill="E9E9E9"/>
          </w:tcPr>
          <w:p>
            <w:pPr>
              <w:ind w:left="400"/>
              <w:spacing w:after="0"/>
              <w:rPr>
                <w:sz w:val="20"/>
                <w:szCs w:val="20"/>
                <w:color w:val="auto"/>
              </w:rPr>
            </w:pPr>
            <w:r>
              <w:rPr>
                <w:rFonts w:ascii="Arial" w:cs="Arial" w:eastAsia="Arial" w:hAnsi="Arial"/>
                <w:sz w:val="16"/>
                <w:szCs w:val="16"/>
                <w:color w:val="auto"/>
              </w:rPr>
              <w:t>19,207</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118,033</w:t>
            </w:r>
          </w:p>
        </w:tc>
      </w:tr>
      <w:tr>
        <w:trPr>
          <w:trHeight w:val="203"/>
        </w:trPr>
        <w:tc>
          <w:tcPr>
            <w:tcW w:w="2540" w:type="dxa"/>
            <w:vAlign w:val="bottom"/>
            <w:shd w:val="clear" w:color="auto" w:fill="E9E9E9"/>
          </w:tcPr>
          <w:p>
            <w:pPr>
              <w:spacing w:after="0"/>
              <w:rPr>
                <w:sz w:val="17"/>
                <w:szCs w:val="17"/>
                <w:color w:val="auto"/>
              </w:rPr>
            </w:pPr>
          </w:p>
        </w:tc>
        <w:tc>
          <w:tcPr>
            <w:tcW w:w="2000" w:type="dxa"/>
            <w:vAlign w:val="bottom"/>
            <w:shd w:val="clear" w:color="auto" w:fill="E9E9E9"/>
          </w:tcPr>
          <w:p>
            <w:pPr>
              <w:ind w:left="1380"/>
              <w:spacing w:after="0"/>
              <w:rPr>
                <w:sz w:val="20"/>
                <w:szCs w:val="20"/>
                <w:color w:val="auto"/>
              </w:rPr>
            </w:pPr>
            <w:r>
              <w:rPr>
                <w:rFonts w:ascii="Arial" w:cs="Arial" w:eastAsia="Arial" w:hAnsi="Arial"/>
                <w:sz w:val="16"/>
                <w:szCs w:val="16"/>
                <w:color w:val="auto"/>
              </w:rPr>
              <w:t>2013</w:t>
            </w:r>
          </w:p>
        </w:tc>
        <w:tc>
          <w:tcPr>
            <w:tcW w:w="1380" w:type="dxa"/>
            <w:vAlign w:val="bottom"/>
            <w:shd w:val="clear" w:color="auto" w:fill="E9E9E9"/>
          </w:tcPr>
          <w:p>
            <w:pPr>
              <w:jc w:val="right"/>
              <w:ind w:right="260"/>
              <w:spacing w:after="0"/>
              <w:rPr>
                <w:sz w:val="20"/>
                <w:szCs w:val="20"/>
                <w:color w:val="auto"/>
              </w:rPr>
            </w:pPr>
            <w:r>
              <w:rPr>
                <w:rFonts w:ascii="Arial" w:cs="Arial" w:eastAsia="Arial" w:hAnsi="Arial"/>
                <w:sz w:val="16"/>
                <w:szCs w:val="16"/>
                <w:color w:val="auto"/>
              </w:rPr>
              <w:t>67,896</w:t>
            </w:r>
          </w:p>
        </w:tc>
        <w:tc>
          <w:tcPr>
            <w:tcW w:w="1440" w:type="dxa"/>
            <w:vAlign w:val="bottom"/>
            <w:shd w:val="clear" w:color="auto" w:fill="E9E9E9"/>
          </w:tcPr>
          <w:p>
            <w:pPr>
              <w:jc w:val="right"/>
              <w:ind w:right="300"/>
              <w:spacing w:after="0"/>
              <w:rPr>
                <w:sz w:val="20"/>
                <w:szCs w:val="20"/>
                <w:color w:val="auto"/>
              </w:rPr>
            </w:pPr>
            <w:r>
              <w:rPr>
                <w:rFonts w:ascii="Arial" w:cs="Arial" w:eastAsia="Arial" w:hAnsi="Arial"/>
                <w:sz w:val="16"/>
                <w:szCs w:val="16"/>
                <w:color w:val="auto"/>
              </w:rPr>
              <w:t>14,019</w:t>
            </w:r>
          </w:p>
        </w:tc>
        <w:tc>
          <w:tcPr>
            <w:tcW w:w="1100" w:type="dxa"/>
            <w:vAlign w:val="bottom"/>
            <w:shd w:val="clear" w:color="auto" w:fill="E9E9E9"/>
          </w:tcPr>
          <w:p>
            <w:pPr>
              <w:ind w:left="400"/>
              <w:spacing w:after="0"/>
              <w:rPr>
                <w:sz w:val="20"/>
                <w:szCs w:val="20"/>
                <w:color w:val="auto"/>
              </w:rPr>
            </w:pPr>
            <w:r>
              <w:rPr>
                <w:rFonts w:ascii="Arial" w:cs="Arial" w:eastAsia="Arial" w:hAnsi="Arial"/>
                <w:sz w:val="16"/>
                <w:szCs w:val="16"/>
                <w:color w:val="auto"/>
              </w:rPr>
              <w:t>24,536</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114,701</w:t>
            </w:r>
          </w:p>
        </w:tc>
      </w:tr>
      <w:tr>
        <w:trPr>
          <w:trHeight w:val="203"/>
        </w:trPr>
        <w:tc>
          <w:tcPr>
            <w:tcW w:w="2540" w:type="dxa"/>
            <w:vAlign w:val="bottom"/>
            <w:shd w:val="clear" w:color="auto" w:fill="E9E9E9"/>
          </w:tcPr>
          <w:p>
            <w:pPr>
              <w:spacing w:after="0"/>
              <w:rPr>
                <w:sz w:val="17"/>
                <w:szCs w:val="17"/>
                <w:color w:val="auto"/>
              </w:rPr>
            </w:pPr>
          </w:p>
        </w:tc>
        <w:tc>
          <w:tcPr>
            <w:tcW w:w="2000" w:type="dxa"/>
            <w:vAlign w:val="bottom"/>
            <w:shd w:val="clear" w:color="auto" w:fill="E9E9E9"/>
          </w:tcPr>
          <w:p>
            <w:pPr>
              <w:ind w:left="1380"/>
              <w:spacing w:after="0"/>
              <w:rPr>
                <w:sz w:val="20"/>
                <w:szCs w:val="20"/>
                <w:color w:val="auto"/>
              </w:rPr>
            </w:pPr>
            <w:r>
              <w:rPr>
                <w:rFonts w:ascii="Arial" w:cs="Arial" w:eastAsia="Arial" w:hAnsi="Arial"/>
                <w:sz w:val="16"/>
                <w:szCs w:val="16"/>
                <w:color w:val="auto"/>
              </w:rPr>
              <w:t>2012</w:t>
            </w:r>
          </w:p>
        </w:tc>
        <w:tc>
          <w:tcPr>
            <w:tcW w:w="1380" w:type="dxa"/>
            <w:vAlign w:val="bottom"/>
            <w:shd w:val="clear" w:color="auto" w:fill="E9E9E9"/>
          </w:tcPr>
          <w:p>
            <w:pPr>
              <w:jc w:val="right"/>
              <w:ind w:right="260"/>
              <w:spacing w:after="0"/>
              <w:rPr>
                <w:sz w:val="20"/>
                <w:szCs w:val="20"/>
                <w:color w:val="auto"/>
              </w:rPr>
            </w:pPr>
            <w:r>
              <w:rPr>
                <w:rFonts w:ascii="Arial" w:cs="Arial" w:eastAsia="Arial" w:hAnsi="Arial"/>
                <w:sz w:val="16"/>
                <w:szCs w:val="16"/>
                <w:color w:val="auto"/>
              </w:rPr>
              <w:t>113,921</w:t>
            </w:r>
          </w:p>
        </w:tc>
        <w:tc>
          <w:tcPr>
            <w:tcW w:w="1440" w:type="dxa"/>
            <w:vAlign w:val="bottom"/>
            <w:shd w:val="clear" w:color="auto" w:fill="E9E9E9"/>
          </w:tcPr>
          <w:p>
            <w:pPr>
              <w:jc w:val="right"/>
              <w:ind w:right="300"/>
              <w:spacing w:after="0"/>
              <w:rPr>
                <w:sz w:val="20"/>
                <w:szCs w:val="20"/>
                <w:color w:val="auto"/>
              </w:rPr>
            </w:pPr>
            <w:r>
              <w:rPr>
                <w:rFonts w:ascii="Arial" w:cs="Arial" w:eastAsia="Arial" w:hAnsi="Arial"/>
                <w:sz w:val="16"/>
                <w:szCs w:val="16"/>
                <w:color w:val="auto"/>
              </w:rPr>
              <w:t>14,000</w:t>
            </w:r>
          </w:p>
        </w:tc>
        <w:tc>
          <w:tcPr>
            <w:tcW w:w="1100" w:type="dxa"/>
            <w:vAlign w:val="bottom"/>
            <w:shd w:val="clear" w:color="auto" w:fill="E9E9E9"/>
          </w:tcPr>
          <w:p>
            <w:pPr>
              <w:ind w:left="400"/>
              <w:spacing w:after="0"/>
              <w:rPr>
                <w:sz w:val="20"/>
                <w:szCs w:val="20"/>
                <w:color w:val="auto"/>
              </w:rPr>
            </w:pPr>
            <w:r>
              <w:rPr>
                <w:rFonts w:ascii="Arial" w:cs="Arial" w:eastAsia="Arial" w:hAnsi="Arial"/>
                <w:sz w:val="16"/>
                <w:szCs w:val="16"/>
                <w:color w:val="auto"/>
              </w:rPr>
              <w:t>13,230</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149,276</w:t>
            </w:r>
          </w:p>
        </w:tc>
      </w:tr>
      <w:tr>
        <w:trPr>
          <w:trHeight w:val="203"/>
        </w:trPr>
        <w:tc>
          <w:tcPr>
            <w:tcW w:w="2540" w:type="dxa"/>
            <w:vAlign w:val="bottom"/>
          </w:tcPr>
          <w:p>
            <w:pPr>
              <w:ind w:left="60"/>
              <w:spacing w:after="0"/>
              <w:rPr>
                <w:sz w:val="20"/>
                <w:szCs w:val="20"/>
                <w:color w:val="auto"/>
              </w:rPr>
            </w:pPr>
            <w:r>
              <w:rPr>
                <w:rFonts w:ascii="Arial" w:cs="Arial" w:eastAsia="Arial" w:hAnsi="Arial"/>
                <w:sz w:val="16"/>
                <w:szCs w:val="16"/>
                <w:color w:val="auto"/>
              </w:rPr>
              <w:t>Mr. Wyshner</w:t>
            </w:r>
          </w:p>
        </w:tc>
        <w:tc>
          <w:tcPr>
            <w:tcW w:w="2000" w:type="dxa"/>
            <w:vAlign w:val="bottom"/>
          </w:tcPr>
          <w:p>
            <w:pPr>
              <w:ind w:left="1380"/>
              <w:spacing w:after="0"/>
              <w:rPr>
                <w:sz w:val="20"/>
                <w:szCs w:val="20"/>
                <w:color w:val="auto"/>
              </w:rPr>
            </w:pPr>
            <w:r>
              <w:rPr>
                <w:rFonts w:ascii="Arial" w:cs="Arial" w:eastAsia="Arial" w:hAnsi="Arial"/>
                <w:sz w:val="16"/>
                <w:szCs w:val="16"/>
                <w:color w:val="auto"/>
              </w:rPr>
              <w:t>2014</w:t>
            </w:r>
          </w:p>
        </w:tc>
        <w:tc>
          <w:tcPr>
            <w:tcW w:w="1380" w:type="dxa"/>
            <w:vAlign w:val="bottom"/>
          </w:tcPr>
          <w:p>
            <w:pPr>
              <w:jc w:val="right"/>
              <w:ind w:right="260"/>
              <w:spacing w:after="0"/>
              <w:rPr>
                <w:sz w:val="20"/>
                <w:szCs w:val="20"/>
                <w:color w:val="auto"/>
              </w:rPr>
            </w:pPr>
            <w:r>
              <w:rPr>
                <w:rFonts w:ascii="Arial" w:cs="Arial" w:eastAsia="Arial" w:hAnsi="Arial"/>
                <w:sz w:val="16"/>
                <w:szCs w:val="16"/>
                <w:color w:val="auto"/>
              </w:rPr>
              <w:t>0</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12,709</w:t>
            </w:r>
          </w:p>
        </w:tc>
        <w:tc>
          <w:tcPr>
            <w:tcW w:w="1100" w:type="dxa"/>
            <w:vAlign w:val="bottom"/>
          </w:tcPr>
          <w:p>
            <w:pPr>
              <w:ind w:left="400"/>
              <w:spacing w:after="0"/>
              <w:rPr>
                <w:sz w:val="20"/>
                <w:szCs w:val="20"/>
                <w:color w:val="auto"/>
              </w:rPr>
            </w:pPr>
            <w:r>
              <w:rPr>
                <w:rFonts w:ascii="Arial" w:cs="Arial" w:eastAsia="Arial" w:hAnsi="Arial"/>
                <w:sz w:val="16"/>
                <w:szCs w:val="16"/>
                <w:color w:val="auto"/>
              </w:rPr>
              <w:t>20,000</w:t>
            </w:r>
          </w:p>
        </w:tc>
        <w:tc>
          <w:tcPr>
            <w:tcW w:w="1160" w:type="dxa"/>
            <w:vAlign w:val="bottom"/>
          </w:tcPr>
          <w:p>
            <w:pPr>
              <w:jc w:val="right"/>
              <w:spacing w:after="0"/>
              <w:rPr>
                <w:sz w:val="20"/>
                <w:szCs w:val="20"/>
                <w:color w:val="auto"/>
              </w:rPr>
            </w:pPr>
            <w:r>
              <w:rPr>
                <w:rFonts w:ascii="Arial" w:cs="Arial" w:eastAsia="Arial" w:hAnsi="Arial"/>
                <w:sz w:val="16"/>
                <w:szCs w:val="16"/>
                <w:color w:val="auto"/>
              </w:rPr>
              <w:t>32,709</w:t>
            </w:r>
          </w:p>
        </w:tc>
      </w:tr>
      <w:tr>
        <w:trPr>
          <w:trHeight w:val="203"/>
        </w:trPr>
        <w:tc>
          <w:tcPr>
            <w:tcW w:w="2540" w:type="dxa"/>
            <w:vAlign w:val="bottom"/>
          </w:tcPr>
          <w:p>
            <w:pPr>
              <w:spacing w:after="0"/>
              <w:rPr>
                <w:sz w:val="17"/>
                <w:szCs w:val="17"/>
                <w:color w:val="auto"/>
              </w:rPr>
            </w:pPr>
          </w:p>
        </w:tc>
        <w:tc>
          <w:tcPr>
            <w:tcW w:w="2000" w:type="dxa"/>
            <w:vAlign w:val="bottom"/>
          </w:tcPr>
          <w:p>
            <w:pPr>
              <w:ind w:left="1380"/>
              <w:spacing w:after="0"/>
              <w:rPr>
                <w:sz w:val="20"/>
                <w:szCs w:val="20"/>
                <w:color w:val="auto"/>
              </w:rPr>
            </w:pPr>
            <w:r>
              <w:rPr>
                <w:rFonts w:ascii="Arial" w:cs="Arial" w:eastAsia="Arial" w:hAnsi="Arial"/>
                <w:sz w:val="16"/>
                <w:szCs w:val="16"/>
                <w:color w:val="auto"/>
              </w:rPr>
              <w:t>2013</w:t>
            </w:r>
          </w:p>
        </w:tc>
        <w:tc>
          <w:tcPr>
            <w:tcW w:w="1380" w:type="dxa"/>
            <w:vAlign w:val="bottom"/>
          </w:tcPr>
          <w:p>
            <w:pPr>
              <w:jc w:val="right"/>
              <w:ind w:right="260"/>
              <w:spacing w:after="0"/>
              <w:rPr>
                <w:sz w:val="20"/>
                <w:szCs w:val="20"/>
                <w:color w:val="auto"/>
              </w:rPr>
            </w:pPr>
            <w:r>
              <w:rPr>
                <w:rFonts w:ascii="Arial" w:cs="Arial" w:eastAsia="Arial" w:hAnsi="Arial"/>
                <w:sz w:val="16"/>
                <w:szCs w:val="16"/>
                <w:color w:val="auto"/>
              </w:rPr>
              <w:t>25,258</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12,414</w:t>
            </w:r>
          </w:p>
        </w:tc>
        <w:tc>
          <w:tcPr>
            <w:tcW w:w="1100" w:type="dxa"/>
            <w:vAlign w:val="bottom"/>
          </w:tcPr>
          <w:p>
            <w:pPr>
              <w:ind w:left="400"/>
              <w:spacing w:after="0"/>
              <w:rPr>
                <w:sz w:val="20"/>
                <w:szCs w:val="20"/>
                <w:color w:val="auto"/>
              </w:rPr>
            </w:pPr>
            <w:r>
              <w:rPr>
                <w:rFonts w:ascii="Arial" w:cs="Arial" w:eastAsia="Arial" w:hAnsi="Arial"/>
                <w:sz w:val="16"/>
                <w:szCs w:val="16"/>
                <w:color w:val="auto"/>
              </w:rPr>
              <w:t>20,000</w:t>
            </w:r>
          </w:p>
        </w:tc>
        <w:tc>
          <w:tcPr>
            <w:tcW w:w="1160" w:type="dxa"/>
            <w:vAlign w:val="bottom"/>
          </w:tcPr>
          <w:p>
            <w:pPr>
              <w:jc w:val="right"/>
              <w:spacing w:after="0"/>
              <w:rPr>
                <w:sz w:val="20"/>
                <w:szCs w:val="20"/>
                <w:color w:val="auto"/>
              </w:rPr>
            </w:pPr>
            <w:r>
              <w:rPr>
                <w:rFonts w:ascii="Arial" w:cs="Arial" w:eastAsia="Arial" w:hAnsi="Arial"/>
                <w:sz w:val="16"/>
                <w:szCs w:val="16"/>
                <w:color w:val="auto"/>
              </w:rPr>
              <w:t>57,672</w:t>
            </w:r>
          </w:p>
        </w:tc>
      </w:tr>
      <w:tr>
        <w:trPr>
          <w:trHeight w:val="204"/>
        </w:trPr>
        <w:tc>
          <w:tcPr>
            <w:tcW w:w="2540" w:type="dxa"/>
            <w:vAlign w:val="bottom"/>
          </w:tcPr>
          <w:p>
            <w:pPr>
              <w:spacing w:after="0"/>
              <w:rPr>
                <w:sz w:val="17"/>
                <w:szCs w:val="17"/>
                <w:color w:val="auto"/>
              </w:rPr>
            </w:pPr>
          </w:p>
        </w:tc>
        <w:tc>
          <w:tcPr>
            <w:tcW w:w="2000" w:type="dxa"/>
            <w:vAlign w:val="bottom"/>
          </w:tcPr>
          <w:p>
            <w:pPr>
              <w:ind w:left="1380"/>
              <w:spacing w:after="0"/>
              <w:rPr>
                <w:sz w:val="20"/>
                <w:szCs w:val="20"/>
                <w:color w:val="auto"/>
              </w:rPr>
            </w:pPr>
            <w:r>
              <w:rPr>
                <w:rFonts w:ascii="Arial" w:cs="Arial" w:eastAsia="Arial" w:hAnsi="Arial"/>
                <w:sz w:val="16"/>
                <w:szCs w:val="16"/>
                <w:color w:val="auto"/>
              </w:rPr>
              <w:t>2012</w:t>
            </w:r>
          </w:p>
        </w:tc>
        <w:tc>
          <w:tcPr>
            <w:tcW w:w="1380" w:type="dxa"/>
            <w:vAlign w:val="bottom"/>
          </w:tcPr>
          <w:p>
            <w:pPr>
              <w:jc w:val="right"/>
              <w:ind w:right="260"/>
              <w:spacing w:after="0"/>
              <w:rPr>
                <w:sz w:val="20"/>
                <w:szCs w:val="20"/>
                <w:color w:val="auto"/>
              </w:rPr>
            </w:pPr>
            <w:r>
              <w:rPr>
                <w:rFonts w:ascii="Arial" w:cs="Arial" w:eastAsia="Arial" w:hAnsi="Arial"/>
                <w:sz w:val="16"/>
                <w:szCs w:val="16"/>
                <w:color w:val="auto"/>
              </w:rPr>
              <w:t>9,133</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11,970</w:t>
            </w:r>
          </w:p>
        </w:tc>
        <w:tc>
          <w:tcPr>
            <w:tcW w:w="1100" w:type="dxa"/>
            <w:vAlign w:val="bottom"/>
          </w:tcPr>
          <w:p>
            <w:pPr>
              <w:ind w:left="400"/>
              <w:spacing w:after="0"/>
              <w:rPr>
                <w:sz w:val="20"/>
                <w:szCs w:val="20"/>
                <w:color w:val="auto"/>
              </w:rPr>
            </w:pPr>
            <w:r>
              <w:rPr>
                <w:rFonts w:ascii="Arial" w:cs="Arial" w:eastAsia="Arial" w:hAnsi="Arial"/>
                <w:sz w:val="16"/>
                <w:szCs w:val="16"/>
                <w:color w:val="auto"/>
              </w:rPr>
              <w:t>20,000</w:t>
            </w:r>
          </w:p>
        </w:tc>
        <w:tc>
          <w:tcPr>
            <w:tcW w:w="1160" w:type="dxa"/>
            <w:vAlign w:val="bottom"/>
          </w:tcPr>
          <w:p>
            <w:pPr>
              <w:jc w:val="right"/>
              <w:spacing w:after="0"/>
              <w:rPr>
                <w:sz w:val="20"/>
                <w:szCs w:val="20"/>
                <w:color w:val="auto"/>
              </w:rPr>
            </w:pPr>
            <w:r>
              <w:rPr>
                <w:rFonts w:ascii="Arial" w:cs="Arial" w:eastAsia="Arial" w:hAnsi="Arial"/>
                <w:sz w:val="16"/>
                <w:szCs w:val="16"/>
                <w:color w:val="auto"/>
              </w:rPr>
              <w:t>41,103</w:t>
            </w:r>
          </w:p>
        </w:tc>
      </w:tr>
      <w:tr>
        <w:trPr>
          <w:trHeight w:val="203"/>
        </w:trPr>
        <w:tc>
          <w:tcPr>
            <w:tcW w:w="2540" w:type="dxa"/>
            <w:vAlign w:val="bottom"/>
            <w:shd w:val="clear" w:color="auto" w:fill="E9E9E9"/>
          </w:tcPr>
          <w:p>
            <w:pPr>
              <w:ind w:left="60"/>
              <w:spacing w:after="0"/>
              <w:rPr>
                <w:sz w:val="20"/>
                <w:szCs w:val="20"/>
                <w:color w:val="auto"/>
              </w:rPr>
            </w:pPr>
            <w:r>
              <w:rPr>
                <w:rFonts w:ascii="Arial" w:cs="Arial" w:eastAsia="Arial" w:hAnsi="Arial"/>
                <w:sz w:val="16"/>
                <w:szCs w:val="16"/>
                <w:color w:val="auto"/>
              </w:rPr>
              <w:t>Mr. Gartland</w:t>
            </w:r>
          </w:p>
        </w:tc>
        <w:tc>
          <w:tcPr>
            <w:tcW w:w="2000" w:type="dxa"/>
            <w:vAlign w:val="bottom"/>
            <w:shd w:val="clear" w:color="auto" w:fill="E9E9E9"/>
          </w:tcPr>
          <w:p>
            <w:pPr>
              <w:ind w:left="1380"/>
              <w:spacing w:after="0"/>
              <w:rPr>
                <w:sz w:val="20"/>
                <w:szCs w:val="20"/>
                <w:color w:val="auto"/>
              </w:rPr>
            </w:pPr>
            <w:r>
              <w:rPr>
                <w:rFonts w:ascii="Arial" w:cs="Arial" w:eastAsia="Arial" w:hAnsi="Arial"/>
                <w:sz w:val="16"/>
                <w:szCs w:val="16"/>
                <w:color w:val="auto"/>
              </w:rPr>
              <w:t>2014</w:t>
            </w:r>
          </w:p>
        </w:tc>
        <w:tc>
          <w:tcPr>
            <w:tcW w:w="1380" w:type="dxa"/>
            <w:vAlign w:val="bottom"/>
            <w:shd w:val="clear" w:color="auto" w:fill="E9E9E9"/>
          </w:tcPr>
          <w:p>
            <w:pPr>
              <w:jc w:val="right"/>
              <w:ind w:right="260"/>
              <w:spacing w:after="0"/>
              <w:rPr>
                <w:sz w:val="20"/>
                <w:szCs w:val="20"/>
                <w:color w:val="auto"/>
              </w:rPr>
            </w:pPr>
            <w:r>
              <w:rPr>
                <w:rFonts w:ascii="Arial" w:cs="Arial" w:eastAsia="Arial" w:hAnsi="Arial"/>
                <w:sz w:val="16"/>
                <w:szCs w:val="16"/>
                <w:color w:val="auto"/>
              </w:rPr>
              <w:t>36,532</w:t>
            </w:r>
          </w:p>
        </w:tc>
        <w:tc>
          <w:tcPr>
            <w:tcW w:w="1440" w:type="dxa"/>
            <w:vAlign w:val="bottom"/>
            <w:shd w:val="clear" w:color="auto" w:fill="E9E9E9"/>
          </w:tcPr>
          <w:p>
            <w:pPr>
              <w:jc w:val="right"/>
              <w:ind w:right="300"/>
              <w:spacing w:after="0"/>
              <w:rPr>
                <w:sz w:val="20"/>
                <w:szCs w:val="20"/>
                <w:color w:val="auto"/>
              </w:rPr>
            </w:pPr>
            <w:r>
              <w:rPr>
                <w:rFonts w:ascii="Arial" w:cs="Arial" w:eastAsia="Arial" w:hAnsi="Arial"/>
                <w:sz w:val="16"/>
                <w:szCs w:val="16"/>
                <w:color w:val="auto"/>
              </w:rPr>
              <w:t>12,709</w:t>
            </w:r>
          </w:p>
        </w:tc>
        <w:tc>
          <w:tcPr>
            <w:tcW w:w="1100" w:type="dxa"/>
            <w:vAlign w:val="bottom"/>
            <w:shd w:val="clear" w:color="auto" w:fill="E9E9E9"/>
          </w:tcPr>
          <w:p>
            <w:pPr>
              <w:ind w:left="400"/>
              <w:spacing w:after="0"/>
              <w:rPr>
                <w:sz w:val="20"/>
                <w:szCs w:val="20"/>
                <w:color w:val="auto"/>
              </w:rPr>
            </w:pPr>
            <w:r>
              <w:rPr>
                <w:rFonts w:ascii="Arial" w:cs="Arial" w:eastAsia="Arial" w:hAnsi="Arial"/>
                <w:sz w:val="16"/>
                <w:szCs w:val="16"/>
                <w:color w:val="auto"/>
              </w:rPr>
              <w:t>20,000</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72,491</w:t>
            </w:r>
          </w:p>
        </w:tc>
      </w:tr>
      <w:tr>
        <w:trPr>
          <w:trHeight w:val="203"/>
        </w:trPr>
        <w:tc>
          <w:tcPr>
            <w:tcW w:w="2540" w:type="dxa"/>
            <w:vAlign w:val="bottom"/>
            <w:shd w:val="clear" w:color="auto" w:fill="E9E9E9"/>
          </w:tcPr>
          <w:p>
            <w:pPr>
              <w:spacing w:after="0"/>
              <w:rPr>
                <w:sz w:val="17"/>
                <w:szCs w:val="17"/>
                <w:color w:val="auto"/>
              </w:rPr>
            </w:pPr>
          </w:p>
        </w:tc>
        <w:tc>
          <w:tcPr>
            <w:tcW w:w="2000" w:type="dxa"/>
            <w:vAlign w:val="bottom"/>
            <w:shd w:val="clear" w:color="auto" w:fill="E9E9E9"/>
          </w:tcPr>
          <w:p>
            <w:pPr>
              <w:ind w:left="1380"/>
              <w:spacing w:after="0"/>
              <w:rPr>
                <w:sz w:val="20"/>
                <w:szCs w:val="20"/>
                <w:color w:val="auto"/>
              </w:rPr>
            </w:pPr>
            <w:r>
              <w:rPr>
                <w:rFonts w:ascii="Arial" w:cs="Arial" w:eastAsia="Arial" w:hAnsi="Arial"/>
                <w:sz w:val="16"/>
                <w:szCs w:val="16"/>
                <w:color w:val="auto"/>
              </w:rPr>
              <w:t>2013</w:t>
            </w:r>
          </w:p>
        </w:tc>
        <w:tc>
          <w:tcPr>
            <w:tcW w:w="1380" w:type="dxa"/>
            <w:vAlign w:val="bottom"/>
            <w:shd w:val="clear" w:color="auto" w:fill="E9E9E9"/>
          </w:tcPr>
          <w:p>
            <w:pPr>
              <w:jc w:val="right"/>
              <w:ind w:right="260"/>
              <w:spacing w:after="0"/>
              <w:rPr>
                <w:sz w:val="20"/>
                <w:szCs w:val="20"/>
                <w:color w:val="auto"/>
              </w:rPr>
            </w:pPr>
            <w:r>
              <w:rPr>
                <w:rFonts w:ascii="Arial" w:cs="Arial" w:eastAsia="Arial" w:hAnsi="Arial"/>
                <w:sz w:val="16"/>
                <w:szCs w:val="16"/>
                <w:color w:val="auto"/>
              </w:rPr>
              <w:t>22,500</w:t>
            </w:r>
          </w:p>
        </w:tc>
        <w:tc>
          <w:tcPr>
            <w:tcW w:w="1440" w:type="dxa"/>
            <w:vAlign w:val="bottom"/>
            <w:shd w:val="clear" w:color="auto" w:fill="E9E9E9"/>
          </w:tcPr>
          <w:p>
            <w:pPr>
              <w:jc w:val="right"/>
              <w:ind w:right="300"/>
              <w:spacing w:after="0"/>
              <w:rPr>
                <w:sz w:val="20"/>
                <w:szCs w:val="20"/>
                <w:color w:val="auto"/>
              </w:rPr>
            </w:pPr>
            <w:r>
              <w:rPr>
                <w:rFonts w:ascii="Arial" w:cs="Arial" w:eastAsia="Arial" w:hAnsi="Arial"/>
                <w:sz w:val="16"/>
                <w:szCs w:val="16"/>
                <w:color w:val="auto"/>
              </w:rPr>
              <w:t>12,414</w:t>
            </w:r>
          </w:p>
        </w:tc>
        <w:tc>
          <w:tcPr>
            <w:tcW w:w="1100" w:type="dxa"/>
            <w:vAlign w:val="bottom"/>
            <w:shd w:val="clear" w:color="auto" w:fill="E9E9E9"/>
          </w:tcPr>
          <w:p>
            <w:pPr>
              <w:ind w:left="400"/>
              <w:spacing w:after="0"/>
              <w:rPr>
                <w:sz w:val="20"/>
                <w:szCs w:val="20"/>
                <w:color w:val="auto"/>
              </w:rPr>
            </w:pPr>
            <w:r>
              <w:rPr>
                <w:rFonts w:ascii="Arial" w:cs="Arial" w:eastAsia="Arial" w:hAnsi="Arial"/>
                <w:sz w:val="16"/>
                <w:szCs w:val="16"/>
                <w:color w:val="auto"/>
              </w:rPr>
              <w:t>20,000</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58,164</w:t>
            </w:r>
          </w:p>
        </w:tc>
      </w:tr>
      <w:tr>
        <w:trPr>
          <w:trHeight w:val="203"/>
        </w:trPr>
        <w:tc>
          <w:tcPr>
            <w:tcW w:w="2540" w:type="dxa"/>
            <w:vAlign w:val="bottom"/>
            <w:shd w:val="clear" w:color="auto" w:fill="E9E9E9"/>
          </w:tcPr>
          <w:p>
            <w:pPr>
              <w:spacing w:after="0"/>
              <w:rPr>
                <w:sz w:val="17"/>
                <w:szCs w:val="17"/>
                <w:color w:val="auto"/>
              </w:rPr>
            </w:pPr>
          </w:p>
        </w:tc>
        <w:tc>
          <w:tcPr>
            <w:tcW w:w="2000" w:type="dxa"/>
            <w:vAlign w:val="bottom"/>
            <w:shd w:val="clear" w:color="auto" w:fill="E9E9E9"/>
          </w:tcPr>
          <w:p>
            <w:pPr>
              <w:ind w:left="1380"/>
              <w:spacing w:after="0"/>
              <w:rPr>
                <w:sz w:val="20"/>
                <w:szCs w:val="20"/>
                <w:color w:val="auto"/>
              </w:rPr>
            </w:pPr>
            <w:r>
              <w:rPr>
                <w:rFonts w:ascii="Arial" w:cs="Arial" w:eastAsia="Arial" w:hAnsi="Arial"/>
                <w:sz w:val="16"/>
                <w:szCs w:val="16"/>
                <w:color w:val="auto"/>
              </w:rPr>
              <w:t>2012</w:t>
            </w:r>
          </w:p>
        </w:tc>
        <w:tc>
          <w:tcPr>
            <w:tcW w:w="1380" w:type="dxa"/>
            <w:vAlign w:val="bottom"/>
            <w:shd w:val="clear" w:color="auto" w:fill="E9E9E9"/>
          </w:tcPr>
          <w:p>
            <w:pPr>
              <w:jc w:val="right"/>
              <w:ind w:right="260"/>
              <w:spacing w:after="0"/>
              <w:rPr>
                <w:sz w:val="20"/>
                <w:szCs w:val="20"/>
                <w:color w:val="auto"/>
              </w:rPr>
            </w:pPr>
            <w:r>
              <w:rPr>
                <w:rFonts w:ascii="Arial" w:cs="Arial" w:eastAsia="Arial" w:hAnsi="Arial"/>
                <w:sz w:val="16"/>
                <w:szCs w:val="16"/>
                <w:color w:val="auto"/>
              </w:rPr>
              <w:t>51,540</w:t>
            </w:r>
          </w:p>
        </w:tc>
        <w:tc>
          <w:tcPr>
            <w:tcW w:w="1440" w:type="dxa"/>
            <w:vAlign w:val="bottom"/>
            <w:shd w:val="clear" w:color="auto" w:fill="E9E9E9"/>
          </w:tcPr>
          <w:p>
            <w:pPr>
              <w:jc w:val="right"/>
              <w:ind w:right="300"/>
              <w:spacing w:after="0"/>
              <w:rPr>
                <w:sz w:val="20"/>
                <w:szCs w:val="20"/>
                <w:color w:val="auto"/>
              </w:rPr>
            </w:pPr>
            <w:r>
              <w:rPr>
                <w:rFonts w:ascii="Arial" w:cs="Arial" w:eastAsia="Arial" w:hAnsi="Arial"/>
                <w:sz w:val="16"/>
                <w:szCs w:val="16"/>
                <w:color w:val="auto"/>
              </w:rPr>
              <w:t>12,863</w:t>
            </w:r>
          </w:p>
        </w:tc>
        <w:tc>
          <w:tcPr>
            <w:tcW w:w="1100" w:type="dxa"/>
            <w:vAlign w:val="bottom"/>
            <w:shd w:val="clear" w:color="auto" w:fill="E9E9E9"/>
          </w:tcPr>
          <w:p>
            <w:pPr>
              <w:ind w:left="400"/>
              <w:spacing w:after="0"/>
              <w:rPr>
                <w:sz w:val="20"/>
                <w:szCs w:val="20"/>
                <w:color w:val="auto"/>
              </w:rPr>
            </w:pPr>
            <w:r>
              <w:rPr>
                <w:rFonts w:ascii="Arial" w:cs="Arial" w:eastAsia="Arial" w:hAnsi="Arial"/>
                <w:sz w:val="16"/>
                <w:szCs w:val="16"/>
                <w:color w:val="auto"/>
              </w:rPr>
              <w:t>20,000</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87,528</w:t>
            </w:r>
          </w:p>
        </w:tc>
      </w:tr>
      <w:tr>
        <w:trPr>
          <w:trHeight w:val="203"/>
        </w:trPr>
        <w:tc>
          <w:tcPr>
            <w:tcW w:w="2540" w:type="dxa"/>
            <w:vAlign w:val="bottom"/>
          </w:tcPr>
          <w:p>
            <w:pPr>
              <w:ind w:left="60"/>
              <w:spacing w:after="0"/>
              <w:rPr>
                <w:sz w:val="20"/>
                <w:szCs w:val="20"/>
                <w:color w:val="auto"/>
              </w:rPr>
            </w:pPr>
            <w:r>
              <w:rPr>
                <w:rFonts w:ascii="Arial" w:cs="Arial" w:eastAsia="Arial" w:hAnsi="Arial"/>
                <w:sz w:val="16"/>
                <w:szCs w:val="16"/>
                <w:color w:val="auto"/>
              </w:rPr>
              <w:t>Mr. De Shon</w:t>
            </w:r>
          </w:p>
        </w:tc>
        <w:tc>
          <w:tcPr>
            <w:tcW w:w="2000" w:type="dxa"/>
            <w:vAlign w:val="bottom"/>
          </w:tcPr>
          <w:p>
            <w:pPr>
              <w:ind w:left="1380"/>
              <w:spacing w:after="0"/>
              <w:rPr>
                <w:sz w:val="20"/>
                <w:szCs w:val="20"/>
                <w:color w:val="auto"/>
              </w:rPr>
            </w:pPr>
            <w:r>
              <w:rPr>
                <w:rFonts w:ascii="Arial" w:cs="Arial" w:eastAsia="Arial" w:hAnsi="Arial"/>
                <w:sz w:val="16"/>
                <w:szCs w:val="16"/>
                <w:color w:val="auto"/>
              </w:rPr>
              <w:t>2014</w:t>
            </w:r>
          </w:p>
        </w:tc>
        <w:tc>
          <w:tcPr>
            <w:tcW w:w="1380" w:type="dxa"/>
            <w:vAlign w:val="bottom"/>
          </w:tcPr>
          <w:p>
            <w:pPr>
              <w:jc w:val="right"/>
              <w:ind w:right="260"/>
              <w:spacing w:after="0"/>
              <w:rPr>
                <w:sz w:val="20"/>
                <w:szCs w:val="20"/>
                <w:color w:val="auto"/>
              </w:rPr>
            </w:pPr>
            <w:r>
              <w:rPr>
                <w:rFonts w:ascii="Arial" w:cs="Arial" w:eastAsia="Arial" w:hAnsi="Arial"/>
                <w:sz w:val="16"/>
                <w:szCs w:val="16"/>
                <w:color w:val="auto"/>
              </w:rPr>
              <w:t>28,487</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11,519</w:t>
            </w:r>
          </w:p>
        </w:tc>
        <w:tc>
          <w:tcPr>
            <w:tcW w:w="1100" w:type="dxa"/>
            <w:vAlign w:val="bottom"/>
          </w:tcPr>
          <w:p>
            <w:pPr>
              <w:ind w:left="400"/>
              <w:spacing w:after="0"/>
              <w:rPr>
                <w:sz w:val="20"/>
                <w:szCs w:val="20"/>
                <w:color w:val="auto"/>
              </w:rPr>
            </w:pPr>
            <w:r>
              <w:rPr>
                <w:rFonts w:ascii="Arial" w:cs="Arial" w:eastAsia="Arial" w:hAnsi="Arial"/>
                <w:sz w:val="16"/>
                <w:szCs w:val="16"/>
                <w:color w:val="auto"/>
              </w:rPr>
              <w:t>19,020</w:t>
            </w:r>
          </w:p>
        </w:tc>
        <w:tc>
          <w:tcPr>
            <w:tcW w:w="1160" w:type="dxa"/>
            <w:vAlign w:val="bottom"/>
          </w:tcPr>
          <w:p>
            <w:pPr>
              <w:jc w:val="right"/>
              <w:spacing w:after="0"/>
              <w:rPr>
                <w:sz w:val="20"/>
                <w:szCs w:val="20"/>
                <w:color w:val="auto"/>
              </w:rPr>
            </w:pPr>
            <w:r>
              <w:rPr>
                <w:rFonts w:ascii="Arial" w:cs="Arial" w:eastAsia="Arial" w:hAnsi="Arial"/>
                <w:sz w:val="16"/>
                <w:szCs w:val="16"/>
                <w:color w:val="auto"/>
              </w:rPr>
              <w:t>59,026</w:t>
            </w:r>
          </w:p>
        </w:tc>
      </w:tr>
      <w:tr>
        <w:trPr>
          <w:trHeight w:val="203"/>
        </w:trPr>
        <w:tc>
          <w:tcPr>
            <w:tcW w:w="2540" w:type="dxa"/>
            <w:vAlign w:val="bottom"/>
          </w:tcPr>
          <w:p>
            <w:pPr>
              <w:spacing w:after="0"/>
              <w:rPr>
                <w:sz w:val="17"/>
                <w:szCs w:val="17"/>
                <w:color w:val="auto"/>
              </w:rPr>
            </w:pPr>
          </w:p>
        </w:tc>
        <w:tc>
          <w:tcPr>
            <w:tcW w:w="2000" w:type="dxa"/>
            <w:vAlign w:val="bottom"/>
          </w:tcPr>
          <w:p>
            <w:pPr>
              <w:ind w:left="1380"/>
              <w:spacing w:after="0"/>
              <w:rPr>
                <w:sz w:val="20"/>
                <w:szCs w:val="20"/>
                <w:color w:val="auto"/>
              </w:rPr>
            </w:pPr>
            <w:r>
              <w:rPr>
                <w:rFonts w:ascii="Arial" w:cs="Arial" w:eastAsia="Arial" w:hAnsi="Arial"/>
                <w:sz w:val="16"/>
                <w:szCs w:val="16"/>
                <w:color w:val="auto"/>
              </w:rPr>
              <w:t>2013</w:t>
            </w:r>
          </w:p>
        </w:tc>
        <w:tc>
          <w:tcPr>
            <w:tcW w:w="1380" w:type="dxa"/>
            <w:vAlign w:val="bottom"/>
          </w:tcPr>
          <w:p>
            <w:pPr>
              <w:jc w:val="right"/>
              <w:ind w:right="260"/>
              <w:spacing w:after="0"/>
              <w:rPr>
                <w:sz w:val="20"/>
                <w:szCs w:val="20"/>
                <w:color w:val="auto"/>
              </w:rPr>
            </w:pPr>
            <w:r>
              <w:rPr>
                <w:rFonts w:ascii="Arial" w:cs="Arial" w:eastAsia="Arial" w:hAnsi="Arial"/>
                <w:sz w:val="16"/>
                <w:szCs w:val="16"/>
                <w:color w:val="auto"/>
              </w:rPr>
              <w:t>0</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11,254</w:t>
            </w:r>
          </w:p>
        </w:tc>
        <w:tc>
          <w:tcPr>
            <w:tcW w:w="1100" w:type="dxa"/>
            <w:vAlign w:val="bottom"/>
          </w:tcPr>
          <w:p>
            <w:pPr>
              <w:ind w:left="400"/>
              <w:spacing w:after="0"/>
              <w:rPr>
                <w:sz w:val="20"/>
                <w:szCs w:val="20"/>
                <w:color w:val="auto"/>
              </w:rPr>
            </w:pPr>
            <w:r>
              <w:rPr>
                <w:rFonts w:ascii="Arial" w:cs="Arial" w:eastAsia="Arial" w:hAnsi="Arial"/>
                <w:sz w:val="16"/>
                <w:szCs w:val="16"/>
                <w:color w:val="auto"/>
              </w:rPr>
              <w:t>21,823</w:t>
            </w:r>
          </w:p>
        </w:tc>
        <w:tc>
          <w:tcPr>
            <w:tcW w:w="1160" w:type="dxa"/>
            <w:vAlign w:val="bottom"/>
          </w:tcPr>
          <w:p>
            <w:pPr>
              <w:jc w:val="right"/>
              <w:spacing w:after="0"/>
              <w:rPr>
                <w:sz w:val="20"/>
                <w:szCs w:val="20"/>
                <w:color w:val="auto"/>
              </w:rPr>
            </w:pPr>
            <w:r>
              <w:rPr>
                <w:rFonts w:ascii="Arial" w:cs="Arial" w:eastAsia="Arial" w:hAnsi="Arial"/>
                <w:sz w:val="16"/>
                <w:szCs w:val="16"/>
                <w:color w:val="auto"/>
              </w:rPr>
              <w:t>36,327</w:t>
            </w:r>
          </w:p>
        </w:tc>
      </w:tr>
      <w:tr>
        <w:trPr>
          <w:trHeight w:val="204"/>
        </w:trPr>
        <w:tc>
          <w:tcPr>
            <w:tcW w:w="2540" w:type="dxa"/>
            <w:vAlign w:val="bottom"/>
          </w:tcPr>
          <w:p>
            <w:pPr>
              <w:spacing w:after="0"/>
              <w:rPr>
                <w:sz w:val="17"/>
                <w:szCs w:val="17"/>
                <w:color w:val="auto"/>
              </w:rPr>
            </w:pPr>
          </w:p>
        </w:tc>
        <w:tc>
          <w:tcPr>
            <w:tcW w:w="2000" w:type="dxa"/>
            <w:vAlign w:val="bottom"/>
          </w:tcPr>
          <w:p>
            <w:pPr>
              <w:ind w:left="1380"/>
              <w:spacing w:after="0"/>
              <w:rPr>
                <w:sz w:val="20"/>
                <w:szCs w:val="20"/>
                <w:color w:val="auto"/>
              </w:rPr>
            </w:pPr>
            <w:r>
              <w:rPr>
                <w:rFonts w:ascii="Arial" w:cs="Arial" w:eastAsia="Arial" w:hAnsi="Arial"/>
                <w:sz w:val="16"/>
                <w:szCs w:val="16"/>
                <w:color w:val="auto"/>
              </w:rPr>
              <w:t>2012</w:t>
            </w:r>
          </w:p>
        </w:tc>
        <w:tc>
          <w:tcPr>
            <w:tcW w:w="1380" w:type="dxa"/>
            <w:vAlign w:val="bottom"/>
          </w:tcPr>
          <w:p>
            <w:pPr>
              <w:jc w:val="right"/>
              <w:ind w:right="260"/>
              <w:spacing w:after="0"/>
              <w:rPr>
                <w:sz w:val="20"/>
                <w:szCs w:val="20"/>
                <w:color w:val="auto"/>
              </w:rPr>
            </w:pPr>
            <w:r>
              <w:rPr>
                <w:rFonts w:ascii="Arial" w:cs="Arial" w:eastAsia="Arial" w:hAnsi="Arial"/>
                <w:sz w:val="16"/>
                <w:szCs w:val="16"/>
                <w:color w:val="auto"/>
              </w:rPr>
              <w:t>0</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10,855</w:t>
            </w:r>
          </w:p>
        </w:tc>
        <w:tc>
          <w:tcPr>
            <w:tcW w:w="1100" w:type="dxa"/>
            <w:vAlign w:val="bottom"/>
          </w:tcPr>
          <w:p>
            <w:pPr>
              <w:ind w:left="400"/>
              <w:spacing w:after="0"/>
              <w:rPr>
                <w:sz w:val="20"/>
                <w:szCs w:val="20"/>
                <w:color w:val="auto"/>
              </w:rPr>
            </w:pPr>
            <w:r>
              <w:rPr>
                <w:rFonts w:ascii="Arial" w:cs="Arial" w:eastAsia="Arial" w:hAnsi="Arial"/>
                <w:sz w:val="16"/>
                <w:szCs w:val="16"/>
                <w:color w:val="auto"/>
              </w:rPr>
              <w:t>27,352</w:t>
            </w:r>
          </w:p>
        </w:tc>
        <w:tc>
          <w:tcPr>
            <w:tcW w:w="1160" w:type="dxa"/>
            <w:vAlign w:val="bottom"/>
          </w:tcPr>
          <w:p>
            <w:pPr>
              <w:jc w:val="right"/>
              <w:spacing w:after="0"/>
              <w:rPr>
                <w:sz w:val="20"/>
                <w:szCs w:val="20"/>
                <w:color w:val="auto"/>
              </w:rPr>
            </w:pPr>
            <w:r>
              <w:rPr>
                <w:rFonts w:ascii="Arial" w:cs="Arial" w:eastAsia="Arial" w:hAnsi="Arial"/>
                <w:sz w:val="16"/>
                <w:szCs w:val="16"/>
                <w:color w:val="auto"/>
              </w:rPr>
              <w:t>41,332</w:t>
            </w:r>
          </w:p>
        </w:tc>
      </w:tr>
      <w:tr>
        <w:trPr>
          <w:trHeight w:val="203"/>
        </w:trPr>
        <w:tc>
          <w:tcPr>
            <w:tcW w:w="2540" w:type="dxa"/>
            <w:vAlign w:val="bottom"/>
            <w:shd w:val="clear" w:color="auto" w:fill="E9E9E9"/>
          </w:tcPr>
          <w:p>
            <w:pPr>
              <w:ind w:left="60"/>
              <w:spacing w:after="0"/>
              <w:rPr>
                <w:sz w:val="20"/>
                <w:szCs w:val="20"/>
                <w:color w:val="auto"/>
              </w:rPr>
            </w:pPr>
            <w:r>
              <w:rPr>
                <w:rFonts w:ascii="Arial" w:cs="Arial" w:eastAsia="Arial" w:hAnsi="Arial"/>
                <w:sz w:val="16"/>
                <w:szCs w:val="16"/>
                <w:color w:val="auto"/>
              </w:rPr>
              <w:t>Mr. Siniscalchi</w:t>
            </w:r>
          </w:p>
        </w:tc>
        <w:tc>
          <w:tcPr>
            <w:tcW w:w="2000" w:type="dxa"/>
            <w:vAlign w:val="bottom"/>
            <w:shd w:val="clear" w:color="auto" w:fill="E9E9E9"/>
          </w:tcPr>
          <w:p>
            <w:pPr>
              <w:ind w:left="1380"/>
              <w:spacing w:after="0"/>
              <w:rPr>
                <w:sz w:val="20"/>
                <w:szCs w:val="20"/>
                <w:color w:val="auto"/>
              </w:rPr>
            </w:pPr>
            <w:r>
              <w:rPr>
                <w:rFonts w:ascii="Arial" w:cs="Arial" w:eastAsia="Arial" w:hAnsi="Arial"/>
                <w:sz w:val="16"/>
                <w:szCs w:val="16"/>
                <w:color w:val="auto"/>
              </w:rPr>
              <w:t>2014</w:t>
            </w:r>
          </w:p>
        </w:tc>
        <w:tc>
          <w:tcPr>
            <w:tcW w:w="1380" w:type="dxa"/>
            <w:vAlign w:val="bottom"/>
            <w:shd w:val="clear" w:color="auto" w:fill="E9E9E9"/>
          </w:tcPr>
          <w:p>
            <w:pPr>
              <w:jc w:val="right"/>
              <w:ind w:right="260"/>
              <w:spacing w:after="0"/>
              <w:rPr>
                <w:sz w:val="20"/>
                <w:szCs w:val="20"/>
                <w:color w:val="auto"/>
              </w:rPr>
            </w:pPr>
            <w:r>
              <w:rPr>
                <w:rFonts w:ascii="Arial" w:cs="Arial" w:eastAsia="Arial" w:hAnsi="Arial"/>
                <w:sz w:val="16"/>
                <w:szCs w:val="16"/>
                <w:color w:val="auto"/>
              </w:rPr>
              <w:t>0</w:t>
            </w:r>
          </w:p>
        </w:tc>
        <w:tc>
          <w:tcPr>
            <w:tcW w:w="1440" w:type="dxa"/>
            <w:vAlign w:val="bottom"/>
            <w:shd w:val="clear" w:color="auto" w:fill="E9E9E9"/>
          </w:tcPr>
          <w:p>
            <w:pPr>
              <w:jc w:val="right"/>
              <w:ind w:right="300"/>
              <w:spacing w:after="0"/>
              <w:rPr>
                <w:sz w:val="20"/>
                <w:szCs w:val="20"/>
                <w:color w:val="auto"/>
              </w:rPr>
            </w:pPr>
            <w:r>
              <w:rPr>
                <w:rFonts w:ascii="Arial" w:cs="Arial" w:eastAsia="Arial" w:hAnsi="Arial"/>
                <w:sz w:val="16"/>
                <w:szCs w:val="16"/>
                <w:color w:val="auto"/>
              </w:rPr>
              <w:t>12,709</w:t>
            </w:r>
          </w:p>
        </w:tc>
        <w:tc>
          <w:tcPr>
            <w:tcW w:w="1100" w:type="dxa"/>
            <w:vAlign w:val="bottom"/>
            <w:shd w:val="clear" w:color="auto" w:fill="E9E9E9"/>
          </w:tcPr>
          <w:p>
            <w:pPr>
              <w:ind w:left="400"/>
              <w:spacing w:after="0"/>
              <w:rPr>
                <w:sz w:val="20"/>
                <w:szCs w:val="20"/>
                <w:color w:val="auto"/>
              </w:rPr>
            </w:pPr>
            <w:r>
              <w:rPr>
                <w:rFonts w:ascii="Arial" w:cs="Arial" w:eastAsia="Arial" w:hAnsi="Arial"/>
                <w:sz w:val="16"/>
                <w:szCs w:val="16"/>
                <w:color w:val="auto"/>
              </w:rPr>
              <w:t>13,173</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25,882</w:t>
            </w:r>
          </w:p>
        </w:tc>
      </w:tr>
      <w:tr>
        <w:trPr>
          <w:trHeight w:val="203"/>
        </w:trPr>
        <w:tc>
          <w:tcPr>
            <w:tcW w:w="2540" w:type="dxa"/>
            <w:vAlign w:val="bottom"/>
            <w:shd w:val="clear" w:color="auto" w:fill="E9E9E9"/>
          </w:tcPr>
          <w:p>
            <w:pPr>
              <w:spacing w:after="0"/>
              <w:rPr>
                <w:sz w:val="17"/>
                <w:szCs w:val="17"/>
                <w:color w:val="auto"/>
              </w:rPr>
            </w:pPr>
          </w:p>
        </w:tc>
        <w:tc>
          <w:tcPr>
            <w:tcW w:w="2000" w:type="dxa"/>
            <w:vAlign w:val="bottom"/>
            <w:shd w:val="clear" w:color="auto" w:fill="E9E9E9"/>
          </w:tcPr>
          <w:p>
            <w:pPr>
              <w:ind w:left="1380"/>
              <w:spacing w:after="0"/>
              <w:rPr>
                <w:sz w:val="20"/>
                <w:szCs w:val="20"/>
                <w:color w:val="auto"/>
              </w:rPr>
            </w:pPr>
            <w:r>
              <w:rPr>
                <w:rFonts w:ascii="Arial" w:cs="Arial" w:eastAsia="Arial" w:hAnsi="Arial"/>
                <w:sz w:val="16"/>
                <w:szCs w:val="16"/>
                <w:color w:val="auto"/>
              </w:rPr>
              <w:t>2013</w:t>
            </w:r>
          </w:p>
        </w:tc>
        <w:tc>
          <w:tcPr>
            <w:tcW w:w="1380" w:type="dxa"/>
            <w:vAlign w:val="bottom"/>
            <w:shd w:val="clear" w:color="auto" w:fill="E9E9E9"/>
          </w:tcPr>
          <w:p>
            <w:pPr>
              <w:jc w:val="right"/>
              <w:ind w:right="260"/>
              <w:spacing w:after="0"/>
              <w:rPr>
                <w:sz w:val="20"/>
                <w:szCs w:val="20"/>
                <w:color w:val="auto"/>
              </w:rPr>
            </w:pPr>
            <w:r>
              <w:rPr>
                <w:rFonts w:ascii="Arial" w:cs="Arial" w:eastAsia="Arial" w:hAnsi="Arial"/>
                <w:sz w:val="16"/>
                <w:szCs w:val="16"/>
                <w:color w:val="auto"/>
              </w:rPr>
              <w:t>0</w:t>
            </w:r>
          </w:p>
        </w:tc>
        <w:tc>
          <w:tcPr>
            <w:tcW w:w="1440" w:type="dxa"/>
            <w:vAlign w:val="bottom"/>
            <w:shd w:val="clear" w:color="auto" w:fill="E9E9E9"/>
          </w:tcPr>
          <w:p>
            <w:pPr>
              <w:jc w:val="right"/>
              <w:ind w:right="300"/>
              <w:spacing w:after="0"/>
              <w:rPr>
                <w:sz w:val="20"/>
                <w:szCs w:val="20"/>
                <w:color w:val="auto"/>
              </w:rPr>
            </w:pPr>
            <w:r>
              <w:rPr>
                <w:rFonts w:ascii="Arial" w:cs="Arial" w:eastAsia="Arial" w:hAnsi="Arial"/>
                <w:sz w:val="16"/>
                <w:szCs w:val="16"/>
                <w:color w:val="auto"/>
              </w:rPr>
              <w:t>12,414</w:t>
            </w:r>
          </w:p>
        </w:tc>
        <w:tc>
          <w:tcPr>
            <w:tcW w:w="1100" w:type="dxa"/>
            <w:vAlign w:val="bottom"/>
            <w:shd w:val="clear" w:color="auto" w:fill="E9E9E9"/>
          </w:tcPr>
          <w:p>
            <w:pPr>
              <w:ind w:left="400"/>
              <w:spacing w:after="0"/>
              <w:rPr>
                <w:sz w:val="20"/>
                <w:szCs w:val="20"/>
                <w:color w:val="auto"/>
              </w:rPr>
            </w:pPr>
            <w:r>
              <w:rPr>
                <w:rFonts w:ascii="Arial" w:cs="Arial" w:eastAsia="Arial" w:hAnsi="Arial"/>
                <w:sz w:val="16"/>
                <w:szCs w:val="16"/>
                <w:color w:val="auto"/>
              </w:rPr>
              <w:t>11,250</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28,959</w:t>
            </w:r>
          </w:p>
        </w:tc>
      </w:tr>
      <w:tr>
        <w:trPr>
          <w:trHeight w:val="203"/>
        </w:trPr>
        <w:tc>
          <w:tcPr>
            <w:tcW w:w="2540" w:type="dxa"/>
            <w:vAlign w:val="bottom"/>
            <w:tcBorders>
              <w:bottom w:val="single" w:sz="8" w:color="auto"/>
            </w:tcBorders>
            <w:shd w:val="clear" w:color="auto" w:fill="E9E9E9"/>
          </w:tcPr>
          <w:p>
            <w:pPr>
              <w:spacing w:after="0"/>
              <w:rPr>
                <w:sz w:val="17"/>
                <w:szCs w:val="17"/>
                <w:color w:val="auto"/>
              </w:rPr>
            </w:pPr>
          </w:p>
        </w:tc>
        <w:tc>
          <w:tcPr>
            <w:tcW w:w="2000" w:type="dxa"/>
            <w:vAlign w:val="bottom"/>
            <w:tcBorders>
              <w:bottom w:val="single" w:sz="8" w:color="auto"/>
            </w:tcBorders>
            <w:shd w:val="clear" w:color="auto" w:fill="E9E9E9"/>
          </w:tcPr>
          <w:p>
            <w:pPr>
              <w:ind w:left="1380"/>
              <w:spacing w:after="0"/>
              <w:rPr>
                <w:sz w:val="20"/>
                <w:szCs w:val="20"/>
                <w:color w:val="auto"/>
              </w:rPr>
            </w:pPr>
            <w:r>
              <w:rPr>
                <w:rFonts w:ascii="Arial" w:cs="Arial" w:eastAsia="Arial" w:hAnsi="Arial"/>
                <w:sz w:val="16"/>
                <w:szCs w:val="16"/>
                <w:color w:val="auto"/>
              </w:rPr>
              <w:t>2012</w:t>
            </w:r>
          </w:p>
        </w:tc>
        <w:tc>
          <w:tcPr>
            <w:tcW w:w="1380" w:type="dxa"/>
            <w:vAlign w:val="bottom"/>
            <w:tcBorders>
              <w:bottom w:val="single" w:sz="8" w:color="auto"/>
            </w:tcBorders>
            <w:shd w:val="clear" w:color="auto" w:fill="E9E9E9"/>
          </w:tcPr>
          <w:p>
            <w:pPr>
              <w:jc w:val="right"/>
              <w:ind w:right="260"/>
              <w:spacing w:after="0"/>
              <w:rPr>
                <w:sz w:val="20"/>
                <w:szCs w:val="20"/>
                <w:color w:val="auto"/>
              </w:rPr>
            </w:pPr>
            <w:r>
              <w:rPr>
                <w:rFonts w:ascii="Arial" w:cs="Arial" w:eastAsia="Arial" w:hAnsi="Arial"/>
                <w:sz w:val="16"/>
                <w:szCs w:val="16"/>
                <w:color w:val="auto"/>
              </w:rPr>
              <w:t>0</w:t>
            </w:r>
          </w:p>
        </w:tc>
        <w:tc>
          <w:tcPr>
            <w:tcW w:w="1440" w:type="dxa"/>
            <w:vAlign w:val="bottom"/>
            <w:tcBorders>
              <w:bottom w:val="single" w:sz="8" w:color="auto"/>
            </w:tcBorders>
            <w:shd w:val="clear" w:color="auto" w:fill="E9E9E9"/>
          </w:tcPr>
          <w:p>
            <w:pPr>
              <w:jc w:val="right"/>
              <w:ind w:right="300"/>
              <w:spacing w:after="0"/>
              <w:rPr>
                <w:sz w:val="20"/>
                <w:szCs w:val="20"/>
                <w:color w:val="auto"/>
              </w:rPr>
            </w:pPr>
            <w:r>
              <w:rPr>
                <w:rFonts w:ascii="Arial" w:cs="Arial" w:eastAsia="Arial" w:hAnsi="Arial"/>
                <w:sz w:val="16"/>
                <w:szCs w:val="16"/>
                <w:color w:val="auto"/>
              </w:rPr>
              <w:t>11,970</w:t>
            </w:r>
          </w:p>
        </w:tc>
        <w:tc>
          <w:tcPr>
            <w:tcW w:w="1100" w:type="dxa"/>
            <w:vAlign w:val="bottom"/>
            <w:tcBorders>
              <w:bottom w:val="single" w:sz="8" w:color="auto"/>
            </w:tcBorders>
            <w:shd w:val="clear" w:color="auto" w:fill="E9E9E9"/>
          </w:tcPr>
          <w:p>
            <w:pPr>
              <w:ind w:left="400"/>
              <w:spacing w:after="0"/>
              <w:rPr>
                <w:sz w:val="20"/>
                <w:szCs w:val="20"/>
                <w:color w:val="auto"/>
              </w:rPr>
            </w:pPr>
            <w:r>
              <w:rPr>
                <w:rFonts w:ascii="Arial" w:cs="Arial" w:eastAsia="Arial" w:hAnsi="Arial"/>
                <w:sz w:val="16"/>
                <w:szCs w:val="16"/>
                <w:color w:val="auto"/>
              </w:rPr>
              <w:t>11,250</w:t>
            </w:r>
          </w:p>
        </w:tc>
        <w:tc>
          <w:tcPr>
            <w:tcW w:w="116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27,920</w:t>
            </w:r>
          </w:p>
        </w:tc>
      </w:tr>
    </w:tbl>
    <w:p>
      <w:pPr>
        <w:spacing w:after="0" w:line="107" w:lineRule="exact"/>
        <w:rPr>
          <w:sz w:val="20"/>
          <w:szCs w:val="20"/>
          <w:color w:val="auto"/>
        </w:rPr>
      </w:pPr>
    </w:p>
    <w:p>
      <w:pPr>
        <w:ind w:left="420" w:right="60" w:hanging="369"/>
        <w:spacing w:after="0" w:line="282" w:lineRule="auto"/>
        <w:tabs>
          <w:tab w:leader="none" w:pos="4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Under the Company Aircraft Policy in effect since December 31, 2011, our CEO has reasonable non-business access to leased jet services, subject to prevailing market practices. Our other NEOs may also use the leased jet services for personal use, at the discretion of our CEO. The incremental cost of personal use of the leased jet services was calculated based on the contracted per hour cost, which includes flight-specific direct operating costs such as standard fuel, maintenance, repairs, catering and miscellaneous fees such as variable fuel surcharge as applicable, international fees for travel outside the U.S., and a 7.5% Federal excise tax (only applicable through March 2012). Since the aircraft is leased primarily for business travel, fixed costs, such as crew salaries, training, hangaring, insurance and services support are not included. Spouses of NEOs are occasionally additional passengers on business flights provided by our leased jet services. In such cases, there is no incremental cost to the Company, and as a result, no amount is reflected in the table.</w:t>
      </w:r>
    </w:p>
    <w:p>
      <w:pPr>
        <w:spacing w:after="0" w:line="4" w:lineRule="exact"/>
        <w:rPr>
          <w:rFonts w:ascii="Arial" w:cs="Arial" w:eastAsia="Arial" w:hAnsi="Arial"/>
          <w:sz w:val="15"/>
          <w:szCs w:val="15"/>
          <w:color w:val="auto"/>
        </w:rPr>
      </w:pPr>
    </w:p>
    <w:p>
      <w:pPr>
        <w:ind w:left="420" w:right="100" w:hanging="369"/>
        <w:spacing w:after="0" w:line="265" w:lineRule="auto"/>
        <w:tabs>
          <w:tab w:leader="none" w:pos="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For Mr. Nelson, represents reimbursement for financial services provided by an approved outside vendor up to a maximum of $12,000. For the other NEOs, represents actual costs we incurred for financial services, including tax return preparation, financial planning and estate planning. Amounts also include Company-paid premiums in connection with a group excess liability umbrella insurance policy, which for 2014 were $2,056 for Mr. Nelson and $1,024 for our other NEOs.</w:t>
      </w:r>
    </w:p>
    <w:p>
      <w:pPr>
        <w:ind w:left="420" w:right="80" w:hanging="369"/>
        <w:spacing w:after="0" w:line="282" w:lineRule="auto"/>
        <w:tabs>
          <w:tab w:leader="none" w:pos="4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Represents the annual lease value of a Company-provided car, or annual car allowance, for U.S.-based NEOs. All U.S.-based NEOs participate in the Company's employee auto insurance program and employee car lease program; however, no amounts are included for these programs as the Company does not incur any associated incremental cost. For Mr. De Shon, represents the value for personal use of taxi or car service in lieu of a Company-provided car and reflects a 12-month average £/$ exchange rate.</w:t>
      </w:r>
    </w:p>
    <w:p>
      <w:pPr>
        <w:spacing w:after="0" w:line="1" w:lineRule="exact"/>
        <w:rPr>
          <w:rFonts w:ascii="Arial" w:cs="Arial" w:eastAsia="Arial" w:hAnsi="Arial"/>
          <w:sz w:val="15"/>
          <w:szCs w:val="15"/>
          <w:color w:val="auto"/>
        </w:rPr>
      </w:pPr>
    </w:p>
    <w:p>
      <w:pPr>
        <w:ind w:left="420" w:right="500" w:hanging="369"/>
        <w:spacing w:after="0" w:line="265" w:lineRule="auto"/>
        <w:tabs>
          <w:tab w:leader="none" w:pos="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For Mr. Nelson, includes: (i) annual dues of $1,350 paid by the Company for a corporate private club membership used primarily for Company-sponsored meetings; however, no amounts are included for occasional personal use of this membership by Mr. Nelson as the Company does not incur any associated incremental cost; and (ii) discretionary matching contributions made by The Avis Budget Group Charitable Foundation of $5,000.</w:t>
      </w:r>
    </w:p>
    <w:p>
      <w:pPr>
        <w:ind w:left="420" w:hanging="369"/>
        <w:spacing w:after="0"/>
        <w:tabs>
          <w:tab w:leader="none" w:pos="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Amounts include payments for annual physical examinations (annual costs for any NEO did not exceed $5,295).</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620"/>
          </w:cols>
          <w:pgMar w:left="1380" w:top="434" w:right="89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8"/>
        </w:trPr>
        <w:tc>
          <w:tcPr>
            <w:tcW w:w="27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89"/>
              </w:rPr>
              <w:t>Grants of Plan-Based Awards Table</w:t>
            </w: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rPr>
              <w:t>All</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8"/>
              </w:rPr>
              <w:t>Other</w:t>
            </w: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8"/>
              </w:rPr>
              <w:t>Grant</w:t>
            </w: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6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87"/>
              </w:rPr>
              <w:t>Estimated Possible Payouts</w:t>
            </w:r>
          </w:p>
        </w:tc>
        <w:tc>
          <w:tcPr>
            <w:tcW w:w="140" w:type="dxa"/>
            <w:vAlign w:val="bottom"/>
          </w:tcPr>
          <w:p>
            <w:pPr>
              <w:spacing w:after="0"/>
              <w:rPr>
                <w:sz w:val="17"/>
                <w:szCs w:val="17"/>
                <w:color w:val="auto"/>
              </w:rPr>
            </w:pPr>
          </w:p>
        </w:tc>
        <w:tc>
          <w:tcPr>
            <w:tcW w:w="216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89"/>
              </w:rPr>
              <w:t>Estimated Future Payouts</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7"/>
              </w:rPr>
              <w:t>Stock</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4"/>
              </w:rPr>
              <w:t>All Other</w:t>
            </w:r>
          </w:p>
        </w:tc>
        <w:tc>
          <w:tcPr>
            <w:tcW w:w="68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191"/>
        </w:trPr>
        <w:tc>
          <w:tcPr>
            <w:tcW w:w="1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3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3"/>
            <w:vMerge w:val="continue"/>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9"/>
              </w:rPr>
              <w:t>Awards</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c>
          <w:tcPr>
            <w:tcW w:w="6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5"/>
              </w:rPr>
              <w:t>Fair</w:t>
            </w: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Under Non-Equity Incentive</w:t>
            </w:r>
          </w:p>
        </w:tc>
        <w:tc>
          <w:tcPr>
            <w:tcW w:w="140" w:type="dxa"/>
            <w:vAlign w:val="bottom"/>
          </w:tcPr>
          <w:p>
            <w:pPr>
              <w:spacing w:after="0"/>
              <w:rPr>
                <w:sz w:val="17"/>
                <w:szCs w:val="17"/>
                <w:color w:val="auto"/>
              </w:rPr>
            </w:pPr>
          </w:p>
        </w:tc>
        <w:tc>
          <w:tcPr>
            <w:tcW w:w="21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Under Equity Incentive</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5"/>
              </w:rPr>
              <w:t>Number</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9"/>
              </w:rPr>
              <w:t>Awards</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w w:val="91"/>
              </w:rPr>
              <w:t>Exercise</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9"/>
              </w:rPr>
              <w:t>Value of</w:t>
            </w: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Plan Awards</w:t>
            </w:r>
          </w:p>
        </w:tc>
        <w:tc>
          <w:tcPr>
            <w:tcW w:w="1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6"/>
                <w:szCs w:val="16"/>
                <w:b w:val="1"/>
                <w:bCs w:val="1"/>
                <w:color w:val="auto"/>
                <w:w w:val="91"/>
              </w:rPr>
              <w:t>Plan Awards</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2"/>
              </w:rPr>
              <w:t>of</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5"/>
              </w:rPr>
              <w:t>or Base</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7"/>
              </w:rPr>
              <w:t>Stock</w:t>
            </w:r>
          </w:p>
        </w:tc>
        <w:tc>
          <w:tcPr>
            <w:tcW w:w="0" w:type="dxa"/>
            <w:vAlign w:val="bottom"/>
          </w:tcPr>
          <w:p>
            <w:pPr>
              <w:spacing w:after="0"/>
              <w:rPr>
                <w:sz w:val="1"/>
                <w:szCs w:val="1"/>
                <w:color w:val="auto"/>
              </w:rPr>
            </w:pPr>
          </w:p>
        </w:tc>
      </w:tr>
      <w:tr>
        <w:trPr>
          <w:trHeight w:val="191"/>
        </w:trPr>
        <w:tc>
          <w:tcPr>
            <w:tcW w:w="1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1"/>
              </w:rPr>
              <w:t>Price of</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1"/>
              </w:rPr>
              <w:t>and</w:t>
            </w: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7"/>
              </w:rPr>
              <w:t>Grant/</w:t>
            </w: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5"/>
              </w:rPr>
              <w:t>of Stock</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0"/>
              </w:rPr>
              <w:t>Underlying</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w w:val="95"/>
              </w:rPr>
              <w:t>Options</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5"/>
              </w:rPr>
              <w:t>Approval</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w w:val="95"/>
              </w:rPr>
              <w:t>Threshold</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89"/>
              </w:rPr>
              <w:t>Target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w w:val="97"/>
              </w:rPr>
              <w:t>Maximum</w:t>
            </w:r>
          </w:p>
        </w:tc>
        <w:tc>
          <w:tcPr>
            <w:tcW w:w="140" w:type="dxa"/>
            <w:vAlign w:val="bottom"/>
          </w:tcPr>
          <w:p>
            <w:pPr>
              <w:spacing w:after="0"/>
              <w:rPr>
                <w:sz w:val="17"/>
                <w:szCs w:val="17"/>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w w:val="96"/>
              </w:rPr>
              <w:t>Threshold Target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Maximum</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9"/>
              </w:rPr>
              <w:t>or Units</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9"/>
              </w:rPr>
              <w:t>Options</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9"/>
              </w:rPr>
              <w:t>Awards</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9"/>
              </w:rPr>
              <w:t>Awards</w:t>
            </w:r>
          </w:p>
        </w:tc>
        <w:tc>
          <w:tcPr>
            <w:tcW w:w="0" w:type="dxa"/>
            <w:vAlign w:val="bottom"/>
          </w:tcPr>
          <w:p>
            <w:pPr>
              <w:spacing w:after="0"/>
              <w:rPr>
                <w:sz w:val="1"/>
                <w:szCs w:val="1"/>
                <w:color w:val="auto"/>
              </w:rPr>
            </w:pPr>
          </w:p>
        </w:tc>
      </w:tr>
      <w:tr>
        <w:trPr>
          <w:trHeight w:val="208"/>
        </w:trPr>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w:t>
            </w: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w w:val="96"/>
              </w:rPr>
              <w:t>Award Type</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($)(a)</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w:t>
            </w:r>
          </w:p>
        </w:tc>
        <w:tc>
          <w:tcPr>
            <w:tcW w:w="8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($)(a)</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(#)(b)</w:t>
            </w:r>
          </w:p>
        </w:tc>
        <w:tc>
          <w:tcPr>
            <w:tcW w:w="700" w:type="dxa"/>
            <w:vAlign w:val="bottom"/>
            <w:tcBorders>
              <w:bottom w:val="single" w:sz="8" w:color="auto"/>
            </w:tcBorders>
          </w:tcPr>
          <w:p>
            <w:pPr>
              <w:jc w:val="center"/>
              <w:ind w:left="80"/>
              <w:spacing w:after="0"/>
              <w:rPr>
                <w:sz w:val="20"/>
                <w:szCs w:val="20"/>
                <w:color w:val="auto"/>
              </w:rPr>
            </w:pPr>
            <w:r>
              <w:rPr>
                <w:rFonts w:ascii="Arial" w:cs="Arial" w:eastAsia="Arial" w:hAnsi="Arial"/>
                <w:sz w:val="16"/>
                <w:szCs w:val="16"/>
                <w:b w:val="1"/>
                <w:bCs w:val="1"/>
                <w:color w:val="auto"/>
                <w:w w:val="94"/>
              </w:rPr>
              <w:t>(#)(b)</w:t>
            </w: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(#)(b)</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($/SH)</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($)(d)</w:t>
            </w:r>
          </w:p>
        </w:tc>
        <w:tc>
          <w:tcPr>
            <w:tcW w:w="0" w:type="dxa"/>
            <w:vAlign w:val="bottom"/>
          </w:tcPr>
          <w:p>
            <w:pPr>
              <w:spacing w:after="0"/>
              <w:rPr>
                <w:sz w:val="1"/>
                <w:szCs w:val="1"/>
                <w:color w:val="auto"/>
              </w:rPr>
            </w:pPr>
          </w:p>
        </w:tc>
      </w:tr>
      <w:tr>
        <w:trPr>
          <w:trHeight w:val="195"/>
        </w:trPr>
        <w:tc>
          <w:tcPr>
            <w:tcW w:w="1040" w:type="dxa"/>
            <w:vAlign w:val="bottom"/>
            <w:shd w:val="clear" w:color="auto" w:fill="E9E9E9"/>
          </w:tcPr>
          <w:p>
            <w:pPr>
              <w:ind w:left="60"/>
              <w:spacing w:after="0"/>
              <w:rPr>
                <w:sz w:val="20"/>
                <w:szCs w:val="20"/>
                <w:color w:val="auto"/>
              </w:rPr>
            </w:pPr>
            <w:r>
              <w:rPr>
                <w:rFonts w:ascii="Arial" w:cs="Arial" w:eastAsia="Arial" w:hAnsi="Arial"/>
                <w:sz w:val="16"/>
                <w:szCs w:val="16"/>
                <w:color w:val="auto"/>
              </w:rPr>
              <w:t>Mr. Nelson</w:t>
            </w:r>
          </w:p>
        </w:tc>
        <w:tc>
          <w:tcPr>
            <w:tcW w:w="1000" w:type="dxa"/>
            <w:vAlign w:val="bottom"/>
            <w:shd w:val="clear" w:color="auto" w:fill="E9E9E9"/>
          </w:tcPr>
          <w:p>
            <w:pPr>
              <w:ind w:left="80"/>
              <w:spacing w:after="0"/>
              <w:rPr>
                <w:sz w:val="20"/>
                <w:szCs w:val="20"/>
                <w:color w:val="auto"/>
              </w:rPr>
            </w:pPr>
            <w:r>
              <w:rPr>
                <w:rFonts w:ascii="Arial" w:cs="Arial" w:eastAsia="Arial" w:hAnsi="Arial"/>
                <w:sz w:val="16"/>
                <w:szCs w:val="16"/>
                <w:color w:val="auto"/>
              </w:rPr>
              <w:t>Bonus</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431,250</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2"/>
              </w:rPr>
              <w:t>1,725,000</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3,450,000</w:t>
            </w:r>
          </w:p>
        </w:tc>
        <w:tc>
          <w:tcPr>
            <w:tcW w:w="140" w:type="dxa"/>
            <w:vAlign w:val="bottom"/>
            <w:shd w:val="clear" w:color="auto" w:fill="E9E9E9"/>
          </w:tcPr>
          <w:p>
            <w:pPr>
              <w:spacing w:after="0"/>
              <w:rPr>
                <w:sz w:val="16"/>
                <w:szCs w:val="16"/>
                <w:color w:val="auto"/>
              </w:rPr>
            </w:pPr>
          </w:p>
        </w:tc>
        <w:tc>
          <w:tcPr>
            <w:tcW w:w="640" w:type="dxa"/>
            <w:vAlign w:val="bottom"/>
            <w:shd w:val="clear" w:color="auto" w:fill="E9E9E9"/>
          </w:tcPr>
          <w:p>
            <w:pPr>
              <w:spacing w:after="0"/>
              <w:rPr>
                <w:sz w:val="16"/>
                <w:szCs w:val="16"/>
                <w:color w:val="auto"/>
              </w:rPr>
            </w:pPr>
          </w:p>
        </w:tc>
        <w:tc>
          <w:tcPr>
            <w:tcW w:w="700" w:type="dxa"/>
            <w:vAlign w:val="bottom"/>
            <w:shd w:val="clear" w:color="auto" w:fill="E9E9E9"/>
          </w:tcPr>
          <w:p>
            <w:pPr>
              <w:spacing w:after="0"/>
              <w:rPr>
                <w:sz w:val="16"/>
                <w:szCs w:val="16"/>
                <w:color w:val="auto"/>
              </w:rPr>
            </w:pPr>
          </w:p>
        </w:tc>
        <w:tc>
          <w:tcPr>
            <w:tcW w:w="820" w:type="dxa"/>
            <w:vAlign w:val="bottom"/>
            <w:shd w:val="clear" w:color="auto" w:fill="E9E9E9"/>
          </w:tcPr>
          <w:p>
            <w:pPr>
              <w:spacing w:after="0"/>
              <w:rPr>
                <w:sz w:val="16"/>
                <w:szCs w:val="16"/>
                <w:color w:val="auto"/>
              </w:rPr>
            </w:pPr>
          </w:p>
        </w:tc>
        <w:tc>
          <w:tcPr>
            <w:tcW w:w="660" w:type="dxa"/>
            <w:vAlign w:val="bottom"/>
            <w:shd w:val="clear" w:color="auto" w:fill="E9E9E9"/>
          </w:tcPr>
          <w:p>
            <w:pPr>
              <w:spacing w:after="0"/>
              <w:rPr>
                <w:sz w:val="16"/>
                <w:szCs w:val="16"/>
                <w:color w:val="auto"/>
              </w:rPr>
            </w:pPr>
          </w:p>
        </w:tc>
        <w:tc>
          <w:tcPr>
            <w:tcW w:w="880" w:type="dxa"/>
            <w:vAlign w:val="bottom"/>
            <w:shd w:val="clear" w:color="auto" w:fill="E9E9E9"/>
          </w:tcPr>
          <w:p>
            <w:pPr>
              <w:spacing w:after="0"/>
              <w:rPr>
                <w:sz w:val="16"/>
                <w:szCs w:val="16"/>
                <w:color w:val="auto"/>
              </w:rPr>
            </w:pPr>
          </w:p>
        </w:tc>
        <w:tc>
          <w:tcPr>
            <w:tcW w:w="680" w:type="dxa"/>
            <w:vAlign w:val="bottom"/>
            <w:shd w:val="clear" w:color="auto" w:fill="E9E9E9"/>
          </w:tcPr>
          <w:p>
            <w:pPr>
              <w:spacing w:after="0"/>
              <w:rPr>
                <w:sz w:val="16"/>
                <w:szCs w:val="16"/>
                <w:color w:val="auto"/>
              </w:rPr>
            </w:pPr>
          </w:p>
        </w:tc>
        <w:tc>
          <w:tcPr>
            <w:tcW w:w="720" w:type="dxa"/>
            <w:vAlign w:val="bottom"/>
            <w:shd w:val="clear" w:color="auto" w:fill="E9E9E9"/>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E9E9E9"/>
          </w:tcPr>
          <w:p>
            <w:pPr>
              <w:spacing w:after="0"/>
              <w:rPr>
                <w:sz w:val="17"/>
                <w:szCs w:val="17"/>
                <w:color w:val="auto"/>
              </w:rPr>
            </w:pPr>
          </w:p>
        </w:tc>
        <w:tc>
          <w:tcPr>
            <w:tcW w:w="1000" w:type="dxa"/>
            <w:vAlign w:val="bottom"/>
            <w:shd w:val="clear" w:color="auto" w:fill="E9E9E9"/>
          </w:tcPr>
          <w:p>
            <w:pPr>
              <w:ind w:left="80"/>
              <w:spacing w:after="0"/>
              <w:rPr>
                <w:sz w:val="20"/>
                <w:szCs w:val="20"/>
                <w:color w:val="auto"/>
              </w:rPr>
            </w:pPr>
            <w:r>
              <w:rPr>
                <w:rFonts w:ascii="Arial" w:cs="Arial" w:eastAsia="Arial" w:hAnsi="Arial"/>
                <w:sz w:val="16"/>
                <w:szCs w:val="16"/>
                <w:color w:val="auto"/>
              </w:rPr>
              <w:t>Time-based</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5"/>
              </w:rPr>
              <w:t>4/17/2014</w:t>
            </w:r>
          </w:p>
        </w:tc>
        <w:tc>
          <w:tcPr>
            <w:tcW w:w="820" w:type="dxa"/>
            <w:vAlign w:val="bottom"/>
            <w:shd w:val="clear" w:color="auto" w:fill="E9E9E9"/>
          </w:tcPr>
          <w:p>
            <w:pPr>
              <w:spacing w:after="0"/>
              <w:rPr>
                <w:sz w:val="17"/>
                <w:szCs w:val="17"/>
                <w:color w:val="auto"/>
              </w:rPr>
            </w:pPr>
          </w:p>
        </w:tc>
        <w:tc>
          <w:tcPr>
            <w:tcW w:w="740" w:type="dxa"/>
            <w:vAlign w:val="bottom"/>
            <w:shd w:val="clear" w:color="auto" w:fill="E9E9E9"/>
          </w:tcPr>
          <w:p>
            <w:pPr>
              <w:spacing w:after="0"/>
              <w:rPr>
                <w:sz w:val="17"/>
                <w:szCs w:val="17"/>
                <w:color w:val="auto"/>
              </w:rPr>
            </w:pPr>
          </w:p>
        </w:tc>
        <w:tc>
          <w:tcPr>
            <w:tcW w:w="800" w:type="dxa"/>
            <w:vAlign w:val="bottom"/>
            <w:shd w:val="clear" w:color="auto" w:fill="E9E9E9"/>
          </w:tcPr>
          <w:p>
            <w:pPr>
              <w:spacing w:after="0"/>
              <w:rPr>
                <w:sz w:val="17"/>
                <w:szCs w:val="17"/>
                <w:color w:val="auto"/>
              </w:rPr>
            </w:pPr>
          </w:p>
        </w:tc>
        <w:tc>
          <w:tcPr>
            <w:tcW w:w="140" w:type="dxa"/>
            <w:vAlign w:val="bottom"/>
            <w:shd w:val="clear" w:color="auto" w:fill="E9E9E9"/>
          </w:tcPr>
          <w:p>
            <w:pPr>
              <w:spacing w:after="0"/>
              <w:rPr>
                <w:sz w:val="17"/>
                <w:szCs w:val="17"/>
                <w:color w:val="auto"/>
              </w:rPr>
            </w:pPr>
          </w:p>
        </w:tc>
        <w:tc>
          <w:tcPr>
            <w:tcW w:w="640" w:type="dxa"/>
            <w:vAlign w:val="bottom"/>
            <w:shd w:val="clear" w:color="auto" w:fill="E9E9E9"/>
          </w:tcPr>
          <w:p>
            <w:pPr>
              <w:spacing w:after="0"/>
              <w:rPr>
                <w:sz w:val="17"/>
                <w:szCs w:val="17"/>
                <w:color w:val="auto"/>
              </w:rPr>
            </w:pPr>
          </w:p>
        </w:tc>
        <w:tc>
          <w:tcPr>
            <w:tcW w:w="700" w:type="dxa"/>
            <w:vAlign w:val="bottom"/>
            <w:shd w:val="clear" w:color="auto" w:fill="E9E9E9"/>
          </w:tcPr>
          <w:p>
            <w:pPr>
              <w:spacing w:after="0"/>
              <w:rPr>
                <w:sz w:val="17"/>
                <w:szCs w:val="17"/>
                <w:color w:val="auto"/>
              </w:rPr>
            </w:pPr>
          </w:p>
        </w:tc>
        <w:tc>
          <w:tcPr>
            <w:tcW w:w="820" w:type="dxa"/>
            <w:vAlign w:val="bottom"/>
            <w:shd w:val="clear" w:color="auto" w:fill="E9E9E9"/>
          </w:tcPr>
          <w:p>
            <w:pPr>
              <w:spacing w:after="0"/>
              <w:rPr>
                <w:sz w:val="17"/>
                <w:szCs w:val="17"/>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25,700</w:t>
            </w:r>
          </w:p>
        </w:tc>
        <w:tc>
          <w:tcPr>
            <w:tcW w:w="8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6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7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2"/>
              </w:rPr>
              <w:t>1,350,021</w:t>
            </w:r>
          </w:p>
        </w:tc>
        <w:tc>
          <w:tcPr>
            <w:tcW w:w="0" w:type="dxa"/>
            <w:vAlign w:val="bottom"/>
          </w:tcPr>
          <w:p>
            <w:pPr>
              <w:spacing w:after="0"/>
              <w:rPr>
                <w:sz w:val="1"/>
                <w:szCs w:val="1"/>
                <w:color w:val="auto"/>
              </w:rPr>
            </w:pPr>
          </w:p>
        </w:tc>
      </w:tr>
      <w:tr>
        <w:trPr>
          <w:trHeight w:val="203"/>
        </w:trPr>
        <w:tc>
          <w:tcPr>
            <w:tcW w:w="1040" w:type="dxa"/>
            <w:vAlign w:val="bottom"/>
            <w:shd w:val="clear" w:color="auto" w:fill="E9E9E9"/>
          </w:tcPr>
          <w:p>
            <w:pPr>
              <w:spacing w:after="0"/>
              <w:rPr>
                <w:sz w:val="17"/>
                <w:szCs w:val="17"/>
                <w:color w:val="auto"/>
              </w:rPr>
            </w:pPr>
          </w:p>
        </w:tc>
        <w:tc>
          <w:tcPr>
            <w:tcW w:w="1000" w:type="dxa"/>
            <w:vAlign w:val="bottom"/>
            <w:shd w:val="clear" w:color="auto" w:fill="E9E9E9"/>
          </w:tcPr>
          <w:p>
            <w:pPr>
              <w:ind w:left="80"/>
              <w:spacing w:after="0"/>
              <w:rPr>
                <w:sz w:val="20"/>
                <w:szCs w:val="20"/>
                <w:color w:val="auto"/>
              </w:rPr>
            </w:pPr>
            <w:r>
              <w:rPr>
                <w:rFonts w:ascii="Arial" w:cs="Arial" w:eastAsia="Arial" w:hAnsi="Arial"/>
                <w:sz w:val="16"/>
                <w:szCs w:val="16"/>
                <w:color w:val="auto"/>
                <w:w w:val="92"/>
              </w:rPr>
              <w:t>Performance-</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5"/>
              </w:rPr>
              <w:t>4/17/2014</w:t>
            </w:r>
          </w:p>
        </w:tc>
        <w:tc>
          <w:tcPr>
            <w:tcW w:w="820" w:type="dxa"/>
            <w:vAlign w:val="bottom"/>
            <w:shd w:val="clear" w:color="auto" w:fill="E9E9E9"/>
          </w:tcPr>
          <w:p>
            <w:pPr>
              <w:spacing w:after="0"/>
              <w:rPr>
                <w:sz w:val="17"/>
                <w:szCs w:val="17"/>
                <w:color w:val="auto"/>
              </w:rPr>
            </w:pPr>
          </w:p>
        </w:tc>
        <w:tc>
          <w:tcPr>
            <w:tcW w:w="740" w:type="dxa"/>
            <w:vAlign w:val="bottom"/>
            <w:shd w:val="clear" w:color="auto" w:fill="E9E9E9"/>
          </w:tcPr>
          <w:p>
            <w:pPr>
              <w:spacing w:after="0"/>
              <w:rPr>
                <w:sz w:val="17"/>
                <w:szCs w:val="17"/>
                <w:color w:val="auto"/>
              </w:rPr>
            </w:pPr>
          </w:p>
        </w:tc>
        <w:tc>
          <w:tcPr>
            <w:tcW w:w="800" w:type="dxa"/>
            <w:vAlign w:val="bottom"/>
            <w:shd w:val="clear" w:color="auto" w:fill="E9E9E9"/>
          </w:tcPr>
          <w:p>
            <w:pPr>
              <w:spacing w:after="0"/>
              <w:rPr>
                <w:sz w:val="17"/>
                <w:szCs w:val="17"/>
                <w:color w:val="auto"/>
              </w:rPr>
            </w:pPr>
          </w:p>
        </w:tc>
        <w:tc>
          <w:tcPr>
            <w:tcW w:w="78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14,991</w:t>
            </w:r>
          </w:p>
        </w:tc>
        <w:tc>
          <w:tcPr>
            <w:tcW w:w="700" w:type="dxa"/>
            <w:vAlign w:val="bottom"/>
            <w:shd w:val="clear" w:color="auto" w:fill="E9E9E9"/>
          </w:tcPr>
          <w:p>
            <w:pPr>
              <w:jc w:val="center"/>
              <w:ind w:left="100"/>
              <w:spacing w:after="0"/>
              <w:rPr>
                <w:sz w:val="20"/>
                <w:szCs w:val="20"/>
                <w:color w:val="auto"/>
              </w:rPr>
            </w:pPr>
            <w:r>
              <w:rPr>
                <w:rFonts w:ascii="Arial" w:cs="Arial" w:eastAsia="Arial" w:hAnsi="Arial"/>
                <w:sz w:val="16"/>
                <w:szCs w:val="16"/>
                <w:color w:val="auto"/>
                <w:w w:val="89"/>
              </w:rPr>
              <w:t>59,966</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89,949</w:t>
            </w:r>
          </w:p>
        </w:tc>
        <w:tc>
          <w:tcPr>
            <w:tcW w:w="660" w:type="dxa"/>
            <w:vAlign w:val="bottom"/>
            <w:shd w:val="clear" w:color="auto" w:fill="E9E9E9"/>
          </w:tcPr>
          <w:p>
            <w:pPr>
              <w:spacing w:after="0"/>
              <w:rPr>
                <w:sz w:val="17"/>
                <w:szCs w:val="17"/>
                <w:color w:val="auto"/>
              </w:rPr>
            </w:pPr>
          </w:p>
        </w:tc>
        <w:tc>
          <w:tcPr>
            <w:tcW w:w="880" w:type="dxa"/>
            <w:vAlign w:val="bottom"/>
            <w:shd w:val="clear" w:color="auto" w:fill="E9E9E9"/>
          </w:tcPr>
          <w:p>
            <w:pPr>
              <w:spacing w:after="0"/>
              <w:rPr>
                <w:sz w:val="17"/>
                <w:szCs w:val="17"/>
                <w:color w:val="auto"/>
              </w:rPr>
            </w:pPr>
          </w:p>
        </w:tc>
        <w:tc>
          <w:tcPr>
            <w:tcW w:w="680" w:type="dxa"/>
            <w:vAlign w:val="bottom"/>
            <w:shd w:val="clear" w:color="auto" w:fill="E9E9E9"/>
          </w:tcPr>
          <w:p>
            <w:pPr>
              <w:spacing w:after="0"/>
              <w:rPr>
                <w:sz w:val="17"/>
                <w:szCs w:val="17"/>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2"/>
              </w:rPr>
              <w:t>4,381,416</w:t>
            </w:r>
          </w:p>
        </w:tc>
        <w:tc>
          <w:tcPr>
            <w:tcW w:w="0" w:type="dxa"/>
            <w:vAlign w:val="bottom"/>
          </w:tcPr>
          <w:p>
            <w:pPr>
              <w:spacing w:after="0"/>
              <w:rPr>
                <w:sz w:val="1"/>
                <w:szCs w:val="1"/>
                <w:color w:val="auto"/>
              </w:rPr>
            </w:pPr>
          </w:p>
        </w:tc>
      </w:tr>
      <w:tr>
        <w:trPr>
          <w:trHeight w:val="203"/>
        </w:trPr>
        <w:tc>
          <w:tcPr>
            <w:tcW w:w="1040" w:type="dxa"/>
            <w:vAlign w:val="bottom"/>
            <w:shd w:val="clear" w:color="auto" w:fill="E9E9E9"/>
          </w:tcPr>
          <w:p>
            <w:pPr>
              <w:spacing w:after="0"/>
              <w:rPr>
                <w:sz w:val="17"/>
                <w:szCs w:val="17"/>
                <w:color w:val="auto"/>
              </w:rPr>
            </w:pPr>
          </w:p>
        </w:tc>
        <w:tc>
          <w:tcPr>
            <w:tcW w:w="1000" w:type="dxa"/>
            <w:vAlign w:val="bottom"/>
            <w:shd w:val="clear" w:color="auto" w:fill="E9E9E9"/>
          </w:tcPr>
          <w:p>
            <w:pPr>
              <w:ind w:left="80"/>
              <w:spacing w:after="0"/>
              <w:rPr>
                <w:sz w:val="20"/>
                <w:szCs w:val="20"/>
                <w:color w:val="auto"/>
              </w:rPr>
            </w:pPr>
            <w:r>
              <w:rPr>
                <w:rFonts w:ascii="Arial" w:cs="Arial" w:eastAsia="Arial" w:hAnsi="Arial"/>
                <w:sz w:val="16"/>
                <w:szCs w:val="16"/>
                <w:color w:val="auto"/>
              </w:rPr>
              <w:t>based</w:t>
            </w:r>
          </w:p>
        </w:tc>
        <w:tc>
          <w:tcPr>
            <w:tcW w:w="740" w:type="dxa"/>
            <w:vAlign w:val="bottom"/>
            <w:shd w:val="clear" w:color="auto" w:fill="E9E9E9"/>
          </w:tcPr>
          <w:p>
            <w:pPr>
              <w:spacing w:after="0"/>
              <w:rPr>
                <w:sz w:val="17"/>
                <w:szCs w:val="17"/>
                <w:color w:val="auto"/>
              </w:rPr>
            </w:pPr>
          </w:p>
        </w:tc>
        <w:tc>
          <w:tcPr>
            <w:tcW w:w="820" w:type="dxa"/>
            <w:vAlign w:val="bottom"/>
            <w:shd w:val="clear" w:color="auto" w:fill="E9E9E9"/>
          </w:tcPr>
          <w:p>
            <w:pPr>
              <w:spacing w:after="0"/>
              <w:rPr>
                <w:sz w:val="17"/>
                <w:szCs w:val="17"/>
                <w:color w:val="auto"/>
              </w:rPr>
            </w:pPr>
          </w:p>
        </w:tc>
        <w:tc>
          <w:tcPr>
            <w:tcW w:w="740" w:type="dxa"/>
            <w:vAlign w:val="bottom"/>
            <w:shd w:val="clear" w:color="auto" w:fill="E9E9E9"/>
          </w:tcPr>
          <w:p>
            <w:pPr>
              <w:spacing w:after="0"/>
              <w:rPr>
                <w:sz w:val="17"/>
                <w:szCs w:val="17"/>
                <w:color w:val="auto"/>
              </w:rPr>
            </w:pPr>
          </w:p>
        </w:tc>
        <w:tc>
          <w:tcPr>
            <w:tcW w:w="800" w:type="dxa"/>
            <w:vAlign w:val="bottom"/>
            <w:shd w:val="clear" w:color="auto" w:fill="E9E9E9"/>
          </w:tcPr>
          <w:p>
            <w:pPr>
              <w:spacing w:after="0"/>
              <w:rPr>
                <w:sz w:val="17"/>
                <w:szCs w:val="17"/>
                <w:color w:val="auto"/>
              </w:rPr>
            </w:pPr>
          </w:p>
        </w:tc>
        <w:tc>
          <w:tcPr>
            <w:tcW w:w="140" w:type="dxa"/>
            <w:vAlign w:val="bottom"/>
            <w:shd w:val="clear" w:color="auto" w:fill="E9E9E9"/>
          </w:tcPr>
          <w:p>
            <w:pPr>
              <w:spacing w:after="0"/>
              <w:rPr>
                <w:sz w:val="17"/>
                <w:szCs w:val="17"/>
                <w:color w:val="auto"/>
              </w:rPr>
            </w:pPr>
          </w:p>
        </w:tc>
        <w:tc>
          <w:tcPr>
            <w:tcW w:w="640" w:type="dxa"/>
            <w:vAlign w:val="bottom"/>
            <w:shd w:val="clear" w:color="auto" w:fill="E9E9E9"/>
          </w:tcPr>
          <w:p>
            <w:pPr>
              <w:spacing w:after="0"/>
              <w:rPr>
                <w:sz w:val="17"/>
                <w:szCs w:val="17"/>
                <w:color w:val="auto"/>
              </w:rPr>
            </w:pPr>
          </w:p>
        </w:tc>
        <w:tc>
          <w:tcPr>
            <w:tcW w:w="700" w:type="dxa"/>
            <w:vAlign w:val="bottom"/>
            <w:shd w:val="clear" w:color="auto" w:fill="E9E9E9"/>
          </w:tcPr>
          <w:p>
            <w:pPr>
              <w:spacing w:after="0"/>
              <w:rPr>
                <w:sz w:val="17"/>
                <w:szCs w:val="17"/>
                <w:color w:val="auto"/>
              </w:rPr>
            </w:pPr>
          </w:p>
        </w:tc>
        <w:tc>
          <w:tcPr>
            <w:tcW w:w="820" w:type="dxa"/>
            <w:vAlign w:val="bottom"/>
            <w:shd w:val="clear" w:color="auto" w:fill="E9E9E9"/>
          </w:tcPr>
          <w:p>
            <w:pPr>
              <w:spacing w:after="0"/>
              <w:rPr>
                <w:sz w:val="17"/>
                <w:szCs w:val="17"/>
                <w:color w:val="auto"/>
              </w:rPr>
            </w:pPr>
          </w:p>
        </w:tc>
        <w:tc>
          <w:tcPr>
            <w:tcW w:w="660" w:type="dxa"/>
            <w:vAlign w:val="bottom"/>
            <w:shd w:val="clear" w:color="auto" w:fill="E9E9E9"/>
          </w:tcPr>
          <w:p>
            <w:pPr>
              <w:spacing w:after="0"/>
              <w:rPr>
                <w:sz w:val="17"/>
                <w:szCs w:val="17"/>
                <w:color w:val="auto"/>
              </w:rPr>
            </w:pPr>
          </w:p>
        </w:tc>
        <w:tc>
          <w:tcPr>
            <w:tcW w:w="880" w:type="dxa"/>
            <w:vAlign w:val="bottom"/>
            <w:shd w:val="clear" w:color="auto" w:fill="E9E9E9"/>
          </w:tcPr>
          <w:p>
            <w:pPr>
              <w:spacing w:after="0"/>
              <w:rPr>
                <w:sz w:val="17"/>
                <w:szCs w:val="17"/>
                <w:color w:val="auto"/>
              </w:rPr>
            </w:pPr>
          </w:p>
        </w:tc>
        <w:tc>
          <w:tcPr>
            <w:tcW w:w="680" w:type="dxa"/>
            <w:vAlign w:val="bottom"/>
            <w:shd w:val="clear" w:color="auto" w:fill="E9E9E9"/>
          </w:tcPr>
          <w:p>
            <w:pPr>
              <w:spacing w:after="0"/>
              <w:rPr>
                <w:sz w:val="17"/>
                <w:szCs w:val="17"/>
                <w:color w:val="auto"/>
              </w:rPr>
            </w:pPr>
          </w:p>
        </w:tc>
        <w:tc>
          <w:tcPr>
            <w:tcW w:w="72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60"/>
              <w:spacing w:after="0"/>
              <w:rPr>
                <w:sz w:val="20"/>
                <w:szCs w:val="20"/>
                <w:color w:val="auto"/>
              </w:rPr>
            </w:pPr>
            <w:r>
              <w:rPr>
                <w:rFonts w:ascii="Arial" w:cs="Arial" w:eastAsia="Arial" w:hAnsi="Arial"/>
                <w:sz w:val="16"/>
                <w:szCs w:val="16"/>
                <w:color w:val="auto"/>
              </w:rPr>
              <w:t>Mr. Wyshner</w:t>
            </w:r>
          </w:p>
        </w:tc>
        <w:tc>
          <w:tcPr>
            <w:tcW w:w="1000" w:type="dxa"/>
            <w:vAlign w:val="bottom"/>
          </w:tcPr>
          <w:p>
            <w:pPr>
              <w:ind w:left="80"/>
              <w:spacing w:after="0"/>
              <w:rPr>
                <w:sz w:val="20"/>
                <w:szCs w:val="20"/>
                <w:color w:val="auto"/>
              </w:rPr>
            </w:pPr>
            <w:r>
              <w:rPr>
                <w:rFonts w:ascii="Arial" w:cs="Arial" w:eastAsia="Arial" w:hAnsi="Arial"/>
                <w:sz w:val="16"/>
                <w:szCs w:val="16"/>
                <w:color w:val="auto"/>
              </w:rPr>
              <w:t>Bonus</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175,000</w:t>
            </w:r>
          </w:p>
        </w:tc>
        <w:tc>
          <w:tcPr>
            <w:tcW w:w="740" w:type="dxa"/>
            <w:vAlign w:val="bottom"/>
          </w:tcPr>
          <w:p>
            <w:pPr>
              <w:jc w:val="right"/>
              <w:spacing w:after="0"/>
              <w:rPr>
                <w:sz w:val="20"/>
                <w:szCs w:val="20"/>
                <w:color w:val="auto"/>
              </w:rPr>
            </w:pPr>
            <w:r>
              <w:rPr>
                <w:rFonts w:ascii="Arial" w:cs="Arial" w:eastAsia="Arial" w:hAnsi="Arial"/>
                <w:sz w:val="16"/>
                <w:szCs w:val="16"/>
                <w:color w:val="auto"/>
              </w:rPr>
              <w:t>700,000</w:t>
            </w:r>
          </w:p>
        </w:tc>
        <w:tc>
          <w:tcPr>
            <w:tcW w:w="800" w:type="dxa"/>
            <w:vAlign w:val="bottom"/>
          </w:tcPr>
          <w:p>
            <w:pPr>
              <w:jc w:val="right"/>
              <w:spacing w:after="0"/>
              <w:rPr>
                <w:sz w:val="20"/>
                <w:szCs w:val="20"/>
                <w:color w:val="auto"/>
              </w:rPr>
            </w:pPr>
            <w:r>
              <w:rPr>
                <w:rFonts w:ascii="Arial" w:cs="Arial" w:eastAsia="Arial" w:hAnsi="Arial"/>
                <w:sz w:val="16"/>
                <w:szCs w:val="16"/>
                <w:color w:val="auto"/>
              </w:rPr>
              <w:t>1,400,000</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6"/>
                <w:szCs w:val="16"/>
                <w:color w:val="auto"/>
              </w:rPr>
              <w:t>Time-based</w:t>
            </w:r>
          </w:p>
        </w:tc>
        <w:tc>
          <w:tcPr>
            <w:tcW w:w="740" w:type="dxa"/>
            <w:vAlign w:val="bottom"/>
          </w:tcPr>
          <w:p>
            <w:pPr>
              <w:jc w:val="right"/>
              <w:spacing w:after="0"/>
              <w:rPr>
                <w:sz w:val="20"/>
                <w:szCs w:val="20"/>
                <w:color w:val="auto"/>
              </w:rPr>
            </w:pPr>
            <w:r>
              <w:rPr>
                <w:rFonts w:ascii="Arial" w:cs="Arial" w:eastAsia="Arial" w:hAnsi="Arial"/>
                <w:sz w:val="16"/>
                <w:szCs w:val="16"/>
                <w:color w:val="auto"/>
                <w:w w:val="95"/>
              </w:rPr>
              <w:t>1/22/2014</w:t>
            </w: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14,581</w:t>
            </w:r>
          </w:p>
        </w:tc>
        <w:tc>
          <w:tcPr>
            <w:tcW w:w="880" w:type="dxa"/>
            <w:vAlign w:val="bottom"/>
          </w:tcPr>
          <w:p>
            <w:pPr>
              <w:jc w:val="right"/>
              <w:spacing w:after="0"/>
              <w:rPr>
                <w:sz w:val="20"/>
                <w:szCs w:val="20"/>
                <w:color w:val="auto"/>
              </w:rPr>
            </w:pPr>
            <w:r>
              <w:rPr>
                <w:rFonts w:ascii="Arial" w:cs="Arial" w:eastAsia="Arial" w:hAnsi="Arial"/>
                <w:sz w:val="16"/>
                <w:szCs w:val="16"/>
                <w:color w:val="auto"/>
              </w:rPr>
              <w:t>0</w:t>
            </w:r>
          </w:p>
        </w:tc>
        <w:tc>
          <w:tcPr>
            <w:tcW w:w="680" w:type="dxa"/>
            <w:vAlign w:val="bottom"/>
          </w:tcPr>
          <w:p>
            <w:pPr>
              <w:jc w:val="right"/>
              <w:spacing w:after="0"/>
              <w:rPr>
                <w:sz w:val="20"/>
                <w:szCs w:val="20"/>
                <w:color w:val="auto"/>
              </w:rPr>
            </w:pPr>
            <w:r>
              <w:rPr>
                <w:rFonts w:ascii="Arial" w:cs="Arial" w:eastAsia="Arial" w:hAnsi="Arial"/>
                <w:sz w:val="16"/>
                <w:szCs w:val="16"/>
                <w:color w:val="auto"/>
              </w:rPr>
              <w:t>0</w:t>
            </w:r>
          </w:p>
        </w:tc>
        <w:tc>
          <w:tcPr>
            <w:tcW w:w="720" w:type="dxa"/>
            <w:vAlign w:val="bottom"/>
          </w:tcPr>
          <w:p>
            <w:pPr>
              <w:jc w:val="right"/>
              <w:spacing w:after="0"/>
              <w:rPr>
                <w:sz w:val="20"/>
                <w:szCs w:val="20"/>
                <w:color w:val="auto"/>
              </w:rPr>
            </w:pPr>
            <w:r>
              <w:rPr>
                <w:rFonts w:ascii="Arial" w:cs="Arial" w:eastAsia="Arial" w:hAnsi="Arial"/>
                <w:sz w:val="16"/>
                <w:szCs w:val="16"/>
                <w:color w:val="auto"/>
              </w:rPr>
              <w:t>600,008</w:t>
            </w: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6"/>
                <w:szCs w:val="16"/>
                <w:color w:val="auto"/>
                <w:w w:val="92"/>
              </w:rPr>
              <w:t>Performance-</w:t>
            </w:r>
          </w:p>
        </w:tc>
        <w:tc>
          <w:tcPr>
            <w:tcW w:w="740" w:type="dxa"/>
            <w:vAlign w:val="bottom"/>
          </w:tcPr>
          <w:p>
            <w:pPr>
              <w:jc w:val="right"/>
              <w:spacing w:after="0"/>
              <w:rPr>
                <w:sz w:val="20"/>
                <w:szCs w:val="20"/>
                <w:color w:val="auto"/>
              </w:rPr>
            </w:pPr>
            <w:r>
              <w:rPr>
                <w:rFonts w:ascii="Arial" w:cs="Arial" w:eastAsia="Arial" w:hAnsi="Arial"/>
                <w:sz w:val="16"/>
                <w:szCs w:val="16"/>
                <w:color w:val="auto"/>
                <w:w w:val="95"/>
              </w:rPr>
              <w:t>1/22/2014</w:t>
            </w: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7,290</w:t>
            </w:r>
          </w:p>
        </w:tc>
        <w:tc>
          <w:tcPr>
            <w:tcW w:w="700" w:type="dxa"/>
            <w:vAlign w:val="bottom"/>
          </w:tcPr>
          <w:p>
            <w:pPr>
              <w:jc w:val="center"/>
              <w:ind w:left="100"/>
              <w:spacing w:after="0"/>
              <w:rPr>
                <w:sz w:val="20"/>
                <w:szCs w:val="20"/>
                <w:color w:val="auto"/>
              </w:rPr>
            </w:pPr>
            <w:r>
              <w:rPr>
                <w:rFonts w:ascii="Arial" w:cs="Arial" w:eastAsia="Arial" w:hAnsi="Arial"/>
                <w:sz w:val="16"/>
                <w:szCs w:val="16"/>
                <w:color w:val="auto"/>
                <w:w w:val="89"/>
              </w:rPr>
              <w:t>14,581</w:t>
            </w:r>
          </w:p>
        </w:tc>
        <w:tc>
          <w:tcPr>
            <w:tcW w:w="820" w:type="dxa"/>
            <w:vAlign w:val="bottom"/>
          </w:tcPr>
          <w:p>
            <w:pPr>
              <w:jc w:val="right"/>
              <w:spacing w:after="0"/>
              <w:rPr>
                <w:sz w:val="20"/>
                <w:szCs w:val="20"/>
                <w:color w:val="auto"/>
              </w:rPr>
            </w:pPr>
            <w:r>
              <w:rPr>
                <w:rFonts w:ascii="Arial" w:cs="Arial" w:eastAsia="Arial" w:hAnsi="Arial"/>
                <w:sz w:val="16"/>
                <w:szCs w:val="16"/>
                <w:color w:val="auto"/>
              </w:rPr>
              <w:t>21,871</w:t>
            </w: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685,437</w:t>
            </w:r>
          </w:p>
        </w:tc>
        <w:tc>
          <w:tcPr>
            <w:tcW w:w="0" w:type="dxa"/>
            <w:vAlign w:val="bottom"/>
          </w:tcPr>
          <w:p>
            <w:pPr>
              <w:spacing w:after="0"/>
              <w:rPr>
                <w:sz w:val="1"/>
                <w:szCs w:val="1"/>
                <w:color w:val="auto"/>
              </w:rPr>
            </w:pPr>
          </w:p>
        </w:tc>
      </w:tr>
      <w:tr>
        <w:trPr>
          <w:trHeight w:val="204"/>
        </w:trPr>
        <w:tc>
          <w:tcPr>
            <w:tcW w:w="10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6"/>
                <w:szCs w:val="16"/>
                <w:color w:val="auto"/>
              </w:rPr>
              <w:t>based</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E9E9E9"/>
          </w:tcPr>
          <w:p>
            <w:pPr>
              <w:ind w:left="60"/>
              <w:spacing w:after="0"/>
              <w:rPr>
                <w:sz w:val="20"/>
                <w:szCs w:val="20"/>
                <w:color w:val="auto"/>
              </w:rPr>
            </w:pPr>
            <w:r>
              <w:rPr>
                <w:rFonts w:ascii="Arial" w:cs="Arial" w:eastAsia="Arial" w:hAnsi="Arial"/>
                <w:sz w:val="16"/>
                <w:szCs w:val="16"/>
                <w:color w:val="auto"/>
              </w:rPr>
              <w:t>Mr. Gartland</w:t>
            </w:r>
          </w:p>
        </w:tc>
        <w:tc>
          <w:tcPr>
            <w:tcW w:w="1000" w:type="dxa"/>
            <w:vAlign w:val="bottom"/>
            <w:shd w:val="clear" w:color="auto" w:fill="E9E9E9"/>
          </w:tcPr>
          <w:p>
            <w:pPr>
              <w:ind w:left="80"/>
              <w:spacing w:after="0"/>
              <w:rPr>
                <w:sz w:val="20"/>
                <w:szCs w:val="20"/>
                <w:color w:val="auto"/>
              </w:rPr>
            </w:pPr>
            <w:r>
              <w:rPr>
                <w:rFonts w:ascii="Arial" w:cs="Arial" w:eastAsia="Arial" w:hAnsi="Arial"/>
                <w:sz w:val="16"/>
                <w:szCs w:val="16"/>
                <w:color w:val="auto"/>
              </w:rPr>
              <w:t>Bonus</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175,000</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700,000</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1,400,000</w:t>
            </w:r>
          </w:p>
        </w:tc>
        <w:tc>
          <w:tcPr>
            <w:tcW w:w="140" w:type="dxa"/>
            <w:vAlign w:val="bottom"/>
            <w:shd w:val="clear" w:color="auto" w:fill="E9E9E9"/>
          </w:tcPr>
          <w:p>
            <w:pPr>
              <w:spacing w:after="0"/>
              <w:rPr>
                <w:sz w:val="17"/>
                <w:szCs w:val="17"/>
                <w:color w:val="auto"/>
              </w:rPr>
            </w:pPr>
          </w:p>
        </w:tc>
        <w:tc>
          <w:tcPr>
            <w:tcW w:w="640" w:type="dxa"/>
            <w:vAlign w:val="bottom"/>
            <w:shd w:val="clear" w:color="auto" w:fill="E9E9E9"/>
          </w:tcPr>
          <w:p>
            <w:pPr>
              <w:spacing w:after="0"/>
              <w:rPr>
                <w:sz w:val="17"/>
                <w:szCs w:val="17"/>
                <w:color w:val="auto"/>
              </w:rPr>
            </w:pPr>
          </w:p>
        </w:tc>
        <w:tc>
          <w:tcPr>
            <w:tcW w:w="700" w:type="dxa"/>
            <w:vAlign w:val="bottom"/>
            <w:shd w:val="clear" w:color="auto" w:fill="E9E9E9"/>
          </w:tcPr>
          <w:p>
            <w:pPr>
              <w:spacing w:after="0"/>
              <w:rPr>
                <w:sz w:val="17"/>
                <w:szCs w:val="17"/>
                <w:color w:val="auto"/>
              </w:rPr>
            </w:pPr>
          </w:p>
        </w:tc>
        <w:tc>
          <w:tcPr>
            <w:tcW w:w="820" w:type="dxa"/>
            <w:vAlign w:val="bottom"/>
            <w:shd w:val="clear" w:color="auto" w:fill="E9E9E9"/>
          </w:tcPr>
          <w:p>
            <w:pPr>
              <w:spacing w:after="0"/>
              <w:rPr>
                <w:sz w:val="17"/>
                <w:szCs w:val="17"/>
                <w:color w:val="auto"/>
              </w:rPr>
            </w:pPr>
          </w:p>
        </w:tc>
        <w:tc>
          <w:tcPr>
            <w:tcW w:w="660" w:type="dxa"/>
            <w:vAlign w:val="bottom"/>
            <w:shd w:val="clear" w:color="auto" w:fill="E9E9E9"/>
          </w:tcPr>
          <w:p>
            <w:pPr>
              <w:spacing w:after="0"/>
              <w:rPr>
                <w:sz w:val="17"/>
                <w:szCs w:val="17"/>
                <w:color w:val="auto"/>
              </w:rPr>
            </w:pPr>
          </w:p>
        </w:tc>
        <w:tc>
          <w:tcPr>
            <w:tcW w:w="880" w:type="dxa"/>
            <w:vAlign w:val="bottom"/>
            <w:shd w:val="clear" w:color="auto" w:fill="E9E9E9"/>
          </w:tcPr>
          <w:p>
            <w:pPr>
              <w:spacing w:after="0"/>
              <w:rPr>
                <w:sz w:val="17"/>
                <w:szCs w:val="17"/>
                <w:color w:val="auto"/>
              </w:rPr>
            </w:pPr>
          </w:p>
        </w:tc>
        <w:tc>
          <w:tcPr>
            <w:tcW w:w="680" w:type="dxa"/>
            <w:vAlign w:val="bottom"/>
            <w:shd w:val="clear" w:color="auto" w:fill="E9E9E9"/>
          </w:tcPr>
          <w:p>
            <w:pPr>
              <w:spacing w:after="0"/>
              <w:rPr>
                <w:sz w:val="17"/>
                <w:szCs w:val="17"/>
                <w:color w:val="auto"/>
              </w:rPr>
            </w:pPr>
          </w:p>
        </w:tc>
        <w:tc>
          <w:tcPr>
            <w:tcW w:w="72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E9E9E9"/>
          </w:tcPr>
          <w:p>
            <w:pPr>
              <w:spacing w:after="0"/>
              <w:rPr>
                <w:sz w:val="17"/>
                <w:szCs w:val="17"/>
                <w:color w:val="auto"/>
              </w:rPr>
            </w:pPr>
          </w:p>
        </w:tc>
        <w:tc>
          <w:tcPr>
            <w:tcW w:w="1000" w:type="dxa"/>
            <w:vAlign w:val="bottom"/>
            <w:shd w:val="clear" w:color="auto" w:fill="E9E9E9"/>
          </w:tcPr>
          <w:p>
            <w:pPr>
              <w:ind w:left="80"/>
              <w:spacing w:after="0"/>
              <w:rPr>
                <w:sz w:val="20"/>
                <w:szCs w:val="20"/>
                <w:color w:val="auto"/>
              </w:rPr>
            </w:pPr>
            <w:r>
              <w:rPr>
                <w:rFonts w:ascii="Arial" w:cs="Arial" w:eastAsia="Arial" w:hAnsi="Arial"/>
                <w:sz w:val="16"/>
                <w:szCs w:val="16"/>
                <w:color w:val="auto"/>
              </w:rPr>
              <w:t>Time-based</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5"/>
              </w:rPr>
              <w:t>1/22/2014</w:t>
            </w:r>
          </w:p>
        </w:tc>
        <w:tc>
          <w:tcPr>
            <w:tcW w:w="820" w:type="dxa"/>
            <w:vAlign w:val="bottom"/>
            <w:shd w:val="clear" w:color="auto" w:fill="E9E9E9"/>
          </w:tcPr>
          <w:p>
            <w:pPr>
              <w:spacing w:after="0"/>
              <w:rPr>
                <w:sz w:val="17"/>
                <w:szCs w:val="17"/>
                <w:color w:val="auto"/>
              </w:rPr>
            </w:pPr>
          </w:p>
        </w:tc>
        <w:tc>
          <w:tcPr>
            <w:tcW w:w="740" w:type="dxa"/>
            <w:vAlign w:val="bottom"/>
            <w:shd w:val="clear" w:color="auto" w:fill="E9E9E9"/>
          </w:tcPr>
          <w:p>
            <w:pPr>
              <w:spacing w:after="0"/>
              <w:rPr>
                <w:sz w:val="17"/>
                <w:szCs w:val="17"/>
                <w:color w:val="auto"/>
              </w:rPr>
            </w:pPr>
          </w:p>
        </w:tc>
        <w:tc>
          <w:tcPr>
            <w:tcW w:w="800" w:type="dxa"/>
            <w:vAlign w:val="bottom"/>
            <w:shd w:val="clear" w:color="auto" w:fill="E9E9E9"/>
          </w:tcPr>
          <w:p>
            <w:pPr>
              <w:spacing w:after="0"/>
              <w:rPr>
                <w:sz w:val="17"/>
                <w:szCs w:val="17"/>
                <w:color w:val="auto"/>
              </w:rPr>
            </w:pPr>
          </w:p>
        </w:tc>
        <w:tc>
          <w:tcPr>
            <w:tcW w:w="140" w:type="dxa"/>
            <w:vAlign w:val="bottom"/>
            <w:shd w:val="clear" w:color="auto" w:fill="E9E9E9"/>
          </w:tcPr>
          <w:p>
            <w:pPr>
              <w:spacing w:after="0"/>
              <w:rPr>
                <w:sz w:val="17"/>
                <w:szCs w:val="17"/>
                <w:color w:val="auto"/>
              </w:rPr>
            </w:pPr>
          </w:p>
        </w:tc>
        <w:tc>
          <w:tcPr>
            <w:tcW w:w="640" w:type="dxa"/>
            <w:vAlign w:val="bottom"/>
            <w:shd w:val="clear" w:color="auto" w:fill="E9E9E9"/>
          </w:tcPr>
          <w:p>
            <w:pPr>
              <w:spacing w:after="0"/>
              <w:rPr>
                <w:sz w:val="17"/>
                <w:szCs w:val="17"/>
                <w:color w:val="auto"/>
              </w:rPr>
            </w:pPr>
          </w:p>
        </w:tc>
        <w:tc>
          <w:tcPr>
            <w:tcW w:w="700" w:type="dxa"/>
            <w:vAlign w:val="bottom"/>
            <w:shd w:val="clear" w:color="auto" w:fill="E9E9E9"/>
          </w:tcPr>
          <w:p>
            <w:pPr>
              <w:spacing w:after="0"/>
              <w:rPr>
                <w:sz w:val="17"/>
                <w:szCs w:val="17"/>
                <w:color w:val="auto"/>
              </w:rPr>
            </w:pPr>
          </w:p>
        </w:tc>
        <w:tc>
          <w:tcPr>
            <w:tcW w:w="820" w:type="dxa"/>
            <w:vAlign w:val="bottom"/>
            <w:shd w:val="clear" w:color="auto" w:fill="E9E9E9"/>
          </w:tcPr>
          <w:p>
            <w:pPr>
              <w:spacing w:after="0"/>
              <w:rPr>
                <w:sz w:val="17"/>
                <w:szCs w:val="17"/>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14,581</w:t>
            </w:r>
          </w:p>
        </w:tc>
        <w:tc>
          <w:tcPr>
            <w:tcW w:w="8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6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7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600,008</w:t>
            </w:r>
          </w:p>
        </w:tc>
        <w:tc>
          <w:tcPr>
            <w:tcW w:w="0" w:type="dxa"/>
            <w:vAlign w:val="bottom"/>
          </w:tcPr>
          <w:p>
            <w:pPr>
              <w:spacing w:after="0"/>
              <w:rPr>
                <w:sz w:val="1"/>
                <w:szCs w:val="1"/>
                <w:color w:val="auto"/>
              </w:rPr>
            </w:pPr>
          </w:p>
        </w:tc>
      </w:tr>
      <w:tr>
        <w:trPr>
          <w:trHeight w:val="203"/>
        </w:trPr>
        <w:tc>
          <w:tcPr>
            <w:tcW w:w="1040" w:type="dxa"/>
            <w:vAlign w:val="bottom"/>
            <w:shd w:val="clear" w:color="auto" w:fill="E9E9E9"/>
          </w:tcPr>
          <w:p>
            <w:pPr>
              <w:spacing w:after="0"/>
              <w:rPr>
                <w:sz w:val="17"/>
                <w:szCs w:val="17"/>
                <w:color w:val="auto"/>
              </w:rPr>
            </w:pPr>
          </w:p>
        </w:tc>
        <w:tc>
          <w:tcPr>
            <w:tcW w:w="1000" w:type="dxa"/>
            <w:vAlign w:val="bottom"/>
            <w:shd w:val="clear" w:color="auto" w:fill="E9E9E9"/>
          </w:tcPr>
          <w:p>
            <w:pPr>
              <w:ind w:left="80"/>
              <w:spacing w:after="0"/>
              <w:rPr>
                <w:sz w:val="20"/>
                <w:szCs w:val="20"/>
                <w:color w:val="auto"/>
              </w:rPr>
            </w:pPr>
            <w:r>
              <w:rPr>
                <w:rFonts w:ascii="Arial" w:cs="Arial" w:eastAsia="Arial" w:hAnsi="Arial"/>
                <w:sz w:val="16"/>
                <w:szCs w:val="16"/>
                <w:color w:val="auto"/>
                <w:w w:val="92"/>
              </w:rPr>
              <w:t>Performance-</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5"/>
              </w:rPr>
              <w:t>1/22/2014</w:t>
            </w:r>
          </w:p>
        </w:tc>
        <w:tc>
          <w:tcPr>
            <w:tcW w:w="820" w:type="dxa"/>
            <w:vAlign w:val="bottom"/>
            <w:shd w:val="clear" w:color="auto" w:fill="E9E9E9"/>
          </w:tcPr>
          <w:p>
            <w:pPr>
              <w:spacing w:after="0"/>
              <w:rPr>
                <w:sz w:val="17"/>
                <w:szCs w:val="17"/>
                <w:color w:val="auto"/>
              </w:rPr>
            </w:pPr>
          </w:p>
        </w:tc>
        <w:tc>
          <w:tcPr>
            <w:tcW w:w="740" w:type="dxa"/>
            <w:vAlign w:val="bottom"/>
            <w:shd w:val="clear" w:color="auto" w:fill="E9E9E9"/>
          </w:tcPr>
          <w:p>
            <w:pPr>
              <w:spacing w:after="0"/>
              <w:rPr>
                <w:sz w:val="17"/>
                <w:szCs w:val="17"/>
                <w:color w:val="auto"/>
              </w:rPr>
            </w:pPr>
          </w:p>
        </w:tc>
        <w:tc>
          <w:tcPr>
            <w:tcW w:w="800" w:type="dxa"/>
            <w:vAlign w:val="bottom"/>
            <w:shd w:val="clear" w:color="auto" w:fill="E9E9E9"/>
          </w:tcPr>
          <w:p>
            <w:pPr>
              <w:spacing w:after="0"/>
              <w:rPr>
                <w:sz w:val="17"/>
                <w:szCs w:val="17"/>
                <w:color w:val="auto"/>
              </w:rPr>
            </w:pPr>
          </w:p>
        </w:tc>
        <w:tc>
          <w:tcPr>
            <w:tcW w:w="78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7,290</w:t>
            </w:r>
          </w:p>
        </w:tc>
        <w:tc>
          <w:tcPr>
            <w:tcW w:w="700" w:type="dxa"/>
            <w:vAlign w:val="bottom"/>
            <w:shd w:val="clear" w:color="auto" w:fill="E9E9E9"/>
          </w:tcPr>
          <w:p>
            <w:pPr>
              <w:jc w:val="center"/>
              <w:ind w:left="100"/>
              <w:spacing w:after="0"/>
              <w:rPr>
                <w:sz w:val="20"/>
                <w:szCs w:val="20"/>
                <w:color w:val="auto"/>
              </w:rPr>
            </w:pPr>
            <w:r>
              <w:rPr>
                <w:rFonts w:ascii="Arial" w:cs="Arial" w:eastAsia="Arial" w:hAnsi="Arial"/>
                <w:sz w:val="16"/>
                <w:szCs w:val="16"/>
                <w:color w:val="auto"/>
                <w:w w:val="89"/>
              </w:rPr>
              <w:t>14,581</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21,871</w:t>
            </w:r>
          </w:p>
        </w:tc>
        <w:tc>
          <w:tcPr>
            <w:tcW w:w="660" w:type="dxa"/>
            <w:vAlign w:val="bottom"/>
            <w:shd w:val="clear" w:color="auto" w:fill="E9E9E9"/>
          </w:tcPr>
          <w:p>
            <w:pPr>
              <w:spacing w:after="0"/>
              <w:rPr>
                <w:sz w:val="17"/>
                <w:szCs w:val="17"/>
                <w:color w:val="auto"/>
              </w:rPr>
            </w:pPr>
          </w:p>
        </w:tc>
        <w:tc>
          <w:tcPr>
            <w:tcW w:w="880" w:type="dxa"/>
            <w:vAlign w:val="bottom"/>
            <w:shd w:val="clear" w:color="auto" w:fill="E9E9E9"/>
          </w:tcPr>
          <w:p>
            <w:pPr>
              <w:spacing w:after="0"/>
              <w:rPr>
                <w:sz w:val="17"/>
                <w:szCs w:val="17"/>
                <w:color w:val="auto"/>
              </w:rPr>
            </w:pPr>
          </w:p>
        </w:tc>
        <w:tc>
          <w:tcPr>
            <w:tcW w:w="680" w:type="dxa"/>
            <w:vAlign w:val="bottom"/>
            <w:shd w:val="clear" w:color="auto" w:fill="E9E9E9"/>
          </w:tcPr>
          <w:p>
            <w:pPr>
              <w:spacing w:after="0"/>
              <w:rPr>
                <w:sz w:val="17"/>
                <w:szCs w:val="17"/>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685,437</w:t>
            </w:r>
          </w:p>
        </w:tc>
        <w:tc>
          <w:tcPr>
            <w:tcW w:w="0" w:type="dxa"/>
            <w:vAlign w:val="bottom"/>
          </w:tcPr>
          <w:p>
            <w:pPr>
              <w:spacing w:after="0"/>
              <w:rPr>
                <w:sz w:val="1"/>
                <w:szCs w:val="1"/>
                <w:color w:val="auto"/>
              </w:rPr>
            </w:pPr>
          </w:p>
        </w:tc>
      </w:tr>
      <w:tr>
        <w:trPr>
          <w:trHeight w:val="203"/>
        </w:trPr>
        <w:tc>
          <w:tcPr>
            <w:tcW w:w="1040" w:type="dxa"/>
            <w:vAlign w:val="bottom"/>
            <w:shd w:val="clear" w:color="auto" w:fill="E9E9E9"/>
          </w:tcPr>
          <w:p>
            <w:pPr>
              <w:spacing w:after="0"/>
              <w:rPr>
                <w:sz w:val="17"/>
                <w:szCs w:val="17"/>
                <w:color w:val="auto"/>
              </w:rPr>
            </w:pPr>
          </w:p>
        </w:tc>
        <w:tc>
          <w:tcPr>
            <w:tcW w:w="1000" w:type="dxa"/>
            <w:vAlign w:val="bottom"/>
            <w:shd w:val="clear" w:color="auto" w:fill="E9E9E9"/>
          </w:tcPr>
          <w:p>
            <w:pPr>
              <w:ind w:left="80"/>
              <w:spacing w:after="0"/>
              <w:rPr>
                <w:sz w:val="20"/>
                <w:szCs w:val="20"/>
                <w:color w:val="auto"/>
              </w:rPr>
            </w:pPr>
            <w:r>
              <w:rPr>
                <w:rFonts w:ascii="Arial" w:cs="Arial" w:eastAsia="Arial" w:hAnsi="Arial"/>
                <w:sz w:val="16"/>
                <w:szCs w:val="16"/>
                <w:color w:val="auto"/>
              </w:rPr>
              <w:t>based</w:t>
            </w:r>
          </w:p>
        </w:tc>
        <w:tc>
          <w:tcPr>
            <w:tcW w:w="740" w:type="dxa"/>
            <w:vAlign w:val="bottom"/>
            <w:shd w:val="clear" w:color="auto" w:fill="E9E9E9"/>
          </w:tcPr>
          <w:p>
            <w:pPr>
              <w:spacing w:after="0"/>
              <w:rPr>
                <w:sz w:val="17"/>
                <w:szCs w:val="17"/>
                <w:color w:val="auto"/>
              </w:rPr>
            </w:pPr>
          </w:p>
        </w:tc>
        <w:tc>
          <w:tcPr>
            <w:tcW w:w="820" w:type="dxa"/>
            <w:vAlign w:val="bottom"/>
            <w:shd w:val="clear" w:color="auto" w:fill="E9E9E9"/>
          </w:tcPr>
          <w:p>
            <w:pPr>
              <w:spacing w:after="0"/>
              <w:rPr>
                <w:sz w:val="17"/>
                <w:szCs w:val="17"/>
                <w:color w:val="auto"/>
              </w:rPr>
            </w:pPr>
          </w:p>
        </w:tc>
        <w:tc>
          <w:tcPr>
            <w:tcW w:w="740" w:type="dxa"/>
            <w:vAlign w:val="bottom"/>
            <w:shd w:val="clear" w:color="auto" w:fill="E9E9E9"/>
          </w:tcPr>
          <w:p>
            <w:pPr>
              <w:spacing w:after="0"/>
              <w:rPr>
                <w:sz w:val="17"/>
                <w:szCs w:val="17"/>
                <w:color w:val="auto"/>
              </w:rPr>
            </w:pPr>
          </w:p>
        </w:tc>
        <w:tc>
          <w:tcPr>
            <w:tcW w:w="800" w:type="dxa"/>
            <w:vAlign w:val="bottom"/>
            <w:shd w:val="clear" w:color="auto" w:fill="E9E9E9"/>
          </w:tcPr>
          <w:p>
            <w:pPr>
              <w:spacing w:after="0"/>
              <w:rPr>
                <w:sz w:val="17"/>
                <w:szCs w:val="17"/>
                <w:color w:val="auto"/>
              </w:rPr>
            </w:pPr>
          </w:p>
        </w:tc>
        <w:tc>
          <w:tcPr>
            <w:tcW w:w="140" w:type="dxa"/>
            <w:vAlign w:val="bottom"/>
            <w:shd w:val="clear" w:color="auto" w:fill="E9E9E9"/>
          </w:tcPr>
          <w:p>
            <w:pPr>
              <w:spacing w:after="0"/>
              <w:rPr>
                <w:sz w:val="17"/>
                <w:szCs w:val="17"/>
                <w:color w:val="auto"/>
              </w:rPr>
            </w:pPr>
          </w:p>
        </w:tc>
        <w:tc>
          <w:tcPr>
            <w:tcW w:w="640" w:type="dxa"/>
            <w:vAlign w:val="bottom"/>
            <w:shd w:val="clear" w:color="auto" w:fill="E9E9E9"/>
          </w:tcPr>
          <w:p>
            <w:pPr>
              <w:spacing w:after="0"/>
              <w:rPr>
                <w:sz w:val="17"/>
                <w:szCs w:val="17"/>
                <w:color w:val="auto"/>
              </w:rPr>
            </w:pPr>
          </w:p>
        </w:tc>
        <w:tc>
          <w:tcPr>
            <w:tcW w:w="700" w:type="dxa"/>
            <w:vAlign w:val="bottom"/>
            <w:shd w:val="clear" w:color="auto" w:fill="E9E9E9"/>
          </w:tcPr>
          <w:p>
            <w:pPr>
              <w:spacing w:after="0"/>
              <w:rPr>
                <w:sz w:val="17"/>
                <w:szCs w:val="17"/>
                <w:color w:val="auto"/>
              </w:rPr>
            </w:pPr>
          </w:p>
        </w:tc>
        <w:tc>
          <w:tcPr>
            <w:tcW w:w="820" w:type="dxa"/>
            <w:vAlign w:val="bottom"/>
            <w:shd w:val="clear" w:color="auto" w:fill="E9E9E9"/>
          </w:tcPr>
          <w:p>
            <w:pPr>
              <w:spacing w:after="0"/>
              <w:rPr>
                <w:sz w:val="17"/>
                <w:szCs w:val="17"/>
                <w:color w:val="auto"/>
              </w:rPr>
            </w:pPr>
          </w:p>
        </w:tc>
        <w:tc>
          <w:tcPr>
            <w:tcW w:w="660" w:type="dxa"/>
            <w:vAlign w:val="bottom"/>
            <w:shd w:val="clear" w:color="auto" w:fill="E9E9E9"/>
          </w:tcPr>
          <w:p>
            <w:pPr>
              <w:spacing w:after="0"/>
              <w:rPr>
                <w:sz w:val="17"/>
                <w:szCs w:val="17"/>
                <w:color w:val="auto"/>
              </w:rPr>
            </w:pPr>
          </w:p>
        </w:tc>
        <w:tc>
          <w:tcPr>
            <w:tcW w:w="880" w:type="dxa"/>
            <w:vAlign w:val="bottom"/>
            <w:shd w:val="clear" w:color="auto" w:fill="E9E9E9"/>
          </w:tcPr>
          <w:p>
            <w:pPr>
              <w:spacing w:after="0"/>
              <w:rPr>
                <w:sz w:val="17"/>
                <w:szCs w:val="17"/>
                <w:color w:val="auto"/>
              </w:rPr>
            </w:pPr>
          </w:p>
        </w:tc>
        <w:tc>
          <w:tcPr>
            <w:tcW w:w="680" w:type="dxa"/>
            <w:vAlign w:val="bottom"/>
            <w:shd w:val="clear" w:color="auto" w:fill="E9E9E9"/>
          </w:tcPr>
          <w:p>
            <w:pPr>
              <w:spacing w:after="0"/>
              <w:rPr>
                <w:sz w:val="17"/>
                <w:szCs w:val="17"/>
                <w:color w:val="auto"/>
              </w:rPr>
            </w:pPr>
          </w:p>
        </w:tc>
        <w:tc>
          <w:tcPr>
            <w:tcW w:w="72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60"/>
              <w:spacing w:after="0"/>
              <w:rPr>
                <w:sz w:val="20"/>
                <w:szCs w:val="20"/>
                <w:color w:val="auto"/>
              </w:rPr>
            </w:pPr>
            <w:r>
              <w:rPr>
                <w:rFonts w:ascii="Arial" w:cs="Arial" w:eastAsia="Arial" w:hAnsi="Arial"/>
                <w:sz w:val="16"/>
                <w:szCs w:val="16"/>
                <w:color w:val="auto"/>
              </w:rPr>
              <w:t>Mr. De Shon</w:t>
            </w:r>
          </w:p>
        </w:tc>
        <w:tc>
          <w:tcPr>
            <w:tcW w:w="1000" w:type="dxa"/>
            <w:vAlign w:val="bottom"/>
          </w:tcPr>
          <w:p>
            <w:pPr>
              <w:ind w:left="80"/>
              <w:spacing w:after="0"/>
              <w:rPr>
                <w:sz w:val="20"/>
                <w:szCs w:val="20"/>
                <w:color w:val="auto"/>
              </w:rPr>
            </w:pPr>
            <w:r>
              <w:rPr>
                <w:rFonts w:ascii="Arial" w:cs="Arial" w:eastAsia="Arial" w:hAnsi="Arial"/>
                <w:sz w:val="16"/>
                <w:szCs w:val="16"/>
                <w:color w:val="auto"/>
              </w:rPr>
              <w:t>Bonus</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175,000</w:t>
            </w:r>
          </w:p>
        </w:tc>
        <w:tc>
          <w:tcPr>
            <w:tcW w:w="740" w:type="dxa"/>
            <w:vAlign w:val="bottom"/>
          </w:tcPr>
          <w:p>
            <w:pPr>
              <w:jc w:val="right"/>
              <w:spacing w:after="0"/>
              <w:rPr>
                <w:sz w:val="20"/>
                <w:szCs w:val="20"/>
                <w:color w:val="auto"/>
              </w:rPr>
            </w:pPr>
            <w:r>
              <w:rPr>
                <w:rFonts w:ascii="Arial" w:cs="Arial" w:eastAsia="Arial" w:hAnsi="Arial"/>
                <w:sz w:val="16"/>
                <w:szCs w:val="16"/>
                <w:color w:val="auto"/>
              </w:rPr>
              <w:t>700,000</w:t>
            </w:r>
          </w:p>
        </w:tc>
        <w:tc>
          <w:tcPr>
            <w:tcW w:w="800" w:type="dxa"/>
            <w:vAlign w:val="bottom"/>
          </w:tcPr>
          <w:p>
            <w:pPr>
              <w:jc w:val="right"/>
              <w:spacing w:after="0"/>
              <w:rPr>
                <w:sz w:val="20"/>
                <w:szCs w:val="20"/>
                <w:color w:val="auto"/>
              </w:rPr>
            </w:pPr>
            <w:r>
              <w:rPr>
                <w:rFonts w:ascii="Arial" w:cs="Arial" w:eastAsia="Arial" w:hAnsi="Arial"/>
                <w:sz w:val="16"/>
                <w:szCs w:val="16"/>
                <w:color w:val="auto"/>
              </w:rPr>
              <w:t>1,400,000</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6"/>
                <w:szCs w:val="16"/>
                <w:color w:val="auto"/>
              </w:rPr>
              <w:t>Time-based</w:t>
            </w:r>
          </w:p>
        </w:tc>
        <w:tc>
          <w:tcPr>
            <w:tcW w:w="740" w:type="dxa"/>
            <w:vAlign w:val="bottom"/>
          </w:tcPr>
          <w:p>
            <w:pPr>
              <w:jc w:val="right"/>
              <w:spacing w:after="0"/>
              <w:rPr>
                <w:sz w:val="20"/>
                <w:szCs w:val="20"/>
                <w:color w:val="auto"/>
              </w:rPr>
            </w:pPr>
            <w:r>
              <w:rPr>
                <w:rFonts w:ascii="Arial" w:cs="Arial" w:eastAsia="Arial" w:hAnsi="Arial"/>
                <w:sz w:val="16"/>
                <w:szCs w:val="16"/>
                <w:color w:val="auto"/>
                <w:w w:val="95"/>
              </w:rPr>
              <w:t>1/22/2014</w:t>
            </w: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26,732</w:t>
            </w:r>
          </w:p>
        </w:tc>
        <w:tc>
          <w:tcPr>
            <w:tcW w:w="880" w:type="dxa"/>
            <w:vAlign w:val="bottom"/>
          </w:tcPr>
          <w:p>
            <w:pPr>
              <w:jc w:val="right"/>
              <w:spacing w:after="0"/>
              <w:rPr>
                <w:sz w:val="20"/>
                <w:szCs w:val="20"/>
                <w:color w:val="auto"/>
              </w:rPr>
            </w:pPr>
            <w:r>
              <w:rPr>
                <w:rFonts w:ascii="Arial" w:cs="Arial" w:eastAsia="Arial" w:hAnsi="Arial"/>
                <w:sz w:val="16"/>
                <w:szCs w:val="16"/>
                <w:color w:val="auto"/>
              </w:rPr>
              <w:t>0</w:t>
            </w:r>
          </w:p>
        </w:tc>
        <w:tc>
          <w:tcPr>
            <w:tcW w:w="680" w:type="dxa"/>
            <w:vAlign w:val="bottom"/>
          </w:tcPr>
          <w:p>
            <w:pPr>
              <w:jc w:val="right"/>
              <w:spacing w:after="0"/>
              <w:rPr>
                <w:sz w:val="20"/>
                <w:szCs w:val="20"/>
                <w:color w:val="auto"/>
              </w:rPr>
            </w:pPr>
            <w:r>
              <w:rPr>
                <w:rFonts w:ascii="Arial" w:cs="Arial" w:eastAsia="Arial" w:hAnsi="Arial"/>
                <w:sz w:val="16"/>
                <w:szCs w:val="16"/>
                <w:color w:val="auto"/>
              </w:rPr>
              <w:t>0</w:t>
            </w:r>
          </w:p>
        </w:tc>
        <w:tc>
          <w:tcPr>
            <w:tcW w:w="720" w:type="dxa"/>
            <w:vAlign w:val="bottom"/>
          </w:tcPr>
          <w:p>
            <w:pPr>
              <w:jc w:val="right"/>
              <w:spacing w:after="0"/>
              <w:rPr>
                <w:sz w:val="20"/>
                <w:szCs w:val="20"/>
                <w:color w:val="auto"/>
              </w:rPr>
            </w:pPr>
            <w:r>
              <w:rPr>
                <w:rFonts w:ascii="Arial" w:cs="Arial" w:eastAsia="Arial" w:hAnsi="Arial"/>
                <w:sz w:val="16"/>
                <w:szCs w:val="16"/>
                <w:color w:val="auto"/>
                <w:w w:val="92"/>
              </w:rPr>
              <w:t>1,100,022</w:t>
            </w: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6"/>
                <w:szCs w:val="16"/>
                <w:color w:val="auto"/>
                <w:w w:val="92"/>
              </w:rPr>
              <w:t>Performance-</w:t>
            </w:r>
          </w:p>
        </w:tc>
        <w:tc>
          <w:tcPr>
            <w:tcW w:w="740" w:type="dxa"/>
            <w:vAlign w:val="bottom"/>
          </w:tcPr>
          <w:p>
            <w:pPr>
              <w:jc w:val="right"/>
              <w:spacing w:after="0"/>
              <w:rPr>
                <w:sz w:val="20"/>
                <w:szCs w:val="20"/>
                <w:color w:val="auto"/>
              </w:rPr>
            </w:pPr>
            <w:r>
              <w:rPr>
                <w:rFonts w:ascii="Arial" w:cs="Arial" w:eastAsia="Arial" w:hAnsi="Arial"/>
                <w:sz w:val="16"/>
                <w:szCs w:val="16"/>
                <w:color w:val="auto"/>
                <w:w w:val="95"/>
              </w:rPr>
              <w:t>1/22/2014</w:t>
            </w: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10,328</w:t>
            </w:r>
          </w:p>
        </w:tc>
        <w:tc>
          <w:tcPr>
            <w:tcW w:w="700" w:type="dxa"/>
            <w:vAlign w:val="bottom"/>
          </w:tcPr>
          <w:p>
            <w:pPr>
              <w:jc w:val="center"/>
              <w:ind w:left="100"/>
              <w:spacing w:after="0"/>
              <w:rPr>
                <w:sz w:val="20"/>
                <w:szCs w:val="20"/>
                <w:color w:val="auto"/>
              </w:rPr>
            </w:pPr>
            <w:r>
              <w:rPr>
                <w:rFonts w:ascii="Arial" w:cs="Arial" w:eastAsia="Arial" w:hAnsi="Arial"/>
                <w:sz w:val="16"/>
                <w:szCs w:val="16"/>
                <w:color w:val="auto"/>
                <w:w w:val="89"/>
              </w:rPr>
              <w:t>26,732</w:t>
            </w:r>
          </w:p>
        </w:tc>
        <w:tc>
          <w:tcPr>
            <w:tcW w:w="820" w:type="dxa"/>
            <w:vAlign w:val="bottom"/>
          </w:tcPr>
          <w:p>
            <w:pPr>
              <w:jc w:val="right"/>
              <w:spacing w:after="0"/>
              <w:rPr>
                <w:sz w:val="20"/>
                <w:szCs w:val="20"/>
                <w:color w:val="auto"/>
              </w:rPr>
            </w:pPr>
            <w:r>
              <w:rPr>
                <w:rFonts w:ascii="Arial" w:cs="Arial" w:eastAsia="Arial" w:hAnsi="Arial"/>
                <w:sz w:val="16"/>
                <w:szCs w:val="16"/>
                <w:color w:val="auto"/>
              </w:rPr>
              <w:t>40,097</w:t>
            </w: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2"/>
              </w:rPr>
              <w:t>1,435,437</w:t>
            </w:r>
          </w:p>
        </w:tc>
        <w:tc>
          <w:tcPr>
            <w:tcW w:w="0" w:type="dxa"/>
            <w:vAlign w:val="bottom"/>
          </w:tcPr>
          <w:p>
            <w:pPr>
              <w:spacing w:after="0"/>
              <w:rPr>
                <w:sz w:val="1"/>
                <w:szCs w:val="1"/>
                <w:color w:val="auto"/>
              </w:rPr>
            </w:pPr>
          </w:p>
        </w:tc>
      </w:tr>
      <w:tr>
        <w:trPr>
          <w:trHeight w:val="204"/>
        </w:trPr>
        <w:tc>
          <w:tcPr>
            <w:tcW w:w="10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6"/>
                <w:szCs w:val="16"/>
                <w:color w:val="auto"/>
              </w:rPr>
              <w:t>based</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E9E9E9"/>
          </w:tcPr>
          <w:p>
            <w:pPr>
              <w:ind w:left="60"/>
              <w:spacing w:after="0"/>
              <w:rPr>
                <w:sz w:val="20"/>
                <w:szCs w:val="20"/>
                <w:color w:val="auto"/>
              </w:rPr>
            </w:pPr>
            <w:r>
              <w:rPr>
                <w:rFonts w:ascii="Arial" w:cs="Arial" w:eastAsia="Arial" w:hAnsi="Arial"/>
                <w:sz w:val="16"/>
                <w:szCs w:val="16"/>
                <w:color w:val="auto"/>
                <w:w w:val="93"/>
              </w:rPr>
              <w:t>Mr. Siniscalchi</w:t>
            </w:r>
          </w:p>
        </w:tc>
        <w:tc>
          <w:tcPr>
            <w:tcW w:w="1000" w:type="dxa"/>
            <w:vAlign w:val="bottom"/>
            <w:shd w:val="clear" w:color="auto" w:fill="E9E9E9"/>
          </w:tcPr>
          <w:p>
            <w:pPr>
              <w:ind w:left="80"/>
              <w:spacing w:after="0"/>
              <w:rPr>
                <w:sz w:val="20"/>
                <w:szCs w:val="20"/>
                <w:color w:val="auto"/>
              </w:rPr>
            </w:pPr>
            <w:r>
              <w:rPr>
                <w:rFonts w:ascii="Arial" w:cs="Arial" w:eastAsia="Arial" w:hAnsi="Arial"/>
                <w:sz w:val="16"/>
                <w:szCs w:val="16"/>
                <w:color w:val="auto"/>
              </w:rPr>
              <w:t>Bonus</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136,058</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544,231</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1,088,462</w:t>
            </w:r>
          </w:p>
        </w:tc>
        <w:tc>
          <w:tcPr>
            <w:tcW w:w="140" w:type="dxa"/>
            <w:vAlign w:val="bottom"/>
            <w:shd w:val="clear" w:color="auto" w:fill="E9E9E9"/>
          </w:tcPr>
          <w:p>
            <w:pPr>
              <w:spacing w:after="0"/>
              <w:rPr>
                <w:sz w:val="17"/>
                <w:szCs w:val="17"/>
                <w:color w:val="auto"/>
              </w:rPr>
            </w:pPr>
          </w:p>
        </w:tc>
        <w:tc>
          <w:tcPr>
            <w:tcW w:w="640" w:type="dxa"/>
            <w:vAlign w:val="bottom"/>
            <w:shd w:val="clear" w:color="auto" w:fill="E9E9E9"/>
          </w:tcPr>
          <w:p>
            <w:pPr>
              <w:spacing w:after="0"/>
              <w:rPr>
                <w:sz w:val="17"/>
                <w:szCs w:val="17"/>
                <w:color w:val="auto"/>
              </w:rPr>
            </w:pPr>
          </w:p>
        </w:tc>
        <w:tc>
          <w:tcPr>
            <w:tcW w:w="700" w:type="dxa"/>
            <w:vAlign w:val="bottom"/>
            <w:shd w:val="clear" w:color="auto" w:fill="E9E9E9"/>
          </w:tcPr>
          <w:p>
            <w:pPr>
              <w:spacing w:after="0"/>
              <w:rPr>
                <w:sz w:val="17"/>
                <w:szCs w:val="17"/>
                <w:color w:val="auto"/>
              </w:rPr>
            </w:pPr>
          </w:p>
        </w:tc>
        <w:tc>
          <w:tcPr>
            <w:tcW w:w="820" w:type="dxa"/>
            <w:vAlign w:val="bottom"/>
            <w:shd w:val="clear" w:color="auto" w:fill="E9E9E9"/>
          </w:tcPr>
          <w:p>
            <w:pPr>
              <w:spacing w:after="0"/>
              <w:rPr>
                <w:sz w:val="17"/>
                <w:szCs w:val="17"/>
                <w:color w:val="auto"/>
              </w:rPr>
            </w:pPr>
          </w:p>
        </w:tc>
        <w:tc>
          <w:tcPr>
            <w:tcW w:w="660" w:type="dxa"/>
            <w:vAlign w:val="bottom"/>
            <w:shd w:val="clear" w:color="auto" w:fill="E9E9E9"/>
          </w:tcPr>
          <w:p>
            <w:pPr>
              <w:spacing w:after="0"/>
              <w:rPr>
                <w:sz w:val="17"/>
                <w:szCs w:val="17"/>
                <w:color w:val="auto"/>
              </w:rPr>
            </w:pPr>
          </w:p>
        </w:tc>
        <w:tc>
          <w:tcPr>
            <w:tcW w:w="880" w:type="dxa"/>
            <w:vAlign w:val="bottom"/>
            <w:shd w:val="clear" w:color="auto" w:fill="E9E9E9"/>
          </w:tcPr>
          <w:p>
            <w:pPr>
              <w:spacing w:after="0"/>
              <w:rPr>
                <w:sz w:val="17"/>
                <w:szCs w:val="17"/>
                <w:color w:val="auto"/>
              </w:rPr>
            </w:pPr>
          </w:p>
        </w:tc>
        <w:tc>
          <w:tcPr>
            <w:tcW w:w="680" w:type="dxa"/>
            <w:vAlign w:val="bottom"/>
            <w:shd w:val="clear" w:color="auto" w:fill="E9E9E9"/>
          </w:tcPr>
          <w:p>
            <w:pPr>
              <w:spacing w:after="0"/>
              <w:rPr>
                <w:sz w:val="17"/>
                <w:szCs w:val="17"/>
                <w:color w:val="auto"/>
              </w:rPr>
            </w:pPr>
          </w:p>
        </w:tc>
        <w:tc>
          <w:tcPr>
            <w:tcW w:w="72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E9E9E9"/>
          </w:tcPr>
          <w:p>
            <w:pPr>
              <w:spacing w:after="0"/>
              <w:rPr>
                <w:sz w:val="17"/>
                <w:szCs w:val="17"/>
                <w:color w:val="auto"/>
              </w:rPr>
            </w:pPr>
          </w:p>
        </w:tc>
        <w:tc>
          <w:tcPr>
            <w:tcW w:w="1000" w:type="dxa"/>
            <w:vAlign w:val="bottom"/>
            <w:shd w:val="clear" w:color="auto" w:fill="E9E9E9"/>
          </w:tcPr>
          <w:p>
            <w:pPr>
              <w:ind w:left="80"/>
              <w:spacing w:after="0"/>
              <w:rPr>
                <w:sz w:val="20"/>
                <w:szCs w:val="20"/>
                <w:color w:val="auto"/>
              </w:rPr>
            </w:pPr>
            <w:r>
              <w:rPr>
                <w:rFonts w:ascii="Arial" w:cs="Arial" w:eastAsia="Arial" w:hAnsi="Arial"/>
                <w:sz w:val="16"/>
                <w:szCs w:val="16"/>
                <w:color w:val="auto"/>
              </w:rPr>
              <w:t>Time-based</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5"/>
              </w:rPr>
              <w:t>1/22/2014</w:t>
            </w:r>
          </w:p>
        </w:tc>
        <w:tc>
          <w:tcPr>
            <w:tcW w:w="820" w:type="dxa"/>
            <w:vAlign w:val="bottom"/>
            <w:shd w:val="clear" w:color="auto" w:fill="E9E9E9"/>
          </w:tcPr>
          <w:p>
            <w:pPr>
              <w:spacing w:after="0"/>
              <w:rPr>
                <w:sz w:val="17"/>
                <w:szCs w:val="17"/>
                <w:color w:val="auto"/>
              </w:rPr>
            </w:pPr>
          </w:p>
        </w:tc>
        <w:tc>
          <w:tcPr>
            <w:tcW w:w="740" w:type="dxa"/>
            <w:vAlign w:val="bottom"/>
            <w:shd w:val="clear" w:color="auto" w:fill="E9E9E9"/>
          </w:tcPr>
          <w:p>
            <w:pPr>
              <w:spacing w:after="0"/>
              <w:rPr>
                <w:sz w:val="17"/>
                <w:szCs w:val="17"/>
                <w:color w:val="auto"/>
              </w:rPr>
            </w:pPr>
          </w:p>
        </w:tc>
        <w:tc>
          <w:tcPr>
            <w:tcW w:w="800" w:type="dxa"/>
            <w:vAlign w:val="bottom"/>
            <w:shd w:val="clear" w:color="auto" w:fill="E9E9E9"/>
          </w:tcPr>
          <w:p>
            <w:pPr>
              <w:spacing w:after="0"/>
              <w:rPr>
                <w:sz w:val="17"/>
                <w:szCs w:val="17"/>
                <w:color w:val="auto"/>
              </w:rPr>
            </w:pPr>
          </w:p>
        </w:tc>
        <w:tc>
          <w:tcPr>
            <w:tcW w:w="140" w:type="dxa"/>
            <w:vAlign w:val="bottom"/>
            <w:shd w:val="clear" w:color="auto" w:fill="E9E9E9"/>
          </w:tcPr>
          <w:p>
            <w:pPr>
              <w:spacing w:after="0"/>
              <w:rPr>
                <w:sz w:val="17"/>
                <w:szCs w:val="17"/>
                <w:color w:val="auto"/>
              </w:rPr>
            </w:pPr>
          </w:p>
        </w:tc>
        <w:tc>
          <w:tcPr>
            <w:tcW w:w="640" w:type="dxa"/>
            <w:vAlign w:val="bottom"/>
            <w:shd w:val="clear" w:color="auto" w:fill="E9E9E9"/>
          </w:tcPr>
          <w:p>
            <w:pPr>
              <w:spacing w:after="0"/>
              <w:rPr>
                <w:sz w:val="17"/>
                <w:szCs w:val="17"/>
                <w:color w:val="auto"/>
              </w:rPr>
            </w:pPr>
          </w:p>
        </w:tc>
        <w:tc>
          <w:tcPr>
            <w:tcW w:w="700" w:type="dxa"/>
            <w:vAlign w:val="bottom"/>
            <w:shd w:val="clear" w:color="auto" w:fill="E9E9E9"/>
          </w:tcPr>
          <w:p>
            <w:pPr>
              <w:spacing w:after="0"/>
              <w:rPr>
                <w:sz w:val="17"/>
                <w:szCs w:val="17"/>
                <w:color w:val="auto"/>
              </w:rPr>
            </w:pPr>
          </w:p>
        </w:tc>
        <w:tc>
          <w:tcPr>
            <w:tcW w:w="820" w:type="dxa"/>
            <w:vAlign w:val="bottom"/>
            <w:shd w:val="clear" w:color="auto" w:fill="E9E9E9"/>
          </w:tcPr>
          <w:p>
            <w:pPr>
              <w:spacing w:after="0"/>
              <w:rPr>
                <w:sz w:val="17"/>
                <w:szCs w:val="17"/>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12,151</w:t>
            </w:r>
          </w:p>
        </w:tc>
        <w:tc>
          <w:tcPr>
            <w:tcW w:w="8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6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7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500,014</w:t>
            </w:r>
          </w:p>
        </w:tc>
        <w:tc>
          <w:tcPr>
            <w:tcW w:w="0" w:type="dxa"/>
            <w:vAlign w:val="bottom"/>
          </w:tcPr>
          <w:p>
            <w:pPr>
              <w:spacing w:after="0"/>
              <w:rPr>
                <w:sz w:val="1"/>
                <w:szCs w:val="1"/>
                <w:color w:val="auto"/>
              </w:rPr>
            </w:pPr>
          </w:p>
        </w:tc>
      </w:tr>
      <w:tr>
        <w:trPr>
          <w:trHeight w:val="203"/>
        </w:trPr>
        <w:tc>
          <w:tcPr>
            <w:tcW w:w="1040" w:type="dxa"/>
            <w:vAlign w:val="bottom"/>
            <w:shd w:val="clear" w:color="auto" w:fill="E9E9E9"/>
          </w:tcPr>
          <w:p>
            <w:pPr>
              <w:spacing w:after="0"/>
              <w:rPr>
                <w:sz w:val="17"/>
                <w:szCs w:val="17"/>
                <w:color w:val="auto"/>
              </w:rPr>
            </w:pPr>
          </w:p>
        </w:tc>
        <w:tc>
          <w:tcPr>
            <w:tcW w:w="1000" w:type="dxa"/>
            <w:vAlign w:val="bottom"/>
            <w:shd w:val="clear" w:color="auto" w:fill="E9E9E9"/>
          </w:tcPr>
          <w:p>
            <w:pPr>
              <w:ind w:left="80"/>
              <w:spacing w:after="0"/>
              <w:rPr>
                <w:sz w:val="20"/>
                <w:szCs w:val="20"/>
                <w:color w:val="auto"/>
              </w:rPr>
            </w:pPr>
            <w:r>
              <w:rPr>
                <w:rFonts w:ascii="Arial" w:cs="Arial" w:eastAsia="Arial" w:hAnsi="Arial"/>
                <w:sz w:val="16"/>
                <w:szCs w:val="16"/>
                <w:color w:val="auto"/>
                <w:w w:val="92"/>
              </w:rPr>
              <w:t>Performance-</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5"/>
              </w:rPr>
              <w:t>1/22/2014</w:t>
            </w:r>
          </w:p>
        </w:tc>
        <w:tc>
          <w:tcPr>
            <w:tcW w:w="820" w:type="dxa"/>
            <w:vAlign w:val="bottom"/>
            <w:shd w:val="clear" w:color="auto" w:fill="E9E9E9"/>
          </w:tcPr>
          <w:p>
            <w:pPr>
              <w:spacing w:after="0"/>
              <w:rPr>
                <w:sz w:val="17"/>
                <w:szCs w:val="17"/>
                <w:color w:val="auto"/>
              </w:rPr>
            </w:pPr>
          </w:p>
        </w:tc>
        <w:tc>
          <w:tcPr>
            <w:tcW w:w="740" w:type="dxa"/>
            <w:vAlign w:val="bottom"/>
            <w:shd w:val="clear" w:color="auto" w:fill="E9E9E9"/>
          </w:tcPr>
          <w:p>
            <w:pPr>
              <w:spacing w:after="0"/>
              <w:rPr>
                <w:sz w:val="17"/>
                <w:szCs w:val="17"/>
                <w:color w:val="auto"/>
              </w:rPr>
            </w:pPr>
          </w:p>
        </w:tc>
        <w:tc>
          <w:tcPr>
            <w:tcW w:w="800" w:type="dxa"/>
            <w:vAlign w:val="bottom"/>
            <w:shd w:val="clear" w:color="auto" w:fill="E9E9E9"/>
          </w:tcPr>
          <w:p>
            <w:pPr>
              <w:spacing w:after="0"/>
              <w:rPr>
                <w:sz w:val="17"/>
                <w:szCs w:val="17"/>
                <w:color w:val="auto"/>
              </w:rPr>
            </w:pPr>
          </w:p>
        </w:tc>
        <w:tc>
          <w:tcPr>
            <w:tcW w:w="78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6,075</w:t>
            </w:r>
          </w:p>
        </w:tc>
        <w:tc>
          <w:tcPr>
            <w:tcW w:w="700" w:type="dxa"/>
            <w:vAlign w:val="bottom"/>
            <w:shd w:val="clear" w:color="auto" w:fill="E9E9E9"/>
          </w:tcPr>
          <w:p>
            <w:pPr>
              <w:jc w:val="center"/>
              <w:ind w:left="100"/>
              <w:spacing w:after="0"/>
              <w:rPr>
                <w:sz w:val="20"/>
                <w:szCs w:val="20"/>
                <w:color w:val="auto"/>
              </w:rPr>
            </w:pPr>
            <w:r>
              <w:rPr>
                <w:rFonts w:ascii="Arial" w:cs="Arial" w:eastAsia="Arial" w:hAnsi="Arial"/>
                <w:sz w:val="16"/>
                <w:szCs w:val="16"/>
                <w:color w:val="auto"/>
                <w:w w:val="89"/>
              </w:rPr>
              <w:t>12,151</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18,226</w:t>
            </w:r>
          </w:p>
        </w:tc>
        <w:tc>
          <w:tcPr>
            <w:tcW w:w="660" w:type="dxa"/>
            <w:vAlign w:val="bottom"/>
            <w:shd w:val="clear" w:color="auto" w:fill="E9E9E9"/>
          </w:tcPr>
          <w:p>
            <w:pPr>
              <w:spacing w:after="0"/>
              <w:rPr>
                <w:sz w:val="17"/>
                <w:szCs w:val="17"/>
                <w:color w:val="auto"/>
              </w:rPr>
            </w:pPr>
          </w:p>
        </w:tc>
        <w:tc>
          <w:tcPr>
            <w:tcW w:w="880" w:type="dxa"/>
            <w:vAlign w:val="bottom"/>
            <w:shd w:val="clear" w:color="auto" w:fill="E9E9E9"/>
          </w:tcPr>
          <w:p>
            <w:pPr>
              <w:spacing w:after="0"/>
              <w:rPr>
                <w:sz w:val="17"/>
                <w:szCs w:val="17"/>
                <w:color w:val="auto"/>
              </w:rPr>
            </w:pPr>
          </w:p>
        </w:tc>
        <w:tc>
          <w:tcPr>
            <w:tcW w:w="680" w:type="dxa"/>
            <w:vAlign w:val="bottom"/>
            <w:shd w:val="clear" w:color="auto" w:fill="E9E9E9"/>
          </w:tcPr>
          <w:p>
            <w:pPr>
              <w:spacing w:after="0"/>
              <w:rPr>
                <w:sz w:val="17"/>
                <w:szCs w:val="17"/>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571,203</w:t>
            </w:r>
          </w:p>
        </w:tc>
        <w:tc>
          <w:tcPr>
            <w:tcW w:w="0" w:type="dxa"/>
            <w:vAlign w:val="bottom"/>
          </w:tcPr>
          <w:p>
            <w:pPr>
              <w:spacing w:after="0"/>
              <w:rPr>
                <w:sz w:val="1"/>
                <w:szCs w:val="1"/>
                <w:color w:val="auto"/>
              </w:rPr>
            </w:pPr>
          </w:p>
        </w:tc>
      </w:tr>
      <w:tr>
        <w:trPr>
          <w:trHeight w:val="203"/>
        </w:trPr>
        <w:tc>
          <w:tcPr>
            <w:tcW w:w="1040" w:type="dxa"/>
            <w:vAlign w:val="bottom"/>
            <w:tcBorders>
              <w:bottom w:val="single" w:sz="8" w:color="auto"/>
            </w:tcBorders>
            <w:shd w:val="clear" w:color="auto" w:fill="E9E9E9"/>
          </w:tcPr>
          <w:p>
            <w:pPr>
              <w:spacing w:after="0"/>
              <w:rPr>
                <w:sz w:val="17"/>
                <w:szCs w:val="17"/>
                <w:color w:val="auto"/>
              </w:rPr>
            </w:pPr>
          </w:p>
        </w:tc>
        <w:tc>
          <w:tcPr>
            <w:tcW w:w="1000" w:type="dxa"/>
            <w:vAlign w:val="bottom"/>
            <w:tcBorders>
              <w:bottom w:val="single" w:sz="8" w:color="auto"/>
            </w:tcBorders>
            <w:shd w:val="clear" w:color="auto" w:fill="E9E9E9"/>
          </w:tcPr>
          <w:p>
            <w:pPr>
              <w:ind w:left="80"/>
              <w:spacing w:after="0"/>
              <w:rPr>
                <w:sz w:val="20"/>
                <w:szCs w:val="20"/>
                <w:color w:val="auto"/>
              </w:rPr>
            </w:pPr>
            <w:r>
              <w:rPr>
                <w:rFonts w:ascii="Arial" w:cs="Arial" w:eastAsia="Arial" w:hAnsi="Arial"/>
                <w:sz w:val="16"/>
                <w:szCs w:val="16"/>
                <w:color w:val="auto"/>
              </w:rPr>
              <w:t>based</w:t>
            </w:r>
          </w:p>
        </w:tc>
        <w:tc>
          <w:tcPr>
            <w:tcW w:w="740" w:type="dxa"/>
            <w:vAlign w:val="bottom"/>
            <w:tcBorders>
              <w:bottom w:val="single" w:sz="8" w:color="auto"/>
            </w:tcBorders>
            <w:shd w:val="clear" w:color="auto" w:fill="E9E9E9"/>
          </w:tcPr>
          <w:p>
            <w:pPr>
              <w:spacing w:after="0"/>
              <w:rPr>
                <w:sz w:val="17"/>
                <w:szCs w:val="17"/>
                <w:color w:val="auto"/>
              </w:rPr>
            </w:pPr>
          </w:p>
        </w:tc>
        <w:tc>
          <w:tcPr>
            <w:tcW w:w="820" w:type="dxa"/>
            <w:vAlign w:val="bottom"/>
            <w:tcBorders>
              <w:bottom w:val="single" w:sz="8" w:color="auto"/>
            </w:tcBorders>
            <w:shd w:val="clear" w:color="auto" w:fill="E9E9E9"/>
          </w:tcPr>
          <w:p>
            <w:pPr>
              <w:spacing w:after="0"/>
              <w:rPr>
                <w:sz w:val="17"/>
                <w:szCs w:val="17"/>
                <w:color w:val="auto"/>
              </w:rPr>
            </w:pPr>
          </w:p>
        </w:tc>
        <w:tc>
          <w:tcPr>
            <w:tcW w:w="740" w:type="dxa"/>
            <w:vAlign w:val="bottom"/>
            <w:tcBorders>
              <w:bottom w:val="single" w:sz="8" w:color="auto"/>
            </w:tcBorders>
            <w:shd w:val="clear" w:color="auto" w:fill="E9E9E9"/>
          </w:tcPr>
          <w:p>
            <w:pPr>
              <w:spacing w:after="0"/>
              <w:rPr>
                <w:sz w:val="17"/>
                <w:szCs w:val="17"/>
                <w:color w:val="auto"/>
              </w:rPr>
            </w:pPr>
          </w:p>
        </w:tc>
        <w:tc>
          <w:tcPr>
            <w:tcW w:w="800" w:type="dxa"/>
            <w:vAlign w:val="bottom"/>
            <w:tcBorders>
              <w:bottom w:val="single" w:sz="8" w:color="auto"/>
            </w:tcBorders>
            <w:shd w:val="clear" w:color="auto" w:fill="E9E9E9"/>
          </w:tcPr>
          <w:p>
            <w:pPr>
              <w:spacing w:after="0"/>
              <w:rPr>
                <w:sz w:val="17"/>
                <w:szCs w:val="17"/>
                <w:color w:val="auto"/>
              </w:rPr>
            </w:pPr>
          </w:p>
        </w:tc>
        <w:tc>
          <w:tcPr>
            <w:tcW w:w="140" w:type="dxa"/>
            <w:vAlign w:val="bottom"/>
            <w:tcBorders>
              <w:bottom w:val="single" w:sz="8" w:color="auto"/>
            </w:tcBorders>
            <w:shd w:val="clear" w:color="auto" w:fill="E9E9E9"/>
          </w:tcPr>
          <w:p>
            <w:pPr>
              <w:spacing w:after="0"/>
              <w:rPr>
                <w:sz w:val="17"/>
                <w:szCs w:val="17"/>
                <w:color w:val="auto"/>
              </w:rPr>
            </w:pPr>
          </w:p>
        </w:tc>
        <w:tc>
          <w:tcPr>
            <w:tcW w:w="640" w:type="dxa"/>
            <w:vAlign w:val="bottom"/>
            <w:tcBorders>
              <w:bottom w:val="single" w:sz="8" w:color="auto"/>
            </w:tcBorders>
            <w:shd w:val="clear" w:color="auto" w:fill="E9E9E9"/>
          </w:tcPr>
          <w:p>
            <w:pPr>
              <w:spacing w:after="0"/>
              <w:rPr>
                <w:sz w:val="17"/>
                <w:szCs w:val="17"/>
                <w:color w:val="auto"/>
              </w:rPr>
            </w:pPr>
          </w:p>
        </w:tc>
        <w:tc>
          <w:tcPr>
            <w:tcW w:w="700" w:type="dxa"/>
            <w:vAlign w:val="bottom"/>
            <w:tcBorders>
              <w:bottom w:val="single" w:sz="8" w:color="auto"/>
            </w:tcBorders>
            <w:shd w:val="clear" w:color="auto" w:fill="E9E9E9"/>
          </w:tcPr>
          <w:p>
            <w:pPr>
              <w:spacing w:after="0"/>
              <w:rPr>
                <w:sz w:val="17"/>
                <w:szCs w:val="17"/>
                <w:color w:val="auto"/>
              </w:rPr>
            </w:pPr>
          </w:p>
        </w:tc>
        <w:tc>
          <w:tcPr>
            <w:tcW w:w="820" w:type="dxa"/>
            <w:vAlign w:val="bottom"/>
            <w:tcBorders>
              <w:bottom w:val="single" w:sz="8" w:color="auto"/>
            </w:tcBorders>
            <w:shd w:val="clear" w:color="auto" w:fill="E9E9E9"/>
          </w:tcPr>
          <w:p>
            <w:pPr>
              <w:spacing w:after="0"/>
              <w:rPr>
                <w:sz w:val="17"/>
                <w:szCs w:val="17"/>
                <w:color w:val="auto"/>
              </w:rPr>
            </w:pPr>
          </w:p>
        </w:tc>
        <w:tc>
          <w:tcPr>
            <w:tcW w:w="660" w:type="dxa"/>
            <w:vAlign w:val="bottom"/>
            <w:tcBorders>
              <w:bottom w:val="single" w:sz="8" w:color="auto"/>
            </w:tcBorders>
            <w:shd w:val="clear" w:color="auto" w:fill="E9E9E9"/>
          </w:tcPr>
          <w:p>
            <w:pPr>
              <w:spacing w:after="0"/>
              <w:rPr>
                <w:sz w:val="17"/>
                <w:szCs w:val="17"/>
                <w:color w:val="auto"/>
              </w:rPr>
            </w:pPr>
          </w:p>
        </w:tc>
        <w:tc>
          <w:tcPr>
            <w:tcW w:w="880" w:type="dxa"/>
            <w:vAlign w:val="bottom"/>
            <w:tcBorders>
              <w:bottom w:val="single" w:sz="8" w:color="auto"/>
            </w:tcBorders>
            <w:shd w:val="clear" w:color="auto" w:fill="E9E9E9"/>
          </w:tcPr>
          <w:p>
            <w:pPr>
              <w:spacing w:after="0"/>
              <w:rPr>
                <w:sz w:val="17"/>
                <w:szCs w:val="17"/>
                <w:color w:val="auto"/>
              </w:rPr>
            </w:pPr>
          </w:p>
        </w:tc>
        <w:tc>
          <w:tcPr>
            <w:tcW w:w="680" w:type="dxa"/>
            <w:vAlign w:val="bottom"/>
            <w:tcBorders>
              <w:bottom w:val="single" w:sz="8" w:color="auto"/>
            </w:tcBorders>
            <w:shd w:val="clear" w:color="auto" w:fill="E9E9E9"/>
          </w:tcPr>
          <w:p>
            <w:pPr>
              <w:spacing w:after="0"/>
              <w:rPr>
                <w:sz w:val="17"/>
                <w:szCs w:val="17"/>
                <w:color w:val="auto"/>
              </w:rPr>
            </w:pPr>
          </w:p>
        </w:tc>
        <w:tc>
          <w:tcPr>
            <w:tcW w:w="720" w:type="dxa"/>
            <w:vAlign w:val="bottom"/>
            <w:tcBorders>
              <w:bottom w:val="single" w:sz="8" w:color="auto"/>
            </w:tcBorders>
            <w:shd w:val="clear" w:color="auto" w:fill="E9E9E9"/>
          </w:tcPr>
          <w:p>
            <w:pPr>
              <w:spacing w:after="0"/>
              <w:rPr>
                <w:sz w:val="17"/>
                <w:szCs w:val="1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20" w:right="1060" w:hanging="369"/>
        <w:spacing w:after="0" w:line="265" w:lineRule="auto"/>
        <w:tabs>
          <w:tab w:leader="none" w:pos="4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discussion of 2014 annual incentives is included in the "Compensation Discussion and Analysis" (the "CD&amp;A"). The amounts earned for 2014 annual incentives are set forth in the Summary Compensation Table.</w:t>
      </w:r>
    </w:p>
    <w:p>
      <w:pPr>
        <w:ind w:left="420" w:right="820" w:hanging="369"/>
        <w:spacing w:after="0" w:line="265" w:lineRule="auto"/>
        <w:tabs>
          <w:tab w:leader="none" w:pos="4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awards of PSUs. For Mr. Nelson, PSUs vest on January 22, 2017, subject to continued service through December 31, 2015, based on Relative TSR goals though vesting can be accelerated based on attainment of 2015 Adjusted EBITDA goals as more fully described in the CD&amp;A under "2014 Compensation for our CEO." For other NEOs, PSUs vest on January 22, 2017, subject to continued service, based on Adjusted EBITDA goals and a Relative TSR modifier, as more fully described in the CD&amp;A under "Long Term Incentive Awards." For Mr. De Shon, includes 12,151 PSUs, which vest on January 22, 2016, subject to continued service, based on Adjusted EBITDA goals for the EMEA region.</w:t>
      </w:r>
    </w:p>
    <w:p>
      <w:pPr>
        <w:ind w:left="420" w:right="880" w:hanging="369"/>
        <w:spacing w:after="0" w:line="265" w:lineRule="auto"/>
        <w:tabs>
          <w:tab w:leader="none" w:pos="4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For Mr. Nelson, represents RSUs which are scheduled to vest on December 31, 2015, subject to continued service. For other NEOs, represents RSUs which vest in equal installments on each of the first three anniversaries of the date of grant, subject to continued service. For Mr. De Shon, 12,151 of such RSUs vest on January 22, 2016, subject to continued service.</w:t>
      </w:r>
    </w:p>
    <w:p>
      <w:pPr>
        <w:jc w:val="both"/>
        <w:ind w:left="420" w:right="1000" w:hanging="369"/>
        <w:spacing w:after="0" w:line="302" w:lineRule="auto"/>
        <w:tabs>
          <w:tab w:leader="none" w:pos="4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Assumptions used in the calculation of the grant date fair value of the awards are included in Note 16 to our audited financial statements for the fiscal year ended December 31, 2014, included in our 2014 Form 10-K. The grant date value of the stock underlying the PSUs granted in</w:t>
      </w:r>
    </w:p>
    <w:p>
      <w:pPr>
        <w:spacing w:after="0" w:line="1" w:lineRule="exact"/>
        <w:rPr>
          <w:sz w:val="20"/>
          <w:szCs w:val="20"/>
          <w:color w:val="auto"/>
        </w:rPr>
      </w:pPr>
    </w:p>
    <w:p>
      <w:pPr>
        <w:ind w:left="420" w:right="1240"/>
        <w:spacing w:after="0" w:line="265" w:lineRule="auto"/>
        <w:rPr>
          <w:sz w:val="20"/>
          <w:szCs w:val="20"/>
          <w:color w:val="auto"/>
        </w:rPr>
      </w:pPr>
      <w:r>
        <w:rPr>
          <w:rFonts w:ascii="Arial" w:cs="Arial" w:eastAsia="Arial" w:hAnsi="Arial"/>
          <w:sz w:val="16"/>
          <w:szCs w:val="16"/>
          <w:color w:val="auto"/>
        </w:rPr>
        <w:t>2014 assuming attainment of the highest performance conditions are: for Mr. Nelson, $4,725,021; Mr. Wyshner, $899,992; Mr. Gartland, $899,992; Mr. De Shon, $1,649,992; and Mr. Siniscalchi, $750,000.</w:t>
      </w:r>
    </w:p>
    <w:p>
      <w:pP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10380"/>
          </w:cols>
          <w:pgMar w:left="1380" w:top="434" w:right="139" w:bottom="1440" w:gutter="0" w:footer="0" w:header="0"/>
        </w:sectPr>
      </w:pPr>
    </w:p>
    <w:bookmarkStart w:id="39" w:name="page40"/>
    <w:bookmarkEnd w:id="39"/>
    <w:tbl>
      <w:tblPr>
        <w:tblLayout w:type="fixed"/>
        <w:tblInd w:w="560" w:type="dxa"/>
        <w:tblCellMar>
          <w:top w:w="0" w:type="dxa"/>
          <w:left w:w="0" w:type="dxa"/>
          <w:bottom w:w="0" w:type="dxa"/>
          <w:right w:w="0" w:type="dxa"/>
        </w:tblCellMar>
      </w:tblPr>
      <w:tr>
        <w:trPr>
          <w:trHeight w:val="208"/>
        </w:trPr>
        <w:tc>
          <w:tcPr>
            <w:tcW w:w="3720" w:type="dxa"/>
            <w:vAlign w:val="bottom"/>
            <w:gridSpan w:val="4"/>
          </w:tcPr>
          <w:p>
            <w:pPr>
              <w:spacing w:after="0"/>
              <w:rPr>
                <w:sz w:val="20"/>
                <w:szCs w:val="20"/>
                <w:color w:val="auto"/>
              </w:rPr>
            </w:pPr>
            <w:r>
              <w:rPr>
                <w:rFonts w:ascii="Arial" w:cs="Arial" w:eastAsia="Arial" w:hAnsi="Arial"/>
                <w:sz w:val="16"/>
                <w:szCs w:val="16"/>
                <w:b w:val="1"/>
                <w:bCs w:val="1"/>
                <w:color w:val="auto"/>
                <w:w w:val="92"/>
              </w:rPr>
              <w:t>Outstanding Equity Awards at Fiscal Year-End Table</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82"/>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ind w:left="680"/>
              <w:spacing w:after="0"/>
              <w:rPr>
                <w:sz w:val="20"/>
                <w:szCs w:val="20"/>
                <w:color w:val="auto"/>
              </w:rPr>
            </w:pPr>
            <w:r>
              <w:rPr>
                <w:rFonts w:ascii="Arial" w:cs="Arial" w:eastAsia="Arial" w:hAnsi="Arial"/>
                <w:sz w:val="16"/>
                <w:szCs w:val="16"/>
                <w:b w:val="1"/>
                <w:bCs w:val="1"/>
                <w:color w:val="auto"/>
              </w:rPr>
              <w:t>OPTION AWARDS</w:t>
            </w:r>
          </w:p>
        </w:tc>
        <w:tc>
          <w:tcPr>
            <w:tcW w:w="6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STOCK AWARDS(c)</w:t>
            </w:r>
          </w:p>
        </w:tc>
        <w:tc>
          <w:tcPr>
            <w:tcW w:w="840" w:type="dxa"/>
            <w:vAlign w:val="bottom"/>
            <w:tcBorders>
              <w:bottom w:val="single" w:sz="8" w:color="auto"/>
            </w:tcBorders>
          </w:tcPr>
          <w:p>
            <w:pPr>
              <w:spacing w:after="0"/>
              <w:rPr>
                <w:sz w:val="24"/>
                <w:szCs w:val="24"/>
                <w:color w:val="auto"/>
              </w:rPr>
            </w:pPr>
          </w:p>
        </w:tc>
      </w:tr>
      <w:tr>
        <w:trPr>
          <w:trHeight w:val="191"/>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3"/>
              </w:rPr>
              <w:t>Equity</w:t>
            </w:r>
          </w:p>
        </w:tc>
      </w:tr>
      <w:tr>
        <w:trPr>
          <w:trHeight w:val="203"/>
        </w:trPr>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3"/>
              </w:rPr>
              <w:t>Equity</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Incentive</w:t>
            </w:r>
          </w:p>
        </w:tc>
      </w:tr>
      <w:tr>
        <w:trPr>
          <w:trHeight w:val="203"/>
        </w:trPr>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Incentive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Plan</w:t>
            </w:r>
          </w:p>
        </w:tc>
      </w:tr>
      <w:tr>
        <w:trPr>
          <w:trHeight w:val="203"/>
        </w:trPr>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4"/>
              </w:rPr>
              <w:t>Plan</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1"/>
              </w:rPr>
              <w:t>Awards:</w:t>
            </w:r>
          </w:p>
        </w:tc>
      </w:tr>
      <w:tr>
        <w:trPr>
          <w:trHeight w:val="203"/>
        </w:trPr>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Awards:</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7"/>
              </w:rPr>
              <w:t>Market or</w:t>
            </w:r>
          </w:p>
        </w:tc>
      </w:tr>
      <w:tr>
        <w:trPr>
          <w:trHeight w:val="203"/>
        </w:trPr>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3"/>
              </w:rPr>
              <w:t>Equity</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2"/>
              </w:rPr>
              <w:t>Number</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Market</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Number</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Payout</w:t>
            </w:r>
          </w:p>
        </w:tc>
      </w:tr>
      <w:tr>
        <w:trPr>
          <w:trHeight w:val="203"/>
        </w:trPr>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2"/>
              </w:rPr>
              <w:t>Incentive</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79"/>
              </w:rPr>
              <w:t>of</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9"/>
              </w:rPr>
              <w:t>Value of</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79"/>
              </w:rPr>
              <w:t>of</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Value of</w:t>
            </w:r>
          </w:p>
        </w:tc>
      </w:tr>
      <w:tr>
        <w:trPr>
          <w:trHeight w:val="203"/>
        </w:trPr>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4"/>
              </w:rPr>
              <w:t>Plan</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6"/>
              </w:rPr>
              <w:t>Shares or</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Unearned</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Unearned</w:t>
            </w:r>
          </w:p>
        </w:tc>
      </w:tr>
      <w:tr>
        <w:trPr>
          <w:trHeight w:val="203"/>
        </w:trPr>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6"/>
              </w:rPr>
              <w:t>Securities</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8"/>
              </w:rPr>
              <w:t>Awards:</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2"/>
              </w:rPr>
              <w:t>or Units</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0"/>
              </w:rPr>
              <w:t>Units of</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2"/>
              </w:rPr>
              <w:t>Shares,</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r>
      <w:tr>
        <w:trPr>
          <w:trHeight w:val="203"/>
        </w:trPr>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6"/>
              </w:rPr>
              <w:t>Securities</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0"/>
              </w:rPr>
              <w:t>Underlying</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9"/>
              </w:rPr>
              <w:t>Number of</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8"/>
              </w:rPr>
              <w:t>of Stock</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7"/>
              </w:rPr>
              <w:t>Stock</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Units or</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Units or</w:t>
            </w:r>
          </w:p>
        </w:tc>
      </w:tr>
      <w:tr>
        <w:trPr>
          <w:trHeight w:val="203"/>
        </w:trPr>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4"/>
              </w:rPr>
              <w:t>That</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4"/>
              </w:rPr>
              <w:t>That</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3"/>
              </w:rPr>
              <w:t>Other</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8"/>
              </w:rPr>
              <w:t>Other</w:t>
            </w:r>
          </w:p>
        </w:tc>
      </w:tr>
      <w:tr>
        <w:trPr>
          <w:trHeight w:val="203"/>
        </w:trPr>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6"/>
              </w:rPr>
              <w:t>Unexercised</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Options</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0"/>
              </w:rPr>
              <w:t>Underlying</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9"/>
              </w:rPr>
              <w:t>Options</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4"/>
              </w:rPr>
              <w:t>Have</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4"/>
              </w:rPr>
              <w:t>Have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Rights</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Rights</w:t>
            </w:r>
          </w:p>
        </w:tc>
      </w:tr>
      <w:tr>
        <w:trPr>
          <w:trHeight w:val="203"/>
        </w:trPr>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Options</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8"/>
              </w:rPr>
              <w:t>Unexercisable</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5"/>
              </w:rPr>
              <w:t>Exercise</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Options</w:t>
            </w:r>
          </w:p>
        </w:tc>
        <w:tc>
          <w:tcPr>
            <w:tcW w:w="1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9"/>
              </w:rPr>
              <w:t>Not</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9"/>
              </w:rPr>
              <w:t>Not</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4"/>
              </w:rPr>
              <w:t>That</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4"/>
              </w:rPr>
              <w:t>That Have</w:t>
            </w:r>
          </w:p>
        </w:tc>
      </w:tr>
      <w:tr>
        <w:trPr>
          <w:trHeight w:val="203"/>
        </w:trPr>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Grant</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8"/>
              </w:rPr>
              <w:t>Unexercisable</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2"/>
              </w:rPr>
              <w:t>Unearned</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1"/>
              </w:rPr>
              <w:t>Price</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w w:val="97"/>
              </w:rPr>
              <w:t>Expiration</w:t>
            </w:r>
          </w:p>
        </w:tc>
        <w:tc>
          <w:tcPr>
            <w:tcW w:w="1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3"/>
              </w:rPr>
              <w:t>Vested</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3"/>
              </w:rPr>
              <w:t>Vested</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Have Not</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Not Vested</w:t>
            </w:r>
          </w:p>
        </w:tc>
      </w:tr>
      <w:tr>
        <w:trPr>
          <w:trHeight w:val="208"/>
        </w:trPr>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w:t>
            </w: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Date</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Exercisable</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Options(#)</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($)(b)</w:t>
            </w: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Date</w:t>
            </w:r>
          </w:p>
        </w:tc>
        <w:tc>
          <w:tcPr>
            <w:tcW w:w="880" w:type="dxa"/>
            <w:vAlign w:val="bottom"/>
            <w:tcBorders>
              <w:bottom w:val="single" w:sz="8" w:color="auto"/>
            </w:tcBorders>
            <w:gridSpan w:val="2"/>
          </w:tcPr>
          <w:p>
            <w:pPr>
              <w:jc w:val="center"/>
              <w:ind w:left="60"/>
              <w:spacing w:after="0"/>
              <w:rPr>
                <w:sz w:val="20"/>
                <w:szCs w:val="20"/>
                <w:color w:val="auto"/>
              </w:rPr>
            </w:pPr>
            <w:r>
              <w:rPr>
                <w:rFonts w:ascii="Arial" w:cs="Arial" w:eastAsia="Arial" w:hAnsi="Arial"/>
                <w:sz w:val="16"/>
                <w:szCs w:val="16"/>
                <w:b w:val="1"/>
                <w:bCs w:val="1"/>
                <w:color w:val="auto"/>
                <w:w w:val="91"/>
              </w:rPr>
              <w:t>(#)</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($)(h)</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Vested (#)</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($)(q)</w:t>
            </w:r>
          </w:p>
        </w:tc>
      </w:tr>
      <w:tr>
        <w:trPr>
          <w:trHeight w:val="195"/>
        </w:trPr>
        <w:tc>
          <w:tcPr>
            <w:tcW w:w="1040" w:type="dxa"/>
            <w:vAlign w:val="bottom"/>
            <w:shd w:val="clear" w:color="auto" w:fill="E9E9E9"/>
          </w:tcPr>
          <w:p>
            <w:pPr>
              <w:ind w:left="60"/>
              <w:spacing w:after="0"/>
              <w:rPr>
                <w:sz w:val="20"/>
                <w:szCs w:val="20"/>
                <w:color w:val="auto"/>
              </w:rPr>
            </w:pPr>
            <w:r>
              <w:rPr>
                <w:rFonts w:ascii="Arial" w:cs="Arial" w:eastAsia="Arial" w:hAnsi="Arial"/>
                <w:sz w:val="16"/>
                <w:szCs w:val="16"/>
                <w:color w:val="auto"/>
              </w:rPr>
              <w:t>Mr. Nelson</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4/17/14</w:t>
            </w:r>
          </w:p>
        </w:tc>
        <w:tc>
          <w:tcPr>
            <w:tcW w:w="960" w:type="dxa"/>
            <w:vAlign w:val="bottom"/>
            <w:shd w:val="clear" w:color="auto" w:fill="E9E9E9"/>
          </w:tcPr>
          <w:p>
            <w:pPr>
              <w:spacing w:after="0"/>
              <w:rPr>
                <w:sz w:val="16"/>
                <w:szCs w:val="16"/>
                <w:color w:val="auto"/>
              </w:rPr>
            </w:pPr>
          </w:p>
        </w:tc>
        <w:tc>
          <w:tcPr>
            <w:tcW w:w="1080" w:type="dxa"/>
            <w:vAlign w:val="bottom"/>
            <w:shd w:val="clear" w:color="auto" w:fill="E9E9E9"/>
          </w:tcPr>
          <w:p>
            <w:pPr>
              <w:spacing w:after="0"/>
              <w:rPr>
                <w:sz w:val="16"/>
                <w:szCs w:val="16"/>
                <w:color w:val="auto"/>
              </w:rPr>
            </w:pPr>
          </w:p>
        </w:tc>
        <w:tc>
          <w:tcPr>
            <w:tcW w:w="1060" w:type="dxa"/>
            <w:vAlign w:val="bottom"/>
            <w:shd w:val="clear" w:color="auto" w:fill="E9E9E9"/>
          </w:tcPr>
          <w:p>
            <w:pPr>
              <w:spacing w:after="0"/>
              <w:rPr>
                <w:sz w:val="16"/>
                <w:szCs w:val="16"/>
                <w:color w:val="auto"/>
              </w:rPr>
            </w:pPr>
          </w:p>
        </w:tc>
        <w:tc>
          <w:tcPr>
            <w:tcW w:w="680" w:type="dxa"/>
            <w:vAlign w:val="bottom"/>
            <w:shd w:val="clear" w:color="auto" w:fill="E9E9E9"/>
          </w:tcPr>
          <w:p>
            <w:pPr>
              <w:spacing w:after="0"/>
              <w:rPr>
                <w:sz w:val="16"/>
                <w:szCs w:val="16"/>
                <w:color w:val="auto"/>
              </w:rPr>
            </w:pPr>
          </w:p>
        </w:tc>
        <w:tc>
          <w:tcPr>
            <w:tcW w:w="840" w:type="dxa"/>
            <w:vAlign w:val="bottom"/>
            <w:shd w:val="clear" w:color="auto" w:fill="E9E9E9"/>
          </w:tcPr>
          <w:p>
            <w:pPr>
              <w:spacing w:after="0"/>
              <w:rPr>
                <w:sz w:val="16"/>
                <w:szCs w:val="16"/>
                <w:color w:val="auto"/>
              </w:rPr>
            </w:pPr>
          </w:p>
        </w:tc>
        <w:tc>
          <w:tcPr>
            <w:tcW w:w="160" w:type="dxa"/>
            <w:vAlign w:val="bottom"/>
            <w:shd w:val="clear" w:color="auto" w:fill="E9E9E9"/>
          </w:tcPr>
          <w:p>
            <w:pPr>
              <w:spacing w:after="0"/>
              <w:rPr>
                <w:sz w:val="16"/>
                <w:szCs w:val="16"/>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9"/>
              </w:rPr>
              <w:t>25,700(d)</w:t>
            </w:r>
          </w:p>
        </w:tc>
        <w:tc>
          <w:tcPr>
            <w:tcW w:w="76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5"/>
              </w:rPr>
              <w:t>1,704,681</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59,966(k)</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3,977,545</w:t>
            </w:r>
          </w:p>
        </w:tc>
      </w:tr>
      <w:tr>
        <w:trPr>
          <w:trHeight w:val="203"/>
        </w:trPr>
        <w:tc>
          <w:tcPr>
            <w:tcW w:w="1040" w:type="dxa"/>
            <w:vAlign w:val="bottom"/>
            <w:shd w:val="clear" w:color="auto" w:fill="E9E9E9"/>
          </w:tcPr>
          <w:p>
            <w:pPr>
              <w:ind w:left="60"/>
              <w:spacing w:after="0"/>
              <w:rPr>
                <w:sz w:val="20"/>
                <w:szCs w:val="20"/>
                <w:color w:val="auto"/>
              </w:rPr>
            </w:pPr>
            <w:r>
              <w:rPr>
                <w:rFonts w:ascii="Arial" w:cs="Arial" w:eastAsia="Arial" w:hAnsi="Arial"/>
                <w:sz w:val="16"/>
                <w:szCs w:val="16"/>
                <w:color w:val="auto"/>
              </w:rPr>
              <w:t>Mr. Nelson</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1/23/13</w:t>
            </w:r>
          </w:p>
        </w:tc>
        <w:tc>
          <w:tcPr>
            <w:tcW w:w="960" w:type="dxa"/>
            <w:vAlign w:val="bottom"/>
            <w:shd w:val="clear" w:color="auto" w:fill="E9E9E9"/>
          </w:tcPr>
          <w:p>
            <w:pPr>
              <w:spacing w:after="0"/>
              <w:rPr>
                <w:sz w:val="17"/>
                <w:szCs w:val="17"/>
                <w:color w:val="auto"/>
              </w:rPr>
            </w:pPr>
          </w:p>
        </w:tc>
        <w:tc>
          <w:tcPr>
            <w:tcW w:w="1080" w:type="dxa"/>
            <w:vAlign w:val="bottom"/>
            <w:shd w:val="clear" w:color="auto" w:fill="E9E9E9"/>
          </w:tcPr>
          <w:p>
            <w:pPr>
              <w:spacing w:after="0"/>
              <w:rPr>
                <w:sz w:val="17"/>
                <w:szCs w:val="17"/>
                <w:color w:val="auto"/>
              </w:rPr>
            </w:pPr>
          </w:p>
        </w:tc>
        <w:tc>
          <w:tcPr>
            <w:tcW w:w="1060" w:type="dxa"/>
            <w:vAlign w:val="bottom"/>
            <w:shd w:val="clear" w:color="auto" w:fill="E9E9E9"/>
          </w:tcPr>
          <w:p>
            <w:pPr>
              <w:spacing w:after="0"/>
              <w:rPr>
                <w:sz w:val="17"/>
                <w:szCs w:val="17"/>
                <w:color w:val="auto"/>
              </w:rPr>
            </w:pPr>
          </w:p>
        </w:tc>
        <w:tc>
          <w:tcPr>
            <w:tcW w:w="680" w:type="dxa"/>
            <w:vAlign w:val="bottom"/>
            <w:shd w:val="clear" w:color="auto" w:fill="E9E9E9"/>
          </w:tcPr>
          <w:p>
            <w:pPr>
              <w:spacing w:after="0"/>
              <w:rPr>
                <w:sz w:val="17"/>
                <w:szCs w:val="17"/>
                <w:color w:val="auto"/>
              </w:rPr>
            </w:pPr>
          </w:p>
        </w:tc>
        <w:tc>
          <w:tcPr>
            <w:tcW w:w="840" w:type="dxa"/>
            <w:vAlign w:val="bottom"/>
            <w:shd w:val="clear" w:color="auto" w:fill="E9E9E9"/>
          </w:tcPr>
          <w:p>
            <w:pPr>
              <w:spacing w:after="0"/>
              <w:rPr>
                <w:sz w:val="17"/>
                <w:szCs w:val="17"/>
                <w:color w:val="auto"/>
              </w:rPr>
            </w:pPr>
          </w:p>
        </w:tc>
        <w:tc>
          <w:tcPr>
            <w:tcW w:w="160" w:type="dxa"/>
            <w:vAlign w:val="bottom"/>
            <w:shd w:val="clear" w:color="auto" w:fill="E9E9E9"/>
          </w:tcPr>
          <w:p>
            <w:pPr>
              <w:spacing w:after="0"/>
              <w:rPr>
                <w:sz w:val="17"/>
                <w:szCs w:val="17"/>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9"/>
              </w:rPr>
              <w:t>49,528(e)</w:t>
            </w:r>
          </w:p>
        </w:tc>
        <w:tc>
          <w:tcPr>
            <w:tcW w:w="76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5"/>
              </w:rPr>
              <w:t>3,107,139</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115,566(l)</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7,250,033</w:t>
            </w:r>
          </w:p>
        </w:tc>
      </w:tr>
      <w:tr>
        <w:trPr>
          <w:trHeight w:val="203"/>
        </w:trPr>
        <w:tc>
          <w:tcPr>
            <w:tcW w:w="1040" w:type="dxa"/>
            <w:vAlign w:val="bottom"/>
            <w:shd w:val="clear" w:color="auto" w:fill="E9E9E9"/>
          </w:tcPr>
          <w:p>
            <w:pPr>
              <w:ind w:left="60"/>
              <w:spacing w:after="0"/>
              <w:rPr>
                <w:sz w:val="20"/>
                <w:szCs w:val="20"/>
                <w:color w:val="auto"/>
              </w:rPr>
            </w:pPr>
            <w:r>
              <w:rPr>
                <w:rFonts w:ascii="Arial" w:cs="Arial" w:eastAsia="Arial" w:hAnsi="Arial"/>
                <w:sz w:val="16"/>
                <w:szCs w:val="16"/>
                <w:color w:val="auto"/>
              </w:rPr>
              <w:t>Mr. Nelson</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8/3/12</w:t>
            </w:r>
          </w:p>
        </w:tc>
        <w:tc>
          <w:tcPr>
            <w:tcW w:w="960" w:type="dxa"/>
            <w:vAlign w:val="bottom"/>
            <w:shd w:val="clear" w:color="auto" w:fill="E9E9E9"/>
          </w:tcPr>
          <w:p>
            <w:pPr>
              <w:spacing w:after="0"/>
              <w:rPr>
                <w:sz w:val="17"/>
                <w:szCs w:val="17"/>
                <w:color w:val="auto"/>
              </w:rPr>
            </w:pPr>
          </w:p>
        </w:tc>
        <w:tc>
          <w:tcPr>
            <w:tcW w:w="1080" w:type="dxa"/>
            <w:vAlign w:val="bottom"/>
            <w:shd w:val="clear" w:color="auto" w:fill="E9E9E9"/>
          </w:tcPr>
          <w:p>
            <w:pPr>
              <w:spacing w:after="0"/>
              <w:rPr>
                <w:sz w:val="17"/>
                <w:szCs w:val="17"/>
                <w:color w:val="auto"/>
              </w:rPr>
            </w:pPr>
          </w:p>
        </w:tc>
        <w:tc>
          <w:tcPr>
            <w:tcW w:w="1060" w:type="dxa"/>
            <w:vAlign w:val="bottom"/>
            <w:shd w:val="clear" w:color="auto" w:fill="E9E9E9"/>
          </w:tcPr>
          <w:p>
            <w:pPr>
              <w:spacing w:after="0"/>
              <w:rPr>
                <w:sz w:val="17"/>
                <w:szCs w:val="17"/>
                <w:color w:val="auto"/>
              </w:rPr>
            </w:pPr>
          </w:p>
        </w:tc>
        <w:tc>
          <w:tcPr>
            <w:tcW w:w="680" w:type="dxa"/>
            <w:vAlign w:val="bottom"/>
            <w:shd w:val="clear" w:color="auto" w:fill="E9E9E9"/>
          </w:tcPr>
          <w:p>
            <w:pPr>
              <w:spacing w:after="0"/>
              <w:rPr>
                <w:sz w:val="17"/>
                <w:szCs w:val="17"/>
                <w:color w:val="auto"/>
              </w:rPr>
            </w:pPr>
          </w:p>
        </w:tc>
        <w:tc>
          <w:tcPr>
            <w:tcW w:w="840" w:type="dxa"/>
            <w:vAlign w:val="bottom"/>
            <w:shd w:val="clear" w:color="auto" w:fill="E9E9E9"/>
          </w:tcPr>
          <w:p>
            <w:pPr>
              <w:spacing w:after="0"/>
              <w:rPr>
                <w:sz w:val="17"/>
                <w:szCs w:val="17"/>
                <w:color w:val="auto"/>
              </w:rPr>
            </w:pPr>
          </w:p>
        </w:tc>
        <w:tc>
          <w:tcPr>
            <w:tcW w:w="160" w:type="dxa"/>
            <w:vAlign w:val="bottom"/>
            <w:shd w:val="clear" w:color="auto" w:fill="E9E9E9"/>
          </w:tcPr>
          <w:p>
            <w:pPr>
              <w:spacing w:after="0"/>
              <w:rPr>
                <w:sz w:val="17"/>
                <w:szCs w:val="17"/>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69,216(f)</w:t>
            </w:r>
          </w:p>
        </w:tc>
        <w:tc>
          <w:tcPr>
            <w:tcW w:w="76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5"/>
              </w:rPr>
              <w:t>4,342,266</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7"/>
              </w:rPr>
              <w:t>161,502(m)</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4"/>
              </w:rPr>
              <w:t>10,131,828</w:t>
            </w:r>
          </w:p>
        </w:tc>
      </w:tr>
      <w:tr>
        <w:trPr>
          <w:trHeight w:val="203"/>
        </w:trPr>
        <w:tc>
          <w:tcPr>
            <w:tcW w:w="1040" w:type="dxa"/>
            <w:vAlign w:val="bottom"/>
            <w:shd w:val="clear" w:color="auto" w:fill="E9E9E9"/>
          </w:tcPr>
          <w:p>
            <w:pPr>
              <w:ind w:left="60"/>
              <w:spacing w:after="0"/>
              <w:rPr>
                <w:sz w:val="20"/>
                <w:szCs w:val="20"/>
                <w:color w:val="auto"/>
              </w:rPr>
            </w:pPr>
            <w:r>
              <w:rPr>
                <w:rFonts w:ascii="Arial" w:cs="Arial" w:eastAsia="Arial" w:hAnsi="Arial"/>
                <w:sz w:val="16"/>
                <w:szCs w:val="16"/>
                <w:color w:val="auto"/>
              </w:rPr>
              <w:t>Mr. Nelson</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1/26/11</w:t>
            </w:r>
          </w:p>
        </w:tc>
        <w:tc>
          <w:tcPr>
            <w:tcW w:w="960" w:type="dxa"/>
            <w:vAlign w:val="bottom"/>
            <w:shd w:val="clear" w:color="auto" w:fill="E9E9E9"/>
          </w:tcPr>
          <w:p>
            <w:pPr>
              <w:spacing w:after="0"/>
              <w:rPr>
                <w:sz w:val="17"/>
                <w:szCs w:val="17"/>
                <w:color w:val="auto"/>
              </w:rPr>
            </w:pPr>
          </w:p>
        </w:tc>
        <w:tc>
          <w:tcPr>
            <w:tcW w:w="1080" w:type="dxa"/>
            <w:vAlign w:val="bottom"/>
            <w:shd w:val="clear" w:color="auto" w:fill="E9E9E9"/>
          </w:tcPr>
          <w:p>
            <w:pPr>
              <w:spacing w:after="0"/>
              <w:rPr>
                <w:sz w:val="17"/>
                <w:szCs w:val="17"/>
                <w:color w:val="auto"/>
              </w:rPr>
            </w:pPr>
          </w:p>
        </w:tc>
        <w:tc>
          <w:tcPr>
            <w:tcW w:w="1060" w:type="dxa"/>
            <w:vAlign w:val="bottom"/>
            <w:shd w:val="clear" w:color="auto" w:fill="E9E9E9"/>
          </w:tcPr>
          <w:p>
            <w:pPr>
              <w:spacing w:after="0"/>
              <w:rPr>
                <w:sz w:val="17"/>
                <w:szCs w:val="17"/>
                <w:color w:val="auto"/>
              </w:rPr>
            </w:pPr>
          </w:p>
        </w:tc>
        <w:tc>
          <w:tcPr>
            <w:tcW w:w="680" w:type="dxa"/>
            <w:vAlign w:val="bottom"/>
            <w:shd w:val="clear" w:color="auto" w:fill="E9E9E9"/>
          </w:tcPr>
          <w:p>
            <w:pPr>
              <w:spacing w:after="0"/>
              <w:rPr>
                <w:sz w:val="17"/>
                <w:szCs w:val="17"/>
                <w:color w:val="auto"/>
              </w:rPr>
            </w:pPr>
          </w:p>
        </w:tc>
        <w:tc>
          <w:tcPr>
            <w:tcW w:w="840" w:type="dxa"/>
            <w:vAlign w:val="bottom"/>
            <w:shd w:val="clear" w:color="auto" w:fill="E9E9E9"/>
          </w:tcPr>
          <w:p>
            <w:pPr>
              <w:spacing w:after="0"/>
              <w:rPr>
                <w:sz w:val="17"/>
                <w:szCs w:val="17"/>
                <w:color w:val="auto"/>
              </w:rPr>
            </w:pPr>
          </w:p>
        </w:tc>
        <w:tc>
          <w:tcPr>
            <w:tcW w:w="160" w:type="dxa"/>
            <w:vAlign w:val="bottom"/>
            <w:shd w:val="clear" w:color="auto" w:fill="E9E9E9"/>
          </w:tcPr>
          <w:p>
            <w:pPr>
              <w:spacing w:after="0"/>
              <w:rPr>
                <w:sz w:val="17"/>
                <w:szCs w:val="17"/>
                <w:color w:val="auto"/>
              </w:rPr>
            </w:pPr>
          </w:p>
        </w:tc>
        <w:tc>
          <w:tcPr>
            <w:tcW w:w="720" w:type="dxa"/>
            <w:vAlign w:val="bottom"/>
            <w:shd w:val="clear" w:color="auto" w:fill="E9E9E9"/>
          </w:tcPr>
          <w:p>
            <w:pPr>
              <w:spacing w:after="0"/>
              <w:rPr>
                <w:sz w:val="17"/>
                <w:szCs w:val="17"/>
                <w:color w:val="auto"/>
              </w:rPr>
            </w:pPr>
          </w:p>
        </w:tc>
        <w:tc>
          <w:tcPr>
            <w:tcW w:w="760" w:type="dxa"/>
            <w:vAlign w:val="bottom"/>
            <w:shd w:val="clear" w:color="auto" w:fill="E9E9E9"/>
          </w:tcPr>
          <w:p>
            <w:pPr>
              <w:spacing w:after="0"/>
              <w:rPr>
                <w:sz w:val="17"/>
                <w:szCs w:val="17"/>
                <w:color w:val="auto"/>
              </w:rPr>
            </w:pP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46,663(n)</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3,095,157</w:t>
            </w:r>
          </w:p>
        </w:tc>
      </w:tr>
      <w:tr>
        <w:trPr>
          <w:trHeight w:val="203"/>
        </w:trPr>
        <w:tc>
          <w:tcPr>
            <w:tcW w:w="1040" w:type="dxa"/>
            <w:vAlign w:val="bottom"/>
            <w:shd w:val="clear" w:color="auto" w:fill="E9E9E9"/>
          </w:tcPr>
          <w:p>
            <w:pPr>
              <w:ind w:left="60"/>
              <w:spacing w:after="0"/>
              <w:rPr>
                <w:sz w:val="20"/>
                <w:szCs w:val="20"/>
                <w:color w:val="auto"/>
              </w:rPr>
            </w:pPr>
            <w:r>
              <w:rPr>
                <w:rFonts w:ascii="Arial" w:cs="Arial" w:eastAsia="Arial" w:hAnsi="Arial"/>
                <w:sz w:val="16"/>
                <w:szCs w:val="16"/>
                <w:color w:val="auto"/>
              </w:rPr>
              <w:t>Mr. Nelson</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1/27/10</w:t>
            </w:r>
          </w:p>
        </w:tc>
        <w:tc>
          <w:tcPr>
            <w:tcW w:w="960" w:type="dxa"/>
            <w:vAlign w:val="bottom"/>
            <w:shd w:val="clear" w:color="auto" w:fill="E9E9E9"/>
          </w:tcPr>
          <w:p>
            <w:pPr>
              <w:spacing w:after="0"/>
              <w:rPr>
                <w:sz w:val="17"/>
                <w:szCs w:val="17"/>
                <w:color w:val="auto"/>
              </w:rPr>
            </w:pPr>
          </w:p>
        </w:tc>
        <w:tc>
          <w:tcPr>
            <w:tcW w:w="1080" w:type="dxa"/>
            <w:vAlign w:val="bottom"/>
            <w:shd w:val="clear" w:color="auto" w:fill="E9E9E9"/>
          </w:tcPr>
          <w:p>
            <w:pPr>
              <w:spacing w:after="0"/>
              <w:rPr>
                <w:sz w:val="17"/>
                <w:szCs w:val="17"/>
                <w:color w:val="auto"/>
              </w:rPr>
            </w:pPr>
          </w:p>
        </w:tc>
        <w:tc>
          <w:tcPr>
            <w:tcW w:w="1060" w:type="dxa"/>
            <w:vAlign w:val="bottom"/>
            <w:shd w:val="clear" w:color="auto" w:fill="E9E9E9"/>
          </w:tcPr>
          <w:p>
            <w:pPr>
              <w:spacing w:after="0"/>
              <w:rPr>
                <w:sz w:val="17"/>
                <w:szCs w:val="17"/>
                <w:color w:val="auto"/>
              </w:rPr>
            </w:pPr>
          </w:p>
        </w:tc>
        <w:tc>
          <w:tcPr>
            <w:tcW w:w="680" w:type="dxa"/>
            <w:vAlign w:val="bottom"/>
            <w:shd w:val="clear" w:color="auto" w:fill="E9E9E9"/>
          </w:tcPr>
          <w:p>
            <w:pPr>
              <w:spacing w:after="0"/>
              <w:rPr>
                <w:sz w:val="17"/>
                <w:szCs w:val="17"/>
                <w:color w:val="auto"/>
              </w:rPr>
            </w:pPr>
          </w:p>
        </w:tc>
        <w:tc>
          <w:tcPr>
            <w:tcW w:w="840" w:type="dxa"/>
            <w:vAlign w:val="bottom"/>
            <w:shd w:val="clear" w:color="auto" w:fill="E9E9E9"/>
          </w:tcPr>
          <w:p>
            <w:pPr>
              <w:spacing w:after="0"/>
              <w:rPr>
                <w:sz w:val="17"/>
                <w:szCs w:val="17"/>
                <w:color w:val="auto"/>
              </w:rPr>
            </w:pPr>
          </w:p>
        </w:tc>
        <w:tc>
          <w:tcPr>
            <w:tcW w:w="160" w:type="dxa"/>
            <w:vAlign w:val="bottom"/>
            <w:shd w:val="clear" w:color="auto" w:fill="E9E9E9"/>
          </w:tcPr>
          <w:p>
            <w:pPr>
              <w:spacing w:after="0"/>
              <w:rPr>
                <w:sz w:val="17"/>
                <w:szCs w:val="17"/>
                <w:color w:val="auto"/>
              </w:rPr>
            </w:pPr>
          </w:p>
        </w:tc>
        <w:tc>
          <w:tcPr>
            <w:tcW w:w="720" w:type="dxa"/>
            <w:vAlign w:val="bottom"/>
            <w:shd w:val="clear" w:color="auto" w:fill="E9E9E9"/>
          </w:tcPr>
          <w:p>
            <w:pPr>
              <w:spacing w:after="0"/>
              <w:rPr>
                <w:sz w:val="17"/>
                <w:szCs w:val="17"/>
                <w:color w:val="auto"/>
              </w:rPr>
            </w:pPr>
          </w:p>
        </w:tc>
        <w:tc>
          <w:tcPr>
            <w:tcW w:w="760" w:type="dxa"/>
            <w:vAlign w:val="bottom"/>
            <w:shd w:val="clear" w:color="auto" w:fill="E9E9E9"/>
          </w:tcPr>
          <w:p>
            <w:pPr>
              <w:spacing w:after="0"/>
              <w:rPr>
                <w:sz w:val="17"/>
                <w:szCs w:val="17"/>
                <w:color w:val="auto"/>
              </w:rPr>
            </w:pP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150,000(o)</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9,949,500</w:t>
            </w:r>
          </w:p>
        </w:tc>
      </w:tr>
      <w:tr>
        <w:trPr>
          <w:trHeight w:val="203"/>
        </w:trPr>
        <w:tc>
          <w:tcPr>
            <w:tcW w:w="1040" w:type="dxa"/>
            <w:vAlign w:val="bottom"/>
            <w:shd w:val="clear" w:color="auto" w:fill="E9E9E9"/>
          </w:tcPr>
          <w:p>
            <w:pPr>
              <w:ind w:left="60"/>
              <w:spacing w:after="0"/>
              <w:rPr>
                <w:sz w:val="20"/>
                <w:szCs w:val="20"/>
                <w:color w:val="auto"/>
              </w:rPr>
            </w:pPr>
            <w:r>
              <w:rPr>
                <w:rFonts w:ascii="Arial" w:cs="Arial" w:eastAsia="Arial" w:hAnsi="Arial"/>
                <w:sz w:val="16"/>
                <w:szCs w:val="16"/>
                <w:color w:val="auto"/>
              </w:rPr>
              <w:t>Mr. Nelson</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1/27/10</w:t>
            </w:r>
          </w:p>
        </w:tc>
        <w:tc>
          <w:tcPr>
            <w:tcW w:w="9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128,000</w:t>
            </w:r>
          </w:p>
        </w:tc>
        <w:tc>
          <w:tcPr>
            <w:tcW w:w="10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32,000</w:t>
            </w:r>
          </w:p>
        </w:tc>
        <w:tc>
          <w:tcPr>
            <w:tcW w:w="1060" w:type="dxa"/>
            <w:vAlign w:val="bottom"/>
            <w:shd w:val="clear" w:color="auto" w:fill="E9E9E9"/>
          </w:tcPr>
          <w:p>
            <w:pPr>
              <w:spacing w:after="0"/>
              <w:rPr>
                <w:sz w:val="17"/>
                <w:szCs w:val="17"/>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11.53</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1/27/20</w:t>
            </w:r>
          </w:p>
        </w:tc>
        <w:tc>
          <w:tcPr>
            <w:tcW w:w="160" w:type="dxa"/>
            <w:vAlign w:val="bottom"/>
            <w:shd w:val="clear" w:color="auto" w:fill="E9E9E9"/>
          </w:tcPr>
          <w:p>
            <w:pPr>
              <w:spacing w:after="0"/>
              <w:rPr>
                <w:sz w:val="17"/>
                <w:szCs w:val="17"/>
                <w:color w:val="auto"/>
              </w:rPr>
            </w:pPr>
          </w:p>
        </w:tc>
        <w:tc>
          <w:tcPr>
            <w:tcW w:w="720" w:type="dxa"/>
            <w:vAlign w:val="bottom"/>
            <w:shd w:val="clear" w:color="auto" w:fill="E9E9E9"/>
          </w:tcPr>
          <w:p>
            <w:pPr>
              <w:spacing w:after="0"/>
              <w:rPr>
                <w:sz w:val="17"/>
                <w:szCs w:val="17"/>
                <w:color w:val="auto"/>
              </w:rPr>
            </w:pPr>
          </w:p>
        </w:tc>
        <w:tc>
          <w:tcPr>
            <w:tcW w:w="760" w:type="dxa"/>
            <w:vAlign w:val="bottom"/>
            <w:shd w:val="clear" w:color="auto" w:fill="E9E9E9"/>
          </w:tcPr>
          <w:p>
            <w:pPr>
              <w:spacing w:after="0"/>
              <w:rPr>
                <w:sz w:val="17"/>
                <w:szCs w:val="17"/>
                <w:color w:val="auto"/>
              </w:rPr>
            </w:pPr>
          </w:p>
        </w:tc>
        <w:tc>
          <w:tcPr>
            <w:tcW w:w="840" w:type="dxa"/>
            <w:vAlign w:val="bottom"/>
            <w:shd w:val="clear" w:color="auto" w:fill="E9E9E9"/>
          </w:tcPr>
          <w:p>
            <w:pPr>
              <w:spacing w:after="0"/>
              <w:rPr>
                <w:sz w:val="17"/>
                <w:szCs w:val="17"/>
                <w:color w:val="auto"/>
              </w:rPr>
            </w:pPr>
          </w:p>
        </w:tc>
        <w:tc>
          <w:tcPr>
            <w:tcW w:w="840" w:type="dxa"/>
            <w:vAlign w:val="bottom"/>
            <w:shd w:val="clear" w:color="auto" w:fill="E9E9E9"/>
          </w:tcPr>
          <w:p>
            <w:pPr>
              <w:spacing w:after="0"/>
              <w:rPr>
                <w:sz w:val="17"/>
                <w:szCs w:val="17"/>
                <w:color w:val="auto"/>
              </w:rPr>
            </w:pPr>
          </w:p>
        </w:tc>
      </w:tr>
      <w:tr>
        <w:trPr>
          <w:trHeight w:val="203"/>
        </w:trPr>
        <w:tc>
          <w:tcPr>
            <w:tcW w:w="1040" w:type="dxa"/>
            <w:vAlign w:val="bottom"/>
            <w:shd w:val="clear" w:color="auto" w:fill="E9E9E9"/>
          </w:tcPr>
          <w:p>
            <w:pPr>
              <w:ind w:left="60"/>
              <w:spacing w:after="0"/>
              <w:rPr>
                <w:sz w:val="20"/>
                <w:szCs w:val="20"/>
                <w:color w:val="auto"/>
              </w:rPr>
            </w:pPr>
            <w:r>
              <w:rPr>
                <w:rFonts w:ascii="Arial" w:cs="Arial" w:eastAsia="Arial" w:hAnsi="Arial"/>
                <w:sz w:val="16"/>
                <w:szCs w:val="16"/>
                <w:color w:val="auto"/>
              </w:rPr>
              <w:t>Mr. Nelson</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1/28/09</w:t>
            </w:r>
          </w:p>
        </w:tc>
        <w:tc>
          <w:tcPr>
            <w:tcW w:w="9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212,500</w:t>
            </w:r>
          </w:p>
        </w:tc>
        <w:tc>
          <w:tcPr>
            <w:tcW w:w="1080" w:type="dxa"/>
            <w:vAlign w:val="bottom"/>
            <w:shd w:val="clear" w:color="auto" w:fill="E9E9E9"/>
          </w:tcPr>
          <w:p>
            <w:pPr>
              <w:spacing w:after="0"/>
              <w:rPr>
                <w:sz w:val="17"/>
                <w:szCs w:val="17"/>
                <w:color w:val="auto"/>
              </w:rPr>
            </w:pPr>
          </w:p>
        </w:tc>
        <w:tc>
          <w:tcPr>
            <w:tcW w:w="1060" w:type="dxa"/>
            <w:vAlign w:val="bottom"/>
            <w:shd w:val="clear" w:color="auto" w:fill="E9E9E9"/>
          </w:tcPr>
          <w:p>
            <w:pPr>
              <w:spacing w:after="0"/>
              <w:rPr>
                <w:sz w:val="17"/>
                <w:szCs w:val="17"/>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0.79</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1/28/19</w:t>
            </w:r>
          </w:p>
        </w:tc>
        <w:tc>
          <w:tcPr>
            <w:tcW w:w="160" w:type="dxa"/>
            <w:vAlign w:val="bottom"/>
            <w:shd w:val="clear" w:color="auto" w:fill="E9E9E9"/>
          </w:tcPr>
          <w:p>
            <w:pPr>
              <w:spacing w:after="0"/>
              <w:rPr>
                <w:sz w:val="17"/>
                <w:szCs w:val="17"/>
                <w:color w:val="auto"/>
              </w:rPr>
            </w:pPr>
          </w:p>
        </w:tc>
        <w:tc>
          <w:tcPr>
            <w:tcW w:w="720" w:type="dxa"/>
            <w:vAlign w:val="bottom"/>
            <w:shd w:val="clear" w:color="auto" w:fill="E9E9E9"/>
          </w:tcPr>
          <w:p>
            <w:pPr>
              <w:spacing w:after="0"/>
              <w:rPr>
                <w:sz w:val="17"/>
                <w:szCs w:val="17"/>
                <w:color w:val="auto"/>
              </w:rPr>
            </w:pPr>
          </w:p>
        </w:tc>
        <w:tc>
          <w:tcPr>
            <w:tcW w:w="760" w:type="dxa"/>
            <w:vAlign w:val="bottom"/>
            <w:shd w:val="clear" w:color="auto" w:fill="E9E9E9"/>
          </w:tcPr>
          <w:p>
            <w:pPr>
              <w:spacing w:after="0"/>
              <w:rPr>
                <w:sz w:val="17"/>
                <w:szCs w:val="17"/>
                <w:color w:val="auto"/>
              </w:rPr>
            </w:pPr>
          </w:p>
        </w:tc>
        <w:tc>
          <w:tcPr>
            <w:tcW w:w="840" w:type="dxa"/>
            <w:vAlign w:val="bottom"/>
            <w:shd w:val="clear" w:color="auto" w:fill="E9E9E9"/>
          </w:tcPr>
          <w:p>
            <w:pPr>
              <w:spacing w:after="0"/>
              <w:rPr>
                <w:sz w:val="17"/>
                <w:szCs w:val="17"/>
                <w:color w:val="auto"/>
              </w:rPr>
            </w:pPr>
          </w:p>
        </w:tc>
        <w:tc>
          <w:tcPr>
            <w:tcW w:w="840" w:type="dxa"/>
            <w:vAlign w:val="bottom"/>
            <w:shd w:val="clear" w:color="auto" w:fill="E9E9E9"/>
          </w:tcPr>
          <w:p>
            <w:pPr>
              <w:spacing w:after="0"/>
              <w:rPr>
                <w:sz w:val="17"/>
                <w:szCs w:val="17"/>
                <w:color w:val="auto"/>
              </w:rPr>
            </w:pPr>
          </w:p>
        </w:tc>
      </w:tr>
      <w:tr>
        <w:trPr>
          <w:trHeight w:val="203"/>
        </w:trPr>
        <w:tc>
          <w:tcPr>
            <w:tcW w:w="1040" w:type="dxa"/>
            <w:vAlign w:val="bottom"/>
            <w:shd w:val="clear" w:color="auto" w:fill="E9E9E9"/>
          </w:tcPr>
          <w:p>
            <w:pPr>
              <w:ind w:left="60"/>
              <w:spacing w:after="0"/>
              <w:rPr>
                <w:sz w:val="20"/>
                <w:szCs w:val="20"/>
                <w:color w:val="auto"/>
              </w:rPr>
            </w:pPr>
            <w:r>
              <w:rPr>
                <w:rFonts w:ascii="Arial" w:cs="Arial" w:eastAsia="Arial" w:hAnsi="Arial"/>
                <w:sz w:val="16"/>
                <w:szCs w:val="16"/>
                <w:color w:val="auto"/>
              </w:rPr>
              <w:t>Mr. Nelson</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1/28/09</w:t>
            </w:r>
          </w:p>
        </w:tc>
        <w:tc>
          <w:tcPr>
            <w:tcW w:w="9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212,500</w:t>
            </w:r>
          </w:p>
        </w:tc>
        <w:tc>
          <w:tcPr>
            <w:tcW w:w="1080" w:type="dxa"/>
            <w:vAlign w:val="bottom"/>
            <w:shd w:val="clear" w:color="auto" w:fill="E9E9E9"/>
          </w:tcPr>
          <w:p>
            <w:pPr>
              <w:spacing w:after="0"/>
              <w:rPr>
                <w:sz w:val="17"/>
                <w:szCs w:val="17"/>
                <w:color w:val="auto"/>
              </w:rPr>
            </w:pPr>
          </w:p>
        </w:tc>
        <w:tc>
          <w:tcPr>
            <w:tcW w:w="1060" w:type="dxa"/>
            <w:vAlign w:val="bottom"/>
            <w:shd w:val="clear" w:color="auto" w:fill="E9E9E9"/>
          </w:tcPr>
          <w:p>
            <w:pPr>
              <w:spacing w:after="0"/>
              <w:rPr>
                <w:sz w:val="17"/>
                <w:szCs w:val="17"/>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0.79</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1/28/19</w:t>
            </w:r>
          </w:p>
        </w:tc>
        <w:tc>
          <w:tcPr>
            <w:tcW w:w="160" w:type="dxa"/>
            <w:vAlign w:val="bottom"/>
            <w:shd w:val="clear" w:color="auto" w:fill="E9E9E9"/>
          </w:tcPr>
          <w:p>
            <w:pPr>
              <w:spacing w:after="0"/>
              <w:rPr>
                <w:sz w:val="17"/>
                <w:szCs w:val="17"/>
                <w:color w:val="auto"/>
              </w:rPr>
            </w:pPr>
          </w:p>
        </w:tc>
        <w:tc>
          <w:tcPr>
            <w:tcW w:w="720" w:type="dxa"/>
            <w:vAlign w:val="bottom"/>
            <w:shd w:val="clear" w:color="auto" w:fill="E9E9E9"/>
          </w:tcPr>
          <w:p>
            <w:pPr>
              <w:spacing w:after="0"/>
              <w:rPr>
                <w:sz w:val="17"/>
                <w:szCs w:val="17"/>
                <w:color w:val="auto"/>
              </w:rPr>
            </w:pPr>
          </w:p>
        </w:tc>
        <w:tc>
          <w:tcPr>
            <w:tcW w:w="760" w:type="dxa"/>
            <w:vAlign w:val="bottom"/>
            <w:shd w:val="clear" w:color="auto" w:fill="E9E9E9"/>
          </w:tcPr>
          <w:p>
            <w:pPr>
              <w:spacing w:after="0"/>
              <w:rPr>
                <w:sz w:val="17"/>
                <w:szCs w:val="17"/>
                <w:color w:val="auto"/>
              </w:rPr>
            </w:pPr>
          </w:p>
        </w:tc>
        <w:tc>
          <w:tcPr>
            <w:tcW w:w="840" w:type="dxa"/>
            <w:vAlign w:val="bottom"/>
            <w:shd w:val="clear" w:color="auto" w:fill="E9E9E9"/>
          </w:tcPr>
          <w:p>
            <w:pPr>
              <w:spacing w:after="0"/>
              <w:rPr>
                <w:sz w:val="17"/>
                <w:szCs w:val="17"/>
                <w:color w:val="auto"/>
              </w:rPr>
            </w:pPr>
          </w:p>
        </w:tc>
        <w:tc>
          <w:tcPr>
            <w:tcW w:w="840" w:type="dxa"/>
            <w:vAlign w:val="bottom"/>
            <w:shd w:val="clear" w:color="auto" w:fill="E9E9E9"/>
          </w:tcPr>
          <w:p>
            <w:pPr>
              <w:spacing w:after="0"/>
              <w:rPr>
                <w:sz w:val="17"/>
                <w:szCs w:val="17"/>
                <w:color w:val="auto"/>
              </w:rPr>
            </w:pPr>
          </w:p>
        </w:tc>
      </w:tr>
      <w:tr>
        <w:trPr>
          <w:trHeight w:val="203"/>
        </w:trPr>
        <w:tc>
          <w:tcPr>
            <w:tcW w:w="1040" w:type="dxa"/>
            <w:vAlign w:val="bottom"/>
          </w:tcPr>
          <w:p>
            <w:pPr>
              <w:ind w:left="60"/>
              <w:spacing w:after="0"/>
              <w:rPr>
                <w:sz w:val="20"/>
                <w:szCs w:val="20"/>
                <w:color w:val="auto"/>
              </w:rPr>
            </w:pPr>
            <w:r>
              <w:rPr>
                <w:rFonts w:ascii="Arial" w:cs="Arial" w:eastAsia="Arial" w:hAnsi="Arial"/>
                <w:sz w:val="16"/>
                <w:szCs w:val="16"/>
                <w:color w:val="auto"/>
              </w:rPr>
              <w:t>Mr. Wyshner</w:t>
            </w:r>
          </w:p>
        </w:tc>
        <w:tc>
          <w:tcPr>
            <w:tcW w:w="640" w:type="dxa"/>
            <w:vAlign w:val="bottom"/>
          </w:tcPr>
          <w:p>
            <w:pPr>
              <w:jc w:val="right"/>
              <w:spacing w:after="0"/>
              <w:rPr>
                <w:sz w:val="20"/>
                <w:szCs w:val="20"/>
                <w:color w:val="auto"/>
              </w:rPr>
            </w:pPr>
            <w:r>
              <w:rPr>
                <w:rFonts w:ascii="Arial" w:cs="Arial" w:eastAsia="Arial" w:hAnsi="Arial"/>
                <w:sz w:val="16"/>
                <w:szCs w:val="16"/>
                <w:color w:val="auto"/>
              </w:rPr>
              <w:t>1/22/14</w:t>
            </w: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9"/>
              </w:rPr>
              <w:t>14,581(g)</w:t>
            </w:r>
          </w:p>
        </w:tc>
        <w:tc>
          <w:tcPr>
            <w:tcW w:w="760" w:type="dxa"/>
            <w:vAlign w:val="bottom"/>
          </w:tcPr>
          <w:p>
            <w:pPr>
              <w:jc w:val="right"/>
              <w:spacing w:after="0"/>
              <w:rPr>
                <w:sz w:val="20"/>
                <w:szCs w:val="20"/>
                <w:color w:val="auto"/>
              </w:rPr>
            </w:pPr>
            <w:r>
              <w:rPr>
                <w:rFonts w:ascii="Arial" w:cs="Arial" w:eastAsia="Arial" w:hAnsi="Arial"/>
                <w:sz w:val="16"/>
                <w:szCs w:val="16"/>
                <w:color w:val="auto"/>
              </w:rPr>
              <w:t>967,158</w:t>
            </w:r>
          </w:p>
        </w:tc>
        <w:tc>
          <w:tcPr>
            <w:tcW w:w="840" w:type="dxa"/>
            <w:vAlign w:val="bottom"/>
          </w:tcPr>
          <w:p>
            <w:pPr>
              <w:jc w:val="right"/>
              <w:spacing w:after="0"/>
              <w:rPr>
                <w:sz w:val="20"/>
                <w:szCs w:val="20"/>
                <w:color w:val="auto"/>
              </w:rPr>
            </w:pPr>
            <w:r>
              <w:rPr>
                <w:rFonts w:ascii="Arial" w:cs="Arial" w:eastAsia="Arial" w:hAnsi="Arial"/>
                <w:sz w:val="16"/>
                <w:szCs w:val="16"/>
                <w:color w:val="auto"/>
              </w:rPr>
              <w:t>14,581(p)</w:t>
            </w:r>
          </w:p>
        </w:tc>
        <w:tc>
          <w:tcPr>
            <w:tcW w:w="840" w:type="dxa"/>
            <w:vAlign w:val="bottom"/>
          </w:tcPr>
          <w:p>
            <w:pPr>
              <w:jc w:val="right"/>
              <w:spacing w:after="0"/>
              <w:rPr>
                <w:sz w:val="20"/>
                <w:szCs w:val="20"/>
                <w:color w:val="auto"/>
              </w:rPr>
            </w:pPr>
            <w:r>
              <w:rPr>
                <w:rFonts w:ascii="Arial" w:cs="Arial" w:eastAsia="Arial" w:hAnsi="Arial"/>
                <w:sz w:val="16"/>
                <w:szCs w:val="16"/>
                <w:color w:val="auto"/>
              </w:rPr>
              <w:t>967,158</w:t>
            </w:r>
          </w:p>
        </w:tc>
      </w:tr>
      <w:tr>
        <w:trPr>
          <w:trHeight w:val="203"/>
        </w:trPr>
        <w:tc>
          <w:tcPr>
            <w:tcW w:w="1040" w:type="dxa"/>
            <w:vAlign w:val="bottom"/>
          </w:tcPr>
          <w:p>
            <w:pPr>
              <w:ind w:left="60"/>
              <w:spacing w:after="0"/>
              <w:rPr>
                <w:sz w:val="20"/>
                <w:szCs w:val="20"/>
                <w:color w:val="auto"/>
              </w:rPr>
            </w:pPr>
            <w:r>
              <w:rPr>
                <w:rFonts w:ascii="Arial" w:cs="Arial" w:eastAsia="Arial" w:hAnsi="Arial"/>
                <w:sz w:val="16"/>
                <w:szCs w:val="16"/>
                <w:color w:val="auto"/>
              </w:rPr>
              <w:t>Mr. Wyshner</w:t>
            </w:r>
          </w:p>
        </w:tc>
        <w:tc>
          <w:tcPr>
            <w:tcW w:w="640" w:type="dxa"/>
            <w:vAlign w:val="bottom"/>
          </w:tcPr>
          <w:p>
            <w:pPr>
              <w:jc w:val="right"/>
              <w:spacing w:after="0"/>
              <w:rPr>
                <w:sz w:val="20"/>
                <w:szCs w:val="20"/>
                <w:color w:val="auto"/>
              </w:rPr>
            </w:pPr>
            <w:r>
              <w:rPr>
                <w:rFonts w:ascii="Arial" w:cs="Arial" w:eastAsia="Arial" w:hAnsi="Arial"/>
                <w:sz w:val="16"/>
                <w:szCs w:val="16"/>
                <w:color w:val="auto"/>
              </w:rPr>
              <w:t>1/23/13</w:t>
            </w: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18,868(i)</w:t>
            </w:r>
          </w:p>
        </w:tc>
        <w:tc>
          <w:tcPr>
            <w:tcW w:w="760" w:type="dxa"/>
            <w:vAlign w:val="bottom"/>
          </w:tcPr>
          <w:p>
            <w:pPr>
              <w:jc w:val="right"/>
              <w:spacing w:after="0"/>
              <w:rPr>
                <w:sz w:val="20"/>
                <w:szCs w:val="20"/>
                <w:color w:val="auto"/>
              </w:rPr>
            </w:pPr>
            <w:r>
              <w:rPr>
                <w:rFonts w:ascii="Arial" w:cs="Arial" w:eastAsia="Arial" w:hAnsi="Arial"/>
                <w:sz w:val="16"/>
                <w:szCs w:val="16"/>
                <w:color w:val="auto"/>
                <w:w w:val="95"/>
              </w:rPr>
              <w:t>1,251,514</w:t>
            </w:r>
          </w:p>
        </w:tc>
        <w:tc>
          <w:tcPr>
            <w:tcW w:w="840" w:type="dxa"/>
            <w:vAlign w:val="bottom"/>
          </w:tcPr>
          <w:p>
            <w:pPr>
              <w:jc w:val="right"/>
              <w:spacing w:after="0"/>
              <w:rPr>
                <w:sz w:val="20"/>
                <w:szCs w:val="20"/>
                <w:color w:val="auto"/>
              </w:rPr>
            </w:pPr>
            <w:r>
              <w:rPr>
                <w:rFonts w:ascii="Arial" w:cs="Arial" w:eastAsia="Arial" w:hAnsi="Arial"/>
                <w:sz w:val="16"/>
                <w:szCs w:val="16"/>
                <w:color w:val="auto"/>
              </w:rPr>
              <w:t>28,302(r)</w:t>
            </w:r>
          </w:p>
        </w:tc>
        <w:tc>
          <w:tcPr>
            <w:tcW w:w="840" w:type="dxa"/>
            <w:vAlign w:val="bottom"/>
          </w:tcPr>
          <w:p>
            <w:pPr>
              <w:jc w:val="right"/>
              <w:spacing w:after="0"/>
              <w:rPr>
                <w:sz w:val="20"/>
                <w:szCs w:val="20"/>
                <w:color w:val="auto"/>
              </w:rPr>
            </w:pPr>
            <w:r>
              <w:rPr>
                <w:rFonts w:ascii="Arial" w:cs="Arial" w:eastAsia="Arial" w:hAnsi="Arial"/>
                <w:sz w:val="16"/>
                <w:szCs w:val="16"/>
                <w:color w:val="auto"/>
              </w:rPr>
              <w:t>1,877,272</w:t>
            </w:r>
          </w:p>
        </w:tc>
      </w:tr>
      <w:tr>
        <w:trPr>
          <w:trHeight w:val="203"/>
        </w:trPr>
        <w:tc>
          <w:tcPr>
            <w:tcW w:w="1040" w:type="dxa"/>
            <w:vAlign w:val="bottom"/>
          </w:tcPr>
          <w:p>
            <w:pPr>
              <w:ind w:left="60"/>
              <w:spacing w:after="0"/>
              <w:rPr>
                <w:sz w:val="20"/>
                <w:szCs w:val="20"/>
                <w:color w:val="auto"/>
              </w:rPr>
            </w:pPr>
            <w:r>
              <w:rPr>
                <w:rFonts w:ascii="Arial" w:cs="Arial" w:eastAsia="Arial" w:hAnsi="Arial"/>
                <w:sz w:val="16"/>
                <w:szCs w:val="16"/>
                <w:color w:val="auto"/>
              </w:rPr>
              <w:t>Mr. Wyshner</w:t>
            </w:r>
          </w:p>
        </w:tc>
        <w:tc>
          <w:tcPr>
            <w:tcW w:w="640" w:type="dxa"/>
            <w:vAlign w:val="bottom"/>
          </w:tcPr>
          <w:p>
            <w:pPr>
              <w:jc w:val="right"/>
              <w:spacing w:after="0"/>
              <w:rPr>
                <w:sz w:val="20"/>
                <w:szCs w:val="20"/>
                <w:color w:val="auto"/>
              </w:rPr>
            </w:pPr>
            <w:r>
              <w:rPr>
                <w:rFonts w:ascii="Arial" w:cs="Arial" w:eastAsia="Arial" w:hAnsi="Arial"/>
                <w:sz w:val="16"/>
                <w:szCs w:val="16"/>
                <w:color w:val="auto"/>
              </w:rPr>
              <w:t>1/25/12</w:t>
            </w: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13,889(j)</w:t>
            </w:r>
          </w:p>
        </w:tc>
        <w:tc>
          <w:tcPr>
            <w:tcW w:w="760" w:type="dxa"/>
            <w:vAlign w:val="bottom"/>
          </w:tcPr>
          <w:p>
            <w:pPr>
              <w:jc w:val="right"/>
              <w:spacing w:after="0"/>
              <w:rPr>
                <w:sz w:val="20"/>
                <w:szCs w:val="20"/>
                <w:color w:val="auto"/>
              </w:rPr>
            </w:pPr>
            <w:r>
              <w:rPr>
                <w:rFonts w:ascii="Arial" w:cs="Arial" w:eastAsia="Arial" w:hAnsi="Arial"/>
                <w:sz w:val="16"/>
                <w:szCs w:val="16"/>
                <w:color w:val="auto"/>
              </w:rPr>
              <w:t>921,257</w:t>
            </w:r>
          </w:p>
        </w:tc>
        <w:tc>
          <w:tcPr>
            <w:tcW w:w="840" w:type="dxa"/>
            <w:vAlign w:val="bottom"/>
          </w:tcPr>
          <w:p>
            <w:pPr>
              <w:jc w:val="right"/>
              <w:spacing w:after="0"/>
              <w:rPr>
                <w:sz w:val="20"/>
                <w:szCs w:val="20"/>
                <w:color w:val="auto"/>
              </w:rPr>
            </w:pPr>
            <w:r>
              <w:rPr>
                <w:rFonts w:ascii="Arial" w:cs="Arial" w:eastAsia="Arial" w:hAnsi="Arial"/>
                <w:sz w:val="16"/>
                <w:szCs w:val="16"/>
                <w:color w:val="auto"/>
              </w:rPr>
              <w:t>138,889(s)</w:t>
            </w:r>
          </w:p>
        </w:tc>
        <w:tc>
          <w:tcPr>
            <w:tcW w:w="840" w:type="dxa"/>
            <w:vAlign w:val="bottom"/>
          </w:tcPr>
          <w:p>
            <w:pPr>
              <w:jc w:val="right"/>
              <w:spacing w:after="0"/>
              <w:rPr>
                <w:sz w:val="20"/>
                <w:szCs w:val="20"/>
                <w:color w:val="auto"/>
              </w:rPr>
            </w:pPr>
            <w:r>
              <w:rPr>
                <w:rFonts w:ascii="Arial" w:cs="Arial" w:eastAsia="Arial" w:hAnsi="Arial"/>
                <w:sz w:val="16"/>
                <w:szCs w:val="16"/>
                <w:color w:val="auto"/>
              </w:rPr>
              <w:t>9,212,507</w:t>
            </w:r>
          </w:p>
        </w:tc>
      </w:tr>
      <w:tr>
        <w:trPr>
          <w:trHeight w:val="203"/>
        </w:trPr>
        <w:tc>
          <w:tcPr>
            <w:tcW w:w="1040" w:type="dxa"/>
            <w:vAlign w:val="bottom"/>
          </w:tcPr>
          <w:p>
            <w:pPr>
              <w:ind w:left="60"/>
              <w:spacing w:after="0"/>
              <w:rPr>
                <w:sz w:val="20"/>
                <w:szCs w:val="20"/>
                <w:color w:val="auto"/>
              </w:rPr>
            </w:pPr>
            <w:r>
              <w:rPr>
                <w:rFonts w:ascii="Arial" w:cs="Arial" w:eastAsia="Arial" w:hAnsi="Arial"/>
                <w:sz w:val="16"/>
                <w:szCs w:val="16"/>
                <w:color w:val="auto"/>
              </w:rPr>
              <w:t>Mr. Wyshner</w:t>
            </w:r>
          </w:p>
        </w:tc>
        <w:tc>
          <w:tcPr>
            <w:tcW w:w="640" w:type="dxa"/>
            <w:vAlign w:val="bottom"/>
          </w:tcPr>
          <w:p>
            <w:pPr>
              <w:jc w:val="right"/>
              <w:spacing w:after="0"/>
              <w:rPr>
                <w:sz w:val="20"/>
                <w:szCs w:val="20"/>
                <w:color w:val="auto"/>
              </w:rPr>
            </w:pPr>
            <w:r>
              <w:rPr>
                <w:rFonts w:ascii="Arial" w:cs="Arial" w:eastAsia="Arial" w:hAnsi="Arial"/>
                <w:sz w:val="16"/>
                <w:szCs w:val="16"/>
                <w:color w:val="auto"/>
              </w:rPr>
              <w:t>1/25/12</w:t>
            </w: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41,667(t)</w:t>
            </w:r>
          </w:p>
        </w:tc>
        <w:tc>
          <w:tcPr>
            <w:tcW w:w="840" w:type="dxa"/>
            <w:vAlign w:val="bottom"/>
          </w:tcPr>
          <w:p>
            <w:pPr>
              <w:jc w:val="right"/>
              <w:spacing w:after="0"/>
              <w:rPr>
                <w:sz w:val="20"/>
                <w:szCs w:val="20"/>
                <w:color w:val="auto"/>
              </w:rPr>
            </w:pPr>
            <w:r>
              <w:rPr>
                <w:rFonts w:ascii="Arial" w:cs="Arial" w:eastAsia="Arial" w:hAnsi="Arial"/>
                <w:sz w:val="16"/>
                <w:szCs w:val="16"/>
                <w:color w:val="auto"/>
              </w:rPr>
              <w:t>2,763,772</w:t>
            </w:r>
          </w:p>
        </w:tc>
      </w:tr>
      <w:tr>
        <w:trPr>
          <w:trHeight w:val="203"/>
        </w:trPr>
        <w:tc>
          <w:tcPr>
            <w:tcW w:w="1040" w:type="dxa"/>
            <w:vAlign w:val="bottom"/>
          </w:tcPr>
          <w:p>
            <w:pPr>
              <w:ind w:left="60"/>
              <w:spacing w:after="0"/>
              <w:rPr>
                <w:sz w:val="20"/>
                <w:szCs w:val="20"/>
                <w:color w:val="auto"/>
              </w:rPr>
            </w:pPr>
            <w:r>
              <w:rPr>
                <w:rFonts w:ascii="Arial" w:cs="Arial" w:eastAsia="Arial" w:hAnsi="Arial"/>
                <w:sz w:val="16"/>
                <w:szCs w:val="16"/>
                <w:color w:val="auto"/>
              </w:rPr>
              <w:t>Mr. Wyshner</w:t>
            </w:r>
          </w:p>
        </w:tc>
        <w:tc>
          <w:tcPr>
            <w:tcW w:w="640" w:type="dxa"/>
            <w:vAlign w:val="bottom"/>
          </w:tcPr>
          <w:p>
            <w:pPr>
              <w:jc w:val="right"/>
              <w:spacing w:after="0"/>
              <w:rPr>
                <w:sz w:val="20"/>
                <w:szCs w:val="20"/>
                <w:color w:val="auto"/>
              </w:rPr>
            </w:pPr>
            <w:r>
              <w:rPr>
                <w:rFonts w:ascii="Arial" w:cs="Arial" w:eastAsia="Arial" w:hAnsi="Arial"/>
                <w:sz w:val="16"/>
                <w:szCs w:val="16"/>
                <w:color w:val="auto"/>
              </w:rPr>
              <w:t>1/28/09</w:t>
            </w:r>
          </w:p>
        </w:tc>
        <w:tc>
          <w:tcPr>
            <w:tcW w:w="960" w:type="dxa"/>
            <w:vAlign w:val="bottom"/>
          </w:tcPr>
          <w:p>
            <w:pPr>
              <w:jc w:val="right"/>
              <w:spacing w:after="0"/>
              <w:rPr>
                <w:sz w:val="20"/>
                <w:szCs w:val="20"/>
                <w:color w:val="auto"/>
              </w:rPr>
            </w:pPr>
            <w:r>
              <w:rPr>
                <w:rFonts w:ascii="Arial" w:cs="Arial" w:eastAsia="Arial" w:hAnsi="Arial"/>
                <w:sz w:val="16"/>
                <w:szCs w:val="16"/>
                <w:color w:val="auto"/>
              </w:rPr>
              <w:t>12,500</w:t>
            </w: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0.79</w:t>
            </w:r>
          </w:p>
        </w:tc>
        <w:tc>
          <w:tcPr>
            <w:tcW w:w="840" w:type="dxa"/>
            <w:vAlign w:val="bottom"/>
          </w:tcPr>
          <w:p>
            <w:pPr>
              <w:jc w:val="right"/>
              <w:spacing w:after="0"/>
              <w:rPr>
                <w:sz w:val="20"/>
                <w:szCs w:val="20"/>
                <w:color w:val="auto"/>
              </w:rPr>
            </w:pPr>
            <w:r>
              <w:rPr>
                <w:rFonts w:ascii="Arial" w:cs="Arial" w:eastAsia="Arial" w:hAnsi="Arial"/>
                <w:sz w:val="16"/>
                <w:szCs w:val="16"/>
                <w:color w:val="auto"/>
              </w:rPr>
              <w:t>1/28/19</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040" w:type="dxa"/>
            <w:vAlign w:val="bottom"/>
          </w:tcPr>
          <w:p>
            <w:pPr>
              <w:ind w:left="60"/>
              <w:spacing w:after="0"/>
              <w:rPr>
                <w:sz w:val="20"/>
                <w:szCs w:val="20"/>
                <w:color w:val="auto"/>
              </w:rPr>
            </w:pPr>
            <w:r>
              <w:rPr>
                <w:rFonts w:ascii="Arial" w:cs="Arial" w:eastAsia="Arial" w:hAnsi="Arial"/>
                <w:sz w:val="16"/>
                <w:szCs w:val="16"/>
                <w:color w:val="auto"/>
              </w:rPr>
              <w:t>Mr. Wyshner</w:t>
            </w:r>
          </w:p>
        </w:tc>
        <w:tc>
          <w:tcPr>
            <w:tcW w:w="640" w:type="dxa"/>
            <w:vAlign w:val="bottom"/>
          </w:tcPr>
          <w:p>
            <w:pPr>
              <w:jc w:val="right"/>
              <w:spacing w:after="0"/>
              <w:rPr>
                <w:sz w:val="20"/>
                <w:szCs w:val="20"/>
                <w:color w:val="auto"/>
              </w:rPr>
            </w:pPr>
            <w:r>
              <w:rPr>
                <w:rFonts w:ascii="Arial" w:cs="Arial" w:eastAsia="Arial" w:hAnsi="Arial"/>
                <w:sz w:val="16"/>
                <w:szCs w:val="16"/>
                <w:color w:val="auto"/>
              </w:rPr>
              <w:t>1/28/09</w:t>
            </w:r>
          </w:p>
        </w:tc>
        <w:tc>
          <w:tcPr>
            <w:tcW w:w="960" w:type="dxa"/>
            <w:vAlign w:val="bottom"/>
          </w:tcPr>
          <w:p>
            <w:pPr>
              <w:jc w:val="right"/>
              <w:spacing w:after="0"/>
              <w:rPr>
                <w:sz w:val="20"/>
                <w:szCs w:val="20"/>
                <w:color w:val="auto"/>
              </w:rPr>
            </w:pPr>
            <w:r>
              <w:rPr>
                <w:rFonts w:ascii="Arial" w:cs="Arial" w:eastAsia="Arial" w:hAnsi="Arial"/>
                <w:sz w:val="16"/>
                <w:szCs w:val="16"/>
                <w:color w:val="auto"/>
              </w:rPr>
              <w:t>50,000</w:t>
            </w: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0.79</w:t>
            </w:r>
          </w:p>
        </w:tc>
        <w:tc>
          <w:tcPr>
            <w:tcW w:w="840" w:type="dxa"/>
            <w:vAlign w:val="bottom"/>
          </w:tcPr>
          <w:p>
            <w:pPr>
              <w:jc w:val="right"/>
              <w:spacing w:after="0"/>
              <w:rPr>
                <w:sz w:val="20"/>
                <w:szCs w:val="20"/>
                <w:color w:val="auto"/>
              </w:rPr>
            </w:pPr>
            <w:r>
              <w:rPr>
                <w:rFonts w:ascii="Arial" w:cs="Arial" w:eastAsia="Arial" w:hAnsi="Arial"/>
                <w:sz w:val="16"/>
                <w:szCs w:val="16"/>
                <w:color w:val="auto"/>
              </w:rPr>
              <w:t>1/28/19</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4"/>
        </w:trPr>
        <w:tc>
          <w:tcPr>
            <w:tcW w:w="1040" w:type="dxa"/>
            <w:vAlign w:val="bottom"/>
          </w:tcPr>
          <w:p>
            <w:pPr>
              <w:ind w:left="60"/>
              <w:spacing w:after="0"/>
              <w:rPr>
                <w:sz w:val="20"/>
                <w:szCs w:val="20"/>
                <w:color w:val="auto"/>
              </w:rPr>
            </w:pPr>
            <w:r>
              <w:rPr>
                <w:rFonts w:ascii="Arial" w:cs="Arial" w:eastAsia="Arial" w:hAnsi="Arial"/>
                <w:sz w:val="16"/>
                <w:szCs w:val="16"/>
                <w:color w:val="auto"/>
              </w:rPr>
              <w:t>Mr. Wyshner</w:t>
            </w:r>
          </w:p>
        </w:tc>
        <w:tc>
          <w:tcPr>
            <w:tcW w:w="640" w:type="dxa"/>
            <w:vAlign w:val="bottom"/>
          </w:tcPr>
          <w:p>
            <w:pPr>
              <w:jc w:val="right"/>
              <w:spacing w:after="0"/>
              <w:rPr>
                <w:sz w:val="20"/>
                <w:szCs w:val="20"/>
                <w:color w:val="auto"/>
              </w:rPr>
            </w:pPr>
            <w:r>
              <w:rPr>
                <w:rFonts w:ascii="Arial" w:cs="Arial" w:eastAsia="Arial" w:hAnsi="Arial"/>
                <w:sz w:val="16"/>
                <w:szCs w:val="16"/>
                <w:color w:val="auto"/>
              </w:rPr>
              <w:t>4/26/05</w:t>
            </w:r>
          </w:p>
        </w:tc>
        <w:tc>
          <w:tcPr>
            <w:tcW w:w="960" w:type="dxa"/>
            <w:vAlign w:val="bottom"/>
          </w:tcPr>
          <w:p>
            <w:pPr>
              <w:jc w:val="right"/>
              <w:spacing w:after="0"/>
              <w:rPr>
                <w:sz w:val="20"/>
                <w:szCs w:val="20"/>
                <w:color w:val="auto"/>
              </w:rPr>
            </w:pPr>
            <w:r>
              <w:rPr>
                <w:rFonts w:ascii="Arial" w:cs="Arial" w:eastAsia="Arial" w:hAnsi="Arial"/>
                <w:sz w:val="16"/>
                <w:szCs w:val="16"/>
                <w:color w:val="auto"/>
              </w:rPr>
              <w:t>3,104</w:t>
            </w: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30.04</w:t>
            </w:r>
          </w:p>
        </w:tc>
        <w:tc>
          <w:tcPr>
            <w:tcW w:w="840" w:type="dxa"/>
            <w:vAlign w:val="bottom"/>
          </w:tcPr>
          <w:p>
            <w:pPr>
              <w:jc w:val="right"/>
              <w:spacing w:after="0"/>
              <w:rPr>
                <w:sz w:val="20"/>
                <w:szCs w:val="20"/>
                <w:color w:val="auto"/>
              </w:rPr>
            </w:pPr>
            <w:r>
              <w:rPr>
                <w:rFonts w:ascii="Arial" w:cs="Arial" w:eastAsia="Arial" w:hAnsi="Arial"/>
                <w:sz w:val="16"/>
                <w:szCs w:val="16"/>
                <w:color w:val="auto"/>
              </w:rPr>
              <w:t>4/26/15</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040" w:type="dxa"/>
            <w:vAlign w:val="bottom"/>
            <w:shd w:val="clear" w:color="auto" w:fill="E9E9E9"/>
          </w:tcPr>
          <w:p>
            <w:pPr>
              <w:ind w:left="60"/>
              <w:spacing w:after="0"/>
              <w:rPr>
                <w:sz w:val="20"/>
                <w:szCs w:val="20"/>
                <w:color w:val="auto"/>
              </w:rPr>
            </w:pPr>
            <w:r>
              <w:rPr>
                <w:rFonts w:ascii="Arial" w:cs="Arial" w:eastAsia="Arial" w:hAnsi="Arial"/>
                <w:sz w:val="16"/>
                <w:szCs w:val="16"/>
                <w:color w:val="auto"/>
              </w:rPr>
              <w:t>Mr. Gartland</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1/22/14</w:t>
            </w:r>
          </w:p>
        </w:tc>
        <w:tc>
          <w:tcPr>
            <w:tcW w:w="960" w:type="dxa"/>
            <w:vAlign w:val="bottom"/>
            <w:shd w:val="clear" w:color="auto" w:fill="E9E9E9"/>
          </w:tcPr>
          <w:p>
            <w:pPr>
              <w:spacing w:after="0"/>
              <w:rPr>
                <w:sz w:val="17"/>
                <w:szCs w:val="17"/>
                <w:color w:val="auto"/>
              </w:rPr>
            </w:pPr>
          </w:p>
        </w:tc>
        <w:tc>
          <w:tcPr>
            <w:tcW w:w="1080" w:type="dxa"/>
            <w:vAlign w:val="bottom"/>
            <w:shd w:val="clear" w:color="auto" w:fill="E9E9E9"/>
          </w:tcPr>
          <w:p>
            <w:pPr>
              <w:spacing w:after="0"/>
              <w:rPr>
                <w:sz w:val="17"/>
                <w:szCs w:val="17"/>
                <w:color w:val="auto"/>
              </w:rPr>
            </w:pPr>
          </w:p>
        </w:tc>
        <w:tc>
          <w:tcPr>
            <w:tcW w:w="1060" w:type="dxa"/>
            <w:vAlign w:val="bottom"/>
            <w:shd w:val="clear" w:color="auto" w:fill="E9E9E9"/>
          </w:tcPr>
          <w:p>
            <w:pPr>
              <w:spacing w:after="0"/>
              <w:rPr>
                <w:sz w:val="17"/>
                <w:szCs w:val="17"/>
                <w:color w:val="auto"/>
              </w:rPr>
            </w:pPr>
          </w:p>
        </w:tc>
        <w:tc>
          <w:tcPr>
            <w:tcW w:w="680" w:type="dxa"/>
            <w:vAlign w:val="bottom"/>
            <w:shd w:val="clear" w:color="auto" w:fill="E9E9E9"/>
          </w:tcPr>
          <w:p>
            <w:pPr>
              <w:spacing w:after="0"/>
              <w:rPr>
                <w:sz w:val="17"/>
                <w:szCs w:val="17"/>
                <w:color w:val="auto"/>
              </w:rPr>
            </w:pPr>
          </w:p>
        </w:tc>
        <w:tc>
          <w:tcPr>
            <w:tcW w:w="840" w:type="dxa"/>
            <w:vAlign w:val="bottom"/>
            <w:shd w:val="clear" w:color="auto" w:fill="E9E9E9"/>
          </w:tcPr>
          <w:p>
            <w:pPr>
              <w:spacing w:after="0"/>
              <w:rPr>
                <w:sz w:val="17"/>
                <w:szCs w:val="17"/>
                <w:color w:val="auto"/>
              </w:rPr>
            </w:pPr>
          </w:p>
        </w:tc>
        <w:tc>
          <w:tcPr>
            <w:tcW w:w="160" w:type="dxa"/>
            <w:vAlign w:val="bottom"/>
            <w:shd w:val="clear" w:color="auto" w:fill="E9E9E9"/>
          </w:tcPr>
          <w:p>
            <w:pPr>
              <w:spacing w:after="0"/>
              <w:rPr>
                <w:sz w:val="17"/>
                <w:szCs w:val="17"/>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9"/>
              </w:rPr>
              <w:t>14,581(g)</w:t>
            </w:r>
          </w:p>
        </w:tc>
        <w:tc>
          <w:tcPr>
            <w:tcW w:w="7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967,158</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14,581(p)</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967,158</w:t>
            </w:r>
          </w:p>
        </w:tc>
      </w:tr>
      <w:tr>
        <w:trPr>
          <w:trHeight w:val="203"/>
        </w:trPr>
        <w:tc>
          <w:tcPr>
            <w:tcW w:w="1040" w:type="dxa"/>
            <w:vAlign w:val="bottom"/>
            <w:shd w:val="clear" w:color="auto" w:fill="E9E9E9"/>
          </w:tcPr>
          <w:p>
            <w:pPr>
              <w:ind w:left="60"/>
              <w:spacing w:after="0"/>
              <w:rPr>
                <w:sz w:val="20"/>
                <w:szCs w:val="20"/>
                <w:color w:val="auto"/>
              </w:rPr>
            </w:pPr>
            <w:r>
              <w:rPr>
                <w:rFonts w:ascii="Arial" w:cs="Arial" w:eastAsia="Arial" w:hAnsi="Arial"/>
                <w:sz w:val="16"/>
                <w:szCs w:val="16"/>
                <w:color w:val="auto"/>
              </w:rPr>
              <w:t>Mr. Gartland</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1/23/13</w:t>
            </w:r>
          </w:p>
        </w:tc>
        <w:tc>
          <w:tcPr>
            <w:tcW w:w="960" w:type="dxa"/>
            <w:vAlign w:val="bottom"/>
            <w:shd w:val="clear" w:color="auto" w:fill="E9E9E9"/>
          </w:tcPr>
          <w:p>
            <w:pPr>
              <w:spacing w:after="0"/>
              <w:rPr>
                <w:sz w:val="17"/>
                <w:szCs w:val="17"/>
                <w:color w:val="auto"/>
              </w:rPr>
            </w:pPr>
          </w:p>
        </w:tc>
        <w:tc>
          <w:tcPr>
            <w:tcW w:w="1080" w:type="dxa"/>
            <w:vAlign w:val="bottom"/>
            <w:shd w:val="clear" w:color="auto" w:fill="E9E9E9"/>
          </w:tcPr>
          <w:p>
            <w:pPr>
              <w:spacing w:after="0"/>
              <w:rPr>
                <w:sz w:val="17"/>
                <w:szCs w:val="17"/>
                <w:color w:val="auto"/>
              </w:rPr>
            </w:pPr>
          </w:p>
        </w:tc>
        <w:tc>
          <w:tcPr>
            <w:tcW w:w="1060" w:type="dxa"/>
            <w:vAlign w:val="bottom"/>
            <w:shd w:val="clear" w:color="auto" w:fill="E9E9E9"/>
          </w:tcPr>
          <w:p>
            <w:pPr>
              <w:spacing w:after="0"/>
              <w:rPr>
                <w:sz w:val="17"/>
                <w:szCs w:val="17"/>
                <w:color w:val="auto"/>
              </w:rPr>
            </w:pPr>
          </w:p>
        </w:tc>
        <w:tc>
          <w:tcPr>
            <w:tcW w:w="680" w:type="dxa"/>
            <w:vAlign w:val="bottom"/>
            <w:shd w:val="clear" w:color="auto" w:fill="E9E9E9"/>
          </w:tcPr>
          <w:p>
            <w:pPr>
              <w:spacing w:after="0"/>
              <w:rPr>
                <w:sz w:val="17"/>
                <w:szCs w:val="17"/>
                <w:color w:val="auto"/>
              </w:rPr>
            </w:pPr>
          </w:p>
        </w:tc>
        <w:tc>
          <w:tcPr>
            <w:tcW w:w="840" w:type="dxa"/>
            <w:vAlign w:val="bottom"/>
            <w:shd w:val="clear" w:color="auto" w:fill="E9E9E9"/>
          </w:tcPr>
          <w:p>
            <w:pPr>
              <w:spacing w:after="0"/>
              <w:rPr>
                <w:sz w:val="17"/>
                <w:szCs w:val="17"/>
                <w:color w:val="auto"/>
              </w:rPr>
            </w:pPr>
          </w:p>
        </w:tc>
        <w:tc>
          <w:tcPr>
            <w:tcW w:w="160" w:type="dxa"/>
            <w:vAlign w:val="bottom"/>
            <w:shd w:val="clear" w:color="auto" w:fill="E9E9E9"/>
          </w:tcPr>
          <w:p>
            <w:pPr>
              <w:spacing w:after="0"/>
              <w:rPr>
                <w:sz w:val="17"/>
                <w:szCs w:val="17"/>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18,868(i)</w:t>
            </w:r>
          </w:p>
        </w:tc>
        <w:tc>
          <w:tcPr>
            <w:tcW w:w="76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5"/>
              </w:rPr>
              <w:t>1,251,514</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28,302(r)</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1,877,272</w:t>
            </w:r>
          </w:p>
        </w:tc>
      </w:tr>
      <w:tr>
        <w:trPr>
          <w:trHeight w:val="203"/>
        </w:trPr>
        <w:tc>
          <w:tcPr>
            <w:tcW w:w="1040" w:type="dxa"/>
            <w:vAlign w:val="bottom"/>
            <w:shd w:val="clear" w:color="auto" w:fill="E9E9E9"/>
          </w:tcPr>
          <w:p>
            <w:pPr>
              <w:ind w:left="60"/>
              <w:spacing w:after="0"/>
              <w:rPr>
                <w:sz w:val="20"/>
                <w:szCs w:val="20"/>
                <w:color w:val="auto"/>
              </w:rPr>
            </w:pPr>
            <w:r>
              <w:rPr>
                <w:rFonts w:ascii="Arial" w:cs="Arial" w:eastAsia="Arial" w:hAnsi="Arial"/>
                <w:sz w:val="16"/>
                <w:szCs w:val="16"/>
                <w:color w:val="auto"/>
              </w:rPr>
              <w:t>Mr. Gartland</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1/25/12</w:t>
            </w:r>
          </w:p>
        </w:tc>
        <w:tc>
          <w:tcPr>
            <w:tcW w:w="960" w:type="dxa"/>
            <w:vAlign w:val="bottom"/>
            <w:shd w:val="clear" w:color="auto" w:fill="E9E9E9"/>
          </w:tcPr>
          <w:p>
            <w:pPr>
              <w:spacing w:after="0"/>
              <w:rPr>
                <w:sz w:val="17"/>
                <w:szCs w:val="17"/>
                <w:color w:val="auto"/>
              </w:rPr>
            </w:pPr>
          </w:p>
        </w:tc>
        <w:tc>
          <w:tcPr>
            <w:tcW w:w="1080" w:type="dxa"/>
            <w:vAlign w:val="bottom"/>
            <w:shd w:val="clear" w:color="auto" w:fill="E9E9E9"/>
          </w:tcPr>
          <w:p>
            <w:pPr>
              <w:spacing w:after="0"/>
              <w:rPr>
                <w:sz w:val="17"/>
                <w:szCs w:val="17"/>
                <w:color w:val="auto"/>
              </w:rPr>
            </w:pPr>
          </w:p>
        </w:tc>
        <w:tc>
          <w:tcPr>
            <w:tcW w:w="1060" w:type="dxa"/>
            <w:vAlign w:val="bottom"/>
            <w:shd w:val="clear" w:color="auto" w:fill="E9E9E9"/>
          </w:tcPr>
          <w:p>
            <w:pPr>
              <w:spacing w:after="0"/>
              <w:rPr>
                <w:sz w:val="17"/>
                <w:szCs w:val="17"/>
                <w:color w:val="auto"/>
              </w:rPr>
            </w:pPr>
          </w:p>
        </w:tc>
        <w:tc>
          <w:tcPr>
            <w:tcW w:w="680" w:type="dxa"/>
            <w:vAlign w:val="bottom"/>
            <w:shd w:val="clear" w:color="auto" w:fill="E9E9E9"/>
          </w:tcPr>
          <w:p>
            <w:pPr>
              <w:spacing w:after="0"/>
              <w:rPr>
                <w:sz w:val="17"/>
                <w:szCs w:val="17"/>
                <w:color w:val="auto"/>
              </w:rPr>
            </w:pPr>
          </w:p>
        </w:tc>
        <w:tc>
          <w:tcPr>
            <w:tcW w:w="840" w:type="dxa"/>
            <w:vAlign w:val="bottom"/>
            <w:shd w:val="clear" w:color="auto" w:fill="E9E9E9"/>
          </w:tcPr>
          <w:p>
            <w:pPr>
              <w:spacing w:after="0"/>
              <w:rPr>
                <w:sz w:val="17"/>
                <w:szCs w:val="17"/>
                <w:color w:val="auto"/>
              </w:rPr>
            </w:pPr>
          </w:p>
        </w:tc>
        <w:tc>
          <w:tcPr>
            <w:tcW w:w="160" w:type="dxa"/>
            <w:vAlign w:val="bottom"/>
            <w:shd w:val="clear" w:color="auto" w:fill="E9E9E9"/>
          </w:tcPr>
          <w:p>
            <w:pPr>
              <w:spacing w:after="0"/>
              <w:rPr>
                <w:sz w:val="17"/>
                <w:szCs w:val="17"/>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13,889(j)</w:t>
            </w:r>
          </w:p>
        </w:tc>
        <w:tc>
          <w:tcPr>
            <w:tcW w:w="7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921,257</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138,889(s)</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9,212,507</w:t>
            </w:r>
          </w:p>
        </w:tc>
      </w:tr>
      <w:tr>
        <w:trPr>
          <w:trHeight w:val="203"/>
        </w:trPr>
        <w:tc>
          <w:tcPr>
            <w:tcW w:w="1040" w:type="dxa"/>
            <w:vAlign w:val="bottom"/>
            <w:shd w:val="clear" w:color="auto" w:fill="E9E9E9"/>
          </w:tcPr>
          <w:p>
            <w:pPr>
              <w:ind w:left="60"/>
              <w:spacing w:after="0"/>
              <w:rPr>
                <w:sz w:val="20"/>
                <w:szCs w:val="20"/>
                <w:color w:val="auto"/>
              </w:rPr>
            </w:pPr>
            <w:r>
              <w:rPr>
                <w:rFonts w:ascii="Arial" w:cs="Arial" w:eastAsia="Arial" w:hAnsi="Arial"/>
                <w:sz w:val="16"/>
                <w:szCs w:val="16"/>
                <w:color w:val="auto"/>
              </w:rPr>
              <w:t>Mr. Gartland</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1/25/12</w:t>
            </w:r>
          </w:p>
        </w:tc>
        <w:tc>
          <w:tcPr>
            <w:tcW w:w="960" w:type="dxa"/>
            <w:vAlign w:val="bottom"/>
            <w:shd w:val="clear" w:color="auto" w:fill="E9E9E9"/>
          </w:tcPr>
          <w:p>
            <w:pPr>
              <w:spacing w:after="0"/>
              <w:rPr>
                <w:sz w:val="17"/>
                <w:szCs w:val="17"/>
                <w:color w:val="auto"/>
              </w:rPr>
            </w:pPr>
          </w:p>
        </w:tc>
        <w:tc>
          <w:tcPr>
            <w:tcW w:w="1080" w:type="dxa"/>
            <w:vAlign w:val="bottom"/>
            <w:shd w:val="clear" w:color="auto" w:fill="E9E9E9"/>
          </w:tcPr>
          <w:p>
            <w:pPr>
              <w:spacing w:after="0"/>
              <w:rPr>
                <w:sz w:val="17"/>
                <w:szCs w:val="17"/>
                <w:color w:val="auto"/>
              </w:rPr>
            </w:pPr>
          </w:p>
        </w:tc>
        <w:tc>
          <w:tcPr>
            <w:tcW w:w="1060" w:type="dxa"/>
            <w:vAlign w:val="bottom"/>
            <w:shd w:val="clear" w:color="auto" w:fill="E9E9E9"/>
          </w:tcPr>
          <w:p>
            <w:pPr>
              <w:spacing w:after="0"/>
              <w:rPr>
                <w:sz w:val="17"/>
                <w:szCs w:val="17"/>
                <w:color w:val="auto"/>
              </w:rPr>
            </w:pPr>
          </w:p>
        </w:tc>
        <w:tc>
          <w:tcPr>
            <w:tcW w:w="680" w:type="dxa"/>
            <w:vAlign w:val="bottom"/>
            <w:shd w:val="clear" w:color="auto" w:fill="E9E9E9"/>
          </w:tcPr>
          <w:p>
            <w:pPr>
              <w:spacing w:after="0"/>
              <w:rPr>
                <w:sz w:val="17"/>
                <w:szCs w:val="17"/>
                <w:color w:val="auto"/>
              </w:rPr>
            </w:pPr>
          </w:p>
        </w:tc>
        <w:tc>
          <w:tcPr>
            <w:tcW w:w="840" w:type="dxa"/>
            <w:vAlign w:val="bottom"/>
            <w:shd w:val="clear" w:color="auto" w:fill="E9E9E9"/>
          </w:tcPr>
          <w:p>
            <w:pPr>
              <w:spacing w:after="0"/>
              <w:rPr>
                <w:sz w:val="17"/>
                <w:szCs w:val="17"/>
                <w:color w:val="auto"/>
              </w:rPr>
            </w:pPr>
          </w:p>
        </w:tc>
        <w:tc>
          <w:tcPr>
            <w:tcW w:w="160" w:type="dxa"/>
            <w:vAlign w:val="bottom"/>
            <w:shd w:val="clear" w:color="auto" w:fill="E9E9E9"/>
          </w:tcPr>
          <w:p>
            <w:pPr>
              <w:spacing w:after="0"/>
              <w:rPr>
                <w:sz w:val="17"/>
                <w:szCs w:val="17"/>
                <w:color w:val="auto"/>
              </w:rPr>
            </w:pPr>
          </w:p>
        </w:tc>
        <w:tc>
          <w:tcPr>
            <w:tcW w:w="720" w:type="dxa"/>
            <w:vAlign w:val="bottom"/>
            <w:shd w:val="clear" w:color="auto" w:fill="E9E9E9"/>
          </w:tcPr>
          <w:p>
            <w:pPr>
              <w:spacing w:after="0"/>
              <w:rPr>
                <w:sz w:val="17"/>
                <w:szCs w:val="17"/>
                <w:color w:val="auto"/>
              </w:rPr>
            </w:pPr>
          </w:p>
        </w:tc>
        <w:tc>
          <w:tcPr>
            <w:tcW w:w="760" w:type="dxa"/>
            <w:vAlign w:val="bottom"/>
            <w:shd w:val="clear" w:color="auto" w:fill="E9E9E9"/>
          </w:tcPr>
          <w:p>
            <w:pPr>
              <w:spacing w:after="0"/>
              <w:rPr>
                <w:sz w:val="17"/>
                <w:szCs w:val="17"/>
                <w:color w:val="auto"/>
              </w:rPr>
            </w:pP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41,667(t)</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2,763,772</w:t>
            </w:r>
          </w:p>
        </w:tc>
      </w:tr>
      <w:tr>
        <w:trPr>
          <w:trHeight w:val="203"/>
        </w:trPr>
        <w:tc>
          <w:tcPr>
            <w:tcW w:w="1040" w:type="dxa"/>
            <w:vAlign w:val="bottom"/>
          </w:tcPr>
          <w:p>
            <w:pPr>
              <w:ind w:left="60"/>
              <w:spacing w:after="0"/>
              <w:rPr>
                <w:sz w:val="20"/>
                <w:szCs w:val="20"/>
                <w:color w:val="auto"/>
              </w:rPr>
            </w:pPr>
            <w:r>
              <w:rPr>
                <w:rFonts w:ascii="Arial" w:cs="Arial" w:eastAsia="Arial" w:hAnsi="Arial"/>
                <w:sz w:val="16"/>
                <w:szCs w:val="16"/>
                <w:color w:val="auto"/>
              </w:rPr>
              <w:t>Mr. De Shon</w:t>
            </w:r>
          </w:p>
        </w:tc>
        <w:tc>
          <w:tcPr>
            <w:tcW w:w="640" w:type="dxa"/>
            <w:vAlign w:val="bottom"/>
          </w:tcPr>
          <w:p>
            <w:pPr>
              <w:jc w:val="right"/>
              <w:spacing w:after="0"/>
              <w:rPr>
                <w:sz w:val="20"/>
                <w:szCs w:val="20"/>
                <w:color w:val="auto"/>
              </w:rPr>
            </w:pPr>
            <w:r>
              <w:rPr>
                <w:rFonts w:ascii="Arial" w:cs="Arial" w:eastAsia="Arial" w:hAnsi="Arial"/>
                <w:sz w:val="16"/>
                <w:szCs w:val="16"/>
                <w:color w:val="auto"/>
              </w:rPr>
              <w:t>1/22/14</w:t>
            </w: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9"/>
              </w:rPr>
              <w:t>14,581(g)</w:t>
            </w:r>
          </w:p>
        </w:tc>
        <w:tc>
          <w:tcPr>
            <w:tcW w:w="760" w:type="dxa"/>
            <w:vAlign w:val="bottom"/>
          </w:tcPr>
          <w:p>
            <w:pPr>
              <w:jc w:val="right"/>
              <w:spacing w:after="0"/>
              <w:rPr>
                <w:sz w:val="20"/>
                <w:szCs w:val="20"/>
                <w:color w:val="auto"/>
              </w:rPr>
            </w:pPr>
            <w:r>
              <w:rPr>
                <w:rFonts w:ascii="Arial" w:cs="Arial" w:eastAsia="Arial" w:hAnsi="Arial"/>
                <w:sz w:val="16"/>
                <w:szCs w:val="16"/>
                <w:color w:val="auto"/>
              </w:rPr>
              <w:t>967,158</w:t>
            </w:r>
          </w:p>
        </w:tc>
        <w:tc>
          <w:tcPr>
            <w:tcW w:w="840" w:type="dxa"/>
            <w:vAlign w:val="bottom"/>
          </w:tcPr>
          <w:p>
            <w:pPr>
              <w:jc w:val="right"/>
              <w:spacing w:after="0"/>
              <w:rPr>
                <w:sz w:val="20"/>
                <w:szCs w:val="20"/>
                <w:color w:val="auto"/>
              </w:rPr>
            </w:pPr>
            <w:r>
              <w:rPr>
                <w:rFonts w:ascii="Arial" w:cs="Arial" w:eastAsia="Arial" w:hAnsi="Arial"/>
                <w:sz w:val="16"/>
                <w:szCs w:val="16"/>
                <w:color w:val="auto"/>
              </w:rPr>
              <w:t>14,581(p)</w:t>
            </w:r>
          </w:p>
        </w:tc>
        <w:tc>
          <w:tcPr>
            <w:tcW w:w="840" w:type="dxa"/>
            <w:vAlign w:val="bottom"/>
          </w:tcPr>
          <w:p>
            <w:pPr>
              <w:jc w:val="right"/>
              <w:spacing w:after="0"/>
              <w:rPr>
                <w:sz w:val="20"/>
                <w:szCs w:val="20"/>
                <w:color w:val="auto"/>
              </w:rPr>
            </w:pPr>
            <w:r>
              <w:rPr>
                <w:rFonts w:ascii="Arial" w:cs="Arial" w:eastAsia="Arial" w:hAnsi="Arial"/>
                <w:sz w:val="16"/>
                <w:szCs w:val="16"/>
                <w:color w:val="auto"/>
              </w:rPr>
              <w:t>967,158</w:t>
            </w:r>
          </w:p>
        </w:tc>
      </w:tr>
      <w:tr>
        <w:trPr>
          <w:trHeight w:val="203"/>
        </w:trPr>
        <w:tc>
          <w:tcPr>
            <w:tcW w:w="1040" w:type="dxa"/>
            <w:vAlign w:val="bottom"/>
          </w:tcPr>
          <w:p>
            <w:pPr>
              <w:ind w:left="60"/>
              <w:spacing w:after="0"/>
              <w:rPr>
                <w:sz w:val="20"/>
                <w:szCs w:val="20"/>
                <w:color w:val="auto"/>
              </w:rPr>
            </w:pPr>
            <w:r>
              <w:rPr>
                <w:rFonts w:ascii="Arial" w:cs="Arial" w:eastAsia="Arial" w:hAnsi="Arial"/>
                <w:sz w:val="16"/>
                <w:szCs w:val="16"/>
                <w:color w:val="auto"/>
              </w:rPr>
              <w:t>Mr. De Shon</w:t>
            </w:r>
          </w:p>
        </w:tc>
        <w:tc>
          <w:tcPr>
            <w:tcW w:w="640" w:type="dxa"/>
            <w:vAlign w:val="bottom"/>
          </w:tcPr>
          <w:p>
            <w:pPr>
              <w:jc w:val="right"/>
              <w:spacing w:after="0"/>
              <w:rPr>
                <w:sz w:val="20"/>
                <w:szCs w:val="20"/>
                <w:color w:val="auto"/>
              </w:rPr>
            </w:pPr>
            <w:r>
              <w:rPr>
                <w:rFonts w:ascii="Arial" w:cs="Arial" w:eastAsia="Arial" w:hAnsi="Arial"/>
                <w:sz w:val="16"/>
                <w:szCs w:val="16"/>
                <w:color w:val="auto"/>
              </w:rPr>
              <w:t>1/22/14</w:t>
            </w: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9"/>
              </w:rPr>
              <w:t>12,151(h)</w:t>
            </w:r>
          </w:p>
        </w:tc>
        <w:tc>
          <w:tcPr>
            <w:tcW w:w="760" w:type="dxa"/>
            <w:vAlign w:val="bottom"/>
          </w:tcPr>
          <w:p>
            <w:pPr>
              <w:jc w:val="right"/>
              <w:spacing w:after="0"/>
              <w:rPr>
                <w:sz w:val="20"/>
                <w:szCs w:val="20"/>
                <w:color w:val="auto"/>
              </w:rPr>
            </w:pPr>
            <w:r>
              <w:rPr>
                <w:rFonts w:ascii="Arial" w:cs="Arial" w:eastAsia="Arial" w:hAnsi="Arial"/>
                <w:sz w:val="16"/>
                <w:szCs w:val="16"/>
                <w:color w:val="auto"/>
              </w:rPr>
              <w:t>805,976</w:t>
            </w:r>
          </w:p>
        </w:tc>
        <w:tc>
          <w:tcPr>
            <w:tcW w:w="840" w:type="dxa"/>
            <w:vAlign w:val="bottom"/>
          </w:tcPr>
          <w:p>
            <w:pPr>
              <w:jc w:val="right"/>
              <w:spacing w:after="0"/>
              <w:rPr>
                <w:sz w:val="20"/>
                <w:szCs w:val="20"/>
                <w:color w:val="auto"/>
              </w:rPr>
            </w:pPr>
            <w:r>
              <w:rPr>
                <w:rFonts w:ascii="Arial" w:cs="Arial" w:eastAsia="Arial" w:hAnsi="Arial"/>
                <w:sz w:val="16"/>
                <w:szCs w:val="16"/>
                <w:color w:val="auto"/>
              </w:rPr>
              <w:t>12,151(q)</w:t>
            </w:r>
          </w:p>
        </w:tc>
        <w:tc>
          <w:tcPr>
            <w:tcW w:w="840" w:type="dxa"/>
            <w:vAlign w:val="bottom"/>
          </w:tcPr>
          <w:p>
            <w:pPr>
              <w:jc w:val="right"/>
              <w:spacing w:after="0"/>
              <w:rPr>
                <w:sz w:val="20"/>
                <w:szCs w:val="20"/>
                <w:color w:val="auto"/>
              </w:rPr>
            </w:pPr>
            <w:r>
              <w:rPr>
                <w:rFonts w:ascii="Arial" w:cs="Arial" w:eastAsia="Arial" w:hAnsi="Arial"/>
                <w:sz w:val="16"/>
                <w:szCs w:val="16"/>
                <w:color w:val="auto"/>
              </w:rPr>
              <w:t>805,976</w:t>
            </w:r>
          </w:p>
        </w:tc>
      </w:tr>
      <w:tr>
        <w:trPr>
          <w:trHeight w:val="203"/>
        </w:trPr>
        <w:tc>
          <w:tcPr>
            <w:tcW w:w="1040" w:type="dxa"/>
            <w:vAlign w:val="bottom"/>
          </w:tcPr>
          <w:p>
            <w:pPr>
              <w:ind w:left="60"/>
              <w:spacing w:after="0"/>
              <w:rPr>
                <w:sz w:val="20"/>
                <w:szCs w:val="20"/>
                <w:color w:val="auto"/>
              </w:rPr>
            </w:pPr>
            <w:r>
              <w:rPr>
                <w:rFonts w:ascii="Arial" w:cs="Arial" w:eastAsia="Arial" w:hAnsi="Arial"/>
                <w:sz w:val="16"/>
                <w:szCs w:val="16"/>
                <w:color w:val="auto"/>
              </w:rPr>
              <w:t>Mr. De Shon</w:t>
            </w:r>
          </w:p>
        </w:tc>
        <w:tc>
          <w:tcPr>
            <w:tcW w:w="640" w:type="dxa"/>
            <w:vAlign w:val="bottom"/>
          </w:tcPr>
          <w:p>
            <w:pPr>
              <w:jc w:val="right"/>
              <w:spacing w:after="0"/>
              <w:rPr>
                <w:sz w:val="20"/>
                <w:szCs w:val="20"/>
                <w:color w:val="auto"/>
              </w:rPr>
            </w:pPr>
            <w:r>
              <w:rPr>
                <w:rFonts w:ascii="Arial" w:cs="Arial" w:eastAsia="Arial" w:hAnsi="Arial"/>
                <w:sz w:val="16"/>
                <w:szCs w:val="16"/>
                <w:color w:val="auto"/>
              </w:rPr>
              <w:t>1/23/13</w:t>
            </w: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18,868(i)</w:t>
            </w:r>
          </w:p>
        </w:tc>
        <w:tc>
          <w:tcPr>
            <w:tcW w:w="760" w:type="dxa"/>
            <w:vAlign w:val="bottom"/>
          </w:tcPr>
          <w:p>
            <w:pPr>
              <w:jc w:val="right"/>
              <w:spacing w:after="0"/>
              <w:rPr>
                <w:sz w:val="20"/>
                <w:szCs w:val="20"/>
                <w:color w:val="auto"/>
              </w:rPr>
            </w:pPr>
            <w:r>
              <w:rPr>
                <w:rFonts w:ascii="Arial" w:cs="Arial" w:eastAsia="Arial" w:hAnsi="Arial"/>
                <w:sz w:val="16"/>
                <w:szCs w:val="16"/>
                <w:color w:val="auto"/>
                <w:w w:val="95"/>
              </w:rPr>
              <w:t>1,251,514</w:t>
            </w:r>
          </w:p>
        </w:tc>
        <w:tc>
          <w:tcPr>
            <w:tcW w:w="840" w:type="dxa"/>
            <w:vAlign w:val="bottom"/>
          </w:tcPr>
          <w:p>
            <w:pPr>
              <w:jc w:val="right"/>
              <w:spacing w:after="0"/>
              <w:rPr>
                <w:sz w:val="20"/>
                <w:szCs w:val="20"/>
                <w:color w:val="auto"/>
              </w:rPr>
            </w:pPr>
            <w:r>
              <w:rPr>
                <w:rFonts w:ascii="Arial" w:cs="Arial" w:eastAsia="Arial" w:hAnsi="Arial"/>
                <w:sz w:val="16"/>
                <w:szCs w:val="16"/>
                <w:color w:val="auto"/>
              </w:rPr>
              <w:t>28,302(r)</w:t>
            </w:r>
          </w:p>
        </w:tc>
        <w:tc>
          <w:tcPr>
            <w:tcW w:w="840" w:type="dxa"/>
            <w:vAlign w:val="bottom"/>
          </w:tcPr>
          <w:p>
            <w:pPr>
              <w:jc w:val="right"/>
              <w:spacing w:after="0"/>
              <w:rPr>
                <w:sz w:val="20"/>
                <w:szCs w:val="20"/>
                <w:color w:val="auto"/>
              </w:rPr>
            </w:pPr>
            <w:r>
              <w:rPr>
                <w:rFonts w:ascii="Arial" w:cs="Arial" w:eastAsia="Arial" w:hAnsi="Arial"/>
                <w:sz w:val="16"/>
                <w:szCs w:val="16"/>
                <w:color w:val="auto"/>
              </w:rPr>
              <w:t>1,877,272</w:t>
            </w:r>
          </w:p>
        </w:tc>
      </w:tr>
      <w:tr>
        <w:trPr>
          <w:trHeight w:val="203"/>
        </w:trPr>
        <w:tc>
          <w:tcPr>
            <w:tcW w:w="1040" w:type="dxa"/>
            <w:vAlign w:val="bottom"/>
          </w:tcPr>
          <w:p>
            <w:pPr>
              <w:ind w:left="60"/>
              <w:spacing w:after="0"/>
              <w:rPr>
                <w:sz w:val="20"/>
                <w:szCs w:val="20"/>
                <w:color w:val="auto"/>
              </w:rPr>
            </w:pPr>
            <w:r>
              <w:rPr>
                <w:rFonts w:ascii="Arial" w:cs="Arial" w:eastAsia="Arial" w:hAnsi="Arial"/>
                <w:sz w:val="16"/>
                <w:szCs w:val="16"/>
                <w:color w:val="auto"/>
              </w:rPr>
              <w:t>Mr. De Shon</w:t>
            </w:r>
          </w:p>
        </w:tc>
        <w:tc>
          <w:tcPr>
            <w:tcW w:w="640" w:type="dxa"/>
            <w:vAlign w:val="bottom"/>
          </w:tcPr>
          <w:p>
            <w:pPr>
              <w:jc w:val="right"/>
              <w:spacing w:after="0"/>
              <w:rPr>
                <w:sz w:val="20"/>
                <w:szCs w:val="20"/>
                <w:color w:val="auto"/>
              </w:rPr>
            </w:pPr>
            <w:r>
              <w:rPr>
                <w:rFonts w:ascii="Arial" w:cs="Arial" w:eastAsia="Arial" w:hAnsi="Arial"/>
                <w:sz w:val="16"/>
                <w:szCs w:val="16"/>
                <w:color w:val="auto"/>
              </w:rPr>
              <w:t>1/25/12</w:t>
            </w: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13,889(j)</w:t>
            </w:r>
          </w:p>
        </w:tc>
        <w:tc>
          <w:tcPr>
            <w:tcW w:w="760" w:type="dxa"/>
            <w:vAlign w:val="bottom"/>
          </w:tcPr>
          <w:p>
            <w:pPr>
              <w:jc w:val="right"/>
              <w:spacing w:after="0"/>
              <w:rPr>
                <w:sz w:val="20"/>
                <w:szCs w:val="20"/>
                <w:color w:val="auto"/>
              </w:rPr>
            </w:pPr>
            <w:r>
              <w:rPr>
                <w:rFonts w:ascii="Arial" w:cs="Arial" w:eastAsia="Arial" w:hAnsi="Arial"/>
                <w:sz w:val="16"/>
                <w:szCs w:val="16"/>
                <w:color w:val="auto"/>
              </w:rPr>
              <w:t>921,257</w:t>
            </w:r>
          </w:p>
        </w:tc>
        <w:tc>
          <w:tcPr>
            <w:tcW w:w="840" w:type="dxa"/>
            <w:vAlign w:val="bottom"/>
          </w:tcPr>
          <w:p>
            <w:pPr>
              <w:jc w:val="right"/>
              <w:spacing w:after="0"/>
              <w:rPr>
                <w:sz w:val="20"/>
                <w:szCs w:val="20"/>
                <w:color w:val="auto"/>
              </w:rPr>
            </w:pPr>
            <w:r>
              <w:rPr>
                <w:rFonts w:ascii="Arial" w:cs="Arial" w:eastAsia="Arial" w:hAnsi="Arial"/>
                <w:sz w:val="16"/>
                <w:szCs w:val="16"/>
                <w:color w:val="auto"/>
              </w:rPr>
              <w:t>138,889(s)</w:t>
            </w:r>
          </w:p>
        </w:tc>
        <w:tc>
          <w:tcPr>
            <w:tcW w:w="840" w:type="dxa"/>
            <w:vAlign w:val="bottom"/>
          </w:tcPr>
          <w:p>
            <w:pPr>
              <w:jc w:val="right"/>
              <w:spacing w:after="0"/>
              <w:rPr>
                <w:sz w:val="20"/>
                <w:szCs w:val="20"/>
                <w:color w:val="auto"/>
              </w:rPr>
            </w:pPr>
            <w:r>
              <w:rPr>
                <w:rFonts w:ascii="Arial" w:cs="Arial" w:eastAsia="Arial" w:hAnsi="Arial"/>
                <w:sz w:val="16"/>
                <w:szCs w:val="16"/>
                <w:color w:val="auto"/>
              </w:rPr>
              <w:t>9,212,507</w:t>
            </w:r>
          </w:p>
        </w:tc>
      </w:tr>
      <w:tr>
        <w:trPr>
          <w:trHeight w:val="204"/>
        </w:trPr>
        <w:tc>
          <w:tcPr>
            <w:tcW w:w="1040" w:type="dxa"/>
            <w:vAlign w:val="bottom"/>
          </w:tcPr>
          <w:p>
            <w:pPr>
              <w:ind w:left="60"/>
              <w:spacing w:after="0"/>
              <w:rPr>
                <w:sz w:val="20"/>
                <w:szCs w:val="20"/>
                <w:color w:val="auto"/>
              </w:rPr>
            </w:pPr>
            <w:r>
              <w:rPr>
                <w:rFonts w:ascii="Arial" w:cs="Arial" w:eastAsia="Arial" w:hAnsi="Arial"/>
                <w:sz w:val="16"/>
                <w:szCs w:val="16"/>
                <w:color w:val="auto"/>
              </w:rPr>
              <w:t>Mr. De Shon</w:t>
            </w:r>
          </w:p>
        </w:tc>
        <w:tc>
          <w:tcPr>
            <w:tcW w:w="640" w:type="dxa"/>
            <w:vAlign w:val="bottom"/>
          </w:tcPr>
          <w:p>
            <w:pPr>
              <w:jc w:val="right"/>
              <w:spacing w:after="0"/>
              <w:rPr>
                <w:sz w:val="20"/>
                <w:szCs w:val="20"/>
                <w:color w:val="auto"/>
              </w:rPr>
            </w:pPr>
            <w:r>
              <w:rPr>
                <w:rFonts w:ascii="Arial" w:cs="Arial" w:eastAsia="Arial" w:hAnsi="Arial"/>
                <w:sz w:val="16"/>
                <w:szCs w:val="16"/>
                <w:color w:val="auto"/>
              </w:rPr>
              <w:t>1/25/12</w:t>
            </w: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41,667(t)</w:t>
            </w:r>
          </w:p>
        </w:tc>
        <w:tc>
          <w:tcPr>
            <w:tcW w:w="840" w:type="dxa"/>
            <w:vAlign w:val="bottom"/>
          </w:tcPr>
          <w:p>
            <w:pPr>
              <w:jc w:val="right"/>
              <w:spacing w:after="0"/>
              <w:rPr>
                <w:sz w:val="20"/>
                <w:szCs w:val="20"/>
                <w:color w:val="auto"/>
              </w:rPr>
            </w:pPr>
            <w:r>
              <w:rPr>
                <w:rFonts w:ascii="Arial" w:cs="Arial" w:eastAsia="Arial" w:hAnsi="Arial"/>
                <w:sz w:val="16"/>
                <w:szCs w:val="16"/>
                <w:color w:val="auto"/>
              </w:rPr>
              <w:t>2,763,772</w:t>
            </w:r>
          </w:p>
        </w:tc>
      </w:tr>
      <w:tr>
        <w:trPr>
          <w:trHeight w:val="203"/>
        </w:trPr>
        <w:tc>
          <w:tcPr>
            <w:tcW w:w="1040" w:type="dxa"/>
            <w:vAlign w:val="bottom"/>
            <w:shd w:val="clear" w:color="auto" w:fill="E9E9E9"/>
          </w:tcPr>
          <w:p>
            <w:pPr>
              <w:ind w:left="60"/>
              <w:spacing w:after="0"/>
              <w:rPr>
                <w:sz w:val="20"/>
                <w:szCs w:val="20"/>
                <w:color w:val="auto"/>
              </w:rPr>
            </w:pPr>
            <w:r>
              <w:rPr>
                <w:rFonts w:ascii="Arial" w:cs="Arial" w:eastAsia="Arial" w:hAnsi="Arial"/>
                <w:sz w:val="16"/>
                <w:szCs w:val="16"/>
                <w:color w:val="auto"/>
                <w:w w:val="93"/>
              </w:rPr>
              <w:t>Mr. Siniscalchi</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1/22/14</w:t>
            </w:r>
          </w:p>
        </w:tc>
        <w:tc>
          <w:tcPr>
            <w:tcW w:w="960" w:type="dxa"/>
            <w:vAlign w:val="bottom"/>
            <w:shd w:val="clear" w:color="auto" w:fill="E9E9E9"/>
          </w:tcPr>
          <w:p>
            <w:pPr>
              <w:spacing w:after="0"/>
              <w:rPr>
                <w:sz w:val="17"/>
                <w:szCs w:val="17"/>
                <w:color w:val="auto"/>
              </w:rPr>
            </w:pPr>
          </w:p>
        </w:tc>
        <w:tc>
          <w:tcPr>
            <w:tcW w:w="1080" w:type="dxa"/>
            <w:vAlign w:val="bottom"/>
            <w:shd w:val="clear" w:color="auto" w:fill="E9E9E9"/>
          </w:tcPr>
          <w:p>
            <w:pPr>
              <w:spacing w:after="0"/>
              <w:rPr>
                <w:sz w:val="17"/>
                <w:szCs w:val="17"/>
                <w:color w:val="auto"/>
              </w:rPr>
            </w:pPr>
          </w:p>
        </w:tc>
        <w:tc>
          <w:tcPr>
            <w:tcW w:w="1060" w:type="dxa"/>
            <w:vAlign w:val="bottom"/>
            <w:shd w:val="clear" w:color="auto" w:fill="E9E9E9"/>
          </w:tcPr>
          <w:p>
            <w:pPr>
              <w:spacing w:after="0"/>
              <w:rPr>
                <w:sz w:val="17"/>
                <w:szCs w:val="17"/>
                <w:color w:val="auto"/>
              </w:rPr>
            </w:pPr>
          </w:p>
        </w:tc>
        <w:tc>
          <w:tcPr>
            <w:tcW w:w="680" w:type="dxa"/>
            <w:vAlign w:val="bottom"/>
            <w:shd w:val="clear" w:color="auto" w:fill="E9E9E9"/>
          </w:tcPr>
          <w:p>
            <w:pPr>
              <w:spacing w:after="0"/>
              <w:rPr>
                <w:sz w:val="17"/>
                <w:szCs w:val="17"/>
                <w:color w:val="auto"/>
              </w:rPr>
            </w:pPr>
          </w:p>
        </w:tc>
        <w:tc>
          <w:tcPr>
            <w:tcW w:w="840" w:type="dxa"/>
            <w:vAlign w:val="bottom"/>
            <w:shd w:val="clear" w:color="auto" w:fill="E9E9E9"/>
          </w:tcPr>
          <w:p>
            <w:pPr>
              <w:spacing w:after="0"/>
              <w:rPr>
                <w:sz w:val="17"/>
                <w:szCs w:val="17"/>
                <w:color w:val="auto"/>
              </w:rPr>
            </w:pPr>
          </w:p>
        </w:tc>
        <w:tc>
          <w:tcPr>
            <w:tcW w:w="160" w:type="dxa"/>
            <w:vAlign w:val="bottom"/>
            <w:shd w:val="clear" w:color="auto" w:fill="E9E9E9"/>
          </w:tcPr>
          <w:p>
            <w:pPr>
              <w:spacing w:after="0"/>
              <w:rPr>
                <w:sz w:val="17"/>
                <w:szCs w:val="17"/>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9"/>
              </w:rPr>
              <w:t>12,151(g)</w:t>
            </w:r>
          </w:p>
        </w:tc>
        <w:tc>
          <w:tcPr>
            <w:tcW w:w="7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805,976</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12,151(p)</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805,976</w:t>
            </w:r>
          </w:p>
        </w:tc>
      </w:tr>
      <w:tr>
        <w:trPr>
          <w:trHeight w:val="203"/>
        </w:trPr>
        <w:tc>
          <w:tcPr>
            <w:tcW w:w="1040" w:type="dxa"/>
            <w:vAlign w:val="bottom"/>
            <w:shd w:val="clear" w:color="auto" w:fill="E9E9E9"/>
          </w:tcPr>
          <w:p>
            <w:pPr>
              <w:ind w:left="60"/>
              <w:spacing w:after="0"/>
              <w:rPr>
                <w:sz w:val="20"/>
                <w:szCs w:val="20"/>
                <w:color w:val="auto"/>
              </w:rPr>
            </w:pPr>
            <w:r>
              <w:rPr>
                <w:rFonts w:ascii="Arial" w:cs="Arial" w:eastAsia="Arial" w:hAnsi="Arial"/>
                <w:sz w:val="16"/>
                <w:szCs w:val="16"/>
                <w:color w:val="auto"/>
                <w:w w:val="93"/>
              </w:rPr>
              <w:t>Mr. Siniscalchi</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1/23/13</w:t>
            </w:r>
          </w:p>
        </w:tc>
        <w:tc>
          <w:tcPr>
            <w:tcW w:w="960" w:type="dxa"/>
            <w:vAlign w:val="bottom"/>
            <w:shd w:val="clear" w:color="auto" w:fill="E9E9E9"/>
          </w:tcPr>
          <w:p>
            <w:pPr>
              <w:spacing w:after="0"/>
              <w:rPr>
                <w:sz w:val="17"/>
                <w:szCs w:val="17"/>
                <w:color w:val="auto"/>
              </w:rPr>
            </w:pPr>
          </w:p>
        </w:tc>
        <w:tc>
          <w:tcPr>
            <w:tcW w:w="1080" w:type="dxa"/>
            <w:vAlign w:val="bottom"/>
            <w:shd w:val="clear" w:color="auto" w:fill="E9E9E9"/>
          </w:tcPr>
          <w:p>
            <w:pPr>
              <w:spacing w:after="0"/>
              <w:rPr>
                <w:sz w:val="17"/>
                <w:szCs w:val="17"/>
                <w:color w:val="auto"/>
              </w:rPr>
            </w:pPr>
          </w:p>
        </w:tc>
        <w:tc>
          <w:tcPr>
            <w:tcW w:w="1060" w:type="dxa"/>
            <w:vAlign w:val="bottom"/>
            <w:shd w:val="clear" w:color="auto" w:fill="E9E9E9"/>
          </w:tcPr>
          <w:p>
            <w:pPr>
              <w:spacing w:after="0"/>
              <w:rPr>
                <w:sz w:val="17"/>
                <w:szCs w:val="17"/>
                <w:color w:val="auto"/>
              </w:rPr>
            </w:pPr>
          </w:p>
        </w:tc>
        <w:tc>
          <w:tcPr>
            <w:tcW w:w="680" w:type="dxa"/>
            <w:vAlign w:val="bottom"/>
            <w:shd w:val="clear" w:color="auto" w:fill="E9E9E9"/>
          </w:tcPr>
          <w:p>
            <w:pPr>
              <w:spacing w:after="0"/>
              <w:rPr>
                <w:sz w:val="17"/>
                <w:szCs w:val="17"/>
                <w:color w:val="auto"/>
              </w:rPr>
            </w:pPr>
          </w:p>
        </w:tc>
        <w:tc>
          <w:tcPr>
            <w:tcW w:w="840" w:type="dxa"/>
            <w:vAlign w:val="bottom"/>
            <w:shd w:val="clear" w:color="auto" w:fill="E9E9E9"/>
          </w:tcPr>
          <w:p>
            <w:pPr>
              <w:spacing w:after="0"/>
              <w:rPr>
                <w:sz w:val="17"/>
                <w:szCs w:val="17"/>
                <w:color w:val="auto"/>
              </w:rPr>
            </w:pPr>
          </w:p>
        </w:tc>
        <w:tc>
          <w:tcPr>
            <w:tcW w:w="160" w:type="dxa"/>
            <w:vAlign w:val="bottom"/>
            <w:shd w:val="clear" w:color="auto" w:fill="E9E9E9"/>
          </w:tcPr>
          <w:p>
            <w:pPr>
              <w:spacing w:after="0"/>
              <w:rPr>
                <w:sz w:val="17"/>
                <w:szCs w:val="17"/>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15,724(i)</w:t>
            </w:r>
          </w:p>
        </w:tc>
        <w:tc>
          <w:tcPr>
            <w:tcW w:w="76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5"/>
              </w:rPr>
              <w:t>1,042,973</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23,585(r)</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1,564,393</w:t>
            </w:r>
          </w:p>
        </w:tc>
      </w:tr>
      <w:tr>
        <w:trPr>
          <w:trHeight w:val="203"/>
        </w:trPr>
        <w:tc>
          <w:tcPr>
            <w:tcW w:w="1040" w:type="dxa"/>
            <w:vAlign w:val="bottom"/>
            <w:shd w:val="clear" w:color="auto" w:fill="E9E9E9"/>
          </w:tcPr>
          <w:p>
            <w:pPr>
              <w:ind w:left="60"/>
              <w:spacing w:after="0"/>
              <w:rPr>
                <w:sz w:val="20"/>
                <w:szCs w:val="20"/>
                <w:color w:val="auto"/>
              </w:rPr>
            </w:pPr>
            <w:r>
              <w:rPr>
                <w:rFonts w:ascii="Arial" w:cs="Arial" w:eastAsia="Arial" w:hAnsi="Arial"/>
                <w:sz w:val="16"/>
                <w:szCs w:val="16"/>
                <w:color w:val="auto"/>
                <w:w w:val="93"/>
              </w:rPr>
              <w:t>Mr. Siniscalchi</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1/25/12</w:t>
            </w:r>
          </w:p>
        </w:tc>
        <w:tc>
          <w:tcPr>
            <w:tcW w:w="960" w:type="dxa"/>
            <w:vAlign w:val="bottom"/>
            <w:shd w:val="clear" w:color="auto" w:fill="E9E9E9"/>
          </w:tcPr>
          <w:p>
            <w:pPr>
              <w:spacing w:after="0"/>
              <w:rPr>
                <w:sz w:val="17"/>
                <w:szCs w:val="17"/>
                <w:color w:val="auto"/>
              </w:rPr>
            </w:pPr>
          </w:p>
        </w:tc>
        <w:tc>
          <w:tcPr>
            <w:tcW w:w="1080" w:type="dxa"/>
            <w:vAlign w:val="bottom"/>
            <w:shd w:val="clear" w:color="auto" w:fill="E9E9E9"/>
          </w:tcPr>
          <w:p>
            <w:pPr>
              <w:spacing w:after="0"/>
              <w:rPr>
                <w:sz w:val="17"/>
                <w:szCs w:val="17"/>
                <w:color w:val="auto"/>
              </w:rPr>
            </w:pPr>
          </w:p>
        </w:tc>
        <w:tc>
          <w:tcPr>
            <w:tcW w:w="1060" w:type="dxa"/>
            <w:vAlign w:val="bottom"/>
            <w:shd w:val="clear" w:color="auto" w:fill="E9E9E9"/>
          </w:tcPr>
          <w:p>
            <w:pPr>
              <w:spacing w:after="0"/>
              <w:rPr>
                <w:sz w:val="17"/>
                <w:szCs w:val="17"/>
                <w:color w:val="auto"/>
              </w:rPr>
            </w:pPr>
          </w:p>
        </w:tc>
        <w:tc>
          <w:tcPr>
            <w:tcW w:w="680" w:type="dxa"/>
            <w:vAlign w:val="bottom"/>
            <w:shd w:val="clear" w:color="auto" w:fill="E9E9E9"/>
          </w:tcPr>
          <w:p>
            <w:pPr>
              <w:spacing w:after="0"/>
              <w:rPr>
                <w:sz w:val="17"/>
                <w:szCs w:val="17"/>
                <w:color w:val="auto"/>
              </w:rPr>
            </w:pPr>
          </w:p>
        </w:tc>
        <w:tc>
          <w:tcPr>
            <w:tcW w:w="840" w:type="dxa"/>
            <w:vAlign w:val="bottom"/>
            <w:shd w:val="clear" w:color="auto" w:fill="E9E9E9"/>
          </w:tcPr>
          <w:p>
            <w:pPr>
              <w:spacing w:after="0"/>
              <w:rPr>
                <w:sz w:val="17"/>
                <w:szCs w:val="17"/>
                <w:color w:val="auto"/>
              </w:rPr>
            </w:pPr>
          </w:p>
        </w:tc>
        <w:tc>
          <w:tcPr>
            <w:tcW w:w="160" w:type="dxa"/>
            <w:vAlign w:val="bottom"/>
            <w:shd w:val="clear" w:color="auto" w:fill="E9E9E9"/>
          </w:tcPr>
          <w:p>
            <w:pPr>
              <w:spacing w:after="0"/>
              <w:rPr>
                <w:sz w:val="17"/>
                <w:szCs w:val="17"/>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11,574(j)</w:t>
            </w:r>
          </w:p>
        </w:tc>
        <w:tc>
          <w:tcPr>
            <w:tcW w:w="7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767,703</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69,444(s)</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4,606,221</w:t>
            </w:r>
          </w:p>
        </w:tc>
      </w:tr>
      <w:tr>
        <w:trPr>
          <w:trHeight w:val="203"/>
        </w:trPr>
        <w:tc>
          <w:tcPr>
            <w:tcW w:w="1040" w:type="dxa"/>
            <w:vAlign w:val="bottom"/>
            <w:shd w:val="clear" w:color="auto" w:fill="E9E9E9"/>
          </w:tcPr>
          <w:p>
            <w:pPr>
              <w:ind w:left="60"/>
              <w:spacing w:after="0"/>
              <w:rPr>
                <w:sz w:val="20"/>
                <w:szCs w:val="20"/>
                <w:color w:val="auto"/>
              </w:rPr>
            </w:pPr>
            <w:r>
              <w:rPr>
                <w:rFonts w:ascii="Arial" w:cs="Arial" w:eastAsia="Arial" w:hAnsi="Arial"/>
                <w:sz w:val="16"/>
                <w:szCs w:val="16"/>
                <w:color w:val="auto"/>
                <w:w w:val="93"/>
              </w:rPr>
              <w:t>Mr. Siniscalchi</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1/25/12</w:t>
            </w:r>
          </w:p>
        </w:tc>
        <w:tc>
          <w:tcPr>
            <w:tcW w:w="960" w:type="dxa"/>
            <w:vAlign w:val="bottom"/>
            <w:shd w:val="clear" w:color="auto" w:fill="E9E9E9"/>
          </w:tcPr>
          <w:p>
            <w:pPr>
              <w:spacing w:after="0"/>
              <w:rPr>
                <w:sz w:val="17"/>
                <w:szCs w:val="17"/>
                <w:color w:val="auto"/>
              </w:rPr>
            </w:pPr>
          </w:p>
        </w:tc>
        <w:tc>
          <w:tcPr>
            <w:tcW w:w="1080" w:type="dxa"/>
            <w:vAlign w:val="bottom"/>
            <w:shd w:val="clear" w:color="auto" w:fill="E9E9E9"/>
          </w:tcPr>
          <w:p>
            <w:pPr>
              <w:spacing w:after="0"/>
              <w:rPr>
                <w:sz w:val="17"/>
                <w:szCs w:val="17"/>
                <w:color w:val="auto"/>
              </w:rPr>
            </w:pPr>
          </w:p>
        </w:tc>
        <w:tc>
          <w:tcPr>
            <w:tcW w:w="1060" w:type="dxa"/>
            <w:vAlign w:val="bottom"/>
            <w:shd w:val="clear" w:color="auto" w:fill="E9E9E9"/>
          </w:tcPr>
          <w:p>
            <w:pPr>
              <w:spacing w:after="0"/>
              <w:rPr>
                <w:sz w:val="17"/>
                <w:szCs w:val="17"/>
                <w:color w:val="auto"/>
              </w:rPr>
            </w:pPr>
          </w:p>
        </w:tc>
        <w:tc>
          <w:tcPr>
            <w:tcW w:w="680" w:type="dxa"/>
            <w:vAlign w:val="bottom"/>
            <w:shd w:val="clear" w:color="auto" w:fill="E9E9E9"/>
          </w:tcPr>
          <w:p>
            <w:pPr>
              <w:spacing w:after="0"/>
              <w:rPr>
                <w:sz w:val="17"/>
                <w:szCs w:val="17"/>
                <w:color w:val="auto"/>
              </w:rPr>
            </w:pPr>
          </w:p>
        </w:tc>
        <w:tc>
          <w:tcPr>
            <w:tcW w:w="840" w:type="dxa"/>
            <w:vAlign w:val="bottom"/>
            <w:shd w:val="clear" w:color="auto" w:fill="E9E9E9"/>
          </w:tcPr>
          <w:p>
            <w:pPr>
              <w:spacing w:after="0"/>
              <w:rPr>
                <w:sz w:val="17"/>
                <w:szCs w:val="17"/>
                <w:color w:val="auto"/>
              </w:rPr>
            </w:pPr>
          </w:p>
        </w:tc>
        <w:tc>
          <w:tcPr>
            <w:tcW w:w="160" w:type="dxa"/>
            <w:vAlign w:val="bottom"/>
            <w:shd w:val="clear" w:color="auto" w:fill="E9E9E9"/>
          </w:tcPr>
          <w:p>
            <w:pPr>
              <w:spacing w:after="0"/>
              <w:rPr>
                <w:sz w:val="17"/>
                <w:szCs w:val="17"/>
                <w:color w:val="auto"/>
              </w:rPr>
            </w:pPr>
          </w:p>
        </w:tc>
        <w:tc>
          <w:tcPr>
            <w:tcW w:w="720" w:type="dxa"/>
            <w:vAlign w:val="bottom"/>
            <w:shd w:val="clear" w:color="auto" w:fill="E9E9E9"/>
          </w:tcPr>
          <w:p>
            <w:pPr>
              <w:spacing w:after="0"/>
              <w:rPr>
                <w:sz w:val="17"/>
                <w:szCs w:val="17"/>
                <w:color w:val="auto"/>
              </w:rPr>
            </w:pPr>
          </w:p>
        </w:tc>
        <w:tc>
          <w:tcPr>
            <w:tcW w:w="760" w:type="dxa"/>
            <w:vAlign w:val="bottom"/>
            <w:shd w:val="clear" w:color="auto" w:fill="E9E9E9"/>
          </w:tcPr>
          <w:p>
            <w:pPr>
              <w:spacing w:after="0"/>
              <w:rPr>
                <w:sz w:val="17"/>
                <w:szCs w:val="17"/>
                <w:color w:val="auto"/>
              </w:rPr>
            </w:pP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34,722(t)</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2,303,110</w:t>
            </w:r>
          </w:p>
        </w:tc>
      </w:tr>
      <w:tr>
        <w:trPr>
          <w:trHeight w:val="203"/>
        </w:trPr>
        <w:tc>
          <w:tcPr>
            <w:tcW w:w="1040" w:type="dxa"/>
            <w:vAlign w:val="bottom"/>
            <w:tcBorders>
              <w:bottom w:val="single" w:sz="8" w:color="auto"/>
            </w:tcBorders>
            <w:shd w:val="clear" w:color="auto" w:fill="E9E9E9"/>
          </w:tcPr>
          <w:p>
            <w:pPr>
              <w:ind w:left="60"/>
              <w:spacing w:after="0"/>
              <w:rPr>
                <w:sz w:val="20"/>
                <w:szCs w:val="20"/>
                <w:color w:val="auto"/>
              </w:rPr>
            </w:pPr>
            <w:r>
              <w:rPr>
                <w:rFonts w:ascii="Arial" w:cs="Arial" w:eastAsia="Arial" w:hAnsi="Arial"/>
                <w:sz w:val="16"/>
                <w:szCs w:val="16"/>
                <w:color w:val="auto"/>
                <w:w w:val="93"/>
              </w:rPr>
              <w:t>Mr. Siniscalchi</w:t>
            </w:r>
          </w:p>
        </w:tc>
        <w:tc>
          <w:tcPr>
            <w:tcW w:w="64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1/28/09</w:t>
            </w:r>
          </w:p>
        </w:tc>
        <w:tc>
          <w:tcPr>
            <w:tcW w:w="96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5,000</w:t>
            </w:r>
          </w:p>
        </w:tc>
        <w:tc>
          <w:tcPr>
            <w:tcW w:w="1080" w:type="dxa"/>
            <w:vAlign w:val="bottom"/>
            <w:tcBorders>
              <w:bottom w:val="single" w:sz="8" w:color="auto"/>
            </w:tcBorders>
            <w:shd w:val="clear" w:color="auto" w:fill="E9E9E9"/>
          </w:tcPr>
          <w:p>
            <w:pPr>
              <w:spacing w:after="0"/>
              <w:rPr>
                <w:sz w:val="17"/>
                <w:szCs w:val="17"/>
                <w:color w:val="auto"/>
              </w:rPr>
            </w:pPr>
          </w:p>
        </w:tc>
        <w:tc>
          <w:tcPr>
            <w:tcW w:w="1060" w:type="dxa"/>
            <w:vAlign w:val="bottom"/>
            <w:tcBorders>
              <w:bottom w:val="single" w:sz="8" w:color="auto"/>
            </w:tcBorders>
            <w:shd w:val="clear" w:color="auto" w:fill="E9E9E9"/>
          </w:tcPr>
          <w:p>
            <w:pPr>
              <w:spacing w:after="0"/>
              <w:rPr>
                <w:sz w:val="17"/>
                <w:szCs w:val="17"/>
                <w:color w:val="auto"/>
              </w:rPr>
            </w:pPr>
          </w:p>
        </w:tc>
        <w:tc>
          <w:tcPr>
            <w:tcW w:w="68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0.79</w:t>
            </w:r>
          </w:p>
        </w:tc>
        <w:tc>
          <w:tcPr>
            <w:tcW w:w="84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1/28/19</w:t>
            </w:r>
          </w:p>
        </w:tc>
        <w:tc>
          <w:tcPr>
            <w:tcW w:w="160" w:type="dxa"/>
            <w:vAlign w:val="bottom"/>
            <w:tcBorders>
              <w:bottom w:val="single" w:sz="8" w:color="auto"/>
            </w:tcBorders>
            <w:shd w:val="clear" w:color="auto" w:fill="E9E9E9"/>
          </w:tcPr>
          <w:p>
            <w:pPr>
              <w:spacing w:after="0"/>
              <w:rPr>
                <w:sz w:val="17"/>
                <w:szCs w:val="17"/>
                <w:color w:val="auto"/>
              </w:rPr>
            </w:pPr>
          </w:p>
        </w:tc>
        <w:tc>
          <w:tcPr>
            <w:tcW w:w="720" w:type="dxa"/>
            <w:vAlign w:val="bottom"/>
            <w:tcBorders>
              <w:bottom w:val="single" w:sz="8" w:color="auto"/>
            </w:tcBorders>
            <w:shd w:val="clear" w:color="auto" w:fill="E9E9E9"/>
          </w:tcPr>
          <w:p>
            <w:pPr>
              <w:spacing w:after="0"/>
              <w:rPr>
                <w:sz w:val="17"/>
                <w:szCs w:val="17"/>
                <w:color w:val="auto"/>
              </w:rPr>
            </w:pPr>
          </w:p>
        </w:tc>
        <w:tc>
          <w:tcPr>
            <w:tcW w:w="760" w:type="dxa"/>
            <w:vAlign w:val="bottom"/>
            <w:tcBorders>
              <w:bottom w:val="single" w:sz="8" w:color="auto"/>
            </w:tcBorders>
            <w:shd w:val="clear" w:color="auto" w:fill="E9E9E9"/>
          </w:tcPr>
          <w:p>
            <w:pPr>
              <w:spacing w:after="0"/>
              <w:rPr>
                <w:sz w:val="17"/>
                <w:szCs w:val="17"/>
                <w:color w:val="auto"/>
              </w:rPr>
            </w:pPr>
          </w:p>
        </w:tc>
        <w:tc>
          <w:tcPr>
            <w:tcW w:w="840" w:type="dxa"/>
            <w:vAlign w:val="bottom"/>
            <w:tcBorders>
              <w:bottom w:val="single" w:sz="8" w:color="auto"/>
            </w:tcBorders>
            <w:shd w:val="clear" w:color="auto" w:fill="E9E9E9"/>
          </w:tcPr>
          <w:p>
            <w:pPr>
              <w:spacing w:after="0"/>
              <w:rPr>
                <w:sz w:val="17"/>
                <w:szCs w:val="17"/>
                <w:color w:val="auto"/>
              </w:rPr>
            </w:pPr>
          </w:p>
        </w:tc>
        <w:tc>
          <w:tcPr>
            <w:tcW w:w="840" w:type="dxa"/>
            <w:vAlign w:val="bottom"/>
            <w:tcBorders>
              <w:bottom w:val="single" w:sz="8" w:color="auto"/>
            </w:tcBorders>
            <w:shd w:val="clear" w:color="auto" w:fill="E9E9E9"/>
          </w:tcPr>
          <w:p>
            <w:pPr>
              <w:spacing w:after="0"/>
              <w:rPr>
                <w:sz w:val="17"/>
                <w:szCs w:val="17"/>
                <w:color w:val="auto"/>
              </w:rPr>
            </w:pPr>
          </w:p>
        </w:tc>
      </w:tr>
    </w:tbl>
    <w:p>
      <w:pPr>
        <w:spacing w:after="0" w:line="107" w:lineRule="exact"/>
        <w:rPr>
          <w:sz w:val="20"/>
          <w:szCs w:val="20"/>
          <w:color w:val="auto"/>
        </w:rPr>
      </w:pPr>
    </w:p>
    <w:p>
      <w:pPr>
        <w:ind w:left="980" w:hanging="369"/>
        <w:spacing w:after="0"/>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stock options that were granted to Mr. Nelson in 2010, which vested on January 27, 2015.</w:t>
      </w:r>
    </w:p>
    <w:p>
      <w:pPr>
        <w:spacing w:after="0" w:line="19" w:lineRule="exact"/>
        <w:rPr>
          <w:rFonts w:ascii="Arial" w:cs="Arial" w:eastAsia="Arial" w:hAnsi="Arial"/>
          <w:sz w:val="16"/>
          <w:szCs w:val="16"/>
          <w:color w:val="auto"/>
        </w:rPr>
      </w:pPr>
    </w:p>
    <w:p>
      <w:pPr>
        <w:ind w:left="980" w:right="700" w:hanging="369"/>
        <w:spacing w:after="0" w:line="282" w:lineRule="auto"/>
        <w:tabs>
          <w:tab w:leader="none" w:pos="9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For stock option awards granted in 2005, represents the fair-market value of our Common Stock on the date of the grant as approved by the Cendant Compensation Committee, adjusted for (i) the spin-offs of former subsidiaries PHH, and Realogy and Wyndham in 2005 and 2006, respectively, and (ii) a 1-for-10 reverse stock split in 2006. For option awards granted in 2009 and 2010, represents the fair-market value of our Common Stock on the date of grant as approved by the Committee on the date of grant.</w:t>
      </w:r>
    </w:p>
    <w:p>
      <w:pPr>
        <w:spacing w:after="0" w:line="1" w:lineRule="exact"/>
        <w:rPr>
          <w:rFonts w:ascii="Arial" w:cs="Arial" w:eastAsia="Arial" w:hAnsi="Arial"/>
          <w:sz w:val="15"/>
          <w:szCs w:val="15"/>
          <w:color w:val="auto"/>
        </w:rPr>
      </w:pPr>
    </w:p>
    <w:p>
      <w:pPr>
        <w:ind w:left="980" w:right="680" w:hanging="369"/>
        <w:spacing w:after="0" w:line="293" w:lineRule="auto"/>
        <w:tabs>
          <w:tab w:leader="none" w:pos="9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Stock awards include RSUs, PSUs, time-based restricted cash-units ("RCUs") and performance-based restricted cash units ("PCUs"). RCUs and PCUs were granted to our CEO in 2012 and 2013 and are payable in cash in an amount equal to the number of units that vest multiplied by the 90-trading day average closing price of our Common Stock ending on the vesting date. Values of units that have not vested are based: for RSUs and PSUs on the closing price of our Common Stock on December 31, 2014 of $66.33; and for RCUs and PCUs on the average 90-trading day closing stock price on December 31, 2014 of $59.14. Notes (d)-(t) are set forth below:</w:t>
      </w:r>
    </w:p>
    <w:p>
      <w:pPr>
        <w:spacing w:after="0" w:line="65" w:lineRule="exact"/>
        <w:rPr>
          <w:rFonts w:ascii="Arial" w:cs="Arial" w:eastAsia="Arial" w:hAnsi="Arial"/>
          <w:sz w:val="15"/>
          <w:szCs w:val="15"/>
          <w:color w:val="auto"/>
        </w:rPr>
      </w:pPr>
    </w:p>
    <w:p>
      <w:pPr>
        <w:ind w:left="980"/>
        <w:spacing w:after="0"/>
        <w:rPr>
          <w:rFonts w:ascii="Arial" w:cs="Arial" w:eastAsia="Arial" w:hAnsi="Arial"/>
          <w:sz w:val="15"/>
          <w:szCs w:val="15"/>
          <w:color w:val="auto"/>
        </w:rPr>
      </w:pPr>
      <w:r>
        <w:rPr>
          <w:rFonts w:ascii="Arial" w:cs="Arial" w:eastAsia="Arial" w:hAnsi="Arial"/>
          <w:sz w:val="16"/>
          <w:szCs w:val="16"/>
          <w:b w:val="1"/>
          <w:bCs w:val="1"/>
          <w:color w:val="auto"/>
        </w:rPr>
        <w:t>Award</w:t>
      </w:r>
      <w:r>
        <w:rPr>
          <w:rFonts w:ascii="Arial" w:cs="Arial" w:eastAsia="Arial" w:hAnsi="Arial"/>
          <w:sz w:val="13"/>
          <w:szCs w:val="13"/>
          <w:b w:val="1"/>
          <w:bCs w:val="1"/>
          <w:color w:val="auto"/>
        </w:rPr>
        <w:t>Vesting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60" w:type="dxa"/>
            <w:vAlign w:val="bottom"/>
          </w:tcPr>
          <w:p>
            <w:pPr>
              <w:ind w:left="140"/>
              <w:spacing w:after="0"/>
              <w:rPr>
                <w:sz w:val="20"/>
                <w:szCs w:val="20"/>
                <w:color w:val="auto"/>
              </w:rPr>
            </w:pPr>
            <w:r>
              <w:rPr>
                <w:rFonts w:ascii="Arial" w:cs="Arial" w:eastAsia="Arial" w:hAnsi="Arial"/>
                <w:sz w:val="16"/>
                <w:szCs w:val="16"/>
                <w:color w:val="auto"/>
              </w:rPr>
              <w:t>(Except as noted below, vesting is subject to continued service through the vesting date)</w:t>
            </w:r>
          </w:p>
        </w:tc>
      </w:tr>
      <w:tr>
        <w:trPr>
          <w:trHeight w:val="203"/>
        </w:trPr>
        <w:tc>
          <w:tcPr>
            <w:tcW w:w="880" w:type="dxa"/>
            <w:vAlign w:val="bottom"/>
          </w:tcPr>
          <w:p>
            <w:pPr>
              <w:ind w:left="620"/>
              <w:spacing w:after="0"/>
              <w:rPr>
                <w:sz w:val="20"/>
                <w:szCs w:val="20"/>
                <w:color w:val="auto"/>
              </w:rPr>
            </w:pPr>
            <w:r>
              <w:rPr>
                <w:rFonts w:ascii="Arial" w:cs="Arial" w:eastAsia="Arial" w:hAnsi="Arial"/>
                <w:sz w:val="16"/>
                <w:szCs w:val="16"/>
                <w:color w:val="auto"/>
              </w:rPr>
              <w:t>(d)</w:t>
            </w:r>
          </w:p>
        </w:tc>
        <w:tc>
          <w:tcPr>
            <w:tcW w:w="1160" w:type="dxa"/>
            <w:vAlign w:val="bottom"/>
          </w:tcPr>
          <w:p>
            <w:pPr>
              <w:ind w:left="100"/>
              <w:spacing w:after="0"/>
              <w:rPr>
                <w:sz w:val="20"/>
                <w:szCs w:val="20"/>
                <w:color w:val="auto"/>
              </w:rPr>
            </w:pPr>
            <w:r>
              <w:rPr>
                <w:rFonts w:ascii="Arial" w:cs="Arial" w:eastAsia="Arial" w:hAnsi="Arial"/>
                <w:sz w:val="16"/>
                <w:szCs w:val="16"/>
                <w:color w:val="auto"/>
              </w:rPr>
              <w:t>RSUs</w:t>
            </w:r>
          </w:p>
        </w:tc>
        <w:tc>
          <w:tcPr>
            <w:tcW w:w="8760" w:type="dxa"/>
            <w:vAlign w:val="bottom"/>
          </w:tcPr>
          <w:p>
            <w:pPr>
              <w:ind w:left="140"/>
              <w:spacing w:after="0"/>
              <w:rPr>
                <w:sz w:val="20"/>
                <w:szCs w:val="20"/>
                <w:color w:val="auto"/>
              </w:rPr>
            </w:pPr>
            <w:r>
              <w:rPr>
                <w:rFonts w:ascii="Arial" w:cs="Arial" w:eastAsia="Arial" w:hAnsi="Arial"/>
                <w:sz w:val="16"/>
                <w:szCs w:val="16"/>
                <w:color w:val="auto"/>
              </w:rPr>
              <w:t>December 31, 2015</w:t>
            </w:r>
          </w:p>
        </w:tc>
      </w:tr>
      <w:tr>
        <w:trPr>
          <w:trHeight w:val="203"/>
        </w:trPr>
        <w:tc>
          <w:tcPr>
            <w:tcW w:w="880" w:type="dxa"/>
            <w:vAlign w:val="bottom"/>
          </w:tcPr>
          <w:p>
            <w:pPr>
              <w:ind w:left="620"/>
              <w:spacing w:after="0"/>
              <w:rPr>
                <w:sz w:val="20"/>
                <w:szCs w:val="20"/>
                <w:color w:val="auto"/>
              </w:rPr>
            </w:pPr>
            <w:r>
              <w:rPr>
                <w:rFonts w:ascii="Arial" w:cs="Arial" w:eastAsia="Arial" w:hAnsi="Arial"/>
                <w:sz w:val="16"/>
                <w:szCs w:val="16"/>
                <w:color w:val="auto"/>
              </w:rPr>
              <w:t>(e)</w:t>
            </w:r>
          </w:p>
        </w:tc>
        <w:tc>
          <w:tcPr>
            <w:tcW w:w="1160" w:type="dxa"/>
            <w:vAlign w:val="bottom"/>
          </w:tcPr>
          <w:p>
            <w:pPr>
              <w:ind w:left="100"/>
              <w:spacing w:after="0"/>
              <w:rPr>
                <w:sz w:val="20"/>
                <w:szCs w:val="20"/>
                <w:color w:val="auto"/>
              </w:rPr>
            </w:pPr>
            <w:r>
              <w:rPr>
                <w:rFonts w:ascii="Arial" w:cs="Arial" w:eastAsia="Arial" w:hAnsi="Arial"/>
                <w:sz w:val="16"/>
                <w:szCs w:val="16"/>
                <w:color w:val="auto"/>
              </w:rPr>
              <w:t>24,764 RSUs</w:t>
            </w:r>
          </w:p>
        </w:tc>
        <w:tc>
          <w:tcPr>
            <w:tcW w:w="8760" w:type="dxa"/>
            <w:vAlign w:val="bottom"/>
          </w:tcPr>
          <w:p>
            <w:pPr>
              <w:ind w:left="140"/>
              <w:spacing w:after="0"/>
              <w:rPr>
                <w:sz w:val="20"/>
                <w:szCs w:val="20"/>
                <w:color w:val="auto"/>
              </w:rPr>
            </w:pPr>
            <w:r>
              <w:rPr>
                <w:rFonts w:ascii="Arial" w:cs="Arial" w:eastAsia="Arial" w:hAnsi="Arial"/>
                <w:sz w:val="16"/>
                <w:szCs w:val="16"/>
                <w:color w:val="auto"/>
              </w:rPr>
              <w:t>January 23, 2016, subject to continued service through January 27, 2015</w:t>
            </w:r>
          </w:p>
        </w:tc>
      </w:tr>
      <w:tr>
        <w:trPr>
          <w:trHeight w:val="203"/>
        </w:trPr>
        <w:tc>
          <w:tcPr>
            <w:tcW w:w="880" w:type="dxa"/>
            <w:vAlign w:val="bottom"/>
          </w:tcPr>
          <w:p>
            <w:pPr>
              <w:spacing w:after="0"/>
              <w:rPr>
                <w:sz w:val="17"/>
                <w:szCs w:val="17"/>
                <w:color w:val="auto"/>
              </w:rPr>
            </w:pPr>
          </w:p>
        </w:tc>
        <w:tc>
          <w:tcPr>
            <w:tcW w:w="1160" w:type="dxa"/>
            <w:vAlign w:val="bottom"/>
          </w:tcPr>
          <w:p>
            <w:pPr>
              <w:ind w:left="100"/>
              <w:spacing w:after="0"/>
              <w:rPr>
                <w:sz w:val="20"/>
                <w:szCs w:val="20"/>
                <w:color w:val="auto"/>
              </w:rPr>
            </w:pPr>
            <w:r>
              <w:rPr>
                <w:rFonts w:ascii="Arial" w:cs="Arial" w:eastAsia="Arial" w:hAnsi="Arial"/>
                <w:sz w:val="16"/>
                <w:szCs w:val="16"/>
                <w:color w:val="auto"/>
              </w:rPr>
              <w:t>24,764 RCUS</w:t>
            </w:r>
          </w:p>
        </w:tc>
        <w:tc>
          <w:tcPr>
            <w:tcW w:w="8760" w:type="dxa"/>
            <w:vAlign w:val="bottom"/>
          </w:tcPr>
          <w:p>
            <w:pPr>
              <w:spacing w:after="0"/>
              <w:rPr>
                <w:sz w:val="17"/>
                <w:szCs w:val="17"/>
                <w:color w:val="auto"/>
              </w:rPr>
            </w:pPr>
          </w:p>
        </w:tc>
      </w:tr>
      <w:tr>
        <w:trPr>
          <w:trHeight w:val="203"/>
        </w:trPr>
        <w:tc>
          <w:tcPr>
            <w:tcW w:w="880" w:type="dxa"/>
            <w:vAlign w:val="bottom"/>
          </w:tcPr>
          <w:p>
            <w:pPr>
              <w:ind w:left="620"/>
              <w:spacing w:after="0"/>
              <w:rPr>
                <w:sz w:val="20"/>
                <w:szCs w:val="20"/>
                <w:color w:val="auto"/>
              </w:rPr>
            </w:pPr>
            <w:r>
              <w:rPr>
                <w:rFonts w:ascii="Arial" w:cs="Arial" w:eastAsia="Arial" w:hAnsi="Arial"/>
                <w:sz w:val="16"/>
                <w:szCs w:val="16"/>
                <w:color w:val="auto"/>
              </w:rPr>
              <w:t>(f)</w:t>
            </w:r>
          </w:p>
        </w:tc>
        <w:tc>
          <w:tcPr>
            <w:tcW w:w="1160" w:type="dxa"/>
            <w:vAlign w:val="bottom"/>
          </w:tcPr>
          <w:p>
            <w:pPr>
              <w:ind w:left="100"/>
              <w:spacing w:after="0"/>
              <w:rPr>
                <w:sz w:val="20"/>
                <w:szCs w:val="20"/>
                <w:color w:val="auto"/>
              </w:rPr>
            </w:pPr>
            <w:r>
              <w:rPr>
                <w:rFonts w:ascii="Arial" w:cs="Arial" w:eastAsia="Arial" w:hAnsi="Arial"/>
                <w:sz w:val="16"/>
                <w:szCs w:val="16"/>
                <w:color w:val="auto"/>
              </w:rPr>
              <w:t>34,608 RSUs</w:t>
            </w:r>
          </w:p>
        </w:tc>
        <w:tc>
          <w:tcPr>
            <w:tcW w:w="8760" w:type="dxa"/>
            <w:vAlign w:val="bottom"/>
          </w:tcPr>
          <w:p>
            <w:pPr>
              <w:ind w:left="140"/>
              <w:spacing w:after="0"/>
              <w:rPr>
                <w:sz w:val="20"/>
                <w:szCs w:val="20"/>
                <w:color w:val="auto"/>
              </w:rPr>
            </w:pPr>
            <w:r>
              <w:rPr>
                <w:rFonts w:ascii="Arial" w:cs="Arial" w:eastAsia="Arial" w:hAnsi="Arial"/>
                <w:sz w:val="16"/>
                <w:szCs w:val="16"/>
                <w:color w:val="auto"/>
              </w:rPr>
              <w:t>January 27, 2015</w:t>
            </w:r>
          </w:p>
        </w:tc>
      </w:tr>
      <w:tr>
        <w:trPr>
          <w:trHeight w:val="203"/>
        </w:trPr>
        <w:tc>
          <w:tcPr>
            <w:tcW w:w="880" w:type="dxa"/>
            <w:vAlign w:val="bottom"/>
          </w:tcPr>
          <w:p>
            <w:pPr>
              <w:spacing w:after="0"/>
              <w:rPr>
                <w:sz w:val="17"/>
                <w:szCs w:val="17"/>
                <w:color w:val="auto"/>
              </w:rPr>
            </w:pPr>
          </w:p>
        </w:tc>
        <w:tc>
          <w:tcPr>
            <w:tcW w:w="1160" w:type="dxa"/>
            <w:vAlign w:val="bottom"/>
          </w:tcPr>
          <w:p>
            <w:pPr>
              <w:ind w:left="100"/>
              <w:spacing w:after="0"/>
              <w:rPr>
                <w:sz w:val="20"/>
                <w:szCs w:val="20"/>
                <w:color w:val="auto"/>
              </w:rPr>
            </w:pPr>
            <w:r>
              <w:rPr>
                <w:rFonts w:ascii="Arial" w:cs="Arial" w:eastAsia="Arial" w:hAnsi="Arial"/>
                <w:sz w:val="16"/>
                <w:szCs w:val="16"/>
                <w:color w:val="auto"/>
              </w:rPr>
              <w:t>34,608 RCUs</w:t>
            </w:r>
          </w:p>
        </w:tc>
        <w:tc>
          <w:tcPr>
            <w:tcW w:w="8760" w:type="dxa"/>
            <w:vAlign w:val="bottom"/>
          </w:tcPr>
          <w:p>
            <w:pPr>
              <w:spacing w:after="0"/>
              <w:rPr>
                <w:sz w:val="17"/>
                <w:szCs w:val="17"/>
                <w:color w:val="auto"/>
              </w:rPr>
            </w:pPr>
          </w:p>
        </w:tc>
      </w:tr>
      <w:tr>
        <w:trPr>
          <w:trHeight w:val="203"/>
        </w:trPr>
        <w:tc>
          <w:tcPr>
            <w:tcW w:w="880" w:type="dxa"/>
            <w:vAlign w:val="bottom"/>
          </w:tcPr>
          <w:p>
            <w:pPr>
              <w:ind w:left="620"/>
              <w:spacing w:after="0"/>
              <w:rPr>
                <w:sz w:val="20"/>
                <w:szCs w:val="20"/>
                <w:color w:val="auto"/>
              </w:rPr>
            </w:pPr>
            <w:r>
              <w:rPr>
                <w:rFonts w:ascii="Arial" w:cs="Arial" w:eastAsia="Arial" w:hAnsi="Arial"/>
                <w:sz w:val="16"/>
                <w:szCs w:val="16"/>
                <w:color w:val="auto"/>
              </w:rPr>
              <w:t>(g)</w:t>
            </w:r>
          </w:p>
        </w:tc>
        <w:tc>
          <w:tcPr>
            <w:tcW w:w="1160" w:type="dxa"/>
            <w:vAlign w:val="bottom"/>
          </w:tcPr>
          <w:p>
            <w:pPr>
              <w:ind w:left="100"/>
              <w:spacing w:after="0"/>
              <w:rPr>
                <w:sz w:val="20"/>
                <w:szCs w:val="20"/>
                <w:color w:val="auto"/>
              </w:rPr>
            </w:pPr>
            <w:r>
              <w:rPr>
                <w:rFonts w:ascii="Arial" w:cs="Arial" w:eastAsia="Arial" w:hAnsi="Arial"/>
                <w:sz w:val="16"/>
                <w:szCs w:val="16"/>
                <w:color w:val="auto"/>
              </w:rPr>
              <w:t>RSUs</w:t>
            </w:r>
          </w:p>
        </w:tc>
        <w:tc>
          <w:tcPr>
            <w:tcW w:w="8760" w:type="dxa"/>
            <w:vAlign w:val="bottom"/>
          </w:tcPr>
          <w:p>
            <w:pPr>
              <w:ind w:left="140"/>
              <w:spacing w:after="0"/>
              <w:rPr>
                <w:sz w:val="20"/>
                <w:szCs w:val="20"/>
                <w:color w:val="auto"/>
              </w:rPr>
            </w:pPr>
            <w:r>
              <w:rPr>
                <w:rFonts w:ascii="Arial" w:cs="Arial" w:eastAsia="Arial" w:hAnsi="Arial"/>
                <w:sz w:val="16"/>
                <w:szCs w:val="16"/>
                <w:color w:val="auto"/>
              </w:rPr>
              <w:t>Three equal installments on January 22, 2015, 2016 and 2017</w:t>
            </w:r>
          </w:p>
        </w:tc>
      </w:tr>
      <w:tr>
        <w:trPr>
          <w:trHeight w:val="203"/>
        </w:trPr>
        <w:tc>
          <w:tcPr>
            <w:tcW w:w="880" w:type="dxa"/>
            <w:vAlign w:val="bottom"/>
          </w:tcPr>
          <w:p>
            <w:pPr>
              <w:ind w:left="620"/>
              <w:spacing w:after="0"/>
              <w:rPr>
                <w:sz w:val="20"/>
                <w:szCs w:val="20"/>
                <w:color w:val="auto"/>
              </w:rPr>
            </w:pPr>
            <w:r>
              <w:rPr>
                <w:rFonts w:ascii="Arial" w:cs="Arial" w:eastAsia="Arial" w:hAnsi="Arial"/>
                <w:sz w:val="16"/>
                <w:szCs w:val="16"/>
                <w:color w:val="auto"/>
              </w:rPr>
              <w:t>(h)</w:t>
            </w:r>
          </w:p>
        </w:tc>
        <w:tc>
          <w:tcPr>
            <w:tcW w:w="1160" w:type="dxa"/>
            <w:vAlign w:val="bottom"/>
          </w:tcPr>
          <w:p>
            <w:pPr>
              <w:ind w:left="100"/>
              <w:spacing w:after="0"/>
              <w:rPr>
                <w:sz w:val="20"/>
                <w:szCs w:val="20"/>
                <w:color w:val="auto"/>
              </w:rPr>
            </w:pPr>
            <w:r>
              <w:rPr>
                <w:rFonts w:ascii="Arial" w:cs="Arial" w:eastAsia="Arial" w:hAnsi="Arial"/>
                <w:sz w:val="16"/>
                <w:szCs w:val="16"/>
                <w:color w:val="auto"/>
              </w:rPr>
              <w:t>RSUs</w:t>
            </w:r>
          </w:p>
        </w:tc>
        <w:tc>
          <w:tcPr>
            <w:tcW w:w="8760" w:type="dxa"/>
            <w:vAlign w:val="bottom"/>
          </w:tcPr>
          <w:p>
            <w:pPr>
              <w:ind w:left="140"/>
              <w:spacing w:after="0"/>
              <w:rPr>
                <w:sz w:val="20"/>
                <w:szCs w:val="20"/>
                <w:color w:val="auto"/>
              </w:rPr>
            </w:pPr>
            <w:r>
              <w:rPr>
                <w:rFonts w:ascii="Arial" w:cs="Arial" w:eastAsia="Arial" w:hAnsi="Arial"/>
                <w:sz w:val="16"/>
                <w:szCs w:val="16"/>
                <w:color w:val="auto"/>
              </w:rPr>
              <w:t>January 22, 2016</w:t>
            </w:r>
          </w:p>
        </w:tc>
      </w:tr>
      <w:tr>
        <w:trPr>
          <w:trHeight w:val="203"/>
        </w:trPr>
        <w:tc>
          <w:tcPr>
            <w:tcW w:w="880" w:type="dxa"/>
            <w:vAlign w:val="bottom"/>
          </w:tcPr>
          <w:p>
            <w:pPr>
              <w:ind w:left="620"/>
              <w:spacing w:after="0"/>
              <w:rPr>
                <w:sz w:val="20"/>
                <w:szCs w:val="20"/>
                <w:color w:val="auto"/>
              </w:rPr>
            </w:pPr>
            <w:r>
              <w:rPr>
                <w:rFonts w:ascii="Arial" w:cs="Arial" w:eastAsia="Arial" w:hAnsi="Arial"/>
                <w:sz w:val="16"/>
                <w:szCs w:val="16"/>
                <w:color w:val="auto"/>
              </w:rPr>
              <w:t>(i)</w:t>
            </w:r>
          </w:p>
        </w:tc>
        <w:tc>
          <w:tcPr>
            <w:tcW w:w="1160" w:type="dxa"/>
            <w:vAlign w:val="bottom"/>
          </w:tcPr>
          <w:p>
            <w:pPr>
              <w:ind w:left="100"/>
              <w:spacing w:after="0"/>
              <w:rPr>
                <w:sz w:val="20"/>
                <w:szCs w:val="20"/>
                <w:color w:val="auto"/>
              </w:rPr>
            </w:pPr>
            <w:r>
              <w:rPr>
                <w:rFonts w:ascii="Arial" w:cs="Arial" w:eastAsia="Arial" w:hAnsi="Arial"/>
                <w:sz w:val="16"/>
                <w:szCs w:val="16"/>
                <w:color w:val="auto"/>
              </w:rPr>
              <w:t>RSUs</w:t>
            </w:r>
          </w:p>
        </w:tc>
        <w:tc>
          <w:tcPr>
            <w:tcW w:w="8760" w:type="dxa"/>
            <w:vAlign w:val="bottom"/>
          </w:tcPr>
          <w:p>
            <w:pPr>
              <w:ind w:left="140"/>
              <w:spacing w:after="0"/>
              <w:rPr>
                <w:sz w:val="20"/>
                <w:szCs w:val="20"/>
                <w:color w:val="auto"/>
              </w:rPr>
            </w:pPr>
            <w:r>
              <w:rPr>
                <w:rFonts w:ascii="Arial" w:cs="Arial" w:eastAsia="Arial" w:hAnsi="Arial"/>
                <w:sz w:val="16"/>
                <w:szCs w:val="16"/>
                <w:color w:val="auto"/>
              </w:rPr>
              <w:t>Two equal installments on January 23, 2015 and 2016</w:t>
            </w:r>
          </w:p>
        </w:tc>
      </w:tr>
      <w:tr>
        <w:trPr>
          <w:trHeight w:val="204"/>
        </w:trPr>
        <w:tc>
          <w:tcPr>
            <w:tcW w:w="880" w:type="dxa"/>
            <w:vAlign w:val="bottom"/>
          </w:tcPr>
          <w:p>
            <w:pPr>
              <w:ind w:left="560"/>
              <w:spacing w:after="0"/>
              <w:rPr>
                <w:sz w:val="20"/>
                <w:szCs w:val="20"/>
                <w:color w:val="auto"/>
              </w:rPr>
            </w:pPr>
            <w:r>
              <w:rPr>
                <w:rFonts w:ascii="Arial" w:cs="Arial" w:eastAsia="Arial" w:hAnsi="Arial"/>
                <w:sz w:val="16"/>
                <w:szCs w:val="16"/>
                <w:color w:val="auto"/>
              </w:rPr>
              <w:t>33</w:t>
            </w:r>
          </w:p>
        </w:tc>
        <w:tc>
          <w:tcPr>
            <w:tcW w:w="1160" w:type="dxa"/>
            <w:vAlign w:val="bottom"/>
          </w:tcPr>
          <w:p>
            <w:pPr>
              <w:spacing w:after="0"/>
              <w:rPr>
                <w:sz w:val="17"/>
                <w:szCs w:val="17"/>
                <w:color w:val="auto"/>
              </w:rPr>
            </w:pPr>
          </w:p>
        </w:tc>
        <w:tc>
          <w:tcPr>
            <w:tcW w:w="8760" w:type="dxa"/>
            <w:vAlign w:val="bottom"/>
          </w:tcPr>
          <w:p>
            <w:pPr>
              <w:spacing w:after="0"/>
              <w:rPr>
                <w:sz w:val="17"/>
                <w:szCs w:val="17"/>
                <w:color w:val="auto"/>
              </w:rPr>
            </w:pPr>
          </w:p>
        </w:tc>
      </w:tr>
      <w:tr>
        <w:trPr>
          <w:trHeight w:val="127"/>
        </w:trPr>
        <w:tc>
          <w:tcPr>
            <w:tcW w:w="88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87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6843395</wp:posOffset>
            </wp:positionH>
            <wp:positionV relativeFrom="paragraph">
              <wp:posOffset>-34925</wp:posOffset>
            </wp:positionV>
            <wp:extent cx="12700" cy="35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-34925</wp:posOffset>
            </wp:positionV>
            <wp:extent cx="12700" cy="35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ectPr>
          <w:pgSz w:w="11900" w:h="16838" w:orient="portrait"/>
          <w:cols w:equalWidth="0" w:num="1">
            <w:col w:w="10800"/>
          </w:cols>
          <w:pgMar w:left="820" w:top="434" w:right="279" w:bottom="1440" w:gutter="0" w:footer="0" w:header="0"/>
        </w:sectPr>
      </w:pPr>
    </w:p>
    <w:bookmarkStart w:id="40" w:name="page41"/>
    <w:bookmarkEnd w:id="40"/>
    <w:tbl>
      <w:tblPr>
        <w:tblLayout w:type="fixed"/>
        <w:tblInd w:w="60" w:type="dxa"/>
        <w:tblCellMar>
          <w:top w:w="0" w:type="dxa"/>
          <w:left w:w="0" w:type="dxa"/>
          <w:bottom w:w="0" w:type="dxa"/>
          <w:right w:w="0" w:type="dxa"/>
        </w:tblCellMar>
      </w:tblPr>
      <w:tr>
        <w:trPr>
          <w:trHeight w:val="203"/>
        </w:trPr>
        <w:tc>
          <w:tcPr>
            <w:tcW w:w="300" w:type="dxa"/>
            <w:vAlign w:val="bottom"/>
          </w:tcPr>
          <w:p>
            <w:pPr>
              <w:spacing w:after="0"/>
              <w:rPr>
                <w:sz w:val="20"/>
                <w:szCs w:val="20"/>
                <w:color w:val="auto"/>
              </w:rPr>
            </w:pPr>
            <w:r>
              <w:rPr>
                <w:rFonts w:ascii="Arial" w:cs="Arial" w:eastAsia="Arial" w:hAnsi="Arial"/>
                <w:sz w:val="16"/>
                <w:szCs w:val="16"/>
                <w:color w:val="auto"/>
              </w:rPr>
              <w:t>(j)</w:t>
            </w:r>
          </w:p>
        </w:tc>
        <w:tc>
          <w:tcPr>
            <w:tcW w:w="1080" w:type="dxa"/>
            <w:vAlign w:val="bottom"/>
          </w:tcPr>
          <w:p>
            <w:pPr>
              <w:ind w:left="60"/>
              <w:spacing w:after="0"/>
              <w:rPr>
                <w:sz w:val="20"/>
                <w:szCs w:val="20"/>
                <w:color w:val="auto"/>
              </w:rPr>
            </w:pPr>
            <w:r>
              <w:rPr>
                <w:rFonts w:ascii="Arial" w:cs="Arial" w:eastAsia="Arial" w:hAnsi="Arial"/>
                <w:sz w:val="16"/>
                <w:szCs w:val="16"/>
                <w:color w:val="auto"/>
              </w:rPr>
              <w:t>RSUs</w:t>
            </w:r>
          </w:p>
        </w:tc>
        <w:tc>
          <w:tcPr>
            <w:tcW w:w="8080" w:type="dxa"/>
            <w:vAlign w:val="bottom"/>
          </w:tcPr>
          <w:p>
            <w:pPr>
              <w:ind w:left="180"/>
              <w:spacing w:after="0"/>
              <w:rPr>
                <w:sz w:val="20"/>
                <w:szCs w:val="20"/>
                <w:color w:val="auto"/>
              </w:rPr>
            </w:pPr>
            <w:r>
              <w:rPr>
                <w:rFonts w:ascii="Arial" w:cs="Arial" w:eastAsia="Arial" w:hAnsi="Arial"/>
                <w:sz w:val="16"/>
                <w:szCs w:val="16"/>
                <w:color w:val="auto"/>
              </w:rPr>
              <w:t>January 25, 2015</w:t>
            </w:r>
          </w:p>
        </w:tc>
      </w:tr>
      <w:tr>
        <w:trPr>
          <w:trHeight w:val="203"/>
        </w:trPr>
        <w:tc>
          <w:tcPr>
            <w:tcW w:w="300" w:type="dxa"/>
            <w:vAlign w:val="bottom"/>
          </w:tcPr>
          <w:p>
            <w:pPr>
              <w:spacing w:after="0"/>
              <w:rPr>
                <w:sz w:val="20"/>
                <w:szCs w:val="20"/>
                <w:color w:val="auto"/>
              </w:rPr>
            </w:pPr>
            <w:r>
              <w:rPr>
                <w:rFonts w:ascii="Arial" w:cs="Arial" w:eastAsia="Arial" w:hAnsi="Arial"/>
                <w:sz w:val="16"/>
                <w:szCs w:val="16"/>
                <w:color w:val="auto"/>
              </w:rPr>
              <w:t>(k)</w:t>
            </w:r>
          </w:p>
        </w:tc>
        <w:tc>
          <w:tcPr>
            <w:tcW w:w="1080" w:type="dxa"/>
            <w:vAlign w:val="bottom"/>
          </w:tcPr>
          <w:p>
            <w:pPr>
              <w:ind w:left="60"/>
              <w:spacing w:after="0"/>
              <w:rPr>
                <w:sz w:val="20"/>
                <w:szCs w:val="20"/>
                <w:color w:val="auto"/>
              </w:rPr>
            </w:pPr>
            <w:r>
              <w:rPr>
                <w:rFonts w:ascii="Arial" w:cs="Arial" w:eastAsia="Arial" w:hAnsi="Arial"/>
                <w:sz w:val="16"/>
                <w:szCs w:val="16"/>
                <w:color w:val="auto"/>
              </w:rPr>
              <w:t>PSUs</w:t>
            </w:r>
          </w:p>
        </w:tc>
        <w:tc>
          <w:tcPr>
            <w:tcW w:w="8080" w:type="dxa"/>
            <w:vAlign w:val="bottom"/>
          </w:tcPr>
          <w:p>
            <w:pPr>
              <w:ind w:left="180"/>
              <w:spacing w:after="0"/>
              <w:rPr>
                <w:sz w:val="20"/>
                <w:szCs w:val="20"/>
                <w:color w:val="auto"/>
              </w:rPr>
            </w:pPr>
            <w:r>
              <w:rPr>
                <w:rFonts w:ascii="Arial" w:cs="Arial" w:eastAsia="Arial" w:hAnsi="Arial"/>
                <w:sz w:val="16"/>
                <w:szCs w:val="16"/>
                <w:color w:val="auto"/>
                <w:w w:val="94"/>
              </w:rPr>
              <w:t>January 22, 2017, subject to continued service through December 31, 2015, from a threshold of 25% to a maximum of</w:t>
            </w:r>
          </w:p>
        </w:tc>
      </w:tr>
      <w:tr>
        <w:trPr>
          <w:trHeight w:val="203"/>
        </w:trPr>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80" w:type="dxa"/>
            <w:vAlign w:val="bottom"/>
          </w:tcPr>
          <w:p>
            <w:pPr>
              <w:ind w:left="180"/>
              <w:spacing w:after="0"/>
              <w:rPr>
                <w:sz w:val="20"/>
                <w:szCs w:val="20"/>
                <w:color w:val="auto"/>
              </w:rPr>
            </w:pPr>
            <w:r>
              <w:rPr>
                <w:rFonts w:ascii="Arial" w:cs="Arial" w:eastAsia="Arial" w:hAnsi="Arial"/>
                <w:sz w:val="16"/>
                <w:szCs w:val="16"/>
                <w:color w:val="auto"/>
                <w:w w:val="91"/>
              </w:rPr>
              <w:t>150%, based on Relative TSR goals; vesting can be accelerated based on attainment of Adjusted EBITDA goals as more</w:t>
            </w:r>
          </w:p>
        </w:tc>
      </w:tr>
      <w:tr>
        <w:trPr>
          <w:trHeight w:val="203"/>
        </w:trPr>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80" w:type="dxa"/>
            <w:vAlign w:val="bottom"/>
          </w:tcPr>
          <w:p>
            <w:pPr>
              <w:ind w:left="180"/>
              <w:spacing w:after="0"/>
              <w:rPr>
                <w:sz w:val="20"/>
                <w:szCs w:val="20"/>
                <w:color w:val="auto"/>
              </w:rPr>
            </w:pPr>
            <w:r>
              <w:rPr>
                <w:rFonts w:ascii="Arial" w:cs="Arial" w:eastAsia="Arial" w:hAnsi="Arial"/>
                <w:sz w:val="16"/>
                <w:szCs w:val="16"/>
                <w:color w:val="auto"/>
              </w:rPr>
              <w:t>fully described in the CD&amp;A</w:t>
            </w:r>
          </w:p>
        </w:tc>
      </w:tr>
      <w:tr>
        <w:trPr>
          <w:trHeight w:val="203"/>
        </w:trPr>
        <w:tc>
          <w:tcPr>
            <w:tcW w:w="300" w:type="dxa"/>
            <w:vAlign w:val="bottom"/>
          </w:tcPr>
          <w:p>
            <w:pPr>
              <w:spacing w:after="0"/>
              <w:rPr>
                <w:sz w:val="20"/>
                <w:szCs w:val="20"/>
                <w:color w:val="auto"/>
              </w:rPr>
            </w:pPr>
            <w:r>
              <w:rPr>
                <w:rFonts w:ascii="Arial" w:cs="Arial" w:eastAsia="Arial" w:hAnsi="Arial"/>
                <w:sz w:val="16"/>
                <w:szCs w:val="16"/>
                <w:color w:val="auto"/>
              </w:rPr>
              <w:t>(l)</w:t>
            </w:r>
          </w:p>
        </w:tc>
        <w:tc>
          <w:tcPr>
            <w:tcW w:w="1080" w:type="dxa"/>
            <w:vAlign w:val="bottom"/>
          </w:tcPr>
          <w:p>
            <w:pPr>
              <w:ind w:left="60"/>
              <w:spacing w:after="0"/>
              <w:rPr>
                <w:sz w:val="20"/>
                <w:szCs w:val="20"/>
                <w:color w:val="auto"/>
              </w:rPr>
            </w:pPr>
            <w:r>
              <w:rPr>
                <w:rFonts w:ascii="Arial" w:cs="Arial" w:eastAsia="Arial" w:hAnsi="Arial"/>
                <w:sz w:val="16"/>
                <w:szCs w:val="16"/>
                <w:color w:val="auto"/>
              </w:rPr>
              <w:t>57,783 PSUs</w:t>
            </w:r>
          </w:p>
        </w:tc>
        <w:tc>
          <w:tcPr>
            <w:tcW w:w="8080" w:type="dxa"/>
            <w:vAlign w:val="bottom"/>
          </w:tcPr>
          <w:p>
            <w:pPr>
              <w:ind w:left="180"/>
              <w:spacing w:after="0"/>
              <w:rPr>
                <w:sz w:val="20"/>
                <w:szCs w:val="20"/>
                <w:color w:val="auto"/>
              </w:rPr>
            </w:pPr>
            <w:r>
              <w:rPr>
                <w:rFonts w:ascii="Arial" w:cs="Arial" w:eastAsia="Arial" w:hAnsi="Arial"/>
                <w:sz w:val="16"/>
                <w:szCs w:val="16"/>
                <w:color w:val="auto"/>
                <w:w w:val="91"/>
              </w:rPr>
              <w:t>January 23, 2016, subject to continued service through January 27, 2015, from a threshold of 25% to a maximum of 150%</w:t>
            </w:r>
          </w:p>
        </w:tc>
      </w:tr>
      <w:tr>
        <w:trPr>
          <w:trHeight w:val="203"/>
        </w:trPr>
        <w:tc>
          <w:tcPr>
            <w:tcW w:w="300" w:type="dxa"/>
            <w:vAlign w:val="bottom"/>
          </w:tcPr>
          <w:p>
            <w:pPr>
              <w:spacing w:after="0"/>
              <w:rPr>
                <w:sz w:val="17"/>
                <w:szCs w:val="17"/>
                <w:color w:val="auto"/>
              </w:rPr>
            </w:pPr>
          </w:p>
        </w:tc>
        <w:tc>
          <w:tcPr>
            <w:tcW w:w="1080" w:type="dxa"/>
            <w:vAlign w:val="bottom"/>
          </w:tcPr>
          <w:p>
            <w:pPr>
              <w:ind w:left="60"/>
              <w:spacing w:after="0"/>
              <w:rPr>
                <w:sz w:val="20"/>
                <w:szCs w:val="20"/>
                <w:color w:val="auto"/>
              </w:rPr>
            </w:pPr>
            <w:r>
              <w:rPr>
                <w:rFonts w:ascii="Arial" w:cs="Arial" w:eastAsia="Arial" w:hAnsi="Arial"/>
                <w:sz w:val="16"/>
                <w:szCs w:val="16"/>
                <w:color w:val="auto"/>
              </w:rPr>
              <w:t>57,783 PCUs</w:t>
            </w:r>
          </w:p>
        </w:tc>
        <w:tc>
          <w:tcPr>
            <w:tcW w:w="8080" w:type="dxa"/>
            <w:vAlign w:val="bottom"/>
          </w:tcPr>
          <w:p>
            <w:pPr>
              <w:ind w:left="180"/>
              <w:spacing w:after="0"/>
              <w:rPr>
                <w:sz w:val="20"/>
                <w:szCs w:val="20"/>
                <w:color w:val="auto"/>
              </w:rPr>
            </w:pPr>
            <w:r>
              <w:rPr>
                <w:rFonts w:ascii="Arial" w:cs="Arial" w:eastAsia="Arial" w:hAnsi="Arial"/>
                <w:sz w:val="16"/>
                <w:szCs w:val="16"/>
                <w:color w:val="auto"/>
              </w:rPr>
              <w:t>based on Relative TSR goals</w:t>
            </w:r>
          </w:p>
        </w:tc>
      </w:tr>
      <w:tr>
        <w:trPr>
          <w:trHeight w:val="203"/>
        </w:trPr>
        <w:tc>
          <w:tcPr>
            <w:tcW w:w="300" w:type="dxa"/>
            <w:vAlign w:val="bottom"/>
          </w:tcPr>
          <w:p>
            <w:pPr>
              <w:spacing w:after="0"/>
              <w:rPr>
                <w:sz w:val="20"/>
                <w:szCs w:val="20"/>
                <w:color w:val="auto"/>
              </w:rPr>
            </w:pPr>
            <w:r>
              <w:rPr>
                <w:rFonts w:ascii="Arial" w:cs="Arial" w:eastAsia="Arial" w:hAnsi="Arial"/>
                <w:sz w:val="16"/>
                <w:szCs w:val="16"/>
                <w:color w:val="auto"/>
              </w:rPr>
              <w:t>(m)</w:t>
            </w:r>
          </w:p>
        </w:tc>
        <w:tc>
          <w:tcPr>
            <w:tcW w:w="1080" w:type="dxa"/>
            <w:vAlign w:val="bottom"/>
          </w:tcPr>
          <w:p>
            <w:pPr>
              <w:ind w:left="60"/>
              <w:spacing w:after="0"/>
              <w:rPr>
                <w:sz w:val="20"/>
                <w:szCs w:val="20"/>
                <w:color w:val="auto"/>
              </w:rPr>
            </w:pPr>
            <w:r>
              <w:rPr>
                <w:rFonts w:ascii="Arial" w:cs="Arial" w:eastAsia="Arial" w:hAnsi="Arial"/>
                <w:sz w:val="16"/>
                <w:szCs w:val="16"/>
                <w:color w:val="auto"/>
              </w:rPr>
              <w:t>80,751 PSUs</w:t>
            </w:r>
          </w:p>
        </w:tc>
        <w:tc>
          <w:tcPr>
            <w:tcW w:w="8080" w:type="dxa"/>
            <w:vAlign w:val="bottom"/>
          </w:tcPr>
          <w:p>
            <w:pPr>
              <w:ind w:left="180"/>
              <w:spacing w:after="0"/>
              <w:rPr>
                <w:sz w:val="20"/>
                <w:szCs w:val="20"/>
                <w:color w:val="auto"/>
              </w:rPr>
            </w:pPr>
            <w:r>
              <w:rPr>
                <w:rFonts w:ascii="Arial" w:cs="Arial" w:eastAsia="Arial" w:hAnsi="Arial"/>
                <w:sz w:val="16"/>
                <w:szCs w:val="16"/>
                <w:color w:val="auto"/>
              </w:rPr>
              <w:t>January 27, 2015, from a threshold of 25% to a maximum of 150% based on Relative TSR goals</w:t>
            </w:r>
          </w:p>
        </w:tc>
      </w:tr>
      <w:tr>
        <w:trPr>
          <w:trHeight w:val="203"/>
        </w:trPr>
        <w:tc>
          <w:tcPr>
            <w:tcW w:w="300" w:type="dxa"/>
            <w:vAlign w:val="bottom"/>
          </w:tcPr>
          <w:p>
            <w:pPr>
              <w:spacing w:after="0"/>
              <w:rPr>
                <w:sz w:val="17"/>
                <w:szCs w:val="17"/>
                <w:color w:val="auto"/>
              </w:rPr>
            </w:pPr>
          </w:p>
        </w:tc>
        <w:tc>
          <w:tcPr>
            <w:tcW w:w="1080" w:type="dxa"/>
            <w:vAlign w:val="bottom"/>
          </w:tcPr>
          <w:p>
            <w:pPr>
              <w:ind w:left="60"/>
              <w:spacing w:after="0"/>
              <w:rPr>
                <w:sz w:val="20"/>
                <w:szCs w:val="20"/>
                <w:color w:val="auto"/>
              </w:rPr>
            </w:pPr>
            <w:r>
              <w:rPr>
                <w:rFonts w:ascii="Arial" w:cs="Arial" w:eastAsia="Arial" w:hAnsi="Arial"/>
                <w:sz w:val="16"/>
                <w:szCs w:val="16"/>
                <w:color w:val="auto"/>
              </w:rPr>
              <w:t>80,751 PCUs</w:t>
            </w:r>
          </w:p>
        </w:tc>
        <w:tc>
          <w:tcPr>
            <w:tcW w:w="8080" w:type="dxa"/>
            <w:vAlign w:val="bottom"/>
          </w:tcPr>
          <w:p>
            <w:pPr>
              <w:spacing w:after="0"/>
              <w:rPr>
                <w:sz w:val="17"/>
                <w:szCs w:val="17"/>
                <w:color w:val="auto"/>
              </w:rPr>
            </w:pPr>
          </w:p>
        </w:tc>
      </w:tr>
      <w:tr>
        <w:trPr>
          <w:trHeight w:val="203"/>
        </w:trPr>
        <w:tc>
          <w:tcPr>
            <w:tcW w:w="300" w:type="dxa"/>
            <w:vAlign w:val="bottom"/>
          </w:tcPr>
          <w:p>
            <w:pPr>
              <w:spacing w:after="0"/>
              <w:rPr>
                <w:sz w:val="20"/>
                <w:szCs w:val="20"/>
                <w:color w:val="auto"/>
              </w:rPr>
            </w:pPr>
            <w:r>
              <w:rPr>
                <w:rFonts w:ascii="Arial" w:cs="Arial" w:eastAsia="Arial" w:hAnsi="Arial"/>
                <w:sz w:val="16"/>
                <w:szCs w:val="16"/>
                <w:color w:val="auto"/>
              </w:rPr>
              <w:t>(n)</w:t>
            </w:r>
          </w:p>
        </w:tc>
        <w:tc>
          <w:tcPr>
            <w:tcW w:w="1080" w:type="dxa"/>
            <w:vAlign w:val="bottom"/>
          </w:tcPr>
          <w:p>
            <w:pPr>
              <w:ind w:left="60"/>
              <w:spacing w:after="0"/>
              <w:rPr>
                <w:sz w:val="20"/>
                <w:szCs w:val="20"/>
                <w:color w:val="auto"/>
              </w:rPr>
            </w:pPr>
            <w:r>
              <w:rPr>
                <w:rFonts w:ascii="Arial" w:cs="Arial" w:eastAsia="Arial" w:hAnsi="Arial"/>
                <w:sz w:val="16"/>
                <w:szCs w:val="16"/>
                <w:color w:val="auto"/>
              </w:rPr>
              <w:t>PSUs</w:t>
            </w:r>
          </w:p>
        </w:tc>
        <w:tc>
          <w:tcPr>
            <w:tcW w:w="8080" w:type="dxa"/>
            <w:vAlign w:val="bottom"/>
          </w:tcPr>
          <w:p>
            <w:pPr>
              <w:ind w:left="180"/>
              <w:spacing w:after="0"/>
              <w:rPr>
                <w:sz w:val="20"/>
                <w:szCs w:val="20"/>
                <w:color w:val="auto"/>
              </w:rPr>
            </w:pPr>
            <w:r>
              <w:rPr>
                <w:rFonts w:ascii="Arial" w:cs="Arial" w:eastAsia="Arial" w:hAnsi="Arial"/>
                <w:sz w:val="16"/>
                <w:szCs w:val="16"/>
                <w:color w:val="auto"/>
              </w:rPr>
              <w:t>January 26, 2015, from a threshold of 50% to a maximum of 100% based on stock price attainment</w:t>
            </w:r>
          </w:p>
        </w:tc>
      </w:tr>
      <w:tr>
        <w:trPr>
          <w:trHeight w:val="203"/>
        </w:trPr>
        <w:tc>
          <w:tcPr>
            <w:tcW w:w="300" w:type="dxa"/>
            <w:vAlign w:val="bottom"/>
          </w:tcPr>
          <w:p>
            <w:pPr>
              <w:spacing w:after="0"/>
              <w:rPr>
                <w:sz w:val="20"/>
                <w:szCs w:val="20"/>
                <w:color w:val="auto"/>
              </w:rPr>
            </w:pPr>
            <w:r>
              <w:rPr>
                <w:rFonts w:ascii="Arial" w:cs="Arial" w:eastAsia="Arial" w:hAnsi="Arial"/>
                <w:sz w:val="16"/>
                <w:szCs w:val="16"/>
                <w:color w:val="auto"/>
              </w:rPr>
              <w:t>(o)</w:t>
            </w:r>
          </w:p>
        </w:tc>
        <w:tc>
          <w:tcPr>
            <w:tcW w:w="1080" w:type="dxa"/>
            <w:vAlign w:val="bottom"/>
          </w:tcPr>
          <w:p>
            <w:pPr>
              <w:ind w:left="60"/>
              <w:spacing w:after="0"/>
              <w:rPr>
                <w:sz w:val="20"/>
                <w:szCs w:val="20"/>
                <w:color w:val="auto"/>
              </w:rPr>
            </w:pPr>
            <w:r>
              <w:rPr>
                <w:rFonts w:ascii="Arial" w:cs="Arial" w:eastAsia="Arial" w:hAnsi="Arial"/>
                <w:sz w:val="16"/>
                <w:szCs w:val="16"/>
                <w:color w:val="auto"/>
              </w:rPr>
              <w:t>PSUs</w:t>
            </w:r>
          </w:p>
        </w:tc>
        <w:tc>
          <w:tcPr>
            <w:tcW w:w="8080" w:type="dxa"/>
            <w:vAlign w:val="bottom"/>
          </w:tcPr>
          <w:p>
            <w:pPr>
              <w:ind w:left="180"/>
              <w:spacing w:after="0"/>
              <w:rPr>
                <w:sz w:val="20"/>
                <w:szCs w:val="20"/>
                <w:color w:val="auto"/>
              </w:rPr>
            </w:pPr>
            <w:r>
              <w:rPr>
                <w:rFonts w:ascii="Arial" w:cs="Arial" w:eastAsia="Arial" w:hAnsi="Arial"/>
                <w:sz w:val="16"/>
                <w:szCs w:val="16"/>
                <w:color w:val="auto"/>
              </w:rPr>
              <w:t>January 27, 2015, from a threshold of 50% to a maximum of 100% based on stock price attainment</w:t>
            </w:r>
          </w:p>
        </w:tc>
      </w:tr>
      <w:tr>
        <w:trPr>
          <w:trHeight w:val="203"/>
        </w:trPr>
        <w:tc>
          <w:tcPr>
            <w:tcW w:w="300" w:type="dxa"/>
            <w:vAlign w:val="bottom"/>
          </w:tcPr>
          <w:p>
            <w:pPr>
              <w:spacing w:after="0"/>
              <w:rPr>
                <w:sz w:val="20"/>
                <w:szCs w:val="20"/>
                <w:color w:val="auto"/>
              </w:rPr>
            </w:pPr>
            <w:r>
              <w:rPr>
                <w:rFonts w:ascii="Arial" w:cs="Arial" w:eastAsia="Arial" w:hAnsi="Arial"/>
                <w:sz w:val="16"/>
                <w:szCs w:val="16"/>
                <w:color w:val="auto"/>
              </w:rPr>
              <w:t>(p)</w:t>
            </w:r>
          </w:p>
        </w:tc>
        <w:tc>
          <w:tcPr>
            <w:tcW w:w="1080" w:type="dxa"/>
            <w:vAlign w:val="bottom"/>
          </w:tcPr>
          <w:p>
            <w:pPr>
              <w:ind w:left="60"/>
              <w:spacing w:after="0"/>
              <w:rPr>
                <w:sz w:val="20"/>
                <w:szCs w:val="20"/>
                <w:color w:val="auto"/>
              </w:rPr>
            </w:pPr>
            <w:r>
              <w:rPr>
                <w:rFonts w:ascii="Arial" w:cs="Arial" w:eastAsia="Arial" w:hAnsi="Arial"/>
                <w:sz w:val="16"/>
                <w:szCs w:val="16"/>
                <w:color w:val="auto"/>
              </w:rPr>
              <w:t>PSUs</w:t>
            </w:r>
          </w:p>
        </w:tc>
        <w:tc>
          <w:tcPr>
            <w:tcW w:w="8080" w:type="dxa"/>
            <w:vAlign w:val="bottom"/>
          </w:tcPr>
          <w:p>
            <w:pPr>
              <w:ind w:left="180"/>
              <w:spacing w:after="0"/>
              <w:rPr>
                <w:sz w:val="20"/>
                <w:szCs w:val="20"/>
                <w:color w:val="auto"/>
              </w:rPr>
            </w:pPr>
            <w:r>
              <w:rPr>
                <w:rFonts w:ascii="Arial" w:cs="Arial" w:eastAsia="Arial" w:hAnsi="Arial"/>
                <w:sz w:val="16"/>
                <w:szCs w:val="16"/>
                <w:color w:val="auto"/>
              </w:rPr>
              <w:t>January 22, 2017, from a threshold of 50% to a maximum of 150% based on Adjusted EBITDA and TSR goals</w:t>
            </w:r>
          </w:p>
        </w:tc>
      </w:tr>
      <w:tr>
        <w:trPr>
          <w:trHeight w:val="203"/>
        </w:trPr>
        <w:tc>
          <w:tcPr>
            <w:tcW w:w="300" w:type="dxa"/>
            <w:vAlign w:val="bottom"/>
          </w:tcPr>
          <w:p>
            <w:pPr>
              <w:spacing w:after="0"/>
              <w:rPr>
                <w:sz w:val="20"/>
                <w:szCs w:val="20"/>
                <w:color w:val="auto"/>
              </w:rPr>
            </w:pPr>
            <w:r>
              <w:rPr>
                <w:rFonts w:ascii="Arial" w:cs="Arial" w:eastAsia="Arial" w:hAnsi="Arial"/>
                <w:sz w:val="16"/>
                <w:szCs w:val="16"/>
                <w:color w:val="auto"/>
              </w:rPr>
              <w:t>(q)</w:t>
            </w:r>
          </w:p>
        </w:tc>
        <w:tc>
          <w:tcPr>
            <w:tcW w:w="1080" w:type="dxa"/>
            <w:vAlign w:val="bottom"/>
          </w:tcPr>
          <w:p>
            <w:pPr>
              <w:ind w:left="60"/>
              <w:spacing w:after="0"/>
              <w:rPr>
                <w:sz w:val="20"/>
                <w:szCs w:val="20"/>
                <w:color w:val="auto"/>
              </w:rPr>
            </w:pPr>
            <w:r>
              <w:rPr>
                <w:rFonts w:ascii="Arial" w:cs="Arial" w:eastAsia="Arial" w:hAnsi="Arial"/>
                <w:sz w:val="16"/>
                <w:szCs w:val="16"/>
                <w:color w:val="auto"/>
              </w:rPr>
              <w:t>PSUs</w:t>
            </w:r>
          </w:p>
        </w:tc>
        <w:tc>
          <w:tcPr>
            <w:tcW w:w="8080" w:type="dxa"/>
            <w:vAlign w:val="bottom"/>
          </w:tcPr>
          <w:p>
            <w:pPr>
              <w:ind w:left="180"/>
              <w:spacing w:after="0"/>
              <w:rPr>
                <w:sz w:val="20"/>
                <w:szCs w:val="20"/>
                <w:color w:val="auto"/>
              </w:rPr>
            </w:pPr>
            <w:r>
              <w:rPr>
                <w:rFonts w:ascii="Arial" w:cs="Arial" w:eastAsia="Arial" w:hAnsi="Arial"/>
                <w:sz w:val="16"/>
                <w:szCs w:val="16"/>
                <w:color w:val="auto"/>
                <w:w w:val="91"/>
              </w:rPr>
              <w:t>January 22, 2016, from a threshold of 25% to a maximum of 150% based on Adjusted EBITDA goals for the EMEA region</w:t>
            </w:r>
          </w:p>
        </w:tc>
      </w:tr>
      <w:tr>
        <w:trPr>
          <w:trHeight w:val="203"/>
        </w:trPr>
        <w:tc>
          <w:tcPr>
            <w:tcW w:w="300" w:type="dxa"/>
            <w:vAlign w:val="bottom"/>
          </w:tcPr>
          <w:p>
            <w:pPr>
              <w:spacing w:after="0"/>
              <w:rPr>
                <w:sz w:val="20"/>
                <w:szCs w:val="20"/>
                <w:color w:val="auto"/>
              </w:rPr>
            </w:pPr>
            <w:r>
              <w:rPr>
                <w:rFonts w:ascii="Arial" w:cs="Arial" w:eastAsia="Arial" w:hAnsi="Arial"/>
                <w:sz w:val="16"/>
                <w:szCs w:val="16"/>
                <w:color w:val="auto"/>
              </w:rPr>
              <w:t>(r)</w:t>
            </w:r>
          </w:p>
        </w:tc>
        <w:tc>
          <w:tcPr>
            <w:tcW w:w="1080" w:type="dxa"/>
            <w:vAlign w:val="bottom"/>
          </w:tcPr>
          <w:p>
            <w:pPr>
              <w:ind w:left="60"/>
              <w:spacing w:after="0"/>
              <w:rPr>
                <w:sz w:val="20"/>
                <w:szCs w:val="20"/>
                <w:color w:val="auto"/>
              </w:rPr>
            </w:pPr>
            <w:r>
              <w:rPr>
                <w:rFonts w:ascii="Arial" w:cs="Arial" w:eastAsia="Arial" w:hAnsi="Arial"/>
                <w:sz w:val="16"/>
                <w:szCs w:val="16"/>
                <w:color w:val="auto"/>
              </w:rPr>
              <w:t>PSUs</w:t>
            </w:r>
          </w:p>
        </w:tc>
        <w:tc>
          <w:tcPr>
            <w:tcW w:w="8080" w:type="dxa"/>
            <w:vAlign w:val="bottom"/>
          </w:tcPr>
          <w:p>
            <w:pPr>
              <w:ind w:left="180"/>
              <w:spacing w:after="0"/>
              <w:rPr>
                <w:sz w:val="20"/>
                <w:szCs w:val="20"/>
                <w:color w:val="auto"/>
              </w:rPr>
            </w:pPr>
            <w:r>
              <w:rPr>
                <w:rFonts w:ascii="Arial" w:cs="Arial" w:eastAsia="Arial" w:hAnsi="Arial"/>
                <w:sz w:val="16"/>
                <w:szCs w:val="16"/>
                <w:color w:val="auto"/>
              </w:rPr>
              <w:t>January 23, 2016, from a threshold of 50% to a maximum of 150% based on Adjusted EBITDA and TSR goals</w:t>
            </w:r>
          </w:p>
        </w:tc>
      </w:tr>
      <w:tr>
        <w:trPr>
          <w:trHeight w:val="203"/>
        </w:trPr>
        <w:tc>
          <w:tcPr>
            <w:tcW w:w="300" w:type="dxa"/>
            <w:vAlign w:val="bottom"/>
          </w:tcPr>
          <w:p>
            <w:pPr>
              <w:spacing w:after="0"/>
              <w:rPr>
                <w:sz w:val="20"/>
                <w:szCs w:val="20"/>
                <w:color w:val="auto"/>
              </w:rPr>
            </w:pPr>
            <w:r>
              <w:rPr>
                <w:rFonts w:ascii="Arial" w:cs="Arial" w:eastAsia="Arial" w:hAnsi="Arial"/>
                <w:sz w:val="16"/>
                <w:szCs w:val="16"/>
                <w:color w:val="auto"/>
              </w:rPr>
              <w:t>(s)</w:t>
            </w:r>
          </w:p>
        </w:tc>
        <w:tc>
          <w:tcPr>
            <w:tcW w:w="1080" w:type="dxa"/>
            <w:vAlign w:val="bottom"/>
          </w:tcPr>
          <w:p>
            <w:pPr>
              <w:ind w:left="60"/>
              <w:spacing w:after="0"/>
              <w:rPr>
                <w:sz w:val="20"/>
                <w:szCs w:val="20"/>
                <w:color w:val="auto"/>
              </w:rPr>
            </w:pPr>
            <w:r>
              <w:rPr>
                <w:rFonts w:ascii="Arial" w:cs="Arial" w:eastAsia="Arial" w:hAnsi="Arial"/>
                <w:sz w:val="16"/>
                <w:szCs w:val="16"/>
                <w:color w:val="auto"/>
              </w:rPr>
              <w:t>PSUs</w:t>
            </w:r>
          </w:p>
        </w:tc>
        <w:tc>
          <w:tcPr>
            <w:tcW w:w="8080" w:type="dxa"/>
            <w:vAlign w:val="bottom"/>
          </w:tcPr>
          <w:p>
            <w:pPr>
              <w:ind w:left="180"/>
              <w:spacing w:after="0"/>
              <w:rPr>
                <w:sz w:val="20"/>
                <w:szCs w:val="20"/>
                <w:color w:val="auto"/>
              </w:rPr>
            </w:pPr>
            <w:r>
              <w:rPr>
                <w:rFonts w:ascii="Arial" w:cs="Arial" w:eastAsia="Arial" w:hAnsi="Arial"/>
                <w:sz w:val="16"/>
                <w:szCs w:val="16"/>
                <w:color w:val="auto"/>
              </w:rPr>
              <w:t>January 25, 2015, from a threshold of 37.5% to a maximum of 100% based on Adjusted EBITDA goals</w:t>
            </w:r>
          </w:p>
        </w:tc>
      </w:tr>
      <w:tr>
        <w:trPr>
          <w:trHeight w:val="204"/>
        </w:trPr>
        <w:tc>
          <w:tcPr>
            <w:tcW w:w="300" w:type="dxa"/>
            <w:vAlign w:val="bottom"/>
          </w:tcPr>
          <w:p>
            <w:pPr>
              <w:spacing w:after="0"/>
              <w:rPr>
                <w:sz w:val="20"/>
                <w:szCs w:val="20"/>
                <w:color w:val="auto"/>
              </w:rPr>
            </w:pPr>
            <w:r>
              <w:rPr>
                <w:rFonts w:ascii="Arial" w:cs="Arial" w:eastAsia="Arial" w:hAnsi="Arial"/>
                <w:sz w:val="16"/>
                <w:szCs w:val="16"/>
                <w:color w:val="auto"/>
              </w:rPr>
              <w:t>(t)</w:t>
            </w:r>
          </w:p>
        </w:tc>
        <w:tc>
          <w:tcPr>
            <w:tcW w:w="1080" w:type="dxa"/>
            <w:vAlign w:val="bottom"/>
          </w:tcPr>
          <w:p>
            <w:pPr>
              <w:ind w:left="60"/>
              <w:spacing w:after="0"/>
              <w:rPr>
                <w:sz w:val="20"/>
                <w:szCs w:val="20"/>
                <w:color w:val="auto"/>
              </w:rPr>
            </w:pPr>
            <w:r>
              <w:rPr>
                <w:rFonts w:ascii="Arial" w:cs="Arial" w:eastAsia="Arial" w:hAnsi="Arial"/>
                <w:sz w:val="16"/>
                <w:szCs w:val="16"/>
                <w:color w:val="auto"/>
              </w:rPr>
              <w:t>PSUs</w:t>
            </w:r>
          </w:p>
        </w:tc>
        <w:tc>
          <w:tcPr>
            <w:tcW w:w="8080" w:type="dxa"/>
            <w:vAlign w:val="bottom"/>
          </w:tcPr>
          <w:p>
            <w:pPr>
              <w:ind w:left="180"/>
              <w:spacing w:after="0"/>
              <w:rPr>
                <w:sz w:val="20"/>
                <w:szCs w:val="20"/>
                <w:color w:val="auto"/>
              </w:rPr>
            </w:pPr>
            <w:r>
              <w:rPr>
                <w:rFonts w:ascii="Arial" w:cs="Arial" w:eastAsia="Arial" w:hAnsi="Arial"/>
                <w:sz w:val="16"/>
                <w:szCs w:val="16"/>
                <w:color w:val="auto"/>
              </w:rPr>
              <w:t>January 25, 2015, from a threshold of 50% to a maximum of 100% based on stock price attainment</w:t>
            </w:r>
          </w:p>
        </w:tc>
      </w:tr>
    </w:tbl>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380" w:type="dxa"/>
            <w:vAlign w:val="bottom"/>
          </w:tcPr>
          <w:p>
            <w:pPr>
              <w:spacing w:after="0"/>
              <w:rPr>
                <w:sz w:val="20"/>
                <w:szCs w:val="20"/>
                <w:color w:val="auto"/>
              </w:rPr>
            </w:pPr>
            <w:r>
              <w:rPr>
                <w:rFonts w:ascii="Arial" w:cs="Arial" w:eastAsia="Arial" w:hAnsi="Arial"/>
                <w:sz w:val="16"/>
                <w:szCs w:val="16"/>
                <w:b w:val="1"/>
                <w:bCs w:val="1"/>
                <w:color w:val="auto"/>
              </w:rPr>
              <w:t>Option Exercises and Stock Vested Table</w:t>
            </w: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82"/>
        </w:trPr>
        <w:tc>
          <w:tcPr>
            <w:tcW w:w="4380" w:type="dxa"/>
            <w:vAlign w:val="bottom"/>
          </w:tcPr>
          <w:p>
            <w:pPr>
              <w:spacing w:after="0"/>
              <w:rPr>
                <w:sz w:val="24"/>
                <w:szCs w:val="24"/>
                <w:color w:val="auto"/>
              </w:rPr>
            </w:pPr>
          </w:p>
        </w:tc>
        <w:tc>
          <w:tcPr>
            <w:tcW w:w="236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6"/>
                <w:szCs w:val="16"/>
                <w:b w:val="1"/>
                <w:bCs w:val="1"/>
                <w:color w:val="auto"/>
              </w:rPr>
              <w:t>Option Awards</w:t>
            </w:r>
          </w:p>
        </w:tc>
        <w:tc>
          <w:tcPr>
            <w:tcW w:w="400" w:type="dxa"/>
            <w:vAlign w:val="bottom"/>
          </w:tcPr>
          <w:p>
            <w:pPr>
              <w:spacing w:after="0"/>
              <w:rPr>
                <w:sz w:val="24"/>
                <w:szCs w:val="24"/>
                <w:color w:val="auto"/>
              </w:rPr>
            </w:pPr>
          </w:p>
        </w:tc>
        <w:tc>
          <w:tcPr>
            <w:tcW w:w="248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6"/>
                <w:szCs w:val="16"/>
                <w:b w:val="1"/>
                <w:bCs w:val="1"/>
                <w:color w:val="auto"/>
              </w:rPr>
              <w:t>Stock Awards</w:t>
            </w:r>
          </w:p>
        </w:tc>
      </w:tr>
      <w:tr>
        <w:trPr>
          <w:trHeight w:val="191"/>
        </w:trPr>
        <w:tc>
          <w:tcPr>
            <w:tcW w:w="43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180" w:type="dxa"/>
            <w:vAlign w:val="bottom"/>
          </w:tcPr>
          <w:p>
            <w:pPr>
              <w:spacing w:after="0"/>
              <w:rPr>
                <w:sz w:val="16"/>
                <w:szCs w:val="16"/>
                <w:color w:val="auto"/>
              </w:rPr>
            </w:pPr>
          </w:p>
        </w:tc>
      </w:tr>
      <w:tr>
        <w:trPr>
          <w:trHeight w:val="203"/>
        </w:trPr>
        <w:tc>
          <w:tcPr>
            <w:tcW w:w="43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8"/>
              </w:rPr>
              <w:t>Value</w:t>
            </w:r>
          </w:p>
        </w:tc>
        <w:tc>
          <w:tcPr>
            <w:tcW w:w="4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3"/>
              </w:rPr>
              <w:t>Value</w:t>
            </w:r>
          </w:p>
        </w:tc>
      </w:tr>
      <w:tr>
        <w:trPr>
          <w:trHeight w:val="203"/>
        </w:trPr>
        <w:tc>
          <w:tcPr>
            <w:tcW w:w="4380" w:type="dxa"/>
            <w:vAlign w:val="bottom"/>
          </w:tcPr>
          <w:p>
            <w:pPr>
              <w:spacing w:after="0"/>
              <w:rPr>
                <w:sz w:val="17"/>
                <w:szCs w:val="17"/>
                <w:color w:val="auto"/>
              </w:rPr>
            </w:pPr>
          </w:p>
        </w:tc>
        <w:tc>
          <w:tcPr>
            <w:tcW w:w="1260" w:type="dxa"/>
            <w:vAlign w:val="bottom"/>
          </w:tcPr>
          <w:p>
            <w:pPr>
              <w:jc w:val="center"/>
              <w:ind w:right="20"/>
              <w:spacing w:after="0"/>
              <w:rPr>
                <w:sz w:val="20"/>
                <w:szCs w:val="20"/>
                <w:color w:val="auto"/>
              </w:rPr>
            </w:pPr>
            <w:r>
              <w:rPr>
                <w:rFonts w:ascii="Arial" w:cs="Arial" w:eastAsia="Arial" w:hAnsi="Arial"/>
                <w:sz w:val="16"/>
                <w:szCs w:val="16"/>
                <w:b w:val="1"/>
                <w:bCs w:val="1"/>
                <w:color w:val="auto"/>
                <w:w w:val="89"/>
              </w:rPr>
              <w:t>Acquired on</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9"/>
              </w:rPr>
              <w:t>Realized</w:t>
            </w:r>
          </w:p>
        </w:tc>
        <w:tc>
          <w:tcPr>
            <w:tcW w:w="4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2"/>
              </w:rPr>
              <w:t>Acquired on</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2"/>
              </w:rPr>
              <w:t>Realized</w:t>
            </w:r>
          </w:p>
        </w:tc>
      </w:tr>
      <w:tr>
        <w:trPr>
          <w:trHeight w:val="203"/>
        </w:trPr>
        <w:tc>
          <w:tcPr>
            <w:tcW w:w="43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8"/>
              </w:rPr>
              <w:t>Exercise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6"/>
              </w:rPr>
              <w:t>on Exercise</w:t>
            </w:r>
          </w:p>
        </w:tc>
        <w:tc>
          <w:tcPr>
            <w:tcW w:w="4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6"/>
              </w:rPr>
              <w:t>Vesting</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7"/>
              </w:rPr>
              <w:t>on Vesting</w:t>
            </w:r>
          </w:p>
        </w:tc>
      </w:tr>
      <w:tr>
        <w:trPr>
          <w:trHeight w:val="208"/>
        </w:trPr>
        <w:tc>
          <w:tcPr>
            <w:tcW w:w="43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(#)(a)</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($)(b)</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($)(d)</w:t>
            </w:r>
          </w:p>
        </w:tc>
      </w:tr>
      <w:tr>
        <w:trPr>
          <w:trHeight w:val="195"/>
        </w:trPr>
        <w:tc>
          <w:tcPr>
            <w:tcW w:w="4380" w:type="dxa"/>
            <w:vAlign w:val="bottom"/>
            <w:shd w:val="clear" w:color="auto" w:fill="E9E9E9"/>
          </w:tcPr>
          <w:p>
            <w:pPr>
              <w:ind w:left="60"/>
              <w:spacing w:after="0"/>
              <w:rPr>
                <w:sz w:val="20"/>
                <w:szCs w:val="20"/>
                <w:color w:val="auto"/>
              </w:rPr>
            </w:pPr>
            <w:r>
              <w:rPr>
                <w:rFonts w:ascii="Arial" w:cs="Arial" w:eastAsia="Arial" w:hAnsi="Arial"/>
                <w:sz w:val="16"/>
                <w:szCs w:val="16"/>
                <w:color w:val="auto"/>
              </w:rPr>
              <w:t>Mr. Nelson</w:t>
            </w:r>
          </w:p>
        </w:tc>
        <w:tc>
          <w:tcPr>
            <w:tcW w:w="126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0</w:t>
            </w:r>
          </w:p>
        </w:tc>
        <w:tc>
          <w:tcPr>
            <w:tcW w:w="11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700" w:type="dxa"/>
            <w:vAlign w:val="bottom"/>
            <w:gridSpan w:val="2"/>
            <w:shd w:val="clear" w:color="auto" w:fill="E9E9E9"/>
          </w:tcPr>
          <w:p>
            <w:pPr>
              <w:jc w:val="right"/>
              <w:ind w:right="280"/>
              <w:spacing w:after="0"/>
              <w:rPr>
                <w:sz w:val="20"/>
                <w:szCs w:val="20"/>
                <w:color w:val="auto"/>
              </w:rPr>
            </w:pPr>
            <w:r>
              <w:rPr>
                <w:rFonts w:ascii="Arial" w:cs="Arial" w:eastAsia="Arial" w:hAnsi="Arial"/>
                <w:sz w:val="16"/>
                <w:szCs w:val="16"/>
                <w:color w:val="auto"/>
              </w:rPr>
              <w:t>196,663</w:t>
            </w:r>
          </w:p>
        </w:tc>
        <w:tc>
          <w:tcPr>
            <w:tcW w:w="11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7,517,692</w:t>
            </w:r>
          </w:p>
        </w:tc>
      </w:tr>
      <w:tr>
        <w:trPr>
          <w:trHeight w:val="203"/>
        </w:trPr>
        <w:tc>
          <w:tcPr>
            <w:tcW w:w="4380" w:type="dxa"/>
            <w:vAlign w:val="bottom"/>
          </w:tcPr>
          <w:p>
            <w:pPr>
              <w:ind w:left="60"/>
              <w:spacing w:after="0"/>
              <w:rPr>
                <w:sz w:val="20"/>
                <w:szCs w:val="20"/>
                <w:color w:val="auto"/>
              </w:rPr>
            </w:pPr>
            <w:r>
              <w:rPr>
                <w:rFonts w:ascii="Arial" w:cs="Arial" w:eastAsia="Arial" w:hAnsi="Arial"/>
                <w:sz w:val="16"/>
                <w:szCs w:val="16"/>
                <w:color w:val="auto"/>
              </w:rPr>
              <w:t>Mr. Wyshner</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22,871</w:t>
            </w:r>
          </w:p>
        </w:tc>
        <w:tc>
          <w:tcPr>
            <w:tcW w:w="1100" w:type="dxa"/>
            <w:vAlign w:val="bottom"/>
          </w:tcPr>
          <w:p>
            <w:pPr>
              <w:jc w:val="right"/>
              <w:spacing w:after="0"/>
              <w:rPr>
                <w:sz w:val="20"/>
                <w:szCs w:val="20"/>
                <w:color w:val="auto"/>
              </w:rPr>
            </w:pPr>
            <w:r>
              <w:rPr>
                <w:rFonts w:ascii="Arial" w:cs="Arial" w:eastAsia="Arial" w:hAnsi="Arial"/>
                <w:sz w:val="16"/>
                <w:szCs w:val="16"/>
                <w:color w:val="auto"/>
              </w:rPr>
              <w:t>1,206,007</w:t>
            </w:r>
          </w:p>
        </w:tc>
        <w:tc>
          <w:tcPr>
            <w:tcW w:w="1700" w:type="dxa"/>
            <w:vAlign w:val="bottom"/>
            <w:gridSpan w:val="2"/>
          </w:tcPr>
          <w:p>
            <w:pPr>
              <w:jc w:val="right"/>
              <w:ind w:right="280"/>
              <w:spacing w:after="0"/>
              <w:rPr>
                <w:sz w:val="20"/>
                <w:szCs w:val="20"/>
                <w:color w:val="auto"/>
              </w:rPr>
            </w:pPr>
            <w:r>
              <w:rPr>
                <w:rFonts w:ascii="Arial" w:cs="Arial" w:eastAsia="Arial" w:hAnsi="Arial"/>
                <w:sz w:val="16"/>
                <w:szCs w:val="16"/>
                <w:color w:val="auto"/>
              </w:rPr>
              <w:t>69,651</w:t>
            </w:r>
          </w:p>
        </w:tc>
        <w:tc>
          <w:tcPr>
            <w:tcW w:w="1180" w:type="dxa"/>
            <w:vAlign w:val="bottom"/>
          </w:tcPr>
          <w:p>
            <w:pPr>
              <w:jc w:val="right"/>
              <w:spacing w:after="0"/>
              <w:rPr>
                <w:sz w:val="20"/>
                <w:szCs w:val="20"/>
                <w:color w:val="auto"/>
              </w:rPr>
            </w:pPr>
            <w:r>
              <w:rPr>
                <w:rFonts w:ascii="Arial" w:cs="Arial" w:eastAsia="Arial" w:hAnsi="Arial"/>
                <w:sz w:val="16"/>
                <w:szCs w:val="16"/>
                <w:color w:val="auto"/>
              </w:rPr>
              <w:t>2,702,397</w:t>
            </w:r>
          </w:p>
        </w:tc>
      </w:tr>
      <w:tr>
        <w:trPr>
          <w:trHeight w:val="203"/>
        </w:trPr>
        <w:tc>
          <w:tcPr>
            <w:tcW w:w="4380" w:type="dxa"/>
            <w:vAlign w:val="bottom"/>
            <w:shd w:val="clear" w:color="auto" w:fill="E9E9E9"/>
          </w:tcPr>
          <w:p>
            <w:pPr>
              <w:ind w:left="60"/>
              <w:spacing w:after="0"/>
              <w:rPr>
                <w:sz w:val="20"/>
                <w:szCs w:val="20"/>
                <w:color w:val="auto"/>
              </w:rPr>
            </w:pPr>
            <w:r>
              <w:rPr>
                <w:rFonts w:ascii="Arial" w:cs="Arial" w:eastAsia="Arial" w:hAnsi="Arial"/>
                <w:sz w:val="16"/>
                <w:szCs w:val="16"/>
                <w:color w:val="auto"/>
              </w:rPr>
              <w:t>Mr. Gartland</w:t>
            </w:r>
          </w:p>
        </w:tc>
        <w:tc>
          <w:tcPr>
            <w:tcW w:w="126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10,000</w:t>
            </w:r>
          </w:p>
        </w:tc>
        <w:tc>
          <w:tcPr>
            <w:tcW w:w="11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457,457</w:t>
            </w:r>
          </w:p>
        </w:tc>
        <w:tc>
          <w:tcPr>
            <w:tcW w:w="1700" w:type="dxa"/>
            <w:vAlign w:val="bottom"/>
            <w:gridSpan w:val="2"/>
            <w:shd w:val="clear" w:color="auto" w:fill="E9E9E9"/>
          </w:tcPr>
          <w:p>
            <w:pPr>
              <w:jc w:val="right"/>
              <w:ind w:right="280"/>
              <w:spacing w:after="0"/>
              <w:rPr>
                <w:sz w:val="20"/>
                <w:szCs w:val="20"/>
                <w:color w:val="auto"/>
              </w:rPr>
            </w:pPr>
            <w:r>
              <w:rPr>
                <w:rFonts w:ascii="Arial" w:cs="Arial" w:eastAsia="Arial" w:hAnsi="Arial"/>
                <w:sz w:val="16"/>
                <w:szCs w:val="16"/>
                <w:color w:val="auto"/>
              </w:rPr>
              <w:t>58,070</w:t>
            </w:r>
          </w:p>
        </w:tc>
        <w:tc>
          <w:tcPr>
            <w:tcW w:w="11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2,255,370</w:t>
            </w:r>
          </w:p>
        </w:tc>
      </w:tr>
      <w:tr>
        <w:trPr>
          <w:trHeight w:val="203"/>
        </w:trPr>
        <w:tc>
          <w:tcPr>
            <w:tcW w:w="4380" w:type="dxa"/>
            <w:vAlign w:val="bottom"/>
          </w:tcPr>
          <w:p>
            <w:pPr>
              <w:ind w:left="60"/>
              <w:spacing w:after="0"/>
              <w:rPr>
                <w:sz w:val="20"/>
                <w:szCs w:val="20"/>
                <w:color w:val="auto"/>
              </w:rPr>
            </w:pPr>
            <w:r>
              <w:rPr>
                <w:rFonts w:ascii="Arial" w:cs="Arial" w:eastAsia="Arial" w:hAnsi="Arial"/>
                <w:sz w:val="16"/>
                <w:szCs w:val="16"/>
                <w:color w:val="auto"/>
              </w:rPr>
              <w:t>Mr. De Shon</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25,000</w:t>
            </w:r>
          </w:p>
        </w:tc>
        <w:tc>
          <w:tcPr>
            <w:tcW w:w="1100" w:type="dxa"/>
            <w:vAlign w:val="bottom"/>
          </w:tcPr>
          <w:p>
            <w:pPr>
              <w:jc w:val="right"/>
              <w:spacing w:after="0"/>
              <w:rPr>
                <w:sz w:val="20"/>
                <w:szCs w:val="20"/>
                <w:color w:val="auto"/>
              </w:rPr>
            </w:pPr>
            <w:r>
              <w:rPr>
                <w:rFonts w:ascii="Arial" w:cs="Arial" w:eastAsia="Arial" w:hAnsi="Arial"/>
                <w:sz w:val="16"/>
                <w:szCs w:val="16"/>
                <w:color w:val="auto"/>
              </w:rPr>
              <w:t>1,147,155</w:t>
            </w:r>
          </w:p>
        </w:tc>
        <w:tc>
          <w:tcPr>
            <w:tcW w:w="1700" w:type="dxa"/>
            <w:vAlign w:val="bottom"/>
            <w:gridSpan w:val="2"/>
          </w:tcPr>
          <w:p>
            <w:pPr>
              <w:jc w:val="right"/>
              <w:ind w:right="280"/>
              <w:spacing w:after="0"/>
              <w:rPr>
                <w:sz w:val="20"/>
                <w:szCs w:val="20"/>
                <w:color w:val="auto"/>
              </w:rPr>
            </w:pPr>
            <w:r>
              <w:rPr>
                <w:rFonts w:ascii="Arial" w:cs="Arial" w:eastAsia="Arial" w:hAnsi="Arial"/>
                <w:sz w:val="16"/>
                <w:szCs w:val="16"/>
                <w:color w:val="auto"/>
              </w:rPr>
              <w:t>58,070</w:t>
            </w:r>
          </w:p>
        </w:tc>
        <w:tc>
          <w:tcPr>
            <w:tcW w:w="1180" w:type="dxa"/>
            <w:vAlign w:val="bottom"/>
          </w:tcPr>
          <w:p>
            <w:pPr>
              <w:jc w:val="right"/>
              <w:spacing w:after="0"/>
              <w:rPr>
                <w:sz w:val="20"/>
                <w:szCs w:val="20"/>
                <w:color w:val="auto"/>
              </w:rPr>
            </w:pPr>
            <w:r>
              <w:rPr>
                <w:rFonts w:ascii="Arial" w:cs="Arial" w:eastAsia="Arial" w:hAnsi="Arial"/>
                <w:sz w:val="16"/>
                <w:szCs w:val="16"/>
                <w:color w:val="auto"/>
              </w:rPr>
              <w:t>2,255,370</w:t>
            </w:r>
          </w:p>
        </w:tc>
      </w:tr>
      <w:tr>
        <w:trPr>
          <w:trHeight w:val="203"/>
        </w:trPr>
        <w:tc>
          <w:tcPr>
            <w:tcW w:w="4380" w:type="dxa"/>
            <w:vAlign w:val="bottom"/>
            <w:tcBorders>
              <w:bottom w:val="single" w:sz="8" w:color="auto"/>
            </w:tcBorders>
            <w:shd w:val="clear" w:color="auto" w:fill="E9E9E9"/>
          </w:tcPr>
          <w:p>
            <w:pPr>
              <w:ind w:left="60"/>
              <w:spacing w:after="0"/>
              <w:rPr>
                <w:sz w:val="20"/>
                <w:szCs w:val="20"/>
                <w:color w:val="auto"/>
              </w:rPr>
            </w:pPr>
            <w:r>
              <w:rPr>
                <w:rFonts w:ascii="Arial" w:cs="Arial" w:eastAsia="Arial" w:hAnsi="Arial"/>
                <w:sz w:val="16"/>
                <w:szCs w:val="16"/>
                <w:color w:val="auto"/>
              </w:rPr>
              <w:t>Mr. Siniscalchi</w:t>
            </w:r>
          </w:p>
        </w:tc>
        <w:tc>
          <w:tcPr>
            <w:tcW w:w="1260" w:type="dxa"/>
            <w:vAlign w:val="bottom"/>
            <w:tcBorders>
              <w:bottom w:val="single" w:sz="8" w:color="auto"/>
            </w:tcBorders>
            <w:shd w:val="clear" w:color="auto" w:fill="E9E9E9"/>
          </w:tcPr>
          <w:p>
            <w:pPr>
              <w:jc w:val="right"/>
              <w:ind w:right="40"/>
              <w:spacing w:after="0"/>
              <w:rPr>
                <w:sz w:val="20"/>
                <w:szCs w:val="20"/>
                <w:color w:val="auto"/>
              </w:rPr>
            </w:pPr>
            <w:r>
              <w:rPr>
                <w:rFonts w:ascii="Arial" w:cs="Arial" w:eastAsia="Arial" w:hAnsi="Arial"/>
                <w:sz w:val="16"/>
                <w:szCs w:val="16"/>
                <w:color w:val="auto"/>
              </w:rPr>
              <w:t>1,700</w:t>
            </w:r>
          </w:p>
        </w:tc>
        <w:tc>
          <w:tcPr>
            <w:tcW w:w="110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31,808</w:t>
            </w:r>
          </w:p>
        </w:tc>
        <w:tc>
          <w:tcPr>
            <w:tcW w:w="1700" w:type="dxa"/>
            <w:vAlign w:val="bottom"/>
            <w:tcBorders>
              <w:bottom w:val="single" w:sz="8" w:color="auto"/>
            </w:tcBorders>
            <w:gridSpan w:val="2"/>
            <w:shd w:val="clear" w:color="auto" w:fill="E9E9E9"/>
          </w:tcPr>
          <w:p>
            <w:pPr>
              <w:jc w:val="right"/>
              <w:ind w:right="280"/>
              <w:spacing w:after="0"/>
              <w:rPr>
                <w:sz w:val="20"/>
                <w:szCs w:val="20"/>
                <w:color w:val="auto"/>
              </w:rPr>
            </w:pPr>
            <w:r>
              <w:rPr>
                <w:rFonts w:ascii="Arial" w:cs="Arial" w:eastAsia="Arial" w:hAnsi="Arial"/>
                <w:sz w:val="16"/>
                <w:szCs w:val="16"/>
                <w:color w:val="auto"/>
              </w:rPr>
              <w:t>44,452</w:t>
            </w:r>
          </w:p>
        </w:tc>
        <w:tc>
          <w:tcPr>
            <w:tcW w:w="118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1,727,403</w:t>
            </w:r>
          </w:p>
        </w:tc>
      </w:tr>
    </w:tbl>
    <w:p>
      <w:pPr>
        <w:spacing w:after="0" w:line="107" w:lineRule="exact"/>
        <w:rPr>
          <w:sz w:val="20"/>
          <w:szCs w:val="20"/>
          <w:color w:val="auto"/>
        </w:rPr>
      </w:pPr>
    </w:p>
    <w:p>
      <w:pPr>
        <w:jc w:val="both"/>
        <w:ind w:left="420" w:right="100" w:hanging="369"/>
        <w:spacing w:after="0" w:line="265" w:lineRule="auto"/>
        <w:tabs>
          <w:tab w:leader="none" w:pos="4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Represents the exercise of stock options granted in 2009 with an exercise price of $0.79 for Messrs. Wyshner, Gartland, and De Shon. For Mr. Wyshner includes, and for Mr. Siniscalchi represents, the exercise of options granted in 2004 and scheduled to expire in 2014, with an exercise price of $33.2593.</w:t>
      </w:r>
    </w:p>
    <w:p>
      <w:pPr>
        <w:ind w:left="420" w:hanging="369"/>
        <w:spacing w:after="0"/>
        <w:tabs>
          <w:tab w:leader="none" w:pos="4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value represents the difference between the price of our Common Stock at the time of exercise and the exercise price.</w:t>
      </w:r>
    </w:p>
    <w:p>
      <w:pPr>
        <w:spacing w:after="0" w:line="19" w:lineRule="exact"/>
        <w:rPr>
          <w:rFonts w:ascii="Arial" w:cs="Arial" w:eastAsia="Arial" w:hAnsi="Arial"/>
          <w:sz w:val="16"/>
          <w:szCs w:val="16"/>
          <w:color w:val="auto"/>
        </w:rPr>
      </w:pPr>
    </w:p>
    <w:p>
      <w:pPr>
        <w:ind w:left="420" w:right="260" w:hanging="369"/>
        <w:spacing w:after="0" w:line="265" w:lineRule="auto"/>
        <w:tabs>
          <w:tab w:leader="none" w:pos="4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vesting of 25% of PSUs granted to Mr. Nelson in 2010; vesting of 33% of RSUs and 100% of PSUs granted to Messrs. Wyshner, Gartland, De Shon and Siniscalchi and 50% of PSUs granted to Mr. Nelson in 2011; vesting of 33% of RSUs granted to Messrs. Wyshner, Gartland, De Shon and Siniscalchi in 2012; and vesting of 33% of RSUs granted for Messrs. Wyshner, Gartland, De Shon and Siniscalchi in 2013.</w:t>
      </w:r>
    </w:p>
    <w:p>
      <w:pPr>
        <w:ind w:left="420" w:hanging="369"/>
        <w:spacing w:after="0"/>
        <w:tabs>
          <w:tab w:leader="none" w:pos="4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Values are based on the closing price of our Common Stock on the date of vesting.</w:t>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620"/>
          </w:cols>
          <w:pgMar w:left="1380" w:top="223" w:right="8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8"/>
        </w:trPr>
        <w:tc>
          <w:tcPr>
            <w:tcW w:w="2100" w:type="dxa"/>
            <w:vAlign w:val="bottom"/>
          </w:tcPr>
          <w:p>
            <w:pPr>
              <w:spacing w:after="0"/>
              <w:rPr>
                <w:sz w:val="20"/>
                <w:szCs w:val="20"/>
                <w:color w:val="auto"/>
              </w:rPr>
            </w:pPr>
            <w:r>
              <w:rPr>
                <w:rFonts w:ascii="Arial" w:cs="Arial" w:eastAsia="Arial" w:hAnsi="Arial"/>
                <w:sz w:val="16"/>
                <w:szCs w:val="16"/>
                <w:b w:val="1"/>
                <w:bCs w:val="1"/>
                <w:color w:val="auto"/>
              </w:rPr>
              <w:t>Pension Benefits Table</w:t>
            </w:r>
          </w:p>
        </w:tc>
        <w:tc>
          <w:tcPr>
            <w:tcW w:w="27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78"/>
        </w:trPr>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20" w:type="dxa"/>
            <w:vAlign w:val="bottom"/>
          </w:tcPr>
          <w:p>
            <w:pPr>
              <w:jc w:val="center"/>
              <w:ind w:left="80"/>
              <w:spacing w:after="0"/>
              <w:rPr>
                <w:sz w:val="20"/>
                <w:szCs w:val="20"/>
                <w:color w:val="auto"/>
              </w:rPr>
            </w:pPr>
            <w:r>
              <w:rPr>
                <w:rFonts w:ascii="Arial" w:cs="Arial" w:eastAsia="Arial" w:hAnsi="Arial"/>
                <w:sz w:val="16"/>
                <w:szCs w:val="16"/>
                <w:b w:val="1"/>
                <w:bCs w:val="1"/>
                <w:color w:val="auto"/>
                <w:w w:val="88"/>
              </w:rPr>
              <w:t>Present Value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7"/>
              </w:rPr>
              <w:t>Payments</w:t>
            </w:r>
          </w:p>
        </w:tc>
      </w:tr>
      <w:tr>
        <w:trPr>
          <w:trHeight w:val="203"/>
        </w:trPr>
        <w:tc>
          <w:tcPr>
            <w:tcW w:w="21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240" w:type="dxa"/>
            <w:vAlign w:val="bottom"/>
          </w:tcPr>
          <w:p>
            <w:pPr>
              <w:jc w:val="center"/>
              <w:ind w:left="120"/>
              <w:spacing w:after="0"/>
              <w:rPr>
                <w:sz w:val="20"/>
                <w:szCs w:val="20"/>
                <w:color w:val="auto"/>
              </w:rPr>
            </w:pPr>
            <w:r>
              <w:rPr>
                <w:rFonts w:ascii="Arial" w:cs="Arial" w:eastAsia="Arial" w:hAnsi="Arial"/>
                <w:sz w:val="16"/>
                <w:szCs w:val="16"/>
                <w:b w:val="1"/>
                <w:bCs w:val="1"/>
                <w:color w:val="auto"/>
                <w:w w:val="89"/>
              </w:rPr>
              <w:t>Number of Years of</w:t>
            </w:r>
          </w:p>
        </w:tc>
        <w:tc>
          <w:tcPr>
            <w:tcW w:w="1420" w:type="dxa"/>
            <w:vAlign w:val="bottom"/>
          </w:tcPr>
          <w:p>
            <w:pPr>
              <w:jc w:val="center"/>
              <w:ind w:left="80"/>
              <w:spacing w:after="0"/>
              <w:rPr>
                <w:sz w:val="20"/>
                <w:szCs w:val="20"/>
                <w:color w:val="auto"/>
              </w:rPr>
            </w:pPr>
            <w:r>
              <w:rPr>
                <w:rFonts w:ascii="Arial" w:cs="Arial" w:eastAsia="Arial" w:hAnsi="Arial"/>
                <w:sz w:val="16"/>
                <w:szCs w:val="16"/>
                <w:b w:val="1"/>
                <w:bCs w:val="1"/>
                <w:color w:val="auto"/>
                <w:w w:val="92"/>
              </w:rPr>
              <w:t>of</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During Last</w:t>
            </w:r>
          </w:p>
        </w:tc>
      </w:tr>
      <w:tr>
        <w:trPr>
          <w:trHeight w:val="203"/>
        </w:trPr>
        <w:tc>
          <w:tcPr>
            <w:tcW w:w="21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240" w:type="dxa"/>
            <w:vAlign w:val="bottom"/>
          </w:tcPr>
          <w:p>
            <w:pPr>
              <w:jc w:val="center"/>
              <w:ind w:left="120"/>
              <w:spacing w:after="0"/>
              <w:rPr>
                <w:sz w:val="20"/>
                <w:szCs w:val="20"/>
                <w:color w:val="auto"/>
              </w:rPr>
            </w:pPr>
            <w:r>
              <w:rPr>
                <w:rFonts w:ascii="Arial" w:cs="Arial" w:eastAsia="Arial" w:hAnsi="Arial"/>
                <w:sz w:val="16"/>
                <w:szCs w:val="16"/>
                <w:b w:val="1"/>
                <w:bCs w:val="1"/>
                <w:color w:val="auto"/>
                <w:w w:val="88"/>
              </w:rPr>
              <w:t>Credited Service</w:t>
            </w:r>
          </w:p>
        </w:tc>
        <w:tc>
          <w:tcPr>
            <w:tcW w:w="1420" w:type="dxa"/>
            <w:vAlign w:val="bottom"/>
          </w:tcPr>
          <w:p>
            <w:pPr>
              <w:jc w:val="center"/>
              <w:ind w:left="80"/>
              <w:spacing w:after="0"/>
              <w:rPr>
                <w:sz w:val="20"/>
                <w:szCs w:val="20"/>
                <w:color w:val="auto"/>
              </w:rPr>
            </w:pPr>
            <w:r>
              <w:rPr>
                <w:rFonts w:ascii="Arial" w:cs="Arial" w:eastAsia="Arial" w:hAnsi="Arial"/>
                <w:sz w:val="16"/>
                <w:szCs w:val="16"/>
                <w:b w:val="1"/>
                <w:bCs w:val="1"/>
                <w:color w:val="auto"/>
                <w:w w:val="89"/>
              </w:rPr>
              <w:t>Accumulated</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9"/>
              </w:rPr>
              <w:t>Fiscal Year</w:t>
            </w:r>
          </w:p>
        </w:tc>
      </w:tr>
      <w:tr>
        <w:trPr>
          <w:trHeight w:val="208"/>
        </w:trPr>
        <w:tc>
          <w:tcPr>
            <w:tcW w:w="21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w:t>
            </w:r>
          </w:p>
        </w:tc>
        <w:tc>
          <w:tcPr>
            <w:tcW w:w="2760" w:type="dxa"/>
            <w:vAlign w:val="bottom"/>
            <w:tcBorders>
              <w:bottom w:val="single" w:sz="8" w:color="auto"/>
            </w:tcBorders>
          </w:tcPr>
          <w:p>
            <w:pPr>
              <w:ind w:left="1200"/>
              <w:spacing w:after="0"/>
              <w:rPr>
                <w:sz w:val="20"/>
                <w:szCs w:val="20"/>
                <w:color w:val="auto"/>
              </w:rPr>
            </w:pPr>
            <w:r>
              <w:rPr>
                <w:rFonts w:ascii="Arial" w:cs="Arial" w:eastAsia="Arial" w:hAnsi="Arial"/>
                <w:sz w:val="16"/>
                <w:szCs w:val="16"/>
                <w:b w:val="1"/>
                <w:bCs w:val="1"/>
                <w:color w:val="auto"/>
              </w:rPr>
              <w:t>Plan Name (a)</w:t>
            </w:r>
          </w:p>
        </w:tc>
        <w:tc>
          <w:tcPr>
            <w:tcW w:w="2240" w:type="dxa"/>
            <w:vAlign w:val="bottom"/>
            <w:tcBorders>
              <w:bottom w:val="single" w:sz="8" w:color="auto"/>
            </w:tcBorders>
          </w:tcPr>
          <w:p>
            <w:pPr>
              <w:jc w:val="center"/>
              <w:ind w:left="120"/>
              <w:spacing w:after="0"/>
              <w:rPr>
                <w:sz w:val="20"/>
                <w:szCs w:val="20"/>
                <w:color w:val="auto"/>
              </w:rPr>
            </w:pPr>
            <w:r>
              <w:rPr>
                <w:rFonts w:ascii="Arial" w:cs="Arial" w:eastAsia="Arial" w:hAnsi="Arial"/>
                <w:sz w:val="16"/>
                <w:szCs w:val="16"/>
                <w:b w:val="1"/>
                <w:bCs w:val="1"/>
                <w:color w:val="auto"/>
                <w:w w:val="91"/>
              </w:rPr>
              <w:t>(#)(a)</w:t>
            </w:r>
          </w:p>
        </w:tc>
        <w:tc>
          <w:tcPr>
            <w:tcW w:w="1420" w:type="dxa"/>
            <w:vAlign w:val="bottom"/>
            <w:tcBorders>
              <w:bottom w:val="single" w:sz="8" w:color="auto"/>
            </w:tcBorders>
          </w:tcPr>
          <w:p>
            <w:pPr>
              <w:jc w:val="center"/>
              <w:ind w:left="80"/>
              <w:spacing w:after="0"/>
              <w:rPr>
                <w:sz w:val="20"/>
                <w:szCs w:val="20"/>
                <w:color w:val="auto"/>
              </w:rPr>
            </w:pPr>
            <w:r>
              <w:rPr>
                <w:rFonts w:ascii="Arial" w:cs="Arial" w:eastAsia="Arial" w:hAnsi="Arial"/>
                <w:sz w:val="16"/>
                <w:szCs w:val="16"/>
                <w:b w:val="1"/>
                <w:bCs w:val="1"/>
                <w:color w:val="auto"/>
                <w:w w:val="91"/>
              </w:rPr>
              <w:t>Benefit ($)(a)</w:t>
            </w:r>
          </w:p>
        </w:tc>
        <w:tc>
          <w:tcPr>
            <w:tcW w:w="110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w:t>
            </w:r>
          </w:p>
        </w:tc>
      </w:tr>
      <w:tr>
        <w:trPr>
          <w:trHeight w:val="195"/>
        </w:trPr>
        <w:tc>
          <w:tcPr>
            <w:tcW w:w="2100" w:type="dxa"/>
            <w:vAlign w:val="bottom"/>
            <w:shd w:val="clear" w:color="auto" w:fill="E9E9E9"/>
          </w:tcPr>
          <w:p>
            <w:pPr>
              <w:ind w:left="60"/>
              <w:spacing w:after="0"/>
              <w:rPr>
                <w:sz w:val="20"/>
                <w:szCs w:val="20"/>
                <w:color w:val="auto"/>
              </w:rPr>
            </w:pPr>
            <w:r>
              <w:rPr>
                <w:rFonts w:ascii="Arial" w:cs="Arial" w:eastAsia="Arial" w:hAnsi="Arial"/>
                <w:sz w:val="16"/>
                <w:szCs w:val="16"/>
                <w:color w:val="auto"/>
              </w:rPr>
              <w:t>Mr. Siniscalchi</w:t>
            </w:r>
          </w:p>
        </w:tc>
        <w:tc>
          <w:tcPr>
            <w:tcW w:w="2760" w:type="dxa"/>
            <w:vAlign w:val="bottom"/>
            <w:shd w:val="clear" w:color="auto" w:fill="E9E9E9"/>
          </w:tcPr>
          <w:p>
            <w:pPr>
              <w:ind w:left="580"/>
              <w:spacing w:after="0"/>
              <w:rPr>
                <w:sz w:val="20"/>
                <w:szCs w:val="20"/>
                <w:color w:val="auto"/>
              </w:rPr>
            </w:pPr>
            <w:r>
              <w:rPr>
                <w:rFonts w:ascii="Arial" w:cs="Arial" w:eastAsia="Arial" w:hAnsi="Arial"/>
                <w:sz w:val="16"/>
                <w:szCs w:val="16"/>
                <w:color w:val="auto"/>
              </w:rPr>
              <w:t>Avis Rent A Car System,</w:t>
            </w:r>
          </w:p>
        </w:tc>
        <w:tc>
          <w:tcPr>
            <w:tcW w:w="2240" w:type="dxa"/>
            <w:vAlign w:val="bottom"/>
            <w:shd w:val="clear" w:color="auto" w:fill="E9E9E9"/>
          </w:tcPr>
          <w:p>
            <w:pPr>
              <w:jc w:val="center"/>
              <w:ind w:left="120"/>
              <w:spacing w:after="0"/>
              <w:rPr>
                <w:sz w:val="20"/>
                <w:szCs w:val="20"/>
                <w:color w:val="auto"/>
              </w:rPr>
            </w:pPr>
            <w:r>
              <w:rPr>
                <w:rFonts w:ascii="Arial" w:cs="Arial" w:eastAsia="Arial" w:hAnsi="Arial"/>
                <w:sz w:val="16"/>
                <w:szCs w:val="16"/>
                <w:color w:val="auto"/>
                <w:w w:val="86"/>
              </w:rPr>
              <w:t>43 years, 4 months as</w:t>
            </w:r>
          </w:p>
        </w:tc>
        <w:tc>
          <w:tcPr>
            <w:tcW w:w="1420" w:type="dxa"/>
            <w:vAlign w:val="bottom"/>
            <w:shd w:val="clear" w:color="auto" w:fill="E9E9E9"/>
          </w:tcPr>
          <w:p>
            <w:pPr>
              <w:jc w:val="right"/>
              <w:ind w:right="300"/>
              <w:spacing w:after="0"/>
              <w:rPr>
                <w:sz w:val="20"/>
                <w:szCs w:val="20"/>
                <w:color w:val="auto"/>
              </w:rPr>
            </w:pPr>
            <w:r>
              <w:rPr>
                <w:rFonts w:ascii="Arial" w:cs="Arial" w:eastAsia="Arial" w:hAnsi="Arial"/>
                <w:sz w:val="16"/>
                <w:szCs w:val="16"/>
                <w:color w:val="auto"/>
              </w:rPr>
              <w:t>801,039</w:t>
            </w:r>
          </w:p>
        </w:tc>
        <w:tc>
          <w:tcPr>
            <w:tcW w:w="1100" w:type="dxa"/>
            <w:vAlign w:val="bottom"/>
            <w:shd w:val="clear" w:color="auto" w:fill="E9E9E9"/>
          </w:tcPr>
          <w:p>
            <w:pPr>
              <w:jc w:val="right"/>
              <w:ind w:right="360"/>
              <w:spacing w:after="0"/>
              <w:rPr>
                <w:sz w:val="20"/>
                <w:szCs w:val="20"/>
                <w:color w:val="auto"/>
              </w:rPr>
            </w:pPr>
            <w:r>
              <w:rPr>
                <w:rFonts w:ascii="Arial" w:cs="Arial" w:eastAsia="Arial" w:hAnsi="Arial"/>
                <w:sz w:val="16"/>
                <w:szCs w:val="16"/>
                <w:color w:val="auto"/>
              </w:rPr>
              <w:t>—</w:t>
            </w:r>
          </w:p>
        </w:tc>
      </w:tr>
      <w:tr>
        <w:trPr>
          <w:trHeight w:val="204"/>
        </w:trPr>
        <w:tc>
          <w:tcPr>
            <w:tcW w:w="2100" w:type="dxa"/>
            <w:vAlign w:val="bottom"/>
            <w:shd w:val="clear" w:color="auto" w:fill="E9E9E9"/>
          </w:tcPr>
          <w:p>
            <w:pPr>
              <w:spacing w:after="0"/>
              <w:rPr>
                <w:sz w:val="17"/>
                <w:szCs w:val="17"/>
                <w:color w:val="auto"/>
              </w:rPr>
            </w:pPr>
          </w:p>
        </w:tc>
        <w:tc>
          <w:tcPr>
            <w:tcW w:w="2760" w:type="dxa"/>
            <w:vAlign w:val="bottom"/>
            <w:shd w:val="clear" w:color="auto" w:fill="E9E9E9"/>
          </w:tcPr>
          <w:p>
            <w:pPr>
              <w:ind w:left="580"/>
              <w:spacing w:after="0"/>
              <w:rPr>
                <w:sz w:val="20"/>
                <w:szCs w:val="20"/>
                <w:color w:val="auto"/>
              </w:rPr>
            </w:pPr>
            <w:r>
              <w:rPr>
                <w:rFonts w:ascii="Arial" w:cs="Arial" w:eastAsia="Arial" w:hAnsi="Arial"/>
                <w:sz w:val="16"/>
                <w:szCs w:val="16"/>
                <w:color w:val="auto"/>
              </w:rPr>
              <w:t>LLC Pension Plan</w:t>
            </w:r>
          </w:p>
        </w:tc>
        <w:tc>
          <w:tcPr>
            <w:tcW w:w="2240" w:type="dxa"/>
            <w:vAlign w:val="bottom"/>
            <w:shd w:val="clear" w:color="auto" w:fill="E9E9E9"/>
          </w:tcPr>
          <w:p>
            <w:pPr>
              <w:jc w:val="center"/>
              <w:ind w:left="120"/>
              <w:spacing w:after="0"/>
              <w:rPr>
                <w:sz w:val="20"/>
                <w:szCs w:val="20"/>
                <w:color w:val="auto"/>
              </w:rPr>
            </w:pPr>
            <w:r>
              <w:rPr>
                <w:rFonts w:ascii="Arial" w:cs="Arial" w:eastAsia="Arial" w:hAnsi="Arial"/>
                <w:sz w:val="16"/>
                <w:szCs w:val="16"/>
                <w:color w:val="auto"/>
                <w:w w:val="89"/>
              </w:rPr>
              <w:t>of 12/31/14</w:t>
            </w:r>
          </w:p>
        </w:tc>
        <w:tc>
          <w:tcPr>
            <w:tcW w:w="1420" w:type="dxa"/>
            <w:vAlign w:val="bottom"/>
            <w:shd w:val="clear" w:color="auto" w:fill="E9E9E9"/>
          </w:tcPr>
          <w:p>
            <w:pPr>
              <w:spacing w:after="0"/>
              <w:rPr>
                <w:sz w:val="17"/>
                <w:szCs w:val="17"/>
                <w:color w:val="auto"/>
              </w:rPr>
            </w:pPr>
          </w:p>
        </w:tc>
        <w:tc>
          <w:tcPr>
            <w:tcW w:w="1100" w:type="dxa"/>
            <w:vAlign w:val="bottom"/>
            <w:shd w:val="clear" w:color="auto" w:fill="E9E9E9"/>
          </w:tcPr>
          <w:p>
            <w:pPr>
              <w:spacing w:after="0"/>
              <w:rPr>
                <w:sz w:val="17"/>
                <w:szCs w:val="17"/>
                <w:color w:val="auto"/>
              </w:rPr>
            </w:pPr>
          </w:p>
        </w:tc>
      </w:tr>
      <w:tr>
        <w:trPr>
          <w:trHeight w:val="203"/>
        </w:trPr>
        <w:tc>
          <w:tcPr>
            <w:tcW w:w="2100" w:type="dxa"/>
            <w:vAlign w:val="bottom"/>
          </w:tcPr>
          <w:p>
            <w:pPr>
              <w:ind w:left="60"/>
              <w:spacing w:after="0"/>
              <w:rPr>
                <w:sz w:val="20"/>
                <w:szCs w:val="20"/>
                <w:color w:val="auto"/>
              </w:rPr>
            </w:pPr>
            <w:r>
              <w:rPr>
                <w:rFonts w:ascii="Arial" w:cs="Arial" w:eastAsia="Arial" w:hAnsi="Arial"/>
                <w:sz w:val="16"/>
                <w:szCs w:val="16"/>
                <w:color w:val="auto"/>
              </w:rPr>
              <w:t>Mr. Siniscalchi</w:t>
            </w:r>
          </w:p>
        </w:tc>
        <w:tc>
          <w:tcPr>
            <w:tcW w:w="2760" w:type="dxa"/>
            <w:vAlign w:val="bottom"/>
          </w:tcPr>
          <w:p>
            <w:pPr>
              <w:ind w:left="580"/>
              <w:spacing w:after="0"/>
              <w:rPr>
                <w:sz w:val="20"/>
                <w:szCs w:val="20"/>
                <w:color w:val="auto"/>
              </w:rPr>
            </w:pPr>
            <w:r>
              <w:rPr>
                <w:rFonts w:ascii="Arial" w:cs="Arial" w:eastAsia="Arial" w:hAnsi="Arial"/>
                <w:sz w:val="16"/>
                <w:szCs w:val="16"/>
                <w:color w:val="auto"/>
              </w:rPr>
              <w:t>Avis Rent A Car System,</w:t>
            </w:r>
          </w:p>
        </w:tc>
        <w:tc>
          <w:tcPr>
            <w:tcW w:w="2240" w:type="dxa"/>
            <w:vAlign w:val="bottom"/>
          </w:tcPr>
          <w:p>
            <w:pPr>
              <w:jc w:val="center"/>
              <w:ind w:left="120"/>
              <w:spacing w:after="0"/>
              <w:rPr>
                <w:sz w:val="20"/>
                <w:szCs w:val="20"/>
                <w:color w:val="auto"/>
              </w:rPr>
            </w:pPr>
            <w:r>
              <w:rPr>
                <w:rFonts w:ascii="Arial" w:cs="Arial" w:eastAsia="Arial" w:hAnsi="Arial"/>
                <w:sz w:val="16"/>
                <w:szCs w:val="16"/>
                <w:color w:val="auto"/>
                <w:w w:val="86"/>
              </w:rPr>
              <w:t>43 years, 4 months as</w:t>
            </w:r>
          </w:p>
        </w:tc>
        <w:tc>
          <w:tcPr>
            <w:tcW w:w="1420" w:type="dxa"/>
            <w:vAlign w:val="bottom"/>
          </w:tcPr>
          <w:p>
            <w:pPr>
              <w:jc w:val="right"/>
              <w:ind w:right="340"/>
              <w:spacing w:after="0"/>
              <w:rPr>
                <w:sz w:val="20"/>
                <w:szCs w:val="20"/>
                <w:color w:val="auto"/>
              </w:rPr>
            </w:pPr>
            <w:r>
              <w:rPr>
                <w:rFonts w:ascii="Arial" w:cs="Arial" w:eastAsia="Arial" w:hAnsi="Arial"/>
                <w:sz w:val="16"/>
                <w:szCs w:val="16"/>
                <w:color w:val="auto"/>
              </w:rPr>
              <w:t>73,669</w:t>
            </w:r>
          </w:p>
        </w:tc>
        <w:tc>
          <w:tcPr>
            <w:tcW w:w="1100" w:type="dxa"/>
            <w:vAlign w:val="bottom"/>
          </w:tcPr>
          <w:p>
            <w:pPr>
              <w:jc w:val="right"/>
              <w:ind w:right="360"/>
              <w:spacing w:after="0"/>
              <w:rPr>
                <w:sz w:val="20"/>
                <w:szCs w:val="20"/>
                <w:color w:val="auto"/>
              </w:rPr>
            </w:pPr>
            <w:r>
              <w:rPr>
                <w:rFonts w:ascii="Arial" w:cs="Arial" w:eastAsia="Arial" w:hAnsi="Arial"/>
                <w:sz w:val="16"/>
                <w:szCs w:val="16"/>
                <w:color w:val="auto"/>
              </w:rPr>
              <w:t>—</w:t>
            </w:r>
          </w:p>
        </w:tc>
      </w:tr>
      <w:tr>
        <w:trPr>
          <w:trHeight w:val="203"/>
        </w:trPr>
        <w:tc>
          <w:tcPr>
            <w:tcW w:w="2100" w:type="dxa"/>
            <w:vAlign w:val="bottom"/>
          </w:tcPr>
          <w:p>
            <w:pPr>
              <w:spacing w:after="0"/>
              <w:rPr>
                <w:sz w:val="17"/>
                <w:szCs w:val="17"/>
                <w:color w:val="auto"/>
              </w:rPr>
            </w:pPr>
          </w:p>
        </w:tc>
        <w:tc>
          <w:tcPr>
            <w:tcW w:w="2760" w:type="dxa"/>
            <w:vAlign w:val="bottom"/>
          </w:tcPr>
          <w:p>
            <w:pPr>
              <w:ind w:left="580"/>
              <w:spacing w:after="0"/>
              <w:rPr>
                <w:sz w:val="20"/>
                <w:szCs w:val="20"/>
                <w:color w:val="auto"/>
              </w:rPr>
            </w:pPr>
            <w:r>
              <w:rPr>
                <w:rFonts w:ascii="Arial" w:cs="Arial" w:eastAsia="Arial" w:hAnsi="Arial"/>
                <w:sz w:val="16"/>
                <w:szCs w:val="16"/>
                <w:color w:val="auto"/>
              </w:rPr>
              <w:t>LLC Retirement</w:t>
            </w:r>
          </w:p>
        </w:tc>
        <w:tc>
          <w:tcPr>
            <w:tcW w:w="2240" w:type="dxa"/>
            <w:vAlign w:val="bottom"/>
          </w:tcPr>
          <w:p>
            <w:pPr>
              <w:jc w:val="center"/>
              <w:ind w:left="120"/>
              <w:spacing w:after="0"/>
              <w:rPr>
                <w:sz w:val="20"/>
                <w:szCs w:val="20"/>
                <w:color w:val="auto"/>
              </w:rPr>
            </w:pPr>
            <w:r>
              <w:rPr>
                <w:rFonts w:ascii="Arial" w:cs="Arial" w:eastAsia="Arial" w:hAnsi="Arial"/>
                <w:sz w:val="16"/>
                <w:szCs w:val="16"/>
                <w:color w:val="auto"/>
                <w:w w:val="89"/>
              </w:rPr>
              <w:t>of 12/31/14</w:t>
            </w: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4"/>
        </w:trPr>
        <w:tc>
          <w:tcPr>
            <w:tcW w:w="21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Equalization Benefit Plan</w:t>
            </w:r>
          </w:p>
        </w:tc>
        <w:tc>
          <w:tcPr>
            <w:tcW w:w="2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bl>
    <w:p>
      <w:pPr>
        <w:spacing w:after="0" w:line="107" w:lineRule="exact"/>
        <w:rPr>
          <w:sz w:val="20"/>
          <w:szCs w:val="20"/>
          <w:color w:val="auto"/>
        </w:rPr>
      </w:pPr>
    </w:p>
    <w:p>
      <w:pPr>
        <w:ind w:left="420" w:right="160" w:hanging="369"/>
        <w:spacing w:after="0" w:line="265" w:lineRule="auto"/>
        <w:tabs>
          <w:tab w:leader="none" w:pos="4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Avis froze its qualified and non-qualified defined benefit pension plans to new participation and future benefit accruals as of December 31, 1998. Mr. Siniscalchi is the only NEO who participated in these plans. Prior to December 31, 1998, Mr. Siniscalchi earned the right to receive certain benefits upon retirement at the retirement age of 65 or upon early retirement on or after age 55. For a discussion of the calculation of retirement benefits, please see Note 17 to our audited financial statements for the fiscal year ended December 31, 2014, included in our 2014 Form 10-K.</w:t>
      </w:r>
    </w:p>
    <w:p>
      <w:pPr>
        <w:ind w:left="420" w:right="340"/>
        <w:spacing w:after="0" w:line="265" w:lineRule="auto"/>
        <w:rPr>
          <w:rFonts w:ascii="Arial" w:cs="Arial" w:eastAsia="Arial" w:hAnsi="Arial"/>
          <w:sz w:val="16"/>
          <w:szCs w:val="16"/>
          <w:color w:val="auto"/>
        </w:rPr>
      </w:pPr>
      <w:r>
        <w:rPr>
          <w:rFonts w:ascii="Arial" w:cs="Arial" w:eastAsia="Arial" w:hAnsi="Arial"/>
          <w:sz w:val="16"/>
          <w:szCs w:val="16"/>
          <w:color w:val="auto"/>
        </w:rPr>
        <w:t>The Avis Rent A Car System, LLC Pension Plan is a qualified, final average pay type of retirement plan that pays unreduced benefits upon attainment of age 65. The retirement benefit is calculated by multiplying years of credited service and final average pay (five highest consecutive years earnings in the ten years immediately preceding the December 31, 1998 plan freeze date) and reducing that amount by a portion of estimated Social Security old age benefits payable at age 65. The normal form of payment is a 50% joint and survivor annuity (assuming the participant is married at the time benefit payments commence). Alternate forms of annuity payments and a lump-sum option may be selected, if approved by the spouse.</w:t>
      </w:r>
    </w:p>
    <w:p>
      <w:pPr>
        <w:ind w:left="420" w:right="160"/>
        <w:spacing w:after="0" w:line="270" w:lineRule="auto"/>
        <w:rPr>
          <w:rFonts w:ascii="Arial" w:cs="Arial" w:eastAsia="Arial" w:hAnsi="Arial"/>
          <w:sz w:val="16"/>
          <w:szCs w:val="16"/>
          <w:color w:val="auto"/>
        </w:rPr>
      </w:pPr>
      <w:r>
        <w:rPr>
          <w:rFonts w:ascii="Arial" w:cs="Arial" w:eastAsia="Arial" w:hAnsi="Arial"/>
          <w:sz w:val="16"/>
          <w:szCs w:val="16"/>
          <w:color w:val="auto"/>
        </w:rPr>
        <w:t>The Avis Rent A Car System, LLC Retirement Equalization Benefit Plan is a non-qualified Supplemental Executive Retirement Plan. Payments under the retirement plan are calculated by using the same formula that applies to the qualified plan except that final average earnings under the non-qualified plan are those earnings, prior to the December 31, 1998 plan freeze date that exceeded the limitations imposed by Section 415 of the Code. As with the qualified plan, unreduced benefits are payable upon the attainment of age 65. The normal form of payment under the Supplemental Executive Retirement plan is a single life annuity. Actuarially equivalent optional forms of payment are available.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360" w:type="dxa"/>
            <w:vAlign w:val="bottom"/>
          </w:tcPr>
          <w:p>
            <w:pPr>
              <w:spacing w:after="0"/>
              <w:rPr>
                <w:sz w:val="20"/>
                <w:szCs w:val="20"/>
                <w:color w:val="auto"/>
              </w:rPr>
            </w:pPr>
            <w:r>
              <w:rPr>
                <w:rFonts w:ascii="Arial" w:cs="Arial" w:eastAsia="Arial" w:hAnsi="Arial"/>
                <w:sz w:val="16"/>
                <w:szCs w:val="16"/>
                <w:b w:val="1"/>
                <w:bCs w:val="1"/>
                <w:color w:val="auto"/>
                <w:w w:val="99"/>
              </w:rPr>
              <w:t>Non-qualified Deferred Compensation Table</w:t>
            </w:r>
          </w:p>
        </w:tc>
        <w:tc>
          <w:tcPr>
            <w:tcW w:w="1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66"/>
        </w:trPr>
        <w:tc>
          <w:tcPr>
            <w:tcW w:w="3360" w:type="dxa"/>
            <w:vAlign w:val="bottom"/>
          </w:tcPr>
          <w:p>
            <w:pPr>
              <w:spacing w:after="0"/>
              <w:rPr>
                <w:sz w:val="24"/>
                <w:szCs w:val="24"/>
                <w:color w:val="auto"/>
              </w:rPr>
            </w:pPr>
          </w:p>
        </w:tc>
        <w:tc>
          <w:tcPr>
            <w:tcW w:w="1480" w:type="dxa"/>
            <w:vAlign w:val="bottom"/>
          </w:tcPr>
          <w:p>
            <w:pPr>
              <w:jc w:val="center"/>
              <w:ind w:left="100"/>
              <w:spacing w:after="0"/>
              <w:rPr>
                <w:sz w:val="20"/>
                <w:szCs w:val="20"/>
                <w:color w:val="auto"/>
              </w:rPr>
            </w:pPr>
            <w:r>
              <w:rPr>
                <w:rFonts w:ascii="Arial" w:cs="Arial" w:eastAsia="Arial" w:hAnsi="Arial"/>
                <w:sz w:val="16"/>
                <w:szCs w:val="16"/>
                <w:b w:val="1"/>
                <w:bCs w:val="1"/>
                <w:color w:val="auto"/>
                <w:w w:val="88"/>
              </w:rPr>
              <w:t>Executive</w:t>
            </w:r>
          </w:p>
        </w:tc>
        <w:tc>
          <w:tcPr>
            <w:tcW w:w="1260" w:type="dxa"/>
            <w:vAlign w:val="bottom"/>
          </w:tcPr>
          <w:p>
            <w:pPr>
              <w:jc w:val="center"/>
              <w:ind w:right="60"/>
              <w:spacing w:after="0"/>
              <w:rPr>
                <w:sz w:val="20"/>
                <w:szCs w:val="20"/>
                <w:color w:val="auto"/>
              </w:rPr>
            </w:pPr>
            <w:r>
              <w:rPr>
                <w:rFonts w:ascii="Arial" w:cs="Arial" w:eastAsia="Arial" w:hAnsi="Arial"/>
                <w:sz w:val="16"/>
                <w:szCs w:val="16"/>
                <w:b w:val="1"/>
                <w:bCs w:val="1"/>
                <w:color w:val="auto"/>
                <w:w w:val="90"/>
              </w:rPr>
              <w:t>Registrant</w:t>
            </w:r>
          </w:p>
        </w:tc>
        <w:tc>
          <w:tcPr>
            <w:tcW w:w="1140" w:type="dxa"/>
            <w:vAlign w:val="bottom"/>
          </w:tcPr>
          <w:p>
            <w:pPr>
              <w:jc w:val="center"/>
              <w:ind w:right="40"/>
              <w:spacing w:after="0"/>
              <w:rPr>
                <w:sz w:val="20"/>
                <w:szCs w:val="20"/>
                <w:color w:val="auto"/>
              </w:rPr>
            </w:pPr>
            <w:r>
              <w:rPr>
                <w:rFonts w:ascii="Arial" w:cs="Arial" w:eastAsia="Arial" w:hAnsi="Arial"/>
                <w:sz w:val="16"/>
                <w:szCs w:val="16"/>
                <w:b w:val="1"/>
                <w:bCs w:val="1"/>
                <w:color w:val="auto"/>
                <w:w w:val="88"/>
              </w:rPr>
              <w:t>Aggregate</w:t>
            </w:r>
          </w:p>
        </w:tc>
        <w:tc>
          <w:tcPr>
            <w:tcW w:w="1300" w:type="dxa"/>
            <w:vAlign w:val="bottom"/>
          </w:tcPr>
          <w:p>
            <w:pPr>
              <w:jc w:val="center"/>
              <w:ind w:right="80"/>
              <w:spacing w:after="0"/>
              <w:rPr>
                <w:sz w:val="20"/>
                <w:szCs w:val="20"/>
                <w:color w:val="auto"/>
              </w:rPr>
            </w:pPr>
            <w:r>
              <w:rPr>
                <w:rFonts w:ascii="Arial" w:cs="Arial" w:eastAsia="Arial" w:hAnsi="Arial"/>
                <w:sz w:val="16"/>
                <w:szCs w:val="16"/>
                <w:b w:val="1"/>
                <w:bCs w:val="1"/>
                <w:color w:val="auto"/>
                <w:w w:val="88"/>
              </w:rPr>
              <w:t>Aggregate</w:t>
            </w:r>
          </w:p>
        </w:tc>
        <w:tc>
          <w:tcPr>
            <w:tcW w:w="1080" w:type="dxa"/>
            <w:vAlign w:val="bottom"/>
          </w:tcPr>
          <w:p>
            <w:pPr>
              <w:jc w:val="center"/>
              <w:ind w:right="40"/>
              <w:spacing w:after="0"/>
              <w:rPr>
                <w:sz w:val="20"/>
                <w:szCs w:val="20"/>
                <w:color w:val="auto"/>
              </w:rPr>
            </w:pPr>
            <w:r>
              <w:rPr>
                <w:rFonts w:ascii="Arial" w:cs="Arial" w:eastAsia="Arial" w:hAnsi="Arial"/>
                <w:sz w:val="16"/>
                <w:szCs w:val="16"/>
                <w:b w:val="1"/>
                <w:bCs w:val="1"/>
                <w:color w:val="auto"/>
                <w:w w:val="85"/>
              </w:rPr>
              <w:t>Aggregate</w:t>
            </w:r>
          </w:p>
        </w:tc>
      </w:tr>
      <w:tr>
        <w:trPr>
          <w:trHeight w:val="203"/>
        </w:trPr>
        <w:tc>
          <w:tcPr>
            <w:tcW w:w="3360" w:type="dxa"/>
            <w:vAlign w:val="bottom"/>
          </w:tcPr>
          <w:p>
            <w:pPr>
              <w:spacing w:after="0"/>
              <w:rPr>
                <w:sz w:val="17"/>
                <w:szCs w:val="17"/>
                <w:color w:val="auto"/>
              </w:rPr>
            </w:pPr>
          </w:p>
        </w:tc>
        <w:tc>
          <w:tcPr>
            <w:tcW w:w="1480" w:type="dxa"/>
            <w:vAlign w:val="bottom"/>
          </w:tcPr>
          <w:p>
            <w:pPr>
              <w:jc w:val="center"/>
              <w:ind w:left="80"/>
              <w:spacing w:after="0"/>
              <w:rPr>
                <w:sz w:val="20"/>
                <w:szCs w:val="20"/>
                <w:color w:val="auto"/>
              </w:rPr>
            </w:pPr>
            <w:r>
              <w:rPr>
                <w:rFonts w:ascii="Arial" w:cs="Arial" w:eastAsia="Arial" w:hAnsi="Arial"/>
                <w:sz w:val="16"/>
                <w:szCs w:val="16"/>
                <w:b w:val="1"/>
                <w:bCs w:val="1"/>
                <w:color w:val="auto"/>
                <w:w w:val="91"/>
              </w:rPr>
              <w:t>Contributions</w:t>
            </w:r>
          </w:p>
        </w:tc>
        <w:tc>
          <w:tcPr>
            <w:tcW w:w="1260" w:type="dxa"/>
            <w:vAlign w:val="bottom"/>
          </w:tcPr>
          <w:p>
            <w:pPr>
              <w:jc w:val="center"/>
              <w:ind w:right="60"/>
              <w:spacing w:after="0"/>
              <w:rPr>
                <w:sz w:val="20"/>
                <w:szCs w:val="20"/>
                <w:color w:val="auto"/>
              </w:rPr>
            </w:pPr>
            <w:r>
              <w:rPr>
                <w:rFonts w:ascii="Arial" w:cs="Arial" w:eastAsia="Arial" w:hAnsi="Arial"/>
                <w:sz w:val="16"/>
                <w:szCs w:val="16"/>
                <w:b w:val="1"/>
                <w:bCs w:val="1"/>
                <w:color w:val="auto"/>
                <w:w w:val="91"/>
              </w:rPr>
              <w:t>Contributions</w:t>
            </w:r>
          </w:p>
        </w:tc>
        <w:tc>
          <w:tcPr>
            <w:tcW w:w="1140" w:type="dxa"/>
            <w:vAlign w:val="bottom"/>
          </w:tcPr>
          <w:p>
            <w:pPr>
              <w:jc w:val="center"/>
              <w:ind w:right="40"/>
              <w:spacing w:after="0"/>
              <w:rPr>
                <w:sz w:val="20"/>
                <w:szCs w:val="20"/>
                <w:color w:val="auto"/>
              </w:rPr>
            </w:pPr>
            <w:r>
              <w:rPr>
                <w:rFonts w:ascii="Arial" w:cs="Arial" w:eastAsia="Arial" w:hAnsi="Arial"/>
                <w:sz w:val="16"/>
                <w:szCs w:val="16"/>
                <w:b w:val="1"/>
                <w:bCs w:val="1"/>
                <w:color w:val="auto"/>
                <w:w w:val="90"/>
              </w:rPr>
              <w:t>Earnings</w:t>
            </w:r>
          </w:p>
        </w:tc>
        <w:tc>
          <w:tcPr>
            <w:tcW w:w="1300" w:type="dxa"/>
            <w:vAlign w:val="bottom"/>
          </w:tcPr>
          <w:p>
            <w:pPr>
              <w:jc w:val="center"/>
              <w:ind w:right="80"/>
              <w:spacing w:after="0"/>
              <w:rPr>
                <w:sz w:val="20"/>
                <w:szCs w:val="20"/>
                <w:color w:val="auto"/>
              </w:rPr>
            </w:pPr>
            <w:r>
              <w:rPr>
                <w:rFonts w:ascii="Arial" w:cs="Arial" w:eastAsia="Arial" w:hAnsi="Arial"/>
                <w:sz w:val="16"/>
                <w:szCs w:val="16"/>
                <w:b w:val="1"/>
                <w:bCs w:val="1"/>
                <w:color w:val="auto"/>
                <w:w w:val="95"/>
              </w:rPr>
              <w:t>Withdrawals/</w:t>
            </w:r>
          </w:p>
        </w:tc>
        <w:tc>
          <w:tcPr>
            <w:tcW w:w="1080" w:type="dxa"/>
            <w:vAlign w:val="bottom"/>
          </w:tcPr>
          <w:p>
            <w:pPr>
              <w:jc w:val="center"/>
              <w:ind w:right="40"/>
              <w:spacing w:after="0"/>
              <w:rPr>
                <w:sz w:val="20"/>
                <w:szCs w:val="20"/>
                <w:color w:val="auto"/>
              </w:rPr>
            </w:pPr>
            <w:r>
              <w:rPr>
                <w:rFonts w:ascii="Arial" w:cs="Arial" w:eastAsia="Arial" w:hAnsi="Arial"/>
                <w:sz w:val="16"/>
                <w:szCs w:val="16"/>
                <w:b w:val="1"/>
                <w:bCs w:val="1"/>
                <w:color w:val="auto"/>
                <w:w w:val="89"/>
              </w:rPr>
              <w:t>Balance at</w:t>
            </w:r>
          </w:p>
        </w:tc>
      </w:tr>
      <w:tr>
        <w:trPr>
          <w:trHeight w:val="203"/>
        </w:trPr>
        <w:tc>
          <w:tcPr>
            <w:tcW w:w="3360" w:type="dxa"/>
            <w:vAlign w:val="bottom"/>
          </w:tcPr>
          <w:p>
            <w:pPr>
              <w:spacing w:after="0"/>
              <w:rPr>
                <w:sz w:val="17"/>
                <w:szCs w:val="17"/>
                <w:color w:val="auto"/>
              </w:rPr>
            </w:pPr>
          </w:p>
        </w:tc>
        <w:tc>
          <w:tcPr>
            <w:tcW w:w="1480" w:type="dxa"/>
            <w:vAlign w:val="bottom"/>
          </w:tcPr>
          <w:p>
            <w:pPr>
              <w:jc w:val="center"/>
              <w:ind w:left="80"/>
              <w:spacing w:after="0"/>
              <w:rPr>
                <w:sz w:val="20"/>
                <w:szCs w:val="20"/>
                <w:color w:val="auto"/>
              </w:rPr>
            </w:pPr>
            <w:r>
              <w:rPr>
                <w:rFonts w:ascii="Arial" w:cs="Arial" w:eastAsia="Arial" w:hAnsi="Arial"/>
                <w:sz w:val="16"/>
                <w:szCs w:val="16"/>
                <w:b w:val="1"/>
                <w:bCs w:val="1"/>
                <w:color w:val="auto"/>
                <w:w w:val="94"/>
              </w:rPr>
              <w:t>in Last FY</w:t>
            </w:r>
          </w:p>
        </w:tc>
        <w:tc>
          <w:tcPr>
            <w:tcW w:w="1260" w:type="dxa"/>
            <w:vAlign w:val="bottom"/>
          </w:tcPr>
          <w:p>
            <w:pPr>
              <w:jc w:val="center"/>
              <w:ind w:right="60"/>
              <w:spacing w:after="0"/>
              <w:rPr>
                <w:sz w:val="20"/>
                <w:szCs w:val="20"/>
                <w:color w:val="auto"/>
              </w:rPr>
            </w:pPr>
            <w:r>
              <w:rPr>
                <w:rFonts w:ascii="Arial" w:cs="Arial" w:eastAsia="Arial" w:hAnsi="Arial"/>
                <w:sz w:val="16"/>
                <w:szCs w:val="16"/>
                <w:b w:val="1"/>
                <w:bCs w:val="1"/>
                <w:color w:val="auto"/>
                <w:w w:val="94"/>
              </w:rPr>
              <w:t>in Last FY</w:t>
            </w:r>
          </w:p>
        </w:tc>
        <w:tc>
          <w:tcPr>
            <w:tcW w:w="1140" w:type="dxa"/>
            <w:vAlign w:val="bottom"/>
          </w:tcPr>
          <w:p>
            <w:pPr>
              <w:jc w:val="center"/>
              <w:ind w:right="60"/>
              <w:spacing w:after="0"/>
              <w:rPr>
                <w:sz w:val="20"/>
                <w:szCs w:val="20"/>
                <w:color w:val="auto"/>
              </w:rPr>
            </w:pPr>
            <w:r>
              <w:rPr>
                <w:rFonts w:ascii="Arial" w:cs="Arial" w:eastAsia="Arial" w:hAnsi="Arial"/>
                <w:sz w:val="16"/>
                <w:szCs w:val="16"/>
                <w:b w:val="1"/>
                <w:bCs w:val="1"/>
                <w:color w:val="auto"/>
                <w:w w:val="94"/>
              </w:rPr>
              <w:t>in Last FY</w:t>
            </w:r>
          </w:p>
        </w:tc>
        <w:tc>
          <w:tcPr>
            <w:tcW w:w="1300" w:type="dxa"/>
            <w:vAlign w:val="bottom"/>
          </w:tcPr>
          <w:p>
            <w:pPr>
              <w:jc w:val="center"/>
              <w:ind w:right="80"/>
              <w:spacing w:after="0"/>
              <w:rPr>
                <w:sz w:val="20"/>
                <w:szCs w:val="20"/>
                <w:color w:val="auto"/>
              </w:rPr>
            </w:pPr>
            <w:r>
              <w:rPr>
                <w:rFonts w:ascii="Arial" w:cs="Arial" w:eastAsia="Arial" w:hAnsi="Arial"/>
                <w:sz w:val="16"/>
                <w:szCs w:val="16"/>
                <w:b w:val="1"/>
                <w:bCs w:val="1"/>
                <w:color w:val="auto"/>
                <w:w w:val="91"/>
              </w:rPr>
              <w:t>Distributions</w:t>
            </w:r>
          </w:p>
        </w:tc>
        <w:tc>
          <w:tcPr>
            <w:tcW w:w="1080" w:type="dxa"/>
            <w:vAlign w:val="bottom"/>
          </w:tcPr>
          <w:p>
            <w:pPr>
              <w:jc w:val="center"/>
              <w:ind w:right="40"/>
              <w:spacing w:after="0"/>
              <w:rPr>
                <w:sz w:val="20"/>
                <w:szCs w:val="20"/>
                <w:color w:val="auto"/>
              </w:rPr>
            </w:pPr>
            <w:r>
              <w:rPr>
                <w:rFonts w:ascii="Arial" w:cs="Arial" w:eastAsia="Arial" w:hAnsi="Arial"/>
                <w:sz w:val="16"/>
                <w:szCs w:val="16"/>
                <w:b w:val="1"/>
                <w:bCs w:val="1"/>
                <w:color w:val="auto"/>
                <w:w w:val="93"/>
              </w:rPr>
              <w:t>Last FYE</w:t>
            </w:r>
          </w:p>
        </w:tc>
      </w:tr>
      <w:tr>
        <w:trPr>
          <w:trHeight w:val="208"/>
        </w:trPr>
        <w:tc>
          <w:tcPr>
            <w:tcW w:w="33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w:t>
            </w:r>
          </w:p>
        </w:tc>
        <w:tc>
          <w:tcPr>
            <w:tcW w:w="1480" w:type="dxa"/>
            <w:vAlign w:val="bottom"/>
            <w:tcBorders>
              <w:bottom w:val="single" w:sz="8" w:color="auto"/>
            </w:tcBorders>
          </w:tcPr>
          <w:p>
            <w:pPr>
              <w:jc w:val="center"/>
              <w:ind w:left="100"/>
              <w:spacing w:after="0"/>
              <w:rPr>
                <w:sz w:val="20"/>
                <w:szCs w:val="20"/>
                <w:color w:val="auto"/>
              </w:rPr>
            </w:pPr>
            <w:r>
              <w:rPr>
                <w:rFonts w:ascii="Arial" w:cs="Arial" w:eastAsia="Arial" w:hAnsi="Arial"/>
                <w:sz w:val="16"/>
                <w:szCs w:val="16"/>
                <w:b w:val="1"/>
                <w:bCs w:val="1"/>
                <w:color w:val="auto"/>
                <w:w w:val="97"/>
              </w:rPr>
              <w:t>($)(a)</w:t>
            </w:r>
          </w:p>
        </w:tc>
        <w:tc>
          <w:tcPr>
            <w:tcW w:w="126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4"/>
              </w:rPr>
              <w:t>($)(b)</w:t>
            </w:r>
          </w:p>
        </w:tc>
        <w:tc>
          <w:tcPr>
            <w:tcW w:w="114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1"/>
              </w:rPr>
              <w:t>($)(c)</w:t>
            </w:r>
          </w:p>
        </w:tc>
        <w:tc>
          <w:tcPr>
            <w:tcW w:w="1300" w:type="dxa"/>
            <w:vAlign w:val="bottom"/>
            <w:tcBorders>
              <w:bottom w:val="single" w:sz="8" w:color="auto"/>
            </w:tcBorders>
          </w:tcPr>
          <w:p>
            <w:pPr>
              <w:jc w:val="center"/>
              <w:ind w:right="80"/>
              <w:spacing w:after="0"/>
              <w:rPr>
                <w:sz w:val="20"/>
                <w:szCs w:val="20"/>
                <w:color w:val="auto"/>
              </w:rPr>
            </w:pPr>
            <w:r>
              <w:rPr>
                <w:rFonts w:ascii="Arial" w:cs="Arial" w:eastAsia="Arial" w:hAnsi="Arial"/>
                <w:sz w:val="16"/>
                <w:szCs w:val="16"/>
                <w:b w:val="1"/>
                <w:bCs w:val="1"/>
                <w:color w:val="auto"/>
                <w:w w:val="94"/>
              </w:rPr>
              <w:t>($)(d)</w:t>
            </w:r>
          </w:p>
        </w:tc>
        <w:tc>
          <w:tcPr>
            <w:tcW w:w="108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1"/>
              </w:rPr>
              <w:t>($)(e)</w:t>
            </w:r>
          </w:p>
        </w:tc>
      </w:tr>
      <w:tr>
        <w:trPr>
          <w:trHeight w:val="195"/>
        </w:trPr>
        <w:tc>
          <w:tcPr>
            <w:tcW w:w="3360" w:type="dxa"/>
            <w:vAlign w:val="bottom"/>
            <w:shd w:val="clear" w:color="auto" w:fill="E9E9E9"/>
          </w:tcPr>
          <w:p>
            <w:pPr>
              <w:ind w:left="60"/>
              <w:spacing w:after="0"/>
              <w:rPr>
                <w:sz w:val="20"/>
                <w:szCs w:val="20"/>
                <w:color w:val="auto"/>
              </w:rPr>
            </w:pPr>
            <w:r>
              <w:rPr>
                <w:rFonts w:ascii="Arial" w:cs="Arial" w:eastAsia="Arial" w:hAnsi="Arial"/>
                <w:sz w:val="16"/>
                <w:szCs w:val="16"/>
                <w:color w:val="auto"/>
              </w:rPr>
              <w:t>Mr. Nelson</w:t>
            </w:r>
          </w:p>
        </w:tc>
        <w:tc>
          <w:tcPr>
            <w:tcW w:w="148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177,675</w:t>
            </w:r>
          </w:p>
        </w:tc>
        <w:tc>
          <w:tcPr>
            <w:tcW w:w="1260" w:type="dxa"/>
            <w:vAlign w:val="bottom"/>
            <w:shd w:val="clear" w:color="auto" w:fill="E9E9E9"/>
          </w:tcPr>
          <w:p>
            <w:pPr>
              <w:jc w:val="right"/>
              <w:ind w:right="60"/>
              <w:spacing w:after="0"/>
              <w:rPr>
                <w:sz w:val="20"/>
                <w:szCs w:val="20"/>
                <w:color w:val="auto"/>
              </w:rPr>
            </w:pPr>
            <w:r>
              <w:rPr>
                <w:rFonts w:ascii="Arial" w:cs="Arial" w:eastAsia="Arial" w:hAnsi="Arial"/>
                <w:sz w:val="16"/>
                <w:szCs w:val="16"/>
                <w:color w:val="auto"/>
              </w:rPr>
              <w:t>177,675</w:t>
            </w:r>
          </w:p>
        </w:tc>
        <w:tc>
          <w:tcPr>
            <w:tcW w:w="114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21,428</w:t>
            </w:r>
          </w:p>
        </w:tc>
        <w:tc>
          <w:tcPr>
            <w:tcW w:w="130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(392,432)</w:t>
            </w:r>
          </w:p>
        </w:tc>
        <w:tc>
          <w:tcPr>
            <w:tcW w:w="10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524,079</w:t>
            </w:r>
          </w:p>
        </w:tc>
      </w:tr>
      <w:tr>
        <w:trPr>
          <w:trHeight w:val="203"/>
        </w:trPr>
        <w:tc>
          <w:tcPr>
            <w:tcW w:w="3360" w:type="dxa"/>
            <w:vAlign w:val="bottom"/>
          </w:tcPr>
          <w:p>
            <w:pPr>
              <w:ind w:left="60"/>
              <w:spacing w:after="0"/>
              <w:rPr>
                <w:sz w:val="20"/>
                <w:szCs w:val="20"/>
                <w:color w:val="auto"/>
              </w:rPr>
            </w:pPr>
            <w:r>
              <w:rPr>
                <w:rFonts w:ascii="Arial" w:cs="Arial" w:eastAsia="Arial" w:hAnsi="Arial"/>
                <w:sz w:val="16"/>
                <w:szCs w:val="16"/>
                <w:color w:val="auto"/>
              </w:rPr>
              <w:t>Mr. Wyshner</w:t>
            </w: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84,888</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84,888</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37,361</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(110,745)</w:t>
            </w:r>
          </w:p>
        </w:tc>
        <w:tc>
          <w:tcPr>
            <w:tcW w:w="1080" w:type="dxa"/>
            <w:vAlign w:val="bottom"/>
          </w:tcPr>
          <w:p>
            <w:pPr>
              <w:jc w:val="right"/>
              <w:spacing w:after="0"/>
              <w:rPr>
                <w:sz w:val="20"/>
                <w:szCs w:val="20"/>
                <w:color w:val="auto"/>
              </w:rPr>
            </w:pPr>
            <w:r>
              <w:rPr>
                <w:rFonts w:ascii="Arial" w:cs="Arial" w:eastAsia="Arial" w:hAnsi="Arial"/>
                <w:sz w:val="16"/>
                <w:szCs w:val="16"/>
                <w:color w:val="auto"/>
              </w:rPr>
              <w:t>573,214</w:t>
            </w:r>
          </w:p>
        </w:tc>
      </w:tr>
      <w:tr>
        <w:trPr>
          <w:trHeight w:val="203"/>
        </w:trPr>
        <w:tc>
          <w:tcPr>
            <w:tcW w:w="3360" w:type="dxa"/>
            <w:vAlign w:val="bottom"/>
            <w:shd w:val="clear" w:color="auto" w:fill="E9E9E9"/>
          </w:tcPr>
          <w:p>
            <w:pPr>
              <w:ind w:left="60"/>
              <w:spacing w:after="0"/>
              <w:rPr>
                <w:sz w:val="20"/>
                <w:szCs w:val="20"/>
                <w:color w:val="auto"/>
              </w:rPr>
            </w:pPr>
            <w:r>
              <w:rPr>
                <w:rFonts w:ascii="Arial" w:cs="Arial" w:eastAsia="Arial" w:hAnsi="Arial"/>
                <w:sz w:val="16"/>
                <w:szCs w:val="16"/>
                <w:color w:val="auto"/>
              </w:rPr>
              <w:t>Mr. Gartland</w:t>
            </w:r>
          </w:p>
        </w:tc>
        <w:tc>
          <w:tcPr>
            <w:tcW w:w="148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114,420</w:t>
            </w:r>
          </w:p>
        </w:tc>
        <w:tc>
          <w:tcPr>
            <w:tcW w:w="1260" w:type="dxa"/>
            <w:vAlign w:val="bottom"/>
            <w:shd w:val="clear" w:color="auto" w:fill="E9E9E9"/>
          </w:tcPr>
          <w:p>
            <w:pPr>
              <w:jc w:val="right"/>
              <w:ind w:right="60"/>
              <w:spacing w:after="0"/>
              <w:rPr>
                <w:sz w:val="20"/>
                <w:szCs w:val="20"/>
                <w:color w:val="auto"/>
              </w:rPr>
            </w:pPr>
            <w:r>
              <w:rPr>
                <w:rFonts w:ascii="Arial" w:cs="Arial" w:eastAsia="Arial" w:hAnsi="Arial"/>
                <w:sz w:val="16"/>
                <w:szCs w:val="16"/>
                <w:color w:val="auto"/>
              </w:rPr>
              <w:t>86,420</w:t>
            </w:r>
          </w:p>
        </w:tc>
        <w:tc>
          <w:tcPr>
            <w:tcW w:w="114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49,841</w:t>
            </w:r>
          </w:p>
        </w:tc>
        <w:tc>
          <w:tcPr>
            <w:tcW w:w="1300" w:type="dxa"/>
            <w:vAlign w:val="bottom"/>
            <w:shd w:val="clear" w:color="auto" w:fill="E9E9E9"/>
          </w:tcPr>
          <w:p>
            <w:pPr>
              <w:jc w:val="right"/>
              <w:ind w:right="100"/>
              <w:spacing w:after="0"/>
              <w:rPr>
                <w:sz w:val="20"/>
                <w:szCs w:val="20"/>
                <w:color w:val="auto"/>
              </w:rPr>
            </w:pPr>
            <w:r>
              <w:rPr>
                <w:rFonts w:ascii="Arial" w:cs="Arial" w:eastAsia="Arial" w:hAnsi="Arial"/>
                <w:sz w:val="16"/>
                <w:szCs w:val="16"/>
                <w:color w:val="auto"/>
              </w:rPr>
              <w:t>0</w:t>
            </w:r>
          </w:p>
        </w:tc>
        <w:tc>
          <w:tcPr>
            <w:tcW w:w="10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636,103</w:t>
            </w:r>
          </w:p>
        </w:tc>
      </w:tr>
      <w:tr>
        <w:trPr>
          <w:trHeight w:val="203"/>
        </w:trPr>
        <w:tc>
          <w:tcPr>
            <w:tcW w:w="3360" w:type="dxa"/>
            <w:vAlign w:val="bottom"/>
          </w:tcPr>
          <w:p>
            <w:pPr>
              <w:ind w:left="60"/>
              <w:spacing w:after="0"/>
              <w:rPr>
                <w:sz w:val="20"/>
                <w:szCs w:val="20"/>
                <w:color w:val="auto"/>
              </w:rPr>
            </w:pPr>
            <w:r>
              <w:rPr>
                <w:rFonts w:ascii="Arial" w:cs="Arial" w:eastAsia="Arial" w:hAnsi="Arial"/>
                <w:sz w:val="16"/>
                <w:szCs w:val="16"/>
                <w:color w:val="auto"/>
              </w:rPr>
              <w:t>Mr. De Shon</w:t>
            </w: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91,015</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91,015</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20,728</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0</w:t>
            </w:r>
          </w:p>
        </w:tc>
        <w:tc>
          <w:tcPr>
            <w:tcW w:w="1080" w:type="dxa"/>
            <w:vAlign w:val="bottom"/>
          </w:tcPr>
          <w:p>
            <w:pPr>
              <w:jc w:val="right"/>
              <w:spacing w:after="0"/>
              <w:rPr>
                <w:sz w:val="20"/>
                <w:szCs w:val="20"/>
                <w:color w:val="auto"/>
              </w:rPr>
            </w:pPr>
            <w:r>
              <w:rPr>
                <w:rFonts w:ascii="Arial" w:cs="Arial" w:eastAsia="Arial" w:hAnsi="Arial"/>
                <w:sz w:val="16"/>
                <w:szCs w:val="16"/>
                <w:color w:val="auto"/>
              </w:rPr>
              <w:t>357,355</w:t>
            </w:r>
          </w:p>
        </w:tc>
      </w:tr>
      <w:tr>
        <w:trPr>
          <w:trHeight w:val="203"/>
        </w:trPr>
        <w:tc>
          <w:tcPr>
            <w:tcW w:w="3360" w:type="dxa"/>
            <w:vAlign w:val="bottom"/>
            <w:tcBorders>
              <w:bottom w:val="single" w:sz="8" w:color="auto"/>
            </w:tcBorders>
            <w:shd w:val="clear" w:color="auto" w:fill="E9E9E9"/>
          </w:tcPr>
          <w:p>
            <w:pPr>
              <w:ind w:left="60"/>
              <w:spacing w:after="0"/>
              <w:rPr>
                <w:sz w:val="20"/>
                <w:szCs w:val="20"/>
                <w:color w:val="auto"/>
              </w:rPr>
            </w:pPr>
            <w:r>
              <w:rPr>
                <w:rFonts w:ascii="Arial" w:cs="Arial" w:eastAsia="Arial" w:hAnsi="Arial"/>
                <w:sz w:val="16"/>
                <w:szCs w:val="16"/>
                <w:color w:val="auto"/>
              </w:rPr>
              <w:t>Mr. Siniscalchi</w:t>
            </w:r>
          </w:p>
        </w:tc>
        <w:tc>
          <w:tcPr>
            <w:tcW w:w="1480" w:type="dxa"/>
            <w:vAlign w:val="bottom"/>
            <w:tcBorders>
              <w:bottom w:val="single" w:sz="8" w:color="auto"/>
            </w:tcBorders>
            <w:shd w:val="clear" w:color="auto" w:fill="E9E9E9"/>
          </w:tcPr>
          <w:p>
            <w:pPr>
              <w:jc w:val="right"/>
              <w:ind w:right="20"/>
              <w:spacing w:after="0"/>
              <w:rPr>
                <w:sz w:val="20"/>
                <w:szCs w:val="20"/>
                <w:color w:val="auto"/>
              </w:rPr>
            </w:pPr>
            <w:r>
              <w:rPr>
                <w:rFonts w:ascii="Arial" w:cs="Arial" w:eastAsia="Arial" w:hAnsi="Arial"/>
                <w:sz w:val="16"/>
                <w:szCs w:val="16"/>
                <w:color w:val="auto"/>
              </w:rPr>
              <w:t>64,010</w:t>
            </w:r>
          </w:p>
        </w:tc>
        <w:tc>
          <w:tcPr>
            <w:tcW w:w="1260" w:type="dxa"/>
            <w:vAlign w:val="bottom"/>
            <w:tcBorders>
              <w:bottom w:val="single" w:sz="8" w:color="auto"/>
            </w:tcBorders>
            <w:shd w:val="clear" w:color="auto" w:fill="E9E9E9"/>
          </w:tcPr>
          <w:p>
            <w:pPr>
              <w:jc w:val="right"/>
              <w:ind w:right="60"/>
              <w:spacing w:after="0"/>
              <w:rPr>
                <w:sz w:val="20"/>
                <w:szCs w:val="20"/>
                <w:color w:val="auto"/>
              </w:rPr>
            </w:pPr>
            <w:r>
              <w:rPr>
                <w:rFonts w:ascii="Arial" w:cs="Arial" w:eastAsia="Arial" w:hAnsi="Arial"/>
                <w:sz w:val="16"/>
                <w:szCs w:val="16"/>
                <w:color w:val="auto"/>
              </w:rPr>
              <w:t>64,010</w:t>
            </w:r>
          </w:p>
        </w:tc>
        <w:tc>
          <w:tcPr>
            <w:tcW w:w="1140" w:type="dxa"/>
            <w:vAlign w:val="bottom"/>
            <w:tcBorders>
              <w:bottom w:val="single" w:sz="8" w:color="auto"/>
            </w:tcBorders>
            <w:shd w:val="clear" w:color="auto" w:fill="E9E9E9"/>
          </w:tcPr>
          <w:p>
            <w:pPr>
              <w:jc w:val="right"/>
              <w:ind w:right="20"/>
              <w:spacing w:after="0"/>
              <w:rPr>
                <w:sz w:val="20"/>
                <w:szCs w:val="20"/>
                <w:color w:val="auto"/>
              </w:rPr>
            </w:pPr>
            <w:r>
              <w:rPr>
                <w:rFonts w:ascii="Arial" w:cs="Arial" w:eastAsia="Arial" w:hAnsi="Arial"/>
                <w:sz w:val="16"/>
                <w:szCs w:val="16"/>
                <w:color w:val="auto"/>
              </w:rPr>
              <w:t>6,504</w:t>
            </w:r>
          </w:p>
        </w:tc>
        <w:tc>
          <w:tcPr>
            <w:tcW w:w="1300" w:type="dxa"/>
            <w:vAlign w:val="bottom"/>
            <w:tcBorders>
              <w:bottom w:val="single" w:sz="8" w:color="auto"/>
            </w:tcBorders>
            <w:shd w:val="clear" w:color="auto" w:fill="E9E9E9"/>
          </w:tcPr>
          <w:p>
            <w:pPr>
              <w:jc w:val="right"/>
              <w:ind w:right="100"/>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213,025</w:t>
            </w:r>
          </w:p>
        </w:tc>
      </w:tr>
    </w:tbl>
    <w:p>
      <w:pPr>
        <w:spacing w:after="0" w:line="107" w:lineRule="exact"/>
        <w:rPr>
          <w:sz w:val="20"/>
          <w:szCs w:val="20"/>
          <w:color w:val="auto"/>
        </w:rPr>
      </w:pPr>
    </w:p>
    <w:p>
      <w:pPr>
        <w:ind w:left="420" w:right="100" w:hanging="369"/>
        <w:spacing w:after="0" w:line="282" w:lineRule="auto"/>
        <w:tabs>
          <w:tab w:leader="none" w:pos="4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Under the deferred compensation plan, participants can elect to defer a maximum of 80% of base salary and 98% of annual cash incentives. The agreements between participants and the Company must provide that the deferrals under the plan are (1) irrevocable; (2) agreed to before the compensation is earned; and (3) for a specified length of time. Amounts deferred by participants, as well as any matching contributions made by the Company, are typically contributed to a rabbi trust established for the purpose of holding plan assets. Participants may allocate deferrals to one or more deemed investments under the plan, which may include a deemed investment in the Company's Common Stock. Matching contributions may be subject to such distribution provisions as determined from time to time; however, all of a participant's accounts under this plan will be distributed in the event of a change in control (as defined in the deferred compensation plan) or in the event that the participant's service with us terminates as a result of death or disability. A participant in this plan may elect a single lump-sum payment of his or her account, or may elect installments over a period of up to 10 years; however, the participant's entire account balance will be paid in a single lump-sum following a change in control.</w:t>
      </w:r>
    </w:p>
    <w:p>
      <w:pPr>
        <w:spacing w:after="0" w:line="5" w:lineRule="exact"/>
        <w:rPr>
          <w:rFonts w:ascii="Arial" w:cs="Arial" w:eastAsia="Arial" w:hAnsi="Arial"/>
          <w:sz w:val="15"/>
          <w:szCs w:val="15"/>
          <w:color w:val="auto"/>
        </w:rPr>
      </w:pPr>
    </w:p>
    <w:p>
      <w:pPr>
        <w:ind w:left="420" w:hanging="369"/>
        <w:spacing w:after="0"/>
        <w:tabs>
          <w:tab w:leader="none" w:pos="4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 provides matching contributions for its NEOs up to a cap of 6% of base salary and annual incentive, as applicable.</w:t>
      </w:r>
    </w:p>
    <w:p>
      <w:pPr>
        <w:spacing w:after="0" w:line="19" w:lineRule="exact"/>
        <w:rPr>
          <w:rFonts w:ascii="Arial" w:cs="Arial" w:eastAsia="Arial" w:hAnsi="Arial"/>
          <w:sz w:val="16"/>
          <w:szCs w:val="16"/>
          <w:color w:val="auto"/>
        </w:rPr>
      </w:pPr>
    </w:p>
    <w:p>
      <w:pPr>
        <w:ind w:left="420" w:right="160" w:hanging="369"/>
        <w:spacing w:after="0" w:line="265" w:lineRule="auto"/>
        <w:tabs>
          <w:tab w:leader="none" w:pos="4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All participant deferrals and matching contributions are immediately vested and are held in a grantor trust. Under this arrangement, the Company takes no tax deduction, and the beneficiaries pay no tax on contributions to the trust until amounts are paid. Although funds are potentially subject to the employer's creditors, they are inaccessible to present and future management until payment is required to be made in accordance with the terms of the plan.</w:t>
      </w:r>
    </w:p>
    <w:p>
      <w:pPr>
        <w:ind w:left="420" w:right="440" w:hanging="369"/>
        <w:spacing w:after="0" w:line="249" w:lineRule="auto"/>
        <w:tabs>
          <w:tab w:leader="none" w:pos="4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Amounts represent ordinary course distributions pursuant to prior payment elections made by the NEOs in accordance with the terms and conditions of the applicable plan (as further discussed in note (a) above).</w:t>
      </w:r>
    </w:p>
    <w:p>
      <w:pPr>
        <w:ind w:left="420" w:right="200" w:hanging="369"/>
        <w:spacing w:after="0" w:line="272" w:lineRule="auto"/>
        <w:tabs>
          <w:tab w:leader="none" w:pos="4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Represents total trust assets accumulated for all periods of plan participation through the end of 2014. The aggregate balance is the sum of all participant and registrant contributions and investment earnings less any withdrawals or distributions.</w:t>
      </w:r>
    </w:p>
    <w:p>
      <w:pP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620"/>
          </w:cols>
          <w:pgMar w:left="1380" w:top="434" w:right="89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Employment Agreements and Other Arrangements</w:t>
      </w:r>
    </w:p>
    <w:p>
      <w:pPr>
        <w:spacing w:after="0" w:line="262"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Each NEO, other than Messrs. Gartland and Siniscalchi, is employed by us pursuant to a written agreement of employment or has a severance agreement, as summarized below and discussed under "Employment and Change of Control Agreements; Severance Arrangements." In addition, the Company entered into consulting agreements with Messrs. Gartland and Siniscalchi in connection with their respective retirements, which are also summarized below.</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Mr. Nelson</w:t>
      </w:r>
    </w:p>
    <w:p>
      <w:pPr>
        <w:spacing w:after="0" w:line="250" w:lineRule="exact"/>
        <w:rPr>
          <w:sz w:val="20"/>
          <w:szCs w:val="20"/>
          <w:color w:val="auto"/>
        </w:rPr>
      </w:pPr>
    </w:p>
    <w:p>
      <w:pPr>
        <w:ind w:right="120"/>
        <w:spacing w:after="0" w:line="288" w:lineRule="auto"/>
        <w:rPr>
          <w:sz w:val="20"/>
          <w:szCs w:val="20"/>
          <w:color w:val="auto"/>
        </w:rPr>
      </w:pPr>
      <w:r>
        <w:rPr>
          <w:rFonts w:ascii="Arial" w:cs="Arial" w:eastAsia="Arial" w:hAnsi="Arial"/>
          <w:sz w:val="15"/>
          <w:szCs w:val="15"/>
          <w:color w:val="auto"/>
        </w:rPr>
        <w:t>On April 17, 2014, the Company amended its employment agreement with Mr. Nelson. In addition to providing for a minimum base salary of $1.15 million, and employee benefit plans generally available to our executive officers, the amended agreement generally provides Mr. Nelson and his dependents with continuation of certain health and welfare benefits until he reaches (or would have reached) age 75. Mr. Nelson's agreement also provides for an annual incentive award with a target amount equal to 150% of his base salary, subject to attainment of performance goals, and grants of long-term incentive awards, upon such terms and conditions as determined by our Board of Directors or the Committee. If Mr. Nelson's employment with the Company is terminated by the Company without "Cause" or due to a "Constructive Discharge" (as summarized below), Mr. Nelson generally will be entitled to a lump-sum payment equal to 299% of the sum of his then-current base salary plus his then-current target annual bonus, and accelerated vesting of certain equity awards.</w:t>
      </w:r>
    </w:p>
    <w:p>
      <w:pPr>
        <w:spacing w:after="0" w:line="208" w:lineRule="exact"/>
        <w:rPr>
          <w:sz w:val="20"/>
          <w:szCs w:val="20"/>
          <w:color w:val="auto"/>
        </w:rPr>
      </w:pPr>
    </w:p>
    <w:p>
      <w:pPr>
        <w:ind w:right="120"/>
        <w:spacing w:after="0" w:line="297" w:lineRule="auto"/>
        <w:rPr>
          <w:sz w:val="20"/>
          <w:szCs w:val="20"/>
          <w:color w:val="auto"/>
        </w:rPr>
      </w:pPr>
      <w:r>
        <w:rPr>
          <w:rFonts w:ascii="Arial" w:cs="Arial" w:eastAsia="Arial" w:hAnsi="Arial"/>
          <w:sz w:val="15"/>
          <w:szCs w:val="15"/>
          <w:color w:val="auto"/>
        </w:rPr>
        <w:t>The agreement's term ends on December 31, 2015; however, the Board may elect to extend such term to December 31, 2016 and appoint Mr. Nelson Executive Chairman of the Board. If the Board so elects, Mr. Nelson's 2016 compensation will be determined by the Board but will not be less than either (x) the base salary in effect on December 31, 2015 or (y) a base salary equal to 50% of the amount described in clause (x) plus an annual incentive award with a target amount equal to 150% of such base salary, subject to attainment of performance goals.</w:t>
      </w:r>
    </w:p>
    <w:p>
      <w:pPr>
        <w:spacing w:after="0" w:line="186"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Following a "Change in Control" (as described below) of the Company, the long-term incentives granted to Mr. Nelson generally will become fully vested if Mr. Nelson's employment with the Company is terminated without "Cause" or due to a "Constructive Discharge." The amended employment agreement provides for post-termination non-competition and non-solicitation covenants that will last for one year from the date of termination if Mr. Nelson's employment terminates after December 31, 2015, subject to certain exceptions, or for two years from the date of termination if Mr. Nelson's employment is terminated earlier for any reason.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Mr. Wyshner</w:t>
      </w:r>
    </w:p>
    <w:p>
      <w:pPr>
        <w:spacing w:after="0" w:line="262" w:lineRule="exact"/>
        <w:rPr>
          <w:sz w:val="20"/>
          <w:szCs w:val="20"/>
          <w:color w:val="auto"/>
        </w:rPr>
      </w:pPr>
    </w:p>
    <w:p>
      <w:pPr>
        <w:ind w:right="100"/>
        <w:spacing w:after="0" w:line="310" w:lineRule="auto"/>
        <w:rPr>
          <w:sz w:val="20"/>
          <w:szCs w:val="20"/>
          <w:color w:val="auto"/>
        </w:rPr>
      </w:pPr>
      <w:r>
        <w:rPr>
          <w:rFonts w:ascii="Arial" w:cs="Arial" w:eastAsia="Arial" w:hAnsi="Arial"/>
          <w:sz w:val="14"/>
          <w:szCs w:val="14"/>
          <w:color w:val="auto"/>
        </w:rPr>
        <w:t>On January 27, 2012, the Company amended its employment agreement with Mr. Wyshner. In addition to providing for a minimum base salary of $600,000 (pursuant to Committee discretion such salary was increased to $700,000 in 2013), and employee benefit plans generally available to our executive officers, Mr. Wyshner's agreement provides for an annual incentive award with a target amount equal to 100% of his base salary, subject to attainment of performance goals, and grants of long-term incentive awards, upon such terms and conditions as determined by our Board of Directors or the Committee. Mr. Wyshner's agreement provides that if his employment with the Company is terminated without "Cause" or due to a "Constructive Discharge" (as described below), he will be entitled to a lump-sum payment equal to 299% of the sum of his then-current base salary plus his then-current target annual bonus, and perquisites to include car usage, financial planning and health coverage for a period of 24 months. In addition, in this event, all of Mr. Wyshner's then-outstanding equity awards will become fully vested. Mr. Wyshner's agreement provides for post-termination non-competition and non-solicitation covenants which will last for two years following Mr. Wyshner's employment with us.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Mr. De Shon</w:t>
      </w:r>
    </w:p>
    <w:p>
      <w:pPr>
        <w:spacing w:after="0" w:line="250" w:lineRule="exact"/>
        <w:rPr>
          <w:sz w:val="20"/>
          <w:szCs w:val="20"/>
          <w:color w:val="auto"/>
        </w:rPr>
      </w:pPr>
    </w:p>
    <w:p>
      <w:pPr>
        <w:spacing w:after="0" w:line="312" w:lineRule="auto"/>
        <w:rPr>
          <w:sz w:val="20"/>
          <w:szCs w:val="20"/>
          <w:color w:val="auto"/>
        </w:rPr>
      </w:pPr>
      <w:r>
        <w:rPr>
          <w:rFonts w:ascii="Arial" w:cs="Arial" w:eastAsia="Arial" w:hAnsi="Arial"/>
          <w:sz w:val="14"/>
          <w:szCs w:val="14"/>
          <w:color w:val="auto"/>
        </w:rPr>
        <w:t>The severance agreement for Mr. De Shon provides that if his employment is terminated by us other than for "Cause" (as described below), disability or death, he will receive a lump-sum severance payout equal to 200% of the sum of base salary plus target incentive bonus, and perquisites to include car usage, financial planning and health coverage for a period of 24 months. In addition, in connection with such termination, the agreement also generally provides for accelerated vesting on termination of the stock-based awards which would have vested in accordance with their original vesting schedule by the two-year anniversary of termination of employment. However, awards that are intended to be performance-based compensation for purposes of 162(m) of the Code will instead remain outstanding following such terminations and become vested or be forfeited based on actual achievement of the applicable performance goals during the two-year period following such termination. Severance is contingent upon execution of a separation agreement containing a release of claims against the Company and non-competition covenants.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600"/>
          </w:cols>
          <w:pgMar w:left="1380" w:top="434" w:right="919" w:bottom="1440" w:gutter="0" w:footer="0" w:header="0"/>
        </w:sectPr>
      </w:pPr>
    </w:p>
    <w:bookmarkStart w:id="43" w:name="page44"/>
    <w:bookmarkEnd w:id="43"/>
    <w:p>
      <w:pPr>
        <w:spacing w:after="0"/>
        <w:rPr>
          <w:sz w:val="20"/>
          <w:szCs w:val="20"/>
          <w:color w:val="auto"/>
        </w:rPr>
      </w:pPr>
      <w:r>
        <w:rPr>
          <w:rFonts w:ascii="Arial" w:cs="Arial" w:eastAsia="Arial" w:hAnsi="Arial"/>
          <w:sz w:val="15"/>
          <w:szCs w:val="15"/>
          <w:color w:val="auto"/>
        </w:rPr>
        <w:t>As previously noted, no NEO is entitled to any tax gross-up or other payments for any "golden parachute" excise taxes, interest or penalties.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Messrs. Gartland and Siniscalchi</w:t>
      </w:r>
    </w:p>
    <w:p>
      <w:pPr>
        <w:spacing w:after="0" w:line="25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Company entered into consulting agreements with Messrs. Gartland and Siniscalchi in connection with their respective retirements as described below.</w:t>
      </w:r>
    </w:p>
    <w:p>
      <w:pPr>
        <w:spacing w:after="0" w:line="187" w:lineRule="exact"/>
        <w:rPr>
          <w:sz w:val="20"/>
          <w:szCs w:val="20"/>
          <w:color w:val="auto"/>
        </w:rPr>
      </w:pPr>
    </w:p>
    <w:p>
      <w:pPr>
        <w:ind w:right="80"/>
        <w:spacing w:after="0" w:line="288" w:lineRule="auto"/>
        <w:rPr>
          <w:sz w:val="20"/>
          <w:szCs w:val="20"/>
          <w:color w:val="auto"/>
        </w:rPr>
      </w:pPr>
      <w:r>
        <w:rPr>
          <w:rFonts w:ascii="Arial" w:cs="Arial" w:eastAsia="Arial" w:hAnsi="Arial"/>
          <w:sz w:val="15"/>
          <w:szCs w:val="15"/>
          <w:color w:val="auto"/>
        </w:rPr>
        <w:t>Mr Gartland's consulting agreement provides for his continued assistance with transition services through July 2016. The agreement provides for aggregate consulting fees of $2.1 million and continuation of certain specified perquisites for the term of the agreement. If the Company terminates the consulting arrangement other than "for cause" or if Mr. Gartland terminates in certain specified circumstances (a "Resignation Event" as defined below), subject to Mr. Gartland's execution of a release of claims in favor of the Company, the consulting fees will continue to be paid, as scheduled, Mr. Gartland will continue to have access to the perquisites through July 2016, and stock-based awards scheduled to vest through the end of January 2016 will continue to remain outstanding through the end of January 2016 and will vest or be forfeited in accordance with their terms, without regard to any otherwise applicable time-based vesting requirement. The agreement also imposes certain restrictive covenant obligations on Mr. Gartland, including perpetual confidentiality and non-disparagement obligations, and non-competition and non-solicitation obligations applicable through July 2016.</w:t>
      </w:r>
    </w:p>
    <w:p>
      <w:pPr>
        <w:spacing w:after="0" w:line="205" w:lineRule="exact"/>
        <w:rPr>
          <w:sz w:val="20"/>
          <w:szCs w:val="20"/>
          <w:color w:val="auto"/>
        </w:rPr>
      </w:pPr>
    </w:p>
    <w:p>
      <w:pPr>
        <w:jc w:val="both"/>
        <w:ind w:right="20"/>
        <w:spacing w:after="0" w:line="303" w:lineRule="auto"/>
        <w:rPr>
          <w:sz w:val="20"/>
          <w:szCs w:val="20"/>
          <w:color w:val="auto"/>
        </w:rPr>
      </w:pPr>
      <w:r>
        <w:rPr>
          <w:rFonts w:ascii="Arial" w:cs="Arial" w:eastAsia="Arial" w:hAnsi="Arial"/>
          <w:sz w:val="14"/>
          <w:szCs w:val="14"/>
          <w:color w:val="auto"/>
        </w:rPr>
        <w:t>Mr. Siniscalchi's consulting agreement provides for his continued assistance with transition services as well as ongoing involvement in the Company's joint ventures in China and Brazil through March 2018. The agreement provides for aggregate consulting fees of $600,000 and continuation of certain specified perquisites for the term of the agreement. If the Company terminates the consulting arrangement other than "for cause", subject to Mr.</w:t>
      </w:r>
    </w:p>
    <w:p>
      <w:pPr>
        <w:ind w:right="80"/>
        <w:spacing w:after="0" w:line="270" w:lineRule="auto"/>
        <w:rPr>
          <w:sz w:val="20"/>
          <w:szCs w:val="20"/>
          <w:color w:val="auto"/>
        </w:rPr>
      </w:pPr>
      <w:r>
        <w:rPr>
          <w:rFonts w:ascii="Arial" w:cs="Arial" w:eastAsia="Arial" w:hAnsi="Arial"/>
          <w:sz w:val="16"/>
          <w:szCs w:val="16"/>
          <w:color w:val="auto"/>
        </w:rPr>
        <w:t>Siniscalchi's execution of a release of claims in favor of the Company, the consulting fees will continue to be paid, as scheduled, Mr. Siniscalchi will generally continue to have access to the perquisites for up to eighteen months following such termination, and stock-based awards scheduled to vest through the end of January 2017 will continue to remain outstanding through the end of January 2017 and will vest or be forfeited in accordance with their terms, without regard to any otherwise applicable time-based vesting requirement.The agreement also imposes restrictive covenant obligations on Mr. Siniscalchi, including perpetual confidentiality and non-disparagement obligations, and non-competition and non-solicitation obligations applicable through March 2018.</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Defined Terms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For all our NEOs:</w:t>
      </w:r>
    </w:p>
    <w:p>
      <w:pPr>
        <w:spacing w:after="0" w:line="258" w:lineRule="exact"/>
        <w:rPr>
          <w:sz w:val="20"/>
          <w:szCs w:val="20"/>
          <w:color w:val="auto"/>
        </w:rPr>
      </w:pPr>
    </w:p>
    <w:p>
      <w:pPr>
        <w:ind w:right="660"/>
        <w:spacing w:after="0" w:line="291" w:lineRule="auto"/>
        <w:rPr>
          <w:sz w:val="20"/>
          <w:szCs w:val="20"/>
          <w:color w:val="auto"/>
        </w:rPr>
      </w:pPr>
      <w:r>
        <w:rPr>
          <w:rFonts w:ascii="Arial" w:cs="Arial" w:eastAsia="Arial" w:hAnsi="Arial"/>
          <w:sz w:val="16"/>
          <w:szCs w:val="16"/>
          <w:color w:val="auto"/>
        </w:rPr>
        <w:t>"Cause" is defined in the agreement for each NEO and generally includes the willful failure to substantially perform duties, any act of fraud, embezzlement or similar conduct and conviction of a felony.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For Mr. Nelson:</w:t>
      </w:r>
    </w:p>
    <w:p>
      <w:pPr>
        <w:spacing w:after="0" w:line="246"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"Constructive Discharge" generally means (a) any material failure of the Company to fulfill its obligations under the employment agreement or any material diminution to Mr. Nelson's duties and responsibilities, (b) the business office is relocated to any location that increases his one-way commute by more than 30 miles or to New York City and such relocation constitutes a material negative change to Mr. Nelson's employment relationship, (c) Mr. Nelson is not the Chief Executive Officer and the most senior executive officer of the Company or does not report directly to the Board, or (d) Mr. Nelson is not elected to serve on the Board or to serve as Chairman of the Board, for any reason other than resignation (excluding any resignation resulting from the failure to satisfy any majority voting requirement), unwillingness to serve, termination for Cause, or termination as a result of death or disability or, in the case of failing to serve as Chairman of the Board, any failure resulting from a requirement of any applicable law that the Chief Executive Officer and the Chairman of the Board be separate individuals.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For Mr. Wyshner:</w:t>
      </w:r>
    </w:p>
    <w:p>
      <w:pPr>
        <w:spacing w:after="0" w:line="246" w:lineRule="exact"/>
        <w:rPr>
          <w:sz w:val="20"/>
          <w:szCs w:val="20"/>
          <w:color w:val="auto"/>
        </w:rPr>
      </w:pPr>
    </w:p>
    <w:p>
      <w:pPr>
        <w:ind w:right="200"/>
        <w:spacing w:after="0" w:line="297" w:lineRule="auto"/>
        <w:rPr>
          <w:sz w:val="20"/>
          <w:szCs w:val="20"/>
          <w:color w:val="auto"/>
        </w:rPr>
      </w:pPr>
      <w:r>
        <w:rPr>
          <w:rFonts w:ascii="Arial" w:cs="Arial" w:eastAsia="Arial" w:hAnsi="Arial"/>
          <w:sz w:val="15"/>
          <w:szCs w:val="15"/>
          <w:color w:val="auto"/>
        </w:rPr>
        <w:t>"Constructive Discharge" generally means (a) any material failure of the Company to fulfill its obligations under the employment agreement or any material diminution to Mr. Wyshner's duties and responsibilities, including Mr. Wyshner ceasing to be an executive officer of a public company, (b) the business office is relocated more than 30 miles from Parsippany, New Jersey, (c) Mr. Wyshner is not the most senior financial officer of the Company, or (d) the failure of a successor to the Company to assume the employment agreement.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For Mr. Gartland:</w:t>
      </w:r>
    </w:p>
    <w:p>
      <w:pPr>
        <w:spacing w:after="0" w:line="258" w:lineRule="exact"/>
        <w:rPr>
          <w:sz w:val="20"/>
          <w:szCs w:val="20"/>
          <w:color w:val="auto"/>
        </w:rPr>
      </w:pPr>
    </w:p>
    <w:p>
      <w:pPr>
        <w:ind w:right="60"/>
        <w:spacing w:after="0" w:line="366" w:lineRule="auto"/>
        <w:rPr>
          <w:sz w:val="20"/>
          <w:szCs w:val="20"/>
          <w:color w:val="auto"/>
        </w:rPr>
      </w:pPr>
      <w:r>
        <w:rPr>
          <w:rFonts w:ascii="Arial" w:cs="Arial" w:eastAsia="Arial" w:hAnsi="Arial"/>
          <w:sz w:val="14"/>
          <w:szCs w:val="14"/>
          <w:color w:val="auto"/>
        </w:rPr>
        <w:t>"Resignation Event" generally means if Mr. Gartland terminates his consulting agreement following (a) commencement of full-time employment as a senior executive officer with another third party or (b) the effectiveness of the appointment of a new Chief Executive Officer of the Company.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600"/>
          </w:cols>
          <w:pgMar w:left="1380" w:top="438" w:right="91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Discussion of Change-in-Control Provisions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Equity Awards</w:t>
      </w:r>
    </w:p>
    <w:p>
      <w:pPr>
        <w:spacing w:after="0" w:line="246"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Company's Amended and Restated Equity and Incentive Plan provides that equity awards accelerate following a Change in Control (as defined in the Amended and Restated Equity and Incentive Plan) of the Company only if a participant is also terminated without cause or experiences a constructive discharge within two years following a Change in Control.</w:t>
      </w:r>
    </w:p>
    <w:p>
      <w:pPr>
        <w:spacing w:after="0" w:line="197" w:lineRule="exact"/>
        <w:rPr>
          <w:sz w:val="20"/>
          <w:szCs w:val="20"/>
          <w:color w:val="auto"/>
        </w:rPr>
      </w:pPr>
    </w:p>
    <w:p>
      <w:pPr>
        <w:ind w:right="20"/>
        <w:spacing w:after="0" w:line="324" w:lineRule="auto"/>
        <w:rPr>
          <w:sz w:val="20"/>
          <w:szCs w:val="20"/>
          <w:color w:val="auto"/>
        </w:rPr>
      </w:pPr>
      <w:r>
        <w:rPr>
          <w:rFonts w:ascii="Arial" w:cs="Arial" w:eastAsia="Arial" w:hAnsi="Arial"/>
          <w:sz w:val="14"/>
          <w:szCs w:val="14"/>
          <w:color w:val="auto"/>
        </w:rPr>
        <w:t>Under the Amended and Restated Equity and Incentive Plan, "Change in Control" is generally defined as: (a) any person or entity is or becomes the "beneficial owner" of 50% or more of the combined voting power of the Company's then outstanding voting securities; (b) a change in the majority of the members of the Board; (c) there is a merger or consolidation of the Company; or (d) stockholders of the Company approve a plan of complete liquidation or dissolution of the Company or there is a sale or disposition by the Company of all or substantially all of the Company's assets.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Severance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Severance payments are described above, none of which are payable solely due to a Change in Control (as defined above).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580"/>
          </w:cols>
          <w:pgMar w:left="1380" w:top="434" w:right="9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Termination, Severance and Change of Control Arrangements</w:t>
      </w:r>
    </w:p>
    <w:p>
      <w:pPr>
        <w:spacing w:after="0" w:line="2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table below shows the potential severance payments for each NEO, as of December 31, 2014, who is currently an executive officer, and payments in connection with the retirement of Mr. Gartland and Mr. Siniscalchi.</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8"/>
              </w:rPr>
              <w:t>Accelerated</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0"/>
              </w:rPr>
              <w:t>Continued</w:t>
            </w:r>
          </w:p>
        </w:tc>
        <w:tc>
          <w:tcPr>
            <w:tcW w:w="1260" w:type="dxa"/>
            <w:vAlign w:val="bottom"/>
          </w:tcPr>
          <w:p>
            <w:pPr>
              <w:jc w:val="center"/>
              <w:ind w:right="120"/>
              <w:spacing w:after="0"/>
              <w:rPr>
                <w:sz w:val="20"/>
                <w:szCs w:val="20"/>
                <w:color w:val="auto"/>
              </w:rPr>
            </w:pPr>
            <w:r>
              <w:rPr>
                <w:rFonts w:ascii="Arial" w:cs="Arial" w:eastAsia="Arial" w:hAnsi="Arial"/>
                <w:sz w:val="16"/>
                <w:szCs w:val="16"/>
                <w:b w:val="1"/>
                <w:bCs w:val="1"/>
                <w:color w:val="auto"/>
                <w:w w:val="91"/>
              </w:rPr>
              <w:t>Continuation</w:t>
            </w:r>
          </w:p>
        </w:tc>
        <w:tc>
          <w:tcPr>
            <w:tcW w:w="98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3"/>
              </w:rPr>
              <w:t>Lump-Sum</w:t>
            </w:r>
          </w:p>
        </w:tc>
        <w:tc>
          <w:tcPr>
            <w:tcW w:w="11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7"/>
              </w:rPr>
              <w:t>Vesting of</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7"/>
              </w:rPr>
              <w:t>Vesting of</w:t>
            </w:r>
          </w:p>
        </w:tc>
        <w:tc>
          <w:tcPr>
            <w:tcW w:w="1260" w:type="dxa"/>
            <w:vAlign w:val="bottom"/>
          </w:tcPr>
          <w:p>
            <w:pPr>
              <w:jc w:val="center"/>
              <w:ind w:right="100"/>
              <w:spacing w:after="0"/>
              <w:rPr>
                <w:sz w:val="20"/>
                <w:szCs w:val="20"/>
                <w:color w:val="auto"/>
              </w:rPr>
            </w:pPr>
            <w:r>
              <w:rPr>
                <w:rFonts w:ascii="Arial" w:cs="Arial" w:eastAsia="Arial" w:hAnsi="Arial"/>
                <w:sz w:val="16"/>
                <w:szCs w:val="16"/>
                <w:b w:val="1"/>
                <w:bCs w:val="1"/>
                <w:color w:val="auto"/>
                <w:w w:val="87"/>
              </w:rPr>
              <w:t>of Benefits</w:t>
            </w:r>
          </w:p>
        </w:tc>
        <w:tc>
          <w:tcPr>
            <w:tcW w:w="98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7"/>
              </w:rPr>
              <w:t>Severance</w:t>
            </w:r>
          </w:p>
        </w:tc>
        <w:tc>
          <w:tcPr>
            <w:tcW w:w="1160" w:type="dxa"/>
            <w:vAlign w:val="bottom"/>
          </w:tcPr>
          <w:p>
            <w:pPr>
              <w:jc w:val="right"/>
              <w:ind w:right="100"/>
              <w:spacing w:after="0"/>
              <w:rPr>
                <w:sz w:val="20"/>
                <w:szCs w:val="20"/>
                <w:color w:val="auto"/>
              </w:rPr>
            </w:pPr>
            <w:r>
              <w:rPr>
                <w:rFonts w:ascii="Arial" w:cs="Arial" w:eastAsia="Arial" w:hAnsi="Arial"/>
                <w:sz w:val="16"/>
                <w:szCs w:val="16"/>
                <w:b w:val="1"/>
                <w:bCs w:val="1"/>
                <w:color w:val="auto"/>
                <w:w w:val="97"/>
              </w:rPr>
              <w:t>Continuation</w:t>
            </w:r>
          </w:p>
        </w:tc>
        <w:tc>
          <w:tcPr>
            <w:tcW w:w="1160" w:type="dxa"/>
            <w:vAlign w:val="bottom"/>
          </w:tcPr>
          <w:p>
            <w:pPr>
              <w:jc w:val="center"/>
              <w:ind w:right="20"/>
              <w:spacing w:after="0"/>
              <w:rPr>
                <w:sz w:val="20"/>
                <w:szCs w:val="20"/>
                <w:color w:val="auto"/>
              </w:rPr>
            </w:pPr>
            <w:r>
              <w:rPr>
                <w:rFonts w:ascii="Arial" w:cs="Arial" w:eastAsia="Arial" w:hAnsi="Arial"/>
                <w:sz w:val="16"/>
                <w:szCs w:val="16"/>
                <w:b w:val="1"/>
                <w:bCs w:val="1"/>
                <w:color w:val="auto"/>
                <w:w w:val="86"/>
              </w:rPr>
              <w:t>Stock-based</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Outstanding</w:t>
            </w:r>
          </w:p>
        </w:tc>
        <w:tc>
          <w:tcPr>
            <w:tcW w:w="1260" w:type="dxa"/>
            <w:vAlign w:val="bottom"/>
          </w:tcPr>
          <w:p>
            <w:pPr>
              <w:jc w:val="center"/>
              <w:ind w:right="120"/>
              <w:spacing w:after="0"/>
              <w:rPr>
                <w:sz w:val="20"/>
                <w:szCs w:val="20"/>
                <w:color w:val="auto"/>
              </w:rPr>
            </w:pPr>
            <w:r>
              <w:rPr>
                <w:rFonts w:ascii="Arial" w:cs="Arial" w:eastAsia="Arial" w:hAnsi="Arial"/>
                <w:sz w:val="16"/>
                <w:szCs w:val="16"/>
                <w:b w:val="1"/>
                <w:bCs w:val="1"/>
                <w:color w:val="auto"/>
                <w:w w:val="91"/>
              </w:rPr>
              <w:t>and</w:t>
            </w:r>
          </w:p>
        </w:tc>
        <w:tc>
          <w:tcPr>
            <w:tcW w:w="98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Payment</w:t>
            </w:r>
          </w:p>
        </w:tc>
        <w:tc>
          <w:tcPr>
            <w:tcW w:w="1160" w:type="dxa"/>
            <w:vAlign w:val="bottom"/>
          </w:tcPr>
          <w:p>
            <w:pPr>
              <w:jc w:val="right"/>
              <w:ind w:right="100"/>
              <w:spacing w:after="0"/>
              <w:rPr>
                <w:sz w:val="20"/>
                <w:szCs w:val="20"/>
                <w:color w:val="auto"/>
              </w:rPr>
            </w:pPr>
            <w:r>
              <w:rPr>
                <w:rFonts w:ascii="Arial" w:cs="Arial" w:eastAsia="Arial" w:hAnsi="Arial"/>
                <w:sz w:val="16"/>
                <w:szCs w:val="16"/>
                <w:b w:val="1"/>
                <w:bCs w:val="1"/>
                <w:color w:val="auto"/>
                <w:w w:val="93"/>
              </w:rPr>
              <w:t>of Consulting</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Awards</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6"/>
              </w:rPr>
              <w:t>Stock-Based</w:t>
            </w:r>
          </w:p>
        </w:tc>
        <w:tc>
          <w:tcPr>
            <w:tcW w:w="1260" w:type="dxa"/>
            <w:vAlign w:val="bottom"/>
          </w:tcPr>
          <w:p>
            <w:pPr>
              <w:jc w:val="center"/>
              <w:ind w:right="120"/>
              <w:spacing w:after="0"/>
              <w:rPr>
                <w:sz w:val="20"/>
                <w:szCs w:val="20"/>
                <w:color w:val="auto"/>
              </w:rPr>
            </w:pPr>
            <w:r>
              <w:rPr>
                <w:rFonts w:ascii="Arial" w:cs="Arial" w:eastAsia="Arial" w:hAnsi="Arial"/>
                <w:sz w:val="16"/>
                <w:szCs w:val="16"/>
                <w:b w:val="1"/>
                <w:bCs w:val="1"/>
                <w:color w:val="auto"/>
                <w:w w:val="85"/>
              </w:rPr>
              <w:t>Perquisites</w:t>
            </w:r>
          </w:p>
        </w:tc>
        <w:tc>
          <w:tcPr>
            <w:tcW w:w="980" w:type="dxa"/>
            <w:vAlign w:val="bottom"/>
          </w:tcPr>
          <w:p>
            <w:pPr>
              <w:jc w:val="right"/>
              <w:ind w:right="320"/>
              <w:spacing w:after="0"/>
              <w:rPr>
                <w:sz w:val="20"/>
                <w:szCs w:val="20"/>
                <w:color w:val="auto"/>
              </w:rPr>
            </w:pPr>
            <w:r>
              <w:rPr>
                <w:rFonts w:ascii="Arial" w:cs="Arial" w:eastAsia="Arial" w:hAnsi="Arial"/>
                <w:sz w:val="16"/>
                <w:szCs w:val="16"/>
                <w:b w:val="1"/>
                <w:bCs w:val="1"/>
                <w:color w:val="auto"/>
              </w:rPr>
              <w:t>Total</w:t>
            </w:r>
          </w:p>
        </w:tc>
      </w:tr>
      <w:tr>
        <w:trPr>
          <w:trHeight w:val="208"/>
        </w:trPr>
        <w:tc>
          <w:tcPr>
            <w:tcW w:w="29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 and Triggering Event(a)</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w:t>
            </w:r>
          </w:p>
        </w:tc>
        <w:tc>
          <w:tcPr>
            <w:tcW w:w="11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w w:val="95"/>
              </w:rPr>
              <w:t>Payments (d)</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Awards (f)</w:t>
            </w:r>
          </w:p>
        </w:tc>
        <w:tc>
          <w:tcPr>
            <w:tcW w:w="1260" w:type="dxa"/>
            <w:vAlign w:val="bottom"/>
            <w:tcBorders>
              <w:bottom w:val="single" w:sz="8" w:color="auto"/>
            </w:tcBorders>
          </w:tcPr>
          <w:p>
            <w:pPr>
              <w:jc w:val="center"/>
              <w:ind w:right="120"/>
              <w:spacing w:after="0"/>
              <w:rPr>
                <w:sz w:val="20"/>
                <w:szCs w:val="20"/>
                <w:color w:val="auto"/>
              </w:rPr>
            </w:pPr>
            <w:r>
              <w:rPr>
                <w:rFonts w:ascii="Arial" w:cs="Arial" w:eastAsia="Arial" w:hAnsi="Arial"/>
                <w:sz w:val="16"/>
                <w:szCs w:val="16"/>
                <w:b w:val="1"/>
                <w:bCs w:val="1"/>
                <w:color w:val="auto"/>
                <w:w w:val="94"/>
              </w:rPr>
              <w:t>($)(g)</w:t>
            </w: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w:t>
            </w:r>
          </w:p>
        </w:tc>
      </w:tr>
      <w:tr>
        <w:trPr>
          <w:trHeight w:val="195"/>
        </w:trPr>
        <w:tc>
          <w:tcPr>
            <w:tcW w:w="2900" w:type="dxa"/>
            <w:vAlign w:val="bottom"/>
            <w:shd w:val="clear" w:color="auto" w:fill="E9E9E9"/>
          </w:tcPr>
          <w:p>
            <w:pPr>
              <w:ind w:left="60"/>
              <w:spacing w:after="0"/>
              <w:rPr>
                <w:sz w:val="20"/>
                <w:szCs w:val="20"/>
                <w:color w:val="auto"/>
              </w:rPr>
            </w:pPr>
            <w:r>
              <w:rPr>
                <w:rFonts w:ascii="Arial" w:cs="Arial" w:eastAsia="Arial" w:hAnsi="Arial"/>
                <w:sz w:val="16"/>
                <w:szCs w:val="16"/>
                <w:b w:val="1"/>
                <w:bCs w:val="1"/>
                <w:color w:val="auto"/>
              </w:rPr>
              <w:t>Mr. Nelson</w:t>
            </w:r>
          </w:p>
        </w:tc>
        <w:tc>
          <w:tcPr>
            <w:tcW w:w="1160" w:type="dxa"/>
            <w:vAlign w:val="bottom"/>
            <w:shd w:val="clear" w:color="auto" w:fill="E9E9E9"/>
          </w:tcPr>
          <w:p>
            <w:pPr>
              <w:spacing w:after="0"/>
              <w:rPr>
                <w:sz w:val="16"/>
                <w:szCs w:val="16"/>
                <w:color w:val="auto"/>
              </w:rPr>
            </w:pPr>
          </w:p>
        </w:tc>
        <w:tc>
          <w:tcPr>
            <w:tcW w:w="1160" w:type="dxa"/>
            <w:vAlign w:val="bottom"/>
            <w:shd w:val="clear" w:color="auto" w:fill="E9E9E9"/>
          </w:tcPr>
          <w:p>
            <w:pPr>
              <w:spacing w:after="0"/>
              <w:rPr>
                <w:sz w:val="16"/>
                <w:szCs w:val="16"/>
                <w:color w:val="auto"/>
              </w:rPr>
            </w:pPr>
          </w:p>
        </w:tc>
        <w:tc>
          <w:tcPr>
            <w:tcW w:w="1160" w:type="dxa"/>
            <w:vAlign w:val="bottom"/>
            <w:shd w:val="clear" w:color="auto" w:fill="E9E9E9"/>
          </w:tcPr>
          <w:p>
            <w:pPr>
              <w:spacing w:after="0"/>
              <w:rPr>
                <w:sz w:val="16"/>
                <w:szCs w:val="16"/>
                <w:color w:val="auto"/>
              </w:rPr>
            </w:pPr>
          </w:p>
        </w:tc>
        <w:tc>
          <w:tcPr>
            <w:tcW w:w="1000" w:type="dxa"/>
            <w:vAlign w:val="bottom"/>
            <w:shd w:val="clear" w:color="auto" w:fill="E9E9E9"/>
          </w:tcPr>
          <w:p>
            <w:pPr>
              <w:spacing w:after="0"/>
              <w:rPr>
                <w:sz w:val="16"/>
                <w:szCs w:val="16"/>
                <w:color w:val="auto"/>
              </w:rPr>
            </w:pPr>
          </w:p>
        </w:tc>
        <w:tc>
          <w:tcPr>
            <w:tcW w:w="1260" w:type="dxa"/>
            <w:vAlign w:val="bottom"/>
            <w:shd w:val="clear" w:color="auto" w:fill="E9E9E9"/>
          </w:tcPr>
          <w:p>
            <w:pPr>
              <w:spacing w:after="0"/>
              <w:rPr>
                <w:sz w:val="16"/>
                <w:szCs w:val="16"/>
                <w:color w:val="auto"/>
              </w:rPr>
            </w:pPr>
          </w:p>
        </w:tc>
        <w:tc>
          <w:tcPr>
            <w:tcW w:w="980" w:type="dxa"/>
            <w:vAlign w:val="bottom"/>
            <w:shd w:val="clear" w:color="auto" w:fill="E9E9E9"/>
          </w:tcPr>
          <w:p>
            <w:pPr>
              <w:spacing w:after="0"/>
              <w:rPr>
                <w:sz w:val="16"/>
                <w:szCs w:val="16"/>
                <w:color w:val="auto"/>
              </w:rPr>
            </w:pPr>
          </w:p>
        </w:tc>
      </w:tr>
      <w:tr>
        <w:trPr>
          <w:trHeight w:val="203"/>
        </w:trPr>
        <w:tc>
          <w:tcPr>
            <w:tcW w:w="2900" w:type="dxa"/>
            <w:vAlign w:val="bottom"/>
            <w:shd w:val="clear" w:color="auto" w:fill="E9E9E9"/>
          </w:tcPr>
          <w:p>
            <w:pPr>
              <w:ind w:left="60"/>
              <w:spacing w:after="0"/>
              <w:rPr>
                <w:sz w:val="20"/>
                <w:szCs w:val="20"/>
                <w:color w:val="auto"/>
              </w:rPr>
            </w:pPr>
            <w:r>
              <w:rPr>
                <w:rFonts w:ascii="Arial" w:cs="Arial" w:eastAsia="Arial" w:hAnsi="Arial"/>
                <w:sz w:val="16"/>
                <w:szCs w:val="16"/>
                <w:color w:val="auto"/>
                <w:w w:val="91"/>
              </w:rPr>
              <w:t>Resignation or Termination by Company for</w:t>
            </w:r>
          </w:p>
        </w:tc>
        <w:tc>
          <w:tcPr>
            <w:tcW w:w="1160" w:type="dxa"/>
            <w:vAlign w:val="bottom"/>
            <w:shd w:val="clear" w:color="auto" w:fill="E9E9E9"/>
          </w:tcPr>
          <w:p>
            <w:pPr>
              <w:spacing w:after="0"/>
              <w:rPr>
                <w:sz w:val="17"/>
                <w:szCs w:val="17"/>
                <w:color w:val="auto"/>
              </w:rPr>
            </w:pPr>
          </w:p>
        </w:tc>
        <w:tc>
          <w:tcPr>
            <w:tcW w:w="1160" w:type="dxa"/>
            <w:vAlign w:val="bottom"/>
            <w:shd w:val="clear" w:color="auto" w:fill="E9E9E9"/>
          </w:tcPr>
          <w:p>
            <w:pPr>
              <w:spacing w:after="0"/>
              <w:rPr>
                <w:sz w:val="17"/>
                <w:szCs w:val="17"/>
                <w:color w:val="auto"/>
              </w:rPr>
            </w:pPr>
          </w:p>
        </w:tc>
        <w:tc>
          <w:tcPr>
            <w:tcW w:w="1160" w:type="dxa"/>
            <w:vAlign w:val="bottom"/>
            <w:shd w:val="clear" w:color="auto" w:fill="E9E9E9"/>
          </w:tcPr>
          <w:p>
            <w:pPr>
              <w:spacing w:after="0"/>
              <w:rPr>
                <w:sz w:val="17"/>
                <w:szCs w:val="17"/>
                <w:color w:val="auto"/>
              </w:rPr>
            </w:pPr>
          </w:p>
        </w:tc>
        <w:tc>
          <w:tcPr>
            <w:tcW w:w="1000" w:type="dxa"/>
            <w:vAlign w:val="bottom"/>
            <w:shd w:val="clear" w:color="auto" w:fill="E9E9E9"/>
          </w:tcPr>
          <w:p>
            <w:pPr>
              <w:spacing w:after="0"/>
              <w:rPr>
                <w:sz w:val="17"/>
                <w:szCs w:val="17"/>
                <w:color w:val="auto"/>
              </w:rPr>
            </w:pPr>
          </w:p>
        </w:tc>
        <w:tc>
          <w:tcPr>
            <w:tcW w:w="1260" w:type="dxa"/>
            <w:vAlign w:val="bottom"/>
            <w:shd w:val="clear" w:color="auto" w:fill="E9E9E9"/>
          </w:tcPr>
          <w:p>
            <w:pPr>
              <w:spacing w:after="0"/>
              <w:rPr>
                <w:sz w:val="17"/>
                <w:szCs w:val="17"/>
                <w:color w:val="auto"/>
              </w:rPr>
            </w:pPr>
          </w:p>
        </w:tc>
        <w:tc>
          <w:tcPr>
            <w:tcW w:w="980" w:type="dxa"/>
            <w:vAlign w:val="bottom"/>
            <w:shd w:val="clear" w:color="auto" w:fill="E9E9E9"/>
          </w:tcPr>
          <w:p>
            <w:pPr>
              <w:spacing w:after="0"/>
              <w:rPr>
                <w:sz w:val="17"/>
                <w:szCs w:val="17"/>
                <w:color w:val="auto"/>
              </w:rPr>
            </w:pPr>
          </w:p>
        </w:tc>
      </w:tr>
      <w:tr>
        <w:trPr>
          <w:trHeight w:val="204"/>
        </w:trPr>
        <w:tc>
          <w:tcPr>
            <w:tcW w:w="2900" w:type="dxa"/>
            <w:vAlign w:val="bottom"/>
            <w:shd w:val="clear" w:color="auto" w:fill="E9E9E9"/>
          </w:tcPr>
          <w:p>
            <w:pPr>
              <w:ind w:left="60"/>
              <w:spacing w:after="0"/>
              <w:rPr>
                <w:sz w:val="20"/>
                <w:szCs w:val="20"/>
                <w:color w:val="auto"/>
              </w:rPr>
            </w:pPr>
            <w:r>
              <w:rPr>
                <w:rFonts w:ascii="Arial" w:cs="Arial" w:eastAsia="Arial" w:hAnsi="Arial"/>
                <w:sz w:val="16"/>
                <w:szCs w:val="16"/>
                <w:color w:val="auto"/>
              </w:rPr>
              <w:t>Cause</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16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0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9E9E9"/>
          </w:tcPr>
          <w:p>
            <w:pPr>
              <w:jc w:val="right"/>
              <w:ind w:right="120"/>
              <w:spacing w:after="0"/>
              <w:rPr>
                <w:sz w:val="20"/>
                <w:szCs w:val="20"/>
                <w:color w:val="auto"/>
              </w:rPr>
            </w:pPr>
            <w:r>
              <w:rPr>
                <w:rFonts w:ascii="Arial" w:cs="Arial" w:eastAsia="Arial" w:hAnsi="Arial"/>
                <w:sz w:val="16"/>
                <w:szCs w:val="16"/>
                <w:color w:val="auto"/>
              </w:rPr>
              <w:t>273,309</w:t>
            </w:r>
          </w:p>
        </w:tc>
        <w:tc>
          <w:tcPr>
            <w:tcW w:w="9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273,309</w:t>
            </w:r>
          </w:p>
        </w:tc>
      </w:tr>
      <w:tr>
        <w:trPr>
          <w:trHeight w:val="203"/>
        </w:trPr>
        <w:tc>
          <w:tcPr>
            <w:tcW w:w="2900" w:type="dxa"/>
            <w:vAlign w:val="bottom"/>
            <w:shd w:val="clear" w:color="auto" w:fill="E9E9E9"/>
          </w:tcPr>
          <w:p>
            <w:pPr>
              <w:ind w:left="60"/>
              <w:spacing w:after="0"/>
              <w:rPr>
                <w:sz w:val="20"/>
                <w:szCs w:val="20"/>
                <w:color w:val="auto"/>
              </w:rPr>
            </w:pPr>
            <w:r>
              <w:rPr>
                <w:rFonts w:ascii="Arial" w:cs="Arial" w:eastAsia="Arial" w:hAnsi="Arial"/>
                <w:sz w:val="16"/>
                <w:szCs w:val="16"/>
                <w:color w:val="auto"/>
              </w:rPr>
              <w:t>Termination due to Death or Disability</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1,725,000</w:t>
            </w:r>
          </w:p>
        </w:tc>
        <w:tc>
          <w:tcPr>
            <w:tcW w:w="116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45,311,748</w:t>
            </w:r>
          </w:p>
        </w:tc>
        <w:tc>
          <w:tcPr>
            <w:tcW w:w="10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9E9E9"/>
          </w:tcPr>
          <w:p>
            <w:pPr>
              <w:jc w:val="right"/>
              <w:ind w:right="120"/>
              <w:spacing w:after="0"/>
              <w:rPr>
                <w:sz w:val="20"/>
                <w:szCs w:val="20"/>
                <w:color w:val="auto"/>
              </w:rPr>
            </w:pPr>
            <w:r>
              <w:rPr>
                <w:rFonts w:ascii="Arial" w:cs="Arial" w:eastAsia="Arial" w:hAnsi="Arial"/>
                <w:sz w:val="16"/>
                <w:szCs w:val="16"/>
                <w:color w:val="auto"/>
              </w:rPr>
              <w:t>332,169</w:t>
            </w:r>
          </w:p>
        </w:tc>
        <w:tc>
          <w:tcPr>
            <w:tcW w:w="9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47,368,917</w:t>
            </w:r>
          </w:p>
        </w:tc>
      </w:tr>
      <w:tr>
        <w:trPr>
          <w:trHeight w:val="203"/>
        </w:trPr>
        <w:tc>
          <w:tcPr>
            <w:tcW w:w="2900" w:type="dxa"/>
            <w:vAlign w:val="bottom"/>
            <w:shd w:val="clear" w:color="auto" w:fill="E9E9E9"/>
          </w:tcPr>
          <w:p>
            <w:pPr>
              <w:ind w:left="60"/>
              <w:spacing w:after="0"/>
              <w:rPr>
                <w:sz w:val="20"/>
                <w:szCs w:val="20"/>
                <w:color w:val="auto"/>
              </w:rPr>
            </w:pPr>
            <w:r>
              <w:rPr>
                <w:rFonts w:ascii="Arial" w:cs="Arial" w:eastAsia="Arial" w:hAnsi="Arial"/>
                <w:sz w:val="16"/>
                <w:szCs w:val="16"/>
                <w:color w:val="auto"/>
                <w:w w:val="92"/>
              </w:rPr>
              <w:t>Termination by Company without Cause or</w:t>
            </w:r>
          </w:p>
        </w:tc>
        <w:tc>
          <w:tcPr>
            <w:tcW w:w="1160" w:type="dxa"/>
            <w:vAlign w:val="bottom"/>
            <w:shd w:val="clear" w:color="auto" w:fill="E9E9E9"/>
          </w:tcPr>
          <w:p>
            <w:pPr>
              <w:spacing w:after="0"/>
              <w:rPr>
                <w:sz w:val="17"/>
                <w:szCs w:val="17"/>
                <w:color w:val="auto"/>
              </w:rPr>
            </w:pPr>
          </w:p>
        </w:tc>
        <w:tc>
          <w:tcPr>
            <w:tcW w:w="1160" w:type="dxa"/>
            <w:vAlign w:val="bottom"/>
            <w:shd w:val="clear" w:color="auto" w:fill="E9E9E9"/>
          </w:tcPr>
          <w:p>
            <w:pPr>
              <w:spacing w:after="0"/>
              <w:rPr>
                <w:sz w:val="17"/>
                <w:szCs w:val="17"/>
                <w:color w:val="auto"/>
              </w:rPr>
            </w:pPr>
          </w:p>
        </w:tc>
        <w:tc>
          <w:tcPr>
            <w:tcW w:w="1160" w:type="dxa"/>
            <w:vAlign w:val="bottom"/>
            <w:shd w:val="clear" w:color="auto" w:fill="E9E9E9"/>
          </w:tcPr>
          <w:p>
            <w:pPr>
              <w:spacing w:after="0"/>
              <w:rPr>
                <w:sz w:val="17"/>
                <w:szCs w:val="17"/>
                <w:color w:val="auto"/>
              </w:rPr>
            </w:pPr>
          </w:p>
        </w:tc>
        <w:tc>
          <w:tcPr>
            <w:tcW w:w="1000" w:type="dxa"/>
            <w:vAlign w:val="bottom"/>
            <w:shd w:val="clear" w:color="auto" w:fill="E9E9E9"/>
          </w:tcPr>
          <w:p>
            <w:pPr>
              <w:spacing w:after="0"/>
              <w:rPr>
                <w:sz w:val="17"/>
                <w:szCs w:val="17"/>
                <w:color w:val="auto"/>
              </w:rPr>
            </w:pPr>
          </w:p>
        </w:tc>
        <w:tc>
          <w:tcPr>
            <w:tcW w:w="1260" w:type="dxa"/>
            <w:vAlign w:val="bottom"/>
            <w:shd w:val="clear" w:color="auto" w:fill="E9E9E9"/>
          </w:tcPr>
          <w:p>
            <w:pPr>
              <w:spacing w:after="0"/>
              <w:rPr>
                <w:sz w:val="17"/>
                <w:szCs w:val="17"/>
                <w:color w:val="auto"/>
              </w:rPr>
            </w:pPr>
          </w:p>
        </w:tc>
        <w:tc>
          <w:tcPr>
            <w:tcW w:w="980" w:type="dxa"/>
            <w:vAlign w:val="bottom"/>
            <w:shd w:val="clear" w:color="auto" w:fill="E9E9E9"/>
          </w:tcPr>
          <w:p>
            <w:pPr>
              <w:spacing w:after="0"/>
              <w:rPr>
                <w:sz w:val="17"/>
                <w:szCs w:val="17"/>
                <w:color w:val="auto"/>
              </w:rPr>
            </w:pPr>
          </w:p>
        </w:tc>
      </w:tr>
      <w:tr>
        <w:trPr>
          <w:trHeight w:val="204"/>
        </w:trPr>
        <w:tc>
          <w:tcPr>
            <w:tcW w:w="2900" w:type="dxa"/>
            <w:vAlign w:val="bottom"/>
            <w:shd w:val="clear" w:color="auto" w:fill="E9E9E9"/>
          </w:tcPr>
          <w:p>
            <w:pPr>
              <w:ind w:left="60"/>
              <w:spacing w:after="0"/>
              <w:rPr>
                <w:sz w:val="20"/>
                <w:szCs w:val="20"/>
                <w:color w:val="auto"/>
              </w:rPr>
            </w:pPr>
            <w:r>
              <w:rPr>
                <w:rFonts w:ascii="Arial" w:cs="Arial" w:eastAsia="Arial" w:hAnsi="Arial"/>
                <w:sz w:val="16"/>
                <w:szCs w:val="16"/>
                <w:color w:val="auto"/>
              </w:rPr>
              <w:t>due to Constructive Discharge</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8,596,250</w:t>
            </w:r>
          </w:p>
        </w:tc>
        <w:tc>
          <w:tcPr>
            <w:tcW w:w="116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45,311,748</w:t>
            </w:r>
          </w:p>
        </w:tc>
        <w:tc>
          <w:tcPr>
            <w:tcW w:w="10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9E9E9"/>
          </w:tcPr>
          <w:p>
            <w:pPr>
              <w:jc w:val="right"/>
              <w:ind w:right="120"/>
              <w:spacing w:after="0"/>
              <w:rPr>
                <w:sz w:val="20"/>
                <w:szCs w:val="20"/>
                <w:color w:val="auto"/>
              </w:rPr>
            </w:pPr>
            <w:r>
              <w:rPr>
                <w:rFonts w:ascii="Arial" w:cs="Arial" w:eastAsia="Arial" w:hAnsi="Arial"/>
                <w:sz w:val="16"/>
                <w:szCs w:val="16"/>
                <w:color w:val="auto"/>
              </w:rPr>
              <w:t>332,169</w:t>
            </w:r>
          </w:p>
        </w:tc>
        <w:tc>
          <w:tcPr>
            <w:tcW w:w="9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54,240,167</w:t>
            </w:r>
          </w:p>
        </w:tc>
      </w:tr>
      <w:tr>
        <w:trPr>
          <w:trHeight w:val="203"/>
        </w:trPr>
        <w:tc>
          <w:tcPr>
            <w:tcW w:w="2900" w:type="dxa"/>
            <w:vAlign w:val="bottom"/>
            <w:shd w:val="clear" w:color="auto" w:fill="E9E9E9"/>
          </w:tcPr>
          <w:p>
            <w:pPr>
              <w:ind w:left="60"/>
              <w:spacing w:after="0"/>
              <w:rPr>
                <w:sz w:val="20"/>
                <w:szCs w:val="20"/>
                <w:color w:val="auto"/>
              </w:rPr>
            </w:pPr>
            <w:r>
              <w:rPr>
                <w:rFonts w:ascii="Arial" w:cs="Arial" w:eastAsia="Arial" w:hAnsi="Arial"/>
                <w:sz w:val="16"/>
                <w:szCs w:val="16"/>
                <w:color w:val="auto"/>
              </w:rPr>
              <w:t>Change of Control Transaction and</w:t>
            </w:r>
          </w:p>
        </w:tc>
        <w:tc>
          <w:tcPr>
            <w:tcW w:w="1160" w:type="dxa"/>
            <w:vAlign w:val="bottom"/>
            <w:shd w:val="clear" w:color="auto" w:fill="E9E9E9"/>
          </w:tcPr>
          <w:p>
            <w:pPr>
              <w:spacing w:after="0"/>
              <w:rPr>
                <w:sz w:val="17"/>
                <w:szCs w:val="17"/>
                <w:color w:val="auto"/>
              </w:rPr>
            </w:pPr>
          </w:p>
        </w:tc>
        <w:tc>
          <w:tcPr>
            <w:tcW w:w="1160" w:type="dxa"/>
            <w:vAlign w:val="bottom"/>
            <w:shd w:val="clear" w:color="auto" w:fill="E9E9E9"/>
          </w:tcPr>
          <w:p>
            <w:pPr>
              <w:spacing w:after="0"/>
              <w:rPr>
                <w:sz w:val="17"/>
                <w:szCs w:val="17"/>
                <w:color w:val="auto"/>
              </w:rPr>
            </w:pPr>
          </w:p>
        </w:tc>
        <w:tc>
          <w:tcPr>
            <w:tcW w:w="1160" w:type="dxa"/>
            <w:vAlign w:val="bottom"/>
            <w:shd w:val="clear" w:color="auto" w:fill="E9E9E9"/>
          </w:tcPr>
          <w:p>
            <w:pPr>
              <w:spacing w:after="0"/>
              <w:rPr>
                <w:sz w:val="17"/>
                <w:szCs w:val="17"/>
                <w:color w:val="auto"/>
              </w:rPr>
            </w:pPr>
          </w:p>
        </w:tc>
        <w:tc>
          <w:tcPr>
            <w:tcW w:w="1000" w:type="dxa"/>
            <w:vAlign w:val="bottom"/>
            <w:shd w:val="clear" w:color="auto" w:fill="E9E9E9"/>
          </w:tcPr>
          <w:p>
            <w:pPr>
              <w:spacing w:after="0"/>
              <w:rPr>
                <w:sz w:val="17"/>
                <w:szCs w:val="17"/>
                <w:color w:val="auto"/>
              </w:rPr>
            </w:pPr>
          </w:p>
        </w:tc>
        <w:tc>
          <w:tcPr>
            <w:tcW w:w="1260" w:type="dxa"/>
            <w:vAlign w:val="bottom"/>
            <w:shd w:val="clear" w:color="auto" w:fill="E9E9E9"/>
          </w:tcPr>
          <w:p>
            <w:pPr>
              <w:spacing w:after="0"/>
              <w:rPr>
                <w:sz w:val="17"/>
                <w:szCs w:val="17"/>
                <w:color w:val="auto"/>
              </w:rPr>
            </w:pPr>
          </w:p>
        </w:tc>
        <w:tc>
          <w:tcPr>
            <w:tcW w:w="980" w:type="dxa"/>
            <w:vAlign w:val="bottom"/>
            <w:shd w:val="clear" w:color="auto" w:fill="E9E9E9"/>
          </w:tcPr>
          <w:p>
            <w:pPr>
              <w:spacing w:after="0"/>
              <w:rPr>
                <w:sz w:val="17"/>
                <w:szCs w:val="17"/>
                <w:color w:val="auto"/>
              </w:rPr>
            </w:pPr>
          </w:p>
        </w:tc>
      </w:tr>
      <w:tr>
        <w:trPr>
          <w:trHeight w:val="203"/>
        </w:trPr>
        <w:tc>
          <w:tcPr>
            <w:tcW w:w="2900" w:type="dxa"/>
            <w:vAlign w:val="bottom"/>
            <w:shd w:val="clear" w:color="auto" w:fill="E9E9E9"/>
          </w:tcPr>
          <w:p>
            <w:pPr>
              <w:ind w:left="60"/>
              <w:spacing w:after="0"/>
              <w:rPr>
                <w:sz w:val="20"/>
                <w:szCs w:val="20"/>
                <w:color w:val="auto"/>
              </w:rPr>
            </w:pPr>
            <w:r>
              <w:rPr>
                <w:rFonts w:ascii="Arial" w:cs="Arial" w:eastAsia="Arial" w:hAnsi="Arial"/>
                <w:sz w:val="16"/>
                <w:szCs w:val="16"/>
                <w:color w:val="auto"/>
                <w:w w:val="92"/>
              </w:rPr>
              <w:t>Termination by Company without Cause or</w:t>
            </w:r>
          </w:p>
        </w:tc>
        <w:tc>
          <w:tcPr>
            <w:tcW w:w="1160" w:type="dxa"/>
            <w:vAlign w:val="bottom"/>
            <w:shd w:val="clear" w:color="auto" w:fill="E9E9E9"/>
          </w:tcPr>
          <w:p>
            <w:pPr>
              <w:spacing w:after="0"/>
              <w:rPr>
                <w:sz w:val="17"/>
                <w:szCs w:val="17"/>
                <w:color w:val="auto"/>
              </w:rPr>
            </w:pPr>
          </w:p>
        </w:tc>
        <w:tc>
          <w:tcPr>
            <w:tcW w:w="1160" w:type="dxa"/>
            <w:vAlign w:val="bottom"/>
            <w:shd w:val="clear" w:color="auto" w:fill="E9E9E9"/>
          </w:tcPr>
          <w:p>
            <w:pPr>
              <w:spacing w:after="0"/>
              <w:rPr>
                <w:sz w:val="17"/>
                <w:szCs w:val="17"/>
                <w:color w:val="auto"/>
              </w:rPr>
            </w:pPr>
          </w:p>
        </w:tc>
        <w:tc>
          <w:tcPr>
            <w:tcW w:w="1160" w:type="dxa"/>
            <w:vAlign w:val="bottom"/>
            <w:shd w:val="clear" w:color="auto" w:fill="E9E9E9"/>
          </w:tcPr>
          <w:p>
            <w:pPr>
              <w:spacing w:after="0"/>
              <w:rPr>
                <w:sz w:val="17"/>
                <w:szCs w:val="17"/>
                <w:color w:val="auto"/>
              </w:rPr>
            </w:pPr>
          </w:p>
        </w:tc>
        <w:tc>
          <w:tcPr>
            <w:tcW w:w="1000" w:type="dxa"/>
            <w:vAlign w:val="bottom"/>
            <w:shd w:val="clear" w:color="auto" w:fill="E9E9E9"/>
          </w:tcPr>
          <w:p>
            <w:pPr>
              <w:spacing w:after="0"/>
              <w:rPr>
                <w:sz w:val="17"/>
                <w:szCs w:val="17"/>
                <w:color w:val="auto"/>
              </w:rPr>
            </w:pPr>
          </w:p>
        </w:tc>
        <w:tc>
          <w:tcPr>
            <w:tcW w:w="1260" w:type="dxa"/>
            <w:vAlign w:val="bottom"/>
            <w:shd w:val="clear" w:color="auto" w:fill="E9E9E9"/>
          </w:tcPr>
          <w:p>
            <w:pPr>
              <w:spacing w:after="0"/>
              <w:rPr>
                <w:sz w:val="17"/>
                <w:szCs w:val="17"/>
                <w:color w:val="auto"/>
              </w:rPr>
            </w:pPr>
          </w:p>
        </w:tc>
        <w:tc>
          <w:tcPr>
            <w:tcW w:w="980" w:type="dxa"/>
            <w:vAlign w:val="bottom"/>
            <w:shd w:val="clear" w:color="auto" w:fill="E9E9E9"/>
          </w:tcPr>
          <w:p>
            <w:pPr>
              <w:spacing w:after="0"/>
              <w:rPr>
                <w:sz w:val="17"/>
                <w:szCs w:val="17"/>
                <w:color w:val="auto"/>
              </w:rPr>
            </w:pPr>
          </w:p>
        </w:tc>
      </w:tr>
      <w:tr>
        <w:trPr>
          <w:trHeight w:val="204"/>
        </w:trPr>
        <w:tc>
          <w:tcPr>
            <w:tcW w:w="2900" w:type="dxa"/>
            <w:vAlign w:val="bottom"/>
            <w:shd w:val="clear" w:color="auto" w:fill="E9E9E9"/>
          </w:tcPr>
          <w:p>
            <w:pPr>
              <w:ind w:left="60"/>
              <w:spacing w:after="0"/>
              <w:rPr>
                <w:sz w:val="20"/>
                <w:szCs w:val="20"/>
                <w:color w:val="auto"/>
              </w:rPr>
            </w:pPr>
            <w:r>
              <w:rPr>
                <w:rFonts w:ascii="Arial" w:cs="Arial" w:eastAsia="Arial" w:hAnsi="Arial"/>
                <w:sz w:val="16"/>
                <w:szCs w:val="16"/>
                <w:color w:val="auto"/>
              </w:rPr>
              <w:t>due to Constructive Discharge</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8,596,250</w:t>
            </w:r>
          </w:p>
        </w:tc>
        <w:tc>
          <w:tcPr>
            <w:tcW w:w="116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45,311,748</w:t>
            </w:r>
          </w:p>
        </w:tc>
        <w:tc>
          <w:tcPr>
            <w:tcW w:w="10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9E9E9"/>
          </w:tcPr>
          <w:p>
            <w:pPr>
              <w:jc w:val="right"/>
              <w:ind w:right="120"/>
              <w:spacing w:after="0"/>
              <w:rPr>
                <w:sz w:val="20"/>
                <w:szCs w:val="20"/>
                <w:color w:val="auto"/>
              </w:rPr>
            </w:pPr>
            <w:r>
              <w:rPr>
                <w:rFonts w:ascii="Arial" w:cs="Arial" w:eastAsia="Arial" w:hAnsi="Arial"/>
                <w:sz w:val="16"/>
                <w:szCs w:val="16"/>
                <w:color w:val="auto"/>
              </w:rPr>
              <w:t>332,169</w:t>
            </w:r>
          </w:p>
        </w:tc>
        <w:tc>
          <w:tcPr>
            <w:tcW w:w="9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54,240,167</w:t>
            </w:r>
          </w:p>
        </w:tc>
      </w:tr>
      <w:tr>
        <w:trPr>
          <w:trHeight w:val="203"/>
        </w:trPr>
        <w:tc>
          <w:tcPr>
            <w:tcW w:w="2900" w:type="dxa"/>
            <w:vAlign w:val="bottom"/>
            <w:shd w:val="clear" w:color="auto" w:fill="E9E9E9"/>
          </w:tcPr>
          <w:p>
            <w:pPr>
              <w:ind w:left="60"/>
              <w:spacing w:after="0"/>
              <w:rPr>
                <w:sz w:val="20"/>
                <w:szCs w:val="20"/>
                <w:color w:val="auto"/>
              </w:rPr>
            </w:pPr>
            <w:r>
              <w:rPr>
                <w:rFonts w:ascii="Arial" w:cs="Arial" w:eastAsia="Arial" w:hAnsi="Arial"/>
                <w:sz w:val="16"/>
                <w:szCs w:val="16"/>
                <w:color w:val="auto"/>
              </w:rPr>
              <w:t>Change of Control Transaction without</w:t>
            </w:r>
          </w:p>
        </w:tc>
        <w:tc>
          <w:tcPr>
            <w:tcW w:w="1160" w:type="dxa"/>
            <w:vAlign w:val="bottom"/>
            <w:shd w:val="clear" w:color="auto" w:fill="E9E9E9"/>
          </w:tcPr>
          <w:p>
            <w:pPr>
              <w:spacing w:after="0"/>
              <w:rPr>
                <w:sz w:val="17"/>
                <w:szCs w:val="17"/>
                <w:color w:val="auto"/>
              </w:rPr>
            </w:pPr>
          </w:p>
        </w:tc>
        <w:tc>
          <w:tcPr>
            <w:tcW w:w="1160" w:type="dxa"/>
            <w:vAlign w:val="bottom"/>
            <w:shd w:val="clear" w:color="auto" w:fill="E9E9E9"/>
          </w:tcPr>
          <w:p>
            <w:pPr>
              <w:spacing w:after="0"/>
              <w:rPr>
                <w:sz w:val="17"/>
                <w:szCs w:val="17"/>
                <w:color w:val="auto"/>
              </w:rPr>
            </w:pPr>
          </w:p>
        </w:tc>
        <w:tc>
          <w:tcPr>
            <w:tcW w:w="1160" w:type="dxa"/>
            <w:vAlign w:val="bottom"/>
            <w:shd w:val="clear" w:color="auto" w:fill="E9E9E9"/>
          </w:tcPr>
          <w:p>
            <w:pPr>
              <w:spacing w:after="0"/>
              <w:rPr>
                <w:sz w:val="17"/>
                <w:szCs w:val="17"/>
                <w:color w:val="auto"/>
              </w:rPr>
            </w:pPr>
          </w:p>
        </w:tc>
        <w:tc>
          <w:tcPr>
            <w:tcW w:w="1000" w:type="dxa"/>
            <w:vAlign w:val="bottom"/>
            <w:shd w:val="clear" w:color="auto" w:fill="E9E9E9"/>
          </w:tcPr>
          <w:p>
            <w:pPr>
              <w:spacing w:after="0"/>
              <w:rPr>
                <w:sz w:val="17"/>
                <w:szCs w:val="17"/>
                <w:color w:val="auto"/>
              </w:rPr>
            </w:pPr>
          </w:p>
        </w:tc>
        <w:tc>
          <w:tcPr>
            <w:tcW w:w="1260" w:type="dxa"/>
            <w:vAlign w:val="bottom"/>
            <w:shd w:val="clear" w:color="auto" w:fill="E9E9E9"/>
          </w:tcPr>
          <w:p>
            <w:pPr>
              <w:spacing w:after="0"/>
              <w:rPr>
                <w:sz w:val="17"/>
                <w:szCs w:val="17"/>
                <w:color w:val="auto"/>
              </w:rPr>
            </w:pPr>
          </w:p>
        </w:tc>
        <w:tc>
          <w:tcPr>
            <w:tcW w:w="980" w:type="dxa"/>
            <w:vAlign w:val="bottom"/>
            <w:shd w:val="clear" w:color="auto" w:fill="E9E9E9"/>
          </w:tcPr>
          <w:p>
            <w:pPr>
              <w:spacing w:after="0"/>
              <w:rPr>
                <w:sz w:val="17"/>
                <w:szCs w:val="17"/>
                <w:color w:val="auto"/>
              </w:rPr>
            </w:pPr>
          </w:p>
        </w:tc>
      </w:tr>
      <w:tr>
        <w:trPr>
          <w:trHeight w:val="204"/>
        </w:trPr>
        <w:tc>
          <w:tcPr>
            <w:tcW w:w="2900" w:type="dxa"/>
            <w:vAlign w:val="bottom"/>
            <w:shd w:val="clear" w:color="auto" w:fill="E9E9E9"/>
          </w:tcPr>
          <w:p>
            <w:pPr>
              <w:ind w:left="60"/>
              <w:spacing w:after="0"/>
              <w:rPr>
                <w:sz w:val="20"/>
                <w:szCs w:val="20"/>
                <w:color w:val="auto"/>
              </w:rPr>
            </w:pPr>
            <w:r>
              <w:rPr>
                <w:rFonts w:ascii="Arial" w:cs="Arial" w:eastAsia="Arial" w:hAnsi="Arial"/>
                <w:sz w:val="16"/>
                <w:szCs w:val="16"/>
                <w:color w:val="auto"/>
              </w:rPr>
              <w:t>Termination</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16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0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9E9E9"/>
          </w:tcPr>
          <w:p>
            <w:pPr>
              <w:jc w:val="right"/>
              <w:ind w:right="120"/>
              <w:spacing w:after="0"/>
              <w:rPr>
                <w:sz w:val="20"/>
                <w:szCs w:val="20"/>
                <w:color w:val="auto"/>
              </w:rPr>
            </w:pPr>
            <w:r>
              <w:rPr>
                <w:rFonts w:ascii="Arial" w:cs="Arial" w:eastAsia="Arial" w:hAnsi="Arial"/>
                <w:sz w:val="16"/>
                <w:szCs w:val="16"/>
                <w:color w:val="auto"/>
              </w:rPr>
              <w:t>0</w:t>
            </w:r>
          </w:p>
        </w:tc>
        <w:tc>
          <w:tcPr>
            <w:tcW w:w="9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r>
      <w:tr>
        <w:trPr>
          <w:trHeight w:val="203"/>
        </w:trPr>
        <w:tc>
          <w:tcPr>
            <w:tcW w:w="2900" w:type="dxa"/>
            <w:vAlign w:val="bottom"/>
          </w:tcPr>
          <w:p>
            <w:pPr>
              <w:ind w:left="60"/>
              <w:spacing w:after="0"/>
              <w:rPr>
                <w:sz w:val="20"/>
                <w:szCs w:val="20"/>
                <w:color w:val="auto"/>
              </w:rPr>
            </w:pPr>
            <w:r>
              <w:rPr>
                <w:rFonts w:ascii="Arial" w:cs="Arial" w:eastAsia="Arial" w:hAnsi="Arial"/>
                <w:sz w:val="16"/>
                <w:szCs w:val="16"/>
                <w:b w:val="1"/>
                <w:bCs w:val="1"/>
                <w:color w:val="auto"/>
              </w:rPr>
              <w:t>Mr. Wyshner</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900" w:type="dxa"/>
            <w:vAlign w:val="bottom"/>
          </w:tcPr>
          <w:p>
            <w:pPr>
              <w:ind w:left="60"/>
              <w:spacing w:after="0"/>
              <w:rPr>
                <w:sz w:val="20"/>
                <w:szCs w:val="20"/>
                <w:color w:val="auto"/>
              </w:rPr>
            </w:pPr>
            <w:r>
              <w:rPr>
                <w:rFonts w:ascii="Arial" w:cs="Arial" w:eastAsia="Arial" w:hAnsi="Arial"/>
                <w:sz w:val="16"/>
                <w:szCs w:val="16"/>
                <w:color w:val="auto"/>
                <w:w w:val="91"/>
              </w:rPr>
              <w:t>Resignation or Termination by Company for</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900" w:type="dxa"/>
            <w:vAlign w:val="bottom"/>
          </w:tcPr>
          <w:p>
            <w:pPr>
              <w:ind w:left="60"/>
              <w:spacing w:after="0"/>
              <w:rPr>
                <w:sz w:val="20"/>
                <w:szCs w:val="20"/>
                <w:color w:val="auto"/>
              </w:rPr>
            </w:pPr>
            <w:r>
              <w:rPr>
                <w:rFonts w:ascii="Arial" w:cs="Arial" w:eastAsia="Arial" w:hAnsi="Arial"/>
                <w:sz w:val="16"/>
                <w:szCs w:val="16"/>
                <w:color w:val="auto"/>
              </w:rPr>
              <w:t>Cause</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0</w:t>
            </w: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03"/>
        </w:trPr>
        <w:tc>
          <w:tcPr>
            <w:tcW w:w="2900" w:type="dxa"/>
            <w:vAlign w:val="bottom"/>
          </w:tcPr>
          <w:p>
            <w:pPr>
              <w:ind w:left="60"/>
              <w:spacing w:after="0"/>
              <w:rPr>
                <w:sz w:val="20"/>
                <w:szCs w:val="20"/>
                <w:color w:val="auto"/>
              </w:rPr>
            </w:pPr>
            <w:r>
              <w:rPr>
                <w:rFonts w:ascii="Arial" w:cs="Arial" w:eastAsia="Arial" w:hAnsi="Arial"/>
                <w:sz w:val="16"/>
                <w:szCs w:val="16"/>
                <w:color w:val="auto"/>
              </w:rPr>
              <w:t>Termination due to Death or Disability</w:t>
            </w:r>
          </w:p>
        </w:tc>
        <w:tc>
          <w:tcPr>
            <w:tcW w:w="1160" w:type="dxa"/>
            <w:vAlign w:val="bottom"/>
          </w:tcPr>
          <w:p>
            <w:pPr>
              <w:jc w:val="right"/>
              <w:spacing w:after="0"/>
              <w:rPr>
                <w:sz w:val="20"/>
                <w:szCs w:val="20"/>
                <w:color w:val="auto"/>
              </w:rPr>
            </w:pPr>
            <w:r>
              <w:rPr>
                <w:rFonts w:ascii="Arial" w:cs="Arial" w:eastAsia="Arial" w:hAnsi="Arial"/>
                <w:sz w:val="16"/>
                <w:szCs w:val="16"/>
                <w:color w:val="auto"/>
              </w:rPr>
              <w:t>700,000</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17,960,638</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91,152</w:t>
            </w:r>
          </w:p>
        </w:tc>
        <w:tc>
          <w:tcPr>
            <w:tcW w:w="980" w:type="dxa"/>
            <w:vAlign w:val="bottom"/>
          </w:tcPr>
          <w:p>
            <w:pPr>
              <w:jc w:val="right"/>
              <w:spacing w:after="0"/>
              <w:rPr>
                <w:sz w:val="20"/>
                <w:szCs w:val="20"/>
                <w:color w:val="auto"/>
              </w:rPr>
            </w:pPr>
            <w:r>
              <w:rPr>
                <w:rFonts w:ascii="Arial" w:cs="Arial" w:eastAsia="Arial" w:hAnsi="Arial"/>
                <w:sz w:val="16"/>
                <w:szCs w:val="16"/>
                <w:color w:val="auto"/>
              </w:rPr>
              <w:t>18,751,790</w:t>
            </w:r>
          </w:p>
        </w:tc>
      </w:tr>
      <w:tr>
        <w:trPr>
          <w:trHeight w:val="203"/>
        </w:trPr>
        <w:tc>
          <w:tcPr>
            <w:tcW w:w="2900" w:type="dxa"/>
            <w:vAlign w:val="bottom"/>
          </w:tcPr>
          <w:p>
            <w:pPr>
              <w:ind w:left="60"/>
              <w:spacing w:after="0"/>
              <w:rPr>
                <w:sz w:val="20"/>
                <w:szCs w:val="20"/>
                <w:color w:val="auto"/>
              </w:rPr>
            </w:pPr>
            <w:r>
              <w:rPr>
                <w:rFonts w:ascii="Arial" w:cs="Arial" w:eastAsia="Arial" w:hAnsi="Arial"/>
                <w:sz w:val="16"/>
                <w:szCs w:val="16"/>
                <w:color w:val="auto"/>
                <w:w w:val="92"/>
              </w:rPr>
              <w:t>Termination by Company without Cause or</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900" w:type="dxa"/>
            <w:vAlign w:val="bottom"/>
          </w:tcPr>
          <w:p>
            <w:pPr>
              <w:ind w:left="60"/>
              <w:spacing w:after="0"/>
              <w:rPr>
                <w:sz w:val="20"/>
                <w:szCs w:val="20"/>
                <w:color w:val="auto"/>
              </w:rPr>
            </w:pPr>
            <w:r>
              <w:rPr>
                <w:rFonts w:ascii="Arial" w:cs="Arial" w:eastAsia="Arial" w:hAnsi="Arial"/>
                <w:sz w:val="16"/>
                <w:szCs w:val="16"/>
                <w:color w:val="auto"/>
              </w:rPr>
              <w:t>due to Constructive Discharge</w:t>
            </w:r>
          </w:p>
        </w:tc>
        <w:tc>
          <w:tcPr>
            <w:tcW w:w="1160" w:type="dxa"/>
            <w:vAlign w:val="bottom"/>
          </w:tcPr>
          <w:p>
            <w:pPr>
              <w:jc w:val="right"/>
              <w:spacing w:after="0"/>
              <w:rPr>
                <w:sz w:val="20"/>
                <w:szCs w:val="20"/>
                <w:color w:val="auto"/>
              </w:rPr>
            </w:pPr>
            <w:r>
              <w:rPr>
                <w:rFonts w:ascii="Arial" w:cs="Arial" w:eastAsia="Arial" w:hAnsi="Arial"/>
                <w:sz w:val="16"/>
                <w:szCs w:val="16"/>
                <w:color w:val="auto"/>
              </w:rPr>
              <w:t>4,186,000</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17,960,638</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91,152</w:t>
            </w:r>
          </w:p>
        </w:tc>
        <w:tc>
          <w:tcPr>
            <w:tcW w:w="980" w:type="dxa"/>
            <w:vAlign w:val="bottom"/>
          </w:tcPr>
          <w:p>
            <w:pPr>
              <w:jc w:val="right"/>
              <w:spacing w:after="0"/>
              <w:rPr>
                <w:sz w:val="20"/>
                <w:szCs w:val="20"/>
                <w:color w:val="auto"/>
              </w:rPr>
            </w:pPr>
            <w:r>
              <w:rPr>
                <w:rFonts w:ascii="Arial" w:cs="Arial" w:eastAsia="Arial" w:hAnsi="Arial"/>
                <w:sz w:val="16"/>
                <w:szCs w:val="16"/>
                <w:color w:val="auto"/>
              </w:rPr>
              <w:t>22,237,790</w:t>
            </w:r>
          </w:p>
        </w:tc>
      </w:tr>
      <w:tr>
        <w:trPr>
          <w:trHeight w:val="203"/>
        </w:trPr>
        <w:tc>
          <w:tcPr>
            <w:tcW w:w="2900" w:type="dxa"/>
            <w:vAlign w:val="bottom"/>
          </w:tcPr>
          <w:p>
            <w:pPr>
              <w:ind w:left="60"/>
              <w:spacing w:after="0"/>
              <w:rPr>
                <w:sz w:val="20"/>
                <w:szCs w:val="20"/>
                <w:color w:val="auto"/>
              </w:rPr>
            </w:pPr>
            <w:r>
              <w:rPr>
                <w:rFonts w:ascii="Arial" w:cs="Arial" w:eastAsia="Arial" w:hAnsi="Arial"/>
                <w:sz w:val="16"/>
                <w:szCs w:val="16"/>
                <w:color w:val="auto"/>
              </w:rPr>
              <w:t>Change of Control Transaction and</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900" w:type="dxa"/>
            <w:vAlign w:val="bottom"/>
          </w:tcPr>
          <w:p>
            <w:pPr>
              <w:ind w:left="60"/>
              <w:spacing w:after="0"/>
              <w:rPr>
                <w:sz w:val="20"/>
                <w:szCs w:val="20"/>
                <w:color w:val="auto"/>
              </w:rPr>
            </w:pPr>
            <w:r>
              <w:rPr>
                <w:rFonts w:ascii="Arial" w:cs="Arial" w:eastAsia="Arial" w:hAnsi="Arial"/>
                <w:sz w:val="16"/>
                <w:szCs w:val="16"/>
                <w:color w:val="auto"/>
                <w:w w:val="92"/>
              </w:rPr>
              <w:t>Termination by Company without Cause or</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900" w:type="dxa"/>
            <w:vAlign w:val="bottom"/>
          </w:tcPr>
          <w:p>
            <w:pPr>
              <w:ind w:left="60"/>
              <w:spacing w:after="0"/>
              <w:rPr>
                <w:sz w:val="20"/>
                <w:szCs w:val="20"/>
                <w:color w:val="auto"/>
              </w:rPr>
            </w:pPr>
            <w:r>
              <w:rPr>
                <w:rFonts w:ascii="Arial" w:cs="Arial" w:eastAsia="Arial" w:hAnsi="Arial"/>
                <w:sz w:val="16"/>
                <w:szCs w:val="16"/>
                <w:color w:val="auto"/>
              </w:rPr>
              <w:t>due to Constructive Discharge</w:t>
            </w:r>
          </w:p>
        </w:tc>
        <w:tc>
          <w:tcPr>
            <w:tcW w:w="1160" w:type="dxa"/>
            <w:vAlign w:val="bottom"/>
          </w:tcPr>
          <w:p>
            <w:pPr>
              <w:jc w:val="right"/>
              <w:spacing w:after="0"/>
              <w:rPr>
                <w:sz w:val="20"/>
                <w:szCs w:val="20"/>
                <w:color w:val="auto"/>
              </w:rPr>
            </w:pPr>
            <w:r>
              <w:rPr>
                <w:rFonts w:ascii="Arial" w:cs="Arial" w:eastAsia="Arial" w:hAnsi="Arial"/>
                <w:sz w:val="16"/>
                <w:szCs w:val="16"/>
                <w:color w:val="auto"/>
              </w:rPr>
              <w:t>4,186,000</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17,960,638</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91,152</w:t>
            </w:r>
          </w:p>
        </w:tc>
        <w:tc>
          <w:tcPr>
            <w:tcW w:w="980" w:type="dxa"/>
            <w:vAlign w:val="bottom"/>
          </w:tcPr>
          <w:p>
            <w:pPr>
              <w:jc w:val="right"/>
              <w:spacing w:after="0"/>
              <w:rPr>
                <w:sz w:val="20"/>
                <w:szCs w:val="20"/>
                <w:color w:val="auto"/>
              </w:rPr>
            </w:pPr>
            <w:r>
              <w:rPr>
                <w:rFonts w:ascii="Arial" w:cs="Arial" w:eastAsia="Arial" w:hAnsi="Arial"/>
                <w:sz w:val="16"/>
                <w:szCs w:val="16"/>
                <w:color w:val="auto"/>
              </w:rPr>
              <w:t>22,237,790</w:t>
            </w:r>
          </w:p>
        </w:tc>
      </w:tr>
      <w:tr>
        <w:trPr>
          <w:trHeight w:val="203"/>
        </w:trPr>
        <w:tc>
          <w:tcPr>
            <w:tcW w:w="2900" w:type="dxa"/>
            <w:vAlign w:val="bottom"/>
          </w:tcPr>
          <w:p>
            <w:pPr>
              <w:ind w:left="60"/>
              <w:spacing w:after="0"/>
              <w:rPr>
                <w:sz w:val="20"/>
                <w:szCs w:val="20"/>
                <w:color w:val="auto"/>
              </w:rPr>
            </w:pPr>
            <w:r>
              <w:rPr>
                <w:rFonts w:ascii="Arial" w:cs="Arial" w:eastAsia="Arial" w:hAnsi="Arial"/>
                <w:sz w:val="16"/>
                <w:szCs w:val="16"/>
                <w:color w:val="auto"/>
              </w:rPr>
              <w:t>Change of Control Transaction without</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4"/>
        </w:trPr>
        <w:tc>
          <w:tcPr>
            <w:tcW w:w="2900" w:type="dxa"/>
            <w:vAlign w:val="bottom"/>
          </w:tcPr>
          <w:p>
            <w:pPr>
              <w:ind w:left="60"/>
              <w:spacing w:after="0"/>
              <w:rPr>
                <w:sz w:val="20"/>
                <w:szCs w:val="20"/>
                <w:color w:val="auto"/>
              </w:rPr>
            </w:pPr>
            <w:r>
              <w:rPr>
                <w:rFonts w:ascii="Arial" w:cs="Arial" w:eastAsia="Arial" w:hAnsi="Arial"/>
                <w:sz w:val="16"/>
                <w:szCs w:val="16"/>
                <w:color w:val="auto"/>
              </w:rPr>
              <w:t>Termination</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0</w:t>
            </w: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03"/>
        </w:trPr>
        <w:tc>
          <w:tcPr>
            <w:tcW w:w="2900" w:type="dxa"/>
            <w:vAlign w:val="bottom"/>
            <w:shd w:val="clear" w:color="auto" w:fill="E9E9E9"/>
          </w:tcPr>
          <w:p>
            <w:pPr>
              <w:ind w:left="60"/>
              <w:spacing w:after="0"/>
              <w:rPr>
                <w:sz w:val="20"/>
                <w:szCs w:val="20"/>
                <w:color w:val="auto"/>
              </w:rPr>
            </w:pPr>
            <w:r>
              <w:rPr>
                <w:rFonts w:ascii="Arial" w:cs="Arial" w:eastAsia="Arial" w:hAnsi="Arial"/>
                <w:sz w:val="16"/>
                <w:szCs w:val="16"/>
                <w:b w:val="1"/>
                <w:bCs w:val="1"/>
                <w:color w:val="auto"/>
              </w:rPr>
              <w:t>Mr. Gartland (b)</w:t>
            </w:r>
          </w:p>
        </w:tc>
        <w:tc>
          <w:tcPr>
            <w:tcW w:w="1160" w:type="dxa"/>
            <w:vAlign w:val="bottom"/>
            <w:shd w:val="clear" w:color="auto" w:fill="E9E9E9"/>
          </w:tcPr>
          <w:p>
            <w:pPr>
              <w:spacing w:after="0"/>
              <w:rPr>
                <w:sz w:val="17"/>
                <w:szCs w:val="17"/>
                <w:color w:val="auto"/>
              </w:rPr>
            </w:pPr>
          </w:p>
        </w:tc>
        <w:tc>
          <w:tcPr>
            <w:tcW w:w="1160" w:type="dxa"/>
            <w:vAlign w:val="bottom"/>
            <w:shd w:val="clear" w:color="auto" w:fill="E9E9E9"/>
          </w:tcPr>
          <w:p>
            <w:pPr>
              <w:spacing w:after="0"/>
              <w:rPr>
                <w:sz w:val="17"/>
                <w:szCs w:val="17"/>
                <w:color w:val="auto"/>
              </w:rPr>
            </w:pPr>
          </w:p>
        </w:tc>
        <w:tc>
          <w:tcPr>
            <w:tcW w:w="1160" w:type="dxa"/>
            <w:vAlign w:val="bottom"/>
            <w:shd w:val="clear" w:color="auto" w:fill="E9E9E9"/>
          </w:tcPr>
          <w:p>
            <w:pPr>
              <w:spacing w:after="0"/>
              <w:rPr>
                <w:sz w:val="17"/>
                <w:szCs w:val="17"/>
                <w:color w:val="auto"/>
              </w:rPr>
            </w:pPr>
          </w:p>
        </w:tc>
        <w:tc>
          <w:tcPr>
            <w:tcW w:w="1000" w:type="dxa"/>
            <w:vAlign w:val="bottom"/>
            <w:shd w:val="clear" w:color="auto" w:fill="E9E9E9"/>
          </w:tcPr>
          <w:p>
            <w:pPr>
              <w:spacing w:after="0"/>
              <w:rPr>
                <w:sz w:val="17"/>
                <w:szCs w:val="17"/>
                <w:color w:val="auto"/>
              </w:rPr>
            </w:pPr>
          </w:p>
        </w:tc>
        <w:tc>
          <w:tcPr>
            <w:tcW w:w="1260" w:type="dxa"/>
            <w:vAlign w:val="bottom"/>
            <w:shd w:val="clear" w:color="auto" w:fill="E9E9E9"/>
          </w:tcPr>
          <w:p>
            <w:pPr>
              <w:spacing w:after="0"/>
              <w:rPr>
                <w:sz w:val="17"/>
                <w:szCs w:val="17"/>
                <w:color w:val="auto"/>
              </w:rPr>
            </w:pPr>
          </w:p>
        </w:tc>
        <w:tc>
          <w:tcPr>
            <w:tcW w:w="980" w:type="dxa"/>
            <w:vAlign w:val="bottom"/>
            <w:shd w:val="clear" w:color="auto" w:fill="E9E9E9"/>
          </w:tcPr>
          <w:p>
            <w:pPr>
              <w:spacing w:after="0"/>
              <w:rPr>
                <w:sz w:val="17"/>
                <w:szCs w:val="17"/>
                <w:color w:val="auto"/>
              </w:rPr>
            </w:pPr>
          </w:p>
        </w:tc>
      </w:tr>
      <w:tr>
        <w:trPr>
          <w:trHeight w:val="203"/>
        </w:trPr>
        <w:tc>
          <w:tcPr>
            <w:tcW w:w="2900" w:type="dxa"/>
            <w:vAlign w:val="bottom"/>
            <w:shd w:val="clear" w:color="auto" w:fill="E9E9E9"/>
          </w:tcPr>
          <w:p>
            <w:pPr>
              <w:ind w:left="60"/>
              <w:spacing w:after="0"/>
              <w:rPr>
                <w:sz w:val="20"/>
                <w:szCs w:val="20"/>
                <w:color w:val="auto"/>
              </w:rPr>
            </w:pPr>
            <w:r>
              <w:rPr>
                <w:rFonts w:ascii="Arial" w:cs="Arial" w:eastAsia="Arial" w:hAnsi="Arial"/>
                <w:sz w:val="16"/>
                <w:szCs w:val="16"/>
                <w:color w:val="auto"/>
              </w:rPr>
              <w:t>Termination by Company for Cause</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16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0</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0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260" w:type="dxa"/>
            <w:vAlign w:val="bottom"/>
            <w:shd w:val="clear" w:color="auto" w:fill="E9E9E9"/>
          </w:tcPr>
          <w:p>
            <w:pPr>
              <w:jc w:val="right"/>
              <w:ind w:right="120"/>
              <w:spacing w:after="0"/>
              <w:rPr>
                <w:sz w:val="20"/>
                <w:szCs w:val="20"/>
                <w:color w:val="auto"/>
              </w:rPr>
            </w:pPr>
            <w:r>
              <w:rPr>
                <w:rFonts w:ascii="Arial" w:cs="Arial" w:eastAsia="Arial" w:hAnsi="Arial"/>
                <w:sz w:val="16"/>
                <w:szCs w:val="16"/>
                <w:color w:val="auto"/>
              </w:rPr>
              <w:t>0</w:t>
            </w:r>
          </w:p>
        </w:tc>
        <w:tc>
          <w:tcPr>
            <w:tcW w:w="9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r>
      <w:tr>
        <w:trPr>
          <w:trHeight w:val="203"/>
        </w:trPr>
        <w:tc>
          <w:tcPr>
            <w:tcW w:w="2900" w:type="dxa"/>
            <w:vAlign w:val="bottom"/>
            <w:shd w:val="clear" w:color="auto" w:fill="E9E9E9"/>
          </w:tcPr>
          <w:p>
            <w:pPr>
              <w:ind w:left="60"/>
              <w:spacing w:after="0"/>
              <w:rPr>
                <w:sz w:val="20"/>
                <w:szCs w:val="20"/>
                <w:color w:val="auto"/>
              </w:rPr>
            </w:pPr>
            <w:r>
              <w:rPr>
                <w:rFonts w:ascii="Arial" w:cs="Arial" w:eastAsia="Arial" w:hAnsi="Arial"/>
                <w:sz w:val="16"/>
                <w:szCs w:val="16"/>
                <w:color w:val="auto"/>
              </w:rPr>
              <w:t>Termination due to Death or Disability</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16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2,100,000</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16,026,323</w:t>
            </w:r>
          </w:p>
        </w:tc>
        <w:tc>
          <w:tcPr>
            <w:tcW w:w="10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260" w:type="dxa"/>
            <w:vAlign w:val="bottom"/>
            <w:shd w:val="clear" w:color="auto" w:fill="E9E9E9"/>
          </w:tcPr>
          <w:p>
            <w:pPr>
              <w:jc w:val="right"/>
              <w:ind w:right="120"/>
              <w:spacing w:after="0"/>
              <w:rPr>
                <w:sz w:val="20"/>
                <w:szCs w:val="20"/>
                <w:color w:val="auto"/>
              </w:rPr>
            </w:pPr>
            <w:r>
              <w:rPr>
                <w:rFonts w:ascii="Arial" w:cs="Arial" w:eastAsia="Arial" w:hAnsi="Arial"/>
                <w:sz w:val="16"/>
                <w:szCs w:val="16"/>
                <w:color w:val="auto"/>
              </w:rPr>
              <w:t>0</w:t>
            </w:r>
          </w:p>
        </w:tc>
        <w:tc>
          <w:tcPr>
            <w:tcW w:w="9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18,126,323</w:t>
            </w:r>
          </w:p>
        </w:tc>
      </w:tr>
      <w:tr>
        <w:trPr>
          <w:trHeight w:val="203"/>
        </w:trPr>
        <w:tc>
          <w:tcPr>
            <w:tcW w:w="2900" w:type="dxa"/>
            <w:vAlign w:val="bottom"/>
            <w:shd w:val="clear" w:color="auto" w:fill="E9E9E9"/>
          </w:tcPr>
          <w:p>
            <w:pPr>
              <w:ind w:left="60"/>
              <w:spacing w:after="0"/>
              <w:rPr>
                <w:sz w:val="20"/>
                <w:szCs w:val="20"/>
                <w:color w:val="auto"/>
              </w:rPr>
            </w:pPr>
            <w:r>
              <w:rPr>
                <w:rFonts w:ascii="Arial" w:cs="Arial" w:eastAsia="Arial" w:hAnsi="Arial"/>
                <w:sz w:val="16"/>
                <w:szCs w:val="16"/>
                <w:color w:val="auto"/>
                <w:w w:val="92"/>
              </w:rPr>
              <w:t>Termination by Company without Cause or</w:t>
            </w:r>
          </w:p>
        </w:tc>
        <w:tc>
          <w:tcPr>
            <w:tcW w:w="1160" w:type="dxa"/>
            <w:vAlign w:val="bottom"/>
            <w:shd w:val="clear" w:color="auto" w:fill="E9E9E9"/>
          </w:tcPr>
          <w:p>
            <w:pPr>
              <w:spacing w:after="0"/>
              <w:rPr>
                <w:sz w:val="17"/>
                <w:szCs w:val="17"/>
                <w:color w:val="auto"/>
              </w:rPr>
            </w:pPr>
          </w:p>
        </w:tc>
        <w:tc>
          <w:tcPr>
            <w:tcW w:w="1160" w:type="dxa"/>
            <w:vAlign w:val="bottom"/>
            <w:shd w:val="clear" w:color="auto" w:fill="E9E9E9"/>
          </w:tcPr>
          <w:p>
            <w:pPr>
              <w:spacing w:after="0"/>
              <w:rPr>
                <w:sz w:val="17"/>
                <w:szCs w:val="17"/>
                <w:color w:val="auto"/>
              </w:rPr>
            </w:pPr>
          </w:p>
        </w:tc>
        <w:tc>
          <w:tcPr>
            <w:tcW w:w="1160" w:type="dxa"/>
            <w:vAlign w:val="bottom"/>
            <w:shd w:val="clear" w:color="auto" w:fill="E9E9E9"/>
          </w:tcPr>
          <w:p>
            <w:pPr>
              <w:spacing w:after="0"/>
              <w:rPr>
                <w:sz w:val="17"/>
                <w:szCs w:val="17"/>
                <w:color w:val="auto"/>
              </w:rPr>
            </w:pPr>
          </w:p>
        </w:tc>
        <w:tc>
          <w:tcPr>
            <w:tcW w:w="1000" w:type="dxa"/>
            <w:vAlign w:val="bottom"/>
            <w:shd w:val="clear" w:color="auto" w:fill="E9E9E9"/>
          </w:tcPr>
          <w:p>
            <w:pPr>
              <w:spacing w:after="0"/>
              <w:rPr>
                <w:sz w:val="17"/>
                <w:szCs w:val="17"/>
                <w:color w:val="auto"/>
              </w:rPr>
            </w:pPr>
          </w:p>
        </w:tc>
        <w:tc>
          <w:tcPr>
            <w:tcW w:w="1260" w:type="dxa"/>
            <w:vAlign w:val="bottom"/>
            <w:shd w:val="clear" w:color="auto" w:fill="E9E9E9"/>
          </w:tcPr>
          <w:p>
            <w:pPr>
              <w:spacing w:after="0"/>
              <w:rPr>
                <w:sz w:val="17"/>
                <w:szCs w:val="17"/>
                <w:color w:val="auto"/>
              </w:rPr>
            </w:pPr>
          </w:p>
        </w:tc>
        <w:tc>
          <w:tcPr>
            <w:tcW w:w="980" w:type="dxa"/>
            <w:vAlign w:val="bottom"/>
            <w:shd w:val="clear" w:color="auto" w:fill="E9E9E9"/>
          </w:tcPr>
          <w:p>
            <w:pPr>
              <w:spacing w:after="0"/>
              <w:rPr>
                <w:sz w:val="17"/>
                <w:szCs w:val="17"/>
                <w:color w:val="auto"/>
              </w:rPr>
            </w:pPr>
          </w:p>
        </w:tc>
      </w:tr>
      <w:tr>
        <w:trPr>
          <w:trHeight w:val="204"/>
        </w:trPr>
        <w:tc>
          <w:tcPr>
            <w:tcW w:w="2900" w:type="dxa"/>
            <w:vAlign w:val="bottom"/>
            <w:shd w:val="clear" w:color="auto" w:fill="E9E9E9"/>
          </w:tcPr>
          <w:p>
            <w:pPr>
              <w:ind w:left="60"/>
              <w:spacing w:after="0"/>
              <w:rPr>
                <w:sz w:val="20"/>
                <w:szCs w:val="20"/>
                <w:color w:val="auto"/>
              </w:rPr>
            </w:pPr>
            <w:r>
              <w:rPr>
                <w:rFonts w:ascii="Arial" w:cs="Arial" w:eastAsia="Arial" w:hAnsi="Arial"/>
                <w:sz w:val="16"/>
                <w:szCs w:val="16"/>
                <w:color w:val="auto"/>
              </w:rPr>
              <w:t>due to Resignation Event</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16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2,100,000</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0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16,026,323</w:t>
            </w:r>
          </w:p>
        </w:tc>
        <w:tc>
          <w:tcPr>
            <w:tcW w:w="1260" w:type="dxa"/>
            <w:vAlign w:val="bottom"/>
            <w:shd w:val="clear" w:color="auto" w:fill="E9E9E9"/>
          </w:tcPr>
          <w:p>
            <w:pPr>
              <w:jc w:val="right"/>
              <w:ind w:right="120"/>
              <w:spacing w:after="0"/>
              <w:rPr>
                <w:sz w:val="20"/>
                <w:szCs w:val="20"/>
                <w:color w:val="auto"/>
              </w:rPr>
            </w:pPr>
            <w:r>
              <w:rPr>
                <w:rFonts w:ascii="Arial" w:cs="Arial" w:eastAsia="Arial" w:hAnsi="Arial"/>
                <w:sz w:val="16"/>
                <w:szCs w:val="16"/>
                <w:color w:val="auto"/>
              </w:rPr>
              <w:t>64,219</w:t>
            </w:r>
          </w:p>
        </w:tc>
        <w:tc>
          <w:tcPr>
            <w:tcW w:w="9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18,190,542</w:t>
            </w:r>
          </w:p>
        </w:tc>
      </w:tr>
      <w:tr>
        <w:trPr>
          <w:trHeight w:val="203"/>
        </w:trPr>
        <w:tc>
          <w:tcPr>
            <w:tcW w:w="2900" w:type="dxa"/>
            <w:vAlign w:val="bottom"/>
            <w:shd w:val="clear" w:color="auto" w:fill="E9E9E9"/>
          </w:tcPr>
          <w:p>
            <w:pPr>
              <w:ind w:left="60"/>
              <w:spacing w:after="0"/>
              <w:rPr>
                <w:sz w:val="20"/>
                <w:szCs w:val="20"/>
                <w:color w:val="auto"/>
              </w:rPr>
            </w:pPr>
            <w:r>
              <w:rPr>
                <w:rFonts w:ascii="Arial" w:cs="Arial" w:eastAsia="Arial" w:hAnsi="Arial"/>
                <w:sz w:val="16"/>
                <w:szCs w:val="16"/>
                <w:color w:val="auto"/>
              </w:rPr>
              <w:t>Change of Control Transaction and</w:t>
            </w:r>
          </w:p>
        </w:tc>
        <w:tc>
          <w:tcPr>
            <w:tcW w:w="1160" w:type="dxa"/>
            <w:vAlign w:val="bottom"/>
            <w:shd w:val="clear" w:color="auto" w:fill="E9E9E9"/>
          </w:tcPr>
          <w:p>
            <w:pPr>
              <w:spacing w:after="0"/>
              <w:rPr>
                <w:sz w:val="17"/>
                <w:szCs w:val="17"/>
                <w:color w:val="auto"/>
              </w:rPr>
            </w:pPr>
          </w:p>
        </w:tc>
        <w:tc>
          <w:tcPr>
            <w:tcW w:w="1160" w:type="dxa"/>
            <w:vAlign w:val="bottom"/>
            <w:shd w:val="clear" w:color="auto" w:fill="E9E9E9"/>
          </w:tcPr>
          <w:p>
            <w:pPr>
              <w:spacing w:after="0"/>
              <w:rPr>
                <w:sz w:val="17"/>
                <w:szCs w:val="17"/>
                <w:color w:val="auto"/>
              </w:rPr>
            </w:pPr>
          </w:p>
        </w:tc>
        <w:tc>
          <w:tcPr>
            <w:tcW w:w="1160" w:type="dxa"/>
            <w:vAlign w:val="bottom"/>
            <w:shd w:val="clear" w:color="auto" w:fill="E9E9E9"/>
          </w:tcPr>
          <w:p>
            <w:pPr>
              <w:spacing w:after="0"/>
              <w:rPr>
                <w:sz w:val="17"/>
                <w:szCs w:val="17"/>
                <w:color w:val="auto"/>
              </w:rPr>
            </w:pPr>
          </w:p>
        </w:tc>
        <w:tc>
          <w:tcPr>
            <w:tcW w:w="1000" w:type="dxa"/>
            <w:vAlign w:val="bottom"/>
            <w:shd w:val="clear" w:color="auto" w:fill="E9E9E9"/>
          </w:tcPr>
          <w:p>
            <w:pPr>
              <w:spacing w:after="0"/>
              <w:rPr>
                <w:sz w:val="17"/>
                <w:szCs w:val="17"/>
                <w:color w:val="auto"/>
              </w:rPr>
            </w:pPr>
          </w:p>
        </w:tc>
        <w:tc>
          <w:tcPr>
            <w:tcW w:w="1260" w:type="dxa"/>
            <w:vAlign w:val="bottom"/>
            <w:shd w:val="clear" w:color="auto" w:fill="E9E9E9"/>
          </w:tcPr>
          <w:p>
            <w:pPr>
              <w:spacing w:after="0"/>
              <w:rPr>
                <w:sz w:val="17"/>
                <w:szCs w:val="17"/>
                <w:color w:val="auto"/>
              </w:rPr>
            </w:pPr>
          </w:p>
        </w:tc>
        <w:tc>
          <w:tcPr>
            <w:tcW w:w="980" w:type="dxa"/>
            <w:vAlign w:val="bottom"/>
            <w:shd w:val="clear" w:color="auto" w:fill="E9E9E9"/>
          </w:tcPr>
          <w:p>
            <w:pPr>
              <w:spacing w:after="0"/>
              <w:rPr>
                <w:sz w:val="17"/>
                <w:szCs w:val="17"/>
                <w:color w:val="auto"/>
              </w:rPr>
            </w:pPr>
          </w:p>
        </w:tc>
      </w:tr>
      <w:tr>
        <w:trPr>
          <w:trHeight w:val="203"/>
        </w:trPr>
        <w:tc>
          <w:tcPr>
            <w:tcW w:w="2900" w:type="dxa"/>
            <w:vAlign w:val="bottom"/>
            <w:shd w:val="clear" w:color="auto" w:fill="E9E9E9"/>
          </w:tcPr>
          <w:p>
            <w:pPr>
              <w:ind w:left="60"/>
              <w:spacing w:after="0"/>
              <w:rPr>
                <w:sz w:val="20"/>
                <w:szCs w:val="20"/>
                <w:color w:val="auto"/>
              </w:rPr>
            </w:pPr>
            <w:r>
              <w:rPr>
                <w:rFonts w:ascii="Arial" w:cs="Arial" w:eastAsia="Arial" w:hAnsi="Arial"/>
                <w:sz w:val="16"/>
                <w:szCs w:val="16"/>
                <w:color w:val="auto"/>
                <w:w w:val="92"/>
              </w:rPr>
              <w:t>Termination by Company without Cause or</w:t>
            </w:r>
          </w:p>
        </w:tc>
        <w:tc>
          <w:tcPr>
            <w:tcW w:w="1160" w:type="dxa"/>
            <w:vAlign w:val="bottom"/>
            <w:shd w:val="clear" w:color="auto" w:fill="E9E9E9"/>
          </w:tcPr>
          <w:p>
            <w:pPr>
              <w:spacing w:after="0"/>
              <w:rPr>
                <w:sz w:val="17"/>
                <w:szCs w:val="17"/>
                <w:color w:val="auto"/>
              </w:rPr>
            </w:pPr>
          </w:p>
        </w:tc>
        <w:tc>
          <w:tcPr>
            <w:tcW w:w="1160" w:type="dxa"/>
            <w:vAlign w:val="bottom"/>
            <w:shd w:val="clear" w:color="auto" w:fill="E9E9E9"/>
          </w:tcPr>
          <w:p>
            <w:pPr>
              <w:spacing w:after="0"/>
              <w:rPr>
                <w:sz w:val="17"/>
                <w:szCs w:val="17"/>
                <w:color w:val="auto"/>
              </w:rPr>
            </w:pPr>
          </w:p>
        </w:tc>
        <w:tc>
          <w:tcPr>
            <w:tcW w:w="1160" w:type="dxa"/>
            <w:vAlign w:val="bottom"/>
            <w:shd w:val="clear" w:color="auto" w:fill="E9E9E9"/>
          </w:tcPr>
          <w:p>
            <w:pPr>
              <w:spacing w:after="0"/>
              <w:rPr>
                <w:sz w:val="17"/>
                <w:szCs w:val="17"/>
                <w:color w:val="auto"/>
              </w:rPr>
            </w:pPr>
          </w:p>
        </w:tc>
        <w:tc>
          <w:tcPr>
            <w:tcW w:w="1000" w:type="dxa"/>
            <w:vAlign w:val="bottom"/>
            <w:shd w:val="clear" w:color="auto" w:fill="E9E9E9"/>
          </w:tcPr>
          <w:p>
            <w:pPr>
              <w:spacing w:after="0"/>
              <w:rPr>
                <w:sz w:val="17"/>
                <w:szCs w:val="17"/>
                <w:color w:val="auto"/>
              </w:rPr>
            </w:pPr>
          </w:p>
        </w:tc>
        <w:tc>
          <w:tcPr>
            <w:tcW w:w="1260" w:type="dxa"/>
            <w:vAlign w:val="bottom"/>
            <w:shd w:val="clear" w:color="auto" w:fill="E9E9E9"/>
          </w:tcPr>
          <w:p>
            <w:pPr>
              <w:spacing w:after="0"/>
              <w:rPr>
                <w:sz w:val="17"/>
                <w:szCs w:val="17"/>
                <w:color w:val="auto"/>
              </w:rPr>
            </w:pPr>
          </w:p>
        </w:tc>
        <w:tc>
          <w:tcPr>
            <w:tcW w:w="980" w:type="dxa"/>
            <w:vAlign w:val="bottom"/>
            <w:shd w:val="clear" w:color="auto" w:fill="E9E9E9"/>
          </w:tcPr>
          <w:p>
            <w:pPr>
              <w:spacing w:after="0"/>
              <w:rPr>
                <w:sz w:val="17"/>
                <w:szCs w:val="17"/>
                <w:color w:val="auto"/>
              </w:rPr>
            </w:pPr>
          </w:p>
        </w:tc>
      </w:tr>
      <w:tr>
        <w:trPr>
          <w:trHeight w:val="204"/>
        </w:trPr>
        <w:tc>
          <w:tcPr>
            <w:tcW w:w="2900" w:type="dxa"/>
            <w:vAlign w:val="bottom"/>
            <w:shd w:val="clear" w:color="auto" w:fill="E9E9E9"/>
          </w:tcPr>
          <w:p>
            <w:pPr>
              <w:ind w:left="60"/>
              <w:spacing w:after="0"/>
              <w:rPr>
                <w:sz w:val="20"/>
                <w:szCs w:val="20"/>
                <w:color w:val="auto"/>
              </w:rPr>
            </w:pPr>
            <w:r>
              <w:rPr>
                <w:rFonts w:ascii="Arial" w:cs="Arial" w:eastAsia="Arial" w:hAnsi="Arial"/>
                <w:sz w:val="16"/>
                <w:szCs w:val="16"/>
                <w:color w:val="auto"/>
              </w:rPr>
              <w:t>due to Resignation Event</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16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2,100,000</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0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16,026,323</w:t>
            </w:r>
          </w:p>
        </w:tc>
        <w:tc>
          <w:tcPr>
            <w:tcW w:w="1260" w:type="dxa"/>
            <w:vAlign w:val="bottom"/>
            <w:shd w:val="clear" w:color="auto" w:fill="E9E9E9"/>
          </w:tcPr>
          <w:p>
            <w:pPr>
              <w:jc w:val="right"/>
              <w:ind w:right="120"/>
              <w:spacing w:after="0"/>
              <w:rPr>
                <w:sz w:val="20"/>
                <w:szCs w:val="20"/>
                <w:color w:val="auto"/>
              </w:rPr>
            </w:pPr>
            <w:r>
              <w:rPr>
                <w:rFonts w:ascii="Arial" w:cs="Arial" w:eastAsia="Arial" w:hAnsi="Arial"/>
                <w:sz w:val="16"/>
                <w:szCs w:val="16"/>
                <w:color w:val="auto"/>
              </w:rPr>
              <w:t>64,219</w:t>
            </w:r>
          </w:p>
        </w:tc>
        <w:tc>
          <w:tcPr>
            <w:tcW w:w="9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18,190,542</w:t>
            </w:r>
          </w:p>
        </w:tc>
      </w:tr>
      <w:tr>
        <w:trPr>
          <w:trHeight w:val="203"/>
        </w:trPr>
        <w:tc>
          <w:tcPr>
            <w:tcW w:w="2900" w:type="dxa"/>
            <w:vAlign w:val="bottom"/>
            <w:shd w:val="clear" w:color="auto" w:fill="E9E9E9"/>
          </w:tcPr>
          <w:p>
            <w:pPr>
              <w:ind w:left="60"/>
              <w:spacing w:after="0"/>
              <w:rPr>
                <w:sz w:val="20"/>
                <w:szCs w:val="20"/>
                <w:color w:val="auto"/>
              </w:rPr>
            </w:pPr>
            <w:r>
              <w:rPr>
                <w:rFonts w:ascii="Arial" w:cs="Arial" w:eastAsia="Arial" w:hAnsi="Arial"/>
                <w:sz w:val="16"/>
                <w:szCs w:val="16"/>
                <w:color w:val="auto"/>
              </w:rPr>
              <w:t>Change of Control Transaction without</w:t>
            </w:r>
          </w:p>
        </w:tc>
        <w:tc>
          <w:tcPr>
            <w:tcW w:w="1160" w:type="dxa"/>
            <w:vAlign w:val="bottom"/>
            <w:shd w:val="clear" w:color="auto" w:fill="E9E9E9"/>
          </w:tcPr>
          <w:p>
            <w:pPr>
              <w:spacing w:after="0"/>
              <w:rPr>
                <w:sz w:val="17"/>
                <w:szCs w:val="17"/>
                <w:color w:val="auto"/>
              </w:rPr>
            </w:pPr>
          </w:p>
        </w:tc>
        <w:tc>
          <w:tcPr>
            <w:tcW w:w="1160" w:type="dxa"/>
            <w:vAlign w:val="bottom"/>
            <w:shd w:val="clear" w:color="auto" w:fill="E9E9E9"/>
          </w:tcPr>
          <w:p>
            <w:pPr>
              <w:spacing w:after="0"/>
              <w:rPr>
                <w:sz w:val="17"/>
                <w:szCs w:val="17"/>
                <w:color w:val="auto"/>
              </w:rPr>
            </w:pPr>
          </w:p>
        </w:tc>
        <w:tc>
          <w:tcPr>
            <w:tcW w:w="1160" w:type="dxa"/>
            <w:vAlign w:val="bottom"/>
            <w:shd w:val="clear" w:color="auto" w:fill="E9E9E9"/>
          </w:tcPr>
          <w:p>
            <w:pPr>
              <w:spacing w:after="0"/>
              <w:rPr>
                <w:sz w:val="17"/>
                <w:szCs w:val="17"/>
                <w:color w:val="auto"/>
              </w:rPr>
            </w:pPr>
          </w:p>
        </w:tc>
        <w:tc>
          <w:tcPr>
            <w:tcW w:w="1000" w:type="dxa"/>
            <w:vAlign w:val="bottom"/>
            <w:shd w:val="clear" w:color="auto" w:fill="E9E9E9"/>
          </w:tcPr>
          <w:p>
            <w:pPr>
              <w:spacing w:after="0"/>
              <w:rPr>
                <w:sz w:val="17"/>
                <w:szCs w:val="17"/>
                <w:color w:val="auto"/>
              </w:rPr>
            </w:pPr>
          </w:p>
        </w:tc>
        <w:tc>
          <w:tcPr>
            <w:tcW w:w="1260" w:type="dxa"/>
            <w:vAlign w:val="bottom"/>
            <w:shd w:val="clear" w:color="auto" w:fill="E9E9E9"/>
          </w:tcPr>
          <w:p>
            <w:pPr>
              <w:spacing w:after="0"/>
              <w:rPr>
                <w:sz w:val="17"/>
                <w:szCs w:val="17"/>
                <w:color w:val="auto"/>
              </w:rPr>
            </w:pPr>
          </w:p>
        </w:tc>
        <w:tc>
          <w:tcPr>
            <w:tcW w:w="980" w:type="dxa"/>
            <w:vAlign w:val="bottom"/>
            <w:shd w:val="clear" w:color="auto" w:fill="E9E9E9"/>
          </w:tcPr>
          <w:p>
            <w:pPr>
              <w:spacing w:after="0"/>
              <w:rPr>
                <w:sz w:val="17"/>
                <w:szCs w:val="17"/>
                <w:color w:val="auto"/>
              </w:rPr>
            </w:pPr>
          </w:p>
        </w:tc>
      </w:tr>
      <w:tr>
        <w:trPr>
          <w:trHeight w:val="204"/>
        </w:trPr>
        <w:tc>
          <w:tcPr>
            <w:tcW w:w="2900" w:type="dxa"/>
            <w:vAlign w:val="bottom"/>
            <w:shd w:val="clear" w:color="auto" w:fill="E9E9E9"/>
          </w:tcPr>
          <w:p>
            <w:pPr>
              <w:ind w:left="60"/>
              <w:spacing w:after="0"/>
              <w:rPr>
                <w:sz w:val="20"/>
                <w:szCs w:val="20"/>
                <w:color w:val="auto"/>
              </w:rPr>
            </w:pPr>
            <w:r>
              <w:rPr>
                <w:rFonts w:ascii="Arial" w:cs="Arial" w:eastAsia="Arial" w:hAnsi="Arial"/>
                <w:sz w:val="16"/>
                <w:szCs w:val="16"/>
                <w:color w:val="auto"/>
              </w:rPr>
              <w:t>Termination or Resignation Event</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16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0</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0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260" w:type="dxa"/>
            <w:vAlign w:val="bottom"/>
            <w:shd w:val="clear" w:color="auto" w:fill="E9E9E9"/>
          </w:tcPr>
          <w:p>
            <w:pPr>
              <w:jc w:val="right"/>
              <w:ind w:right="120"/>
              <w:spacing w:after="0"/>
              <w:rPr>
                <w:sz w:val="20"/>
                <w:szCs w:val="20"/>
                <w:color w:val="auto"/>
              </w:rPr>
            </w:pPr>
            <w:r>
              <w:rPr>
                <w:rFonts w:ascii="Arial" w:cs="Arial" w:eastAsia="Arial" w:hAnsi="Arial"/>
                <w:sz w:val="16"/>
                <w:szCs w:val="16"/>
                <w:color w:val="auto"/>
              </w:rPr>
              <w:t>0</w:t>
            </w:r>
          </w:p>
        </w:tc>
        <w:tc>
          <w:tcPr>
            <w:tcW w:w="9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r>
      <w:tr>
        <w:trPr>
          <w:trHeight w:val="203"/>
        </w:trPr>
        <w:tc>
          <w:tcPr>
            <w:tcW w:w="2900" w:type="dxa"/>
            <w:vAlign w:val="bottom"/>
          </w:tcPr>
          <w:p>
            <w:pPr>
              <w:ind w:left="60"/>
              <w:spacing w:after="0"/>
              <w:rPr>
                <w:sz w:val="20"/>
                <w:szCs w:val="20"/>
                <w:color w:val="auto"/>
              </w:rPr>
            </w:pPr>
            <w:r>
              <w:rPr>
                <w:rFonts w:ascii="Arial" w:cs="Arial" w:eastAsia="Arial" w:hAnsi="Arial"/>
                <w:sz w:val="16"/>
                <w:szCs w:val="16"/>
                <w:b w:val="1"/>
                <w:bCs w:val="1"/>
                <w:color w:val="auto"/>
              </w:rPr>
              <w:t>Mr. De Shon</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900" w:type="dxa"/>
            <w:vAlign w:val="bottom"/>
          </w:tcPr>
          <w:p>
            <w:pPr>
              <w:ind w:left="60"/>
              <w:spacing w:after="0"/>
              <w:rPr>
                <w:sz w:val="20"/>
                <w:szCs w:val="20"/>
                <w:color w:val="auto"/>
              </w:rPr>
            </w:pPr>
            <w:r>
              <w:rPr>
                <w:rFonts w:ascii="Arial" w:cs="Arial" w:eastAsia="Arial" w:hAnsi="Arial"/>
                <w:sz w:val="16"/>
                <w:szCs w:val="16"/>
                <w:color w:val="auto"/>
                <w:w w:val="91"/>
              </w:rPr>
              <w:t>Resignation or Termination by Company for</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900" w:type="dxa"/>
            <w:vAlign w:val="bottom"/>
          </w:tcPr>
          <w:p>
            <w:pPr>
              <w:ind w:left="60"/>
              <w:spacing w:after="0"/>
              <w:rPr>
                <w:sz w:val="20"/>
                <w:szCs w:val="20"/>
                <w:color w:val="auto"/>
              </w:rPr>
            </w:pPr>
            <w:r>
              <w:rPr>
                <w:rFonts w:ascii="Arial" w:cs="Arial" w:eastAsia="Arial" w:hAnsi="Arial"/>
                <w:sz w:val="16"/>
                <w:szCs w:val="16"/>
                <w:color w:val="auto"/>
              </w:rPr>
              <w:t>Cause</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0</w:t>
            </w: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03"/>
        </w:trPr>
        <w:tc>
          <w:tcPr>
            <w:tcW w:w="2900" w:type="dxa"/>
            <w:vAlign w:val="bottom"/>
          </w:tcPr>
          <w:p>
            <w:pPr>
              <w:ind w:left="60"/>
              <w:spacing w:after="0"/>
              <w:rPr>
                <w:sz w:val="20"/>
                <w:szCs w:val="20"/>
                <w:color w:val="auto"/>
              </w:rPr>
            </w:pPr>
            <w:r>
              <w:rPr>
                <w:rFonts w:ascii="Arial" w:cs="Arial" w:eastAsia="Arial" w:hAnsi="Arial"/>
                <w:sz w:val="16"/>
                <w:szCs w:val="16"/>
                <w:color w:val="auto"/>
              </w:rPr>
              <w:t>Termination due to Death or Disability</w:t>
            </w:r>
          </w:p>
        </w:tc>
        <w:tc>
          <w:tcPr>
            <w:tcW w:w="1160" w:type="dxa"/>
            <w:vAlign w:val="bottom"/>
          </w:tcPr>
          <w:p>
            <w:pPr>
              <w:jc w:val="right"/>
              <w:spacing w:after="0"/>
              <w:rPr>
                <w:sz w:val="20"/>
                <w:szCs w:val="20"/>
                <w:color w:val="auto"/>
              </w:rPr>
            </w:pPr>
            <w:r>
              <w:rPr>
                <w:rFonts w:ascii="Arial" w:cs="Arial" w:eastAsia="Arial" w:hAnsi="Arial"/>
                <w:sz w:val="16"/>
                <w:szCs w:val="16"/>
                <w:color w:val="auto"/>
              </w:rPr>
              <w:t>805,000</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19,572,590</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0</w:t>
            </w:r>
          </w:p>
        </w:tc>
        <w:tc>
          <w:tcPr>
            <w:tcW w:w="980" w:type="dxa"/>
            <w:vAlign w:val="bottom"/>
          </w:tcPr>
          <w:p>
            <w:pPr>
              <w:jc w:val="right"/>
              <w:spacing w:after="0"/>
              <w:rPr>
                <w:sz w:val="20"/>
                <w:szCs w:val="20"/>
                <w:color w:val="auto"/>
              </w:rPr>
            </w:pPr>
            <w:r>
              <w:rPr>
                <w:rFonts w:ascii="Arial" w:cs="Arial" w:eastAsia="Arial" w:hAnsi="Arial"/>
                <w:sz w:val="16"/>
                <w:szCs w:val="16"/>
                <w:color w:val="auto"/>
              </w:rPr>
              <w:t>20,377,590</w:t>
            </w:r>
          </w:p>
        </w:tc>
      </w:tr>
      <w:tr>
        <w:trPr>
          <w:trHeight w:val="203"/>
        </w:trPr>
        <w:tc>
          <w:tcPr>
            <w:tcW w:w="2900" w:type="dxa"/>
            <w:vAlign w:val="bottom"/>
          </w:tcPr>
          <w:p>
            <w:pPr>
              <w:ind w:left="60"/>
              <w:spacing w:after="0"/>
              <w:rPr>
                <w:sz w:val="20"/>
                <w:szCs w:val="20"/>
                <w:color w:val="auto"/>
              </w:rPr>
            </w:pPr>
            <w:r>
              <w:rPr>
                <w:rFonts w:ascii="Arial" w:cs="Arial" w:eastAsia="Arial" w:hAnsi="Arial"/>
                <w:sz w:val="16"/>
                <w:szCs w:val="16"/>
                <w:color w:val="auto"/>
                <w:w w:val="99"/>
              </w:rPr>
              <w:t>Termination by Company without Cause</w:t>
            </w:r>
          </w:p>
        </w:tc>
        <w:tc>
          <w:tcPr>
            <w:tcW w:w="1160" w:type="dxa"/>
            <w:vAlign w:val="bottom"/>
          </w:tcPr>
          <w:p>
            <w:pPr>
              <w:jc w:val="right"/>
              <w:spacing w:after="0"/>
              <w:rPr>
                <w:sz w:val="20"/>
                <w:szCs w:val="20"/>
                <w:color w:val="auto"/>
              </w:rPr>
            </w:pPr>
            <w:r>
              <w:rPr>
                <w:rFonts w:ascii="Arial" w:cs="Arial" w:eastAsia="Arial" w:hAnsi="Arial"/>
                <w:sz w:val="16"/>
                <w:szCs w:val="16"/>
                <w:color w:val="auto"/>
              </w:rPr>
              <w:t>2,800,000</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18,283,002</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92,661</w:t>
            </w:r>
          </w:p>
        </w:tc>
        <w:tc>
          <w:tcPr>
            <w:tcW w:w="980" w:type="dxa"/>
            <w:vAlign w:val="bottom"/>
          </w:tcPr>
          <w:p>
            <w:pPr>
              <w:jc w:val="right"/>
              <w:spacing w:after="0"/>
              <w:rPr>
                <w:sz w:val="20"/>
                <w:szCs w:val="20"/>
                <w:color w:val="auto"/>
              </w:rPr>
            </w:pPr>
            <w:r>
              <w:rPr>
                <w:rFonts w:ascii="Arial" w:cs="Arial" w:eastAsia="Arial" w:hAnsi="Arial"/>
                <w:sz w:val="16"/>
                <w:szCs w:val="16"/>
                <w:color w:val="auto"/>
              </w:rPr>
              <w:t>21,175,663</w:t>
            </w:r>
          </w:p>
        </w:tc>
      </w:tr>
      <w:tr>
        <w:trPr>
          <w:trHeight w:val="203"/>
        </w:trPr>
        <w:tc>
          <w:tcPr>
            <w:tcW w:w="2900" w:type="dxa"/>
            <w:vAlign w:val="bottom"/>
          </w:tcPr>
          <w:p>
            <w:pPr>
              <w:ind w:left="60"/>
              <w:spacing w:after="0"/>
              <w:rPr>
                <w:sz w:val="20"/>
                <w:szCs w:val="20"/>
                <w:color w:val="auto"/>
              </w:rPr>
            </w:pPr>
            <w:r>
              <w:rPr>
                <w:rFonts w:ascii="Arial" w:cs="Arial" w:eastAsia="Arial" w:hAnsi="Arial"/>
                <w:sz w:val="16"/>
                <w:szCs w:val="16"/>
                <w:color w:val="auto"/>
              </w:rPr>
              <w:t>Change of Control Transaction and</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900" w:type="dxa"/>
            <w:vAlign w:val="bottom"/>
          </w:tcPr>
          <w:p>
            <w:pPr>
              <w:ind w:left="60"/>
              <w:spacing w:after="0"/>
              <w:rPr>
                <w:sz w:val="20"/>
                <w:szCs w:val="20"/>
                <w:color w:val="auto"/>
              </w:rPr>
            </w:pPr>
            <w:r>
              <w:rPr>
                <w:rFonts w:ascii="Arial" w:cs="Arial" w:eastAsia="Arial" w:hAnsi="Arial"/>
                <w:sz w:val="16"/>
                <w:szCs w:val="16"/>
                <w:color w:val="auto"/>
                <w:w w:val="99"/>
              </w:rPr>
              <w:t>Termination by Company without Cause</w:t>
            </w:r>
          </w:p>
        </w:tc>
        <w:tc>
          <w:tcPr>
            <w:tcW w:w="1160" w:type="dxa"/>
            <w:vAlign w:val="bottom"/>
          </w:tcPr>
          <w:p>
            <w:pPr>
              <w:jc w:val="right"/>
              <w:spacing w:after="0"/>
              <w:rPr>
                <w:sz w:val="20"/>
                <w:szCs w:val="20"/>
                <w:color w:val="auto"/>
              </w:rPr>
            </w:pPr>
            <w:r>
              <w:rPr>
                <w:rFonts w:ascii="Arial" w:cs="Arial" w:eastAsia="Arial" w:hAnsi="Arial"/>
                <w:sz w:val="16"/>
                <w:szCs w:val="16"/>
                <w:color w:val="auto"/>
              </w:rPr>
              <w:t>2,800,000</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19,572,590</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92,661</w:t>
            </w:r>
          </w:p>
        </w:tc>
        <w:tc>
          <w:tcPr>
            <w:tcW w:w="980" w:type="dxa"/>
            <w:vAlign w:val="bottom"/>
          </w:tcPr>
          <w:p>
            <w:pPr>
              <w:jc w:val="right"/>
              <w:spacing w:after="0"/>
              <w:rPr>
                <w:sz w:val="20"/>
                <w:szCs w:val="20"/>
                <w:color w:val="auto"/>
              </w:rPr>
            </w:pPr>
            <w:r>
              <w:rPr>
                <w:rFonts w:ascii="Arial" w:cs="Arial" w:eastAsia="Arial" w:hAnsi="Arial"/>
                <w:sz w:val="16"/>
                <w:szCs w:val="16"/>
                <w:color w:val="auto"/>
              </w:rPr>
              <w:t>22,465,251</w:t>
            </w:r>
          </w:p>
        </w:tc>
      </w:tr>
      <w:tr>
        <w:trPr>
          <w:trHeight w:val="203"/>
        </w:trPr>
        <w:tc>
          <w:tcPr>
            <w:tcW w:w="2900" w:type="dxa"/>
            <w:vAlign w:val="bottom"/>
          </w:tcPr>
          <w:p>
            <w:pPr>
              <w:ind w:left="60"/>
              <w:spacing w:after="0"/>
              <w:rPr>
                <w:sz w:val="20"/>
                <w:szCs w:val="20"/>
                <w:color w:val="auto"/>
              </w:rPr>
            </w:pPr>
            <w:r>
              <w:rPr>
                <w:rFonts w:ascii="Arial" w:cs="Arial" w:eastAsia="Arial" w:hAnsi="Arial"/>
                <w:sz w:val="16"/>
                <w:szCs w:val="16"/>
                <w:color w:val="auto"/>
              </w:rPr>
              <w:t>Change of Control Transaction without</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4"/>
        </w:trPr>
        <w:tc>
          <w:tcPr>
            <w:tcW w:w="2900" w:type="dxa"/>
            <w:vAlign w:val="bottom"/>
          </w:tcPr>
          <w:p>
            <w:pPr>
              <w:ind w:left="60"/>
              <w:spacing w:after="0"/>
              <w:rPr>
                <w:sz w:val="20"/>
                <w:szCs w:val="20"/>
                <w:color w:val="auto"/>
              </w:rPr>
            </w:pPr>
            <w:r>
              <w:rPr>
                <w:rFonts w:ascii="Arial" w:cs="Arial" w:eastAsia="Arial" w:hAnsi="Arial"/>
                <w:sz w:val="16"/>
                <w:szCs w:val="16"/>
                <w:color w:val="auto"/>
              </w:rPr>
              <w:t>Termination</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0</w:t>
            </w: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03"/>
        </w:trPr>
        <w:tc>
          <w:tcPr>
            <w:tcW w:w="2900" w:type="dxa"/>
            <w:vAlign w:val="bottom"/>
            <w:shd w:val="clear" w:color="auto" w:fill="E9E9E9"/>
          </w:tcPr>
          <w:p>
            <w:pPr>
              <w:ind w:left="60"/>
              <w:spacing w:after="0"/>
              <w:rPr>
                <w:sz w:val="20"/>
                <w:szCs w:val="20"/>
                <w:color w:val="auto"/>
              </w:rPr>
            </w:pPr>
            <w:r>
              <w:rPr>
                <w:rFonts w:ascii="Arial" w:cs="Arial" w:eastAsia="Arial" w:hAnsi="Arial"/>
                <w:sz w:val="16"/>
                <w:szCs w:val="16"/>
                <w:b w:val="1"/>
                <w:bCs w:val="1"/>
                <w:color w:val="auto"/>
              </w:rPr>
              <w:t>Mr. Siniscalchi (b)</w:t>
            </w:r>
          </w:p>
        </w:tc>
        <w:tc>
          <w:tcPr>
            <w:tcW w:w="1160" w:type="dxa"/>
            <w:vAlign w:val="bottom"/>
            <w:shd w:val="clear" w:color="auto" w:fill="E9E9E9"/>
          </w:tcPr>
          <w:p>
            <w:pPr>
              <w:spacing w:after="0"/>
              <w:rPr>
                <w:sz w:val="17"/>
                <w:szCs w:val="17"/>
                <w:color w:val="auto"/>
              </w:rPr>
            </w:pPr>
          </w:p>
        </w:tc>
        <w:tc>
          <w:tcPr>
            <w:tcW w:w="1160" w:type="dxa"/>
            <w:vAlign w:val="bottom"/>
            <w:shd w:val="clear" w:color="auto" w:fill="E9E9E9"/>
          </w:tcPr>
          <w:p>
            <w:pPr>
              <w:spacing w:after="0"/>
              <w:rPr>
                <w:sz w:val="17"/>
                <w:szCs w:val="17"/>
                <w:color w:val="auto"/>
              </w:rPr>
            </w:pPr>
          </w:p>
        </w:tc>
        <w:tc>
          <w:tcPr>
            <w:tcW w:w="1160" w:type="dxa"/>
            <w:vAlign w:val="bottom"/>
            <w:shd w:val="clear" w:color="auto" w:fill="E9E9E9"/>
          </w:tcPr>
          <w:p>
            <w:pPr>
              <w:spacing w:after="0"/>
              <w:rPr>
                <w:sz w:val="17"/>
                <w:szCs w:val="17"/>
                <w:color w:val="auto"/>
              </w:rPr>
            </w:pPr>
          </w:p>
        </w:tc>
        <w:tc>
          <w:tcPr>
            <w:tcW w:w="1000" w:type="dxa"/>
            <w:vAlign w:val="bottom"/>
            <w:shd w:val="clear" w:color="auto" w:fill="E9E9E9"/>
          </w:tcPr>
          <w:p>
            <w:pPr>
              <w:spacing w:after="0"/>
              <w:rPr>
                <w:sz w:val="17"/>
                <w:szCs w:val="17"/>
                <w:color w:val="auto"/>
              </w:rPr>
            </w:pPr>
          </w:p>
        </w:tc>
        <w:tc>
          <w:tcPr>
            <w:tcW w:w="1260" w:type="dxa"/>
            <w:vAlign w:val="bottom"/>
            <w:shd w:val="clear" w:color="auto" w:fill="E9E9E9"/>
          </w:tcPr>
          <w:p>
            <w:pPr>
              <w:spacing w:after="0"/>
              <w:rPr>
                <w:sz w:val="17"/>
                <w:szCs w:val="17"/>
                <w:color w:val="auto"/>
              </w:rPr>
            </w:pPr>
          </w:p>
        </w:tc>
        <w:tc>
          <w:tcPr>
            <w:tcW w:w="980" w:type="dxa"/>
            <w:vAlign w:val="bottom"/>
            <w:shd w:val="clear" w:color="auto" w:fill="E9E9E9"/>
          </w:tcPr>
          <w:p>
            <w:pPr>
              <w:spacing w:after="0"/>
              <w:rPr>
                <w:sz w:val="17"/>
                <w:szCs w:val="17"/>
                <w:color w:val="auto"/>
              </w:rPr>
            </w:pPr>
          </w:p>
        </w:tc>
      </w:tr>
      <w:tr>
        <w:trPr>
          <w:trHeight w:val="203"/>
        </w:trPr>
        <w:tc>
          <w:tcPr>
            <w:tcW w:w="2900" w:type="dxa"/>
            <w:vAlign w:val="bottom"/>
            <w:shd w:val="clear" w:color="auto" w:fill="E9E9E9"/>
          </w:tcPr>
          <w:p>
            <w:pPr>
              <w:ind w:left="60"/>
              <w:spacing w:after="0"/>
              <w:rPr>
                <w:sz w:val="20"/>
                <w:szCs w:val="20"/>
                <w:color w:val="auto"/>
              </w:rPr>
            </w:pPr>
            <w:r>
              <w:rPr>
                <w:rFonts w:ascii="Arial" w:cs="Arial" w:eastAsia="Arial" w:hAnsi="Arial"/>
                <w:sz w:val="16"/>
                <w:szCs w:val="16"/>
                <w:color w:val="auto"/>
              </w:rPr>
              <w:t>Termination by Company for Cause</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16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0</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0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260" w:type="dxa"/>
            <w:vAlign w:val="bottom"/>
            <w:shd w:val="clear" w:color="auto" w:fill="E9E9E9"/>
          </w:tcPr>
          <w:p>
            <w:pPr>
              <w:jc w:val="right"/>
              <w:ind w:right="120"/>
              <w:spacing w:after="0"/>
              <w:rPr>
                <w:sz w:val="20"/>
                <w:szCs w:val="20"/>
                <w:color w:val="auto"/>
              </w:rPr>
            </w:pPr>
            <w:r>
              <w:rPr>
                <w:rFonts w:ascii="Arial" w:cs="Arial" w:eastAsia="Arial" w:hAnsi="Arial"/>
                <w:sz w:val="16"/>
                <w:szCs w:val="16"/>
                <w:color w:val="auto"/>
              </w:rPr>
              <w:t>0</w:t>
            </w:r>
          </w:p>
        </w:tc>
        <w:tc>
          <w:tcPr>
            <w:tcW w:w="9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r>
      <w:tr>
        <w:trPr>
          <w:trHeight w:val="203"/>
        </w:trPr>
        <w:tc>
          <w:tcPr>
            <w:tcW w:w="2900" w:type="dxa"/>
            <w:vAlign w:val="bottom"/>
            <w:shd w:val="clear" w:color="auto" w:fill="E9E9E9"/>
          </w:tcPr>
          <w:p>
            <w:pPr>
              <w:ind w:left="60"/>
              <w:spacing w:after="0"/>
              <w:rPr>
                <w:sz w:val="20"/>
                <w:szCs w:val="20"/>
                <w:color w:val="auto"/>
              </w:rPr>
            </w:pPr>
            <w:r>
              <w:rPr>
                <w:rFonts w:ascii="Arial" w:cs="Arial" w:eastAsia="Arial" w:hAnsi="Arial"/>
                <w:sz w:val="16"/>
                <w:szCs w:val="16"/>
                <w:color w:val="auto"/>
              </w:rPr>
              <w:t>Termination due to Death or Disability</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16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600,000</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11,896,352</w:t>
            </w:r>
          </w:p>
        </w:tc>
        <w:tc>
          <w:tcPr>
            <w:tcW w:w="10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260" w:type="dxa"/>
            <w:vAlign w:val="bottom"/>
            <w:shd w:val="clear" w:color="auto" w:fill="E9E9E9"/>
          </w:tcPr>
          <w:p>
            <w:pPr>
              <w:jc w:val="right"/>
              <w:ind w:right="120"/>
              <w:spacing w:after="0"/>
              <w:rPr>
                <w:sz w:val="20"/>
                <w:szCs w:val="20"/>
                <w:color w:val="auto"/>
              </w:rPr>
            </w:pPr>
            <w:r>
              <w:rPr>
                <w:rFonts w:ascii="Arial" w:cs="Arial" w:eastAsia="Arial" w:hAnsi="Arial"/>
                <w:sz w:val="16"/>
                <w:szCs w:val="16"/>
                <w:color w:val="auto"/>
              </w:rPr>
              <w:t>0</w:t>
            </w:r>
          </w:p>
        </w:tc>
        <w:tc>
          <w:tcPr>
            <w:tcW w:w="9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12,496,352</w:t>
            </w:r>
          </w:p>
        </w:tc>
      </w:tr>
      <w:tr>
        <w:trPr>
          <w:trHeight w:val="203"/>
        </w:trPr>
        <w:tc>
          <w:tcPr>
            <w:tcW w:w="2900" w:type="dxa"/>
            <w:vAlign w:val="bottom"/>
            <w:shd w:val="clear" w:color="auto" w:fill="E9E9E9"/>
          </w:tcPr>
          <w:p>
            <w:pPr>
              <w:ind w:left="60"/>
              <w:spacing w:after="0"/>
              <w:rPr>
                <w:sz w:val="20"/>
                <w:szCs w:val="20"/>
                <w:color w:val="auto"/>
              </w:rPr>
            </w:pPr>
            <w:r>
              <w:rPr>
                <w:rFonts w:ascii="Arial" w:cs="Arial" w:eastAsia="Arial" w:hAnsi="Arial"/>
                <w:sz w:val="16"/>
                <w:szCs w:val="16"/>
                <w:color w:val="auto"/>
                <w:w w:val="99"/>
              </w:rPr>
              <w:t>Termination by Company without Cause</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16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600,000</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0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11,896,352</w:t>
            </w:r>
          </w:p>
        </w:tc>
        <w:tc>
          <w:tcPr>
            <w:tcW w:w="1260" w:type="dxa"/>
            <w:vAlign w:val="bottom"/>
            <w:shd w:val="clear" w:color="auto" w:fill="E9E9E9"/>
          </w:tcPr>
          <w:p>
            <w:pPr>
              <w:jc w:val="right"/>
              <w:ind w:right="120"/>
              <w:spacing w:after="0"/>
              <w:rPr>
                <w:sz w:val="20"/>
                <w:szCs w:val="20"/>
                <w:color w:val="auto"/>
              </w:rPr>
            </w:pPr>
            <w:r>
              <w:rPr>
                <w:rFonts w:ascii="Arial" w:cs="Arial" w:eastAsia="Arial" w:hAnsi="Arial"/>
                <w:sz w:val="16"/>
                <w:szCs w:val="16"/>
                <w:color w:val="auto"/>
              </w:rPr>
              <w:t>102,281</w:t>
            </w:r>
          </w:p>
        </w:tc>
        <w:tc>
          <w:tcPr>
            <w:tcW w:w="9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12,598,633</w:t>
            </w:r>
          </w:p>
        </w:tc>
      </w:tr>
      <w:tr>
        <w:trPr>
          <w:trHeight w:val="203"/>
        </w:trPr>
        <w:tc>
          <w:tcPr>
            <w:tcW w:w="2900" w:type="dxa"/>
            <w:vAlign w:val="bottom"/>
            <w:shd w:val="clear" w:color="auto" w:fill="E9E9E9"/>
          </w:tcPr>
          <w:p>
            <w:pPr>
              <w:ind w:left="60"/>
              <w:spacing w:after="0"/>
              <w:rPr>
                <w:sz w:val="20"/>
                <w:szCs w:val="20"/>
                <w:color w:val="auto"/>
              </w:rPr>
            </w:pPr>
            <w:r>
              <w:rPr>
                <w:rFonts w:ascii="Arial" w:cs="Arial" w:eastAsia="Arial" w:hAnsi="Arial"/>
                <w:sz w:val="16"/>
                <w:szCs w:val="16"/>
                <w:color w:val="auto"/>
              </w:rPr>
              <w:t>Change of Control Transaction and</w:t>
            </w:r>
          </w:p>
        </w:tc>
        <w:tc>
          <w:tcPr>
            <w:tcW w:w="1160" w:type="dxa"/>
            <w:vAlign w:val="bottom"/>
            <w:shd w:val="clear" w:color="auto" w:fill="E9E9E9"/>
          </w:tcPr>
          <w:p>
            <w:pPr>
              <w:spacing w:after="0"/>
              <w:rPr>
                <w:sz w:val="17"/>
                <w:szCs w:val="17"/>
                <w:color w:val="auto"/>
              </w:rPr>
            </w:pPr>
          </w:p>
        </w:tc>
        <w:tc>
          <w:tcPr>
            <w:tcW w:w="1160" w:type="dxa"/>
            <w:vAlign w:val="bottom"/>
            <w:shd w:val="clear" w:color="auto" w:fill="E9E9E9"/>
          </w:tcPr>
          <w:p>
            <w:pPr>
              <w:spacing w:after="0"/>
              <w:rPr>
                <w:sz w:val="17"/>
                <w:szCs w:val="17"/>
                <w:color w:val="auto"/>
              </w:rPr>
            </w:pPr>
          </w:p>
        </w:tc>
        <w:tc>
          <w:tcPr>
            <w:tcW w:w="1160" w:type="dxa"/>
            <w:vAlign w:val="bottom"/>
            <w:shd w:val="clear" w:color="auto" w:fill="E9E9E9"/>
          </w:tcPr>
          <w:p>
            <w:pPr>
              <w:spacing w:after="0"/>
              <w:rPr>
                <w:sz w:val="17"/>
                <w:szCs w:val="17"/>
                <w:color w:val="auto"/>
              </w:rPr>
            </w:pPr>
          </w:p>
        </w:tc>
        <w:tc>
          <w:tcPr>
            <w:tcW w:w="1000" w:type="dxa"/>
            <w:vAlign w:val="bottom"/>
            <w:shd w:val="clear" w:color="auto" w:fill="E9E9E9"/>
          </w:tcPr>
          <w:p>
            <w:pPr>
              <w:spacing w:after="0"/>
              <w:rPr>
                <w:sz w:val="17"/>
                <w:szCs w:val="17"/>
                <w:color w:val="auto"/>
              </w:rPr>
            </w:pPr>
          </w:p>
        </w:tc>
        <w:tc>
          <w:tcPr>
            <w:tcW w:w="1260" w:type="dxa"/>
            <w:vAlign w:val="bottom"/>
            <w:shd w:val="clear" w:color="auto" w:fill="E9E9E9"/>
          </w:tcPr>
          <w:p>
            <w:pPr>
              <w:spacing w:after="0"/>
              <w:rPr>
                <w:sz w:val="17"/>
                <w:szCs w:val="17"/>
                <w:color w:val="auto"/>
              </w:rPr>
            </w:pPr>
          </w:p>
        </w:tc>
        <w:tc>
          <w:tcPr>
            <w:tcW w:w="980" w:type="dxa"/>
            <w:vAlign w:val="bottom"/>
            <w:shd w:val="clear" w:color="auto" w:fill="E9E9E9"/>
          </w:tcPr>
          <w:p>
            <w:pPr>
              <w:spacing w:after="0"/>
              <w:rPr>
                <w:sz w:val="17"/>
                <w:szCs w:val="17"/>
                <w:color w:val="auto"/>
              </w:rPr>
            </w:pPr>
          </w:p>
        </w:tc>
      </w:tr>
      <w:tr>
        <w:trPr>
          <w:trHeight w:val="204"/>
        </w:trPr>
        <w:tc>
          <w:tcPr>
            <w:tcW w:w="2900" w:type="dxa"/>
            <w:vAlign w:val="bottom"/>
            <w:shd w:val="clear" w:color="auto" w:fill="E9E9E9"/>
          </w:tcPr>
          <w:p>
            <w:pPr>
              <w:ind w:left="60"/>
              <w:spacing w:after="0"/>
              <w:rPr>
                <w:sz w:val="20"/>
                <w:szCs w:val="20"/>
                <w:color w:val="auto"/>
              </w:rPr>
            </w:pPr>
            <w:r>
              <w:rPr>
                <w:rFonts w:ascii="Arial" w:cs="Arial" w:eastAsia="Arial" w:hAnsi="Arial"/>
                <w:sz w:val="16"/>
                <w:szCs w:val="16"/>
                <w:color w:val="auto"/>
                <w:w w:val="99"/>
              </w:rPr>
              <w:t>Termination by Company without Cause</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16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600,000</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0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11,896,352</w:t>
            </w:r>
          </w:p>
        </w:tc>
        <w:tc>
          <w:tcPr>
            <w:tcW w:w="1260" w:type="dxa"/>
            <w:vAlign w:val="bottom"/>
            <w:shd w:val="clear" w:color="auto" w:fill="E9E9E9"/>
          </w:tcPr>
          <w:p>
            <w:pPr>
              <w:jc w:val="right"/>
              <w:ind w:right="120"/>
              <w:spacing w:after="0"/>
              <w:rPr>
                <w:sz w:val="20"/>
                <w:szCs w:val="20"/>
                <w:color w:val="auto"/>
              </w:rPr>
            </w:pPr>
            <w:r>
              <w:rPr>
                <w:rFonts w:ascii="Arial" w:cs="Arial" w:eastAsia="Arial" w:hAnsi="Arial"/>
                <w:sz w:val="16"/>
                <w:szCs w:val="16"/>
                <w:color w:val="auto"/>
              </w:rPr>
              <w:t>102,281</w:t>
            </w:r>
          </w:p>
        </w:tc>
        <w:tc>
          <w:tcPr>
            <w:tcW w:w="9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12,598,633</w:t>
            </w:r>
          </w:p>
        </w:tc>
      </w:tr>
      <w:tr>
        <w:trPr>
          <w:trHeight w:val="203"/>
        </w:trPr>
        <w:tc>
          <w:tcPr>
            <w:tcW w:w="2900" w:type="dxa"/>
            <w:vAlign w:val="bottom"/>
            <w:shd w:val="clear" w:color="auto" w:fill="E9E9E9"/>
          </w:tcPr>
          <w:p>
            <w:pPr>
              <w:ind w:left="60"/>
              <w:spacing w:after="0"/>
              <w:rPr>
                <w:sz w:val="20"/>
                <w:szCs w:val="20"/>
                <w:color w:val="auto"/>
              </w:rPr>
            </w:pPr>
            <w:r>
              <w:rPr>
                <w:rFonts w:ascii="Arial" w:cs="Arial" w:eastAsia="Arial" w:hAnsi="Arial"/>
                <w:sz w:val="16"/>
                <w:szCs w:val="16"/>
                <w:color w:val="auto"/>
              </w:rPr>
              <w:t>Change of Control Transaction without</w:t>
            </w:r>
          </w:p>
        </w:tc>
        <w:tc>
          <w:tcPr>
            <w:tcW w:w="1160" w:type="dxa"/>
            <w:vAlign w:val="bottom"/>
            <w:shd w:val="clear" w:color="auto" w:fill="E9E9E9"/>
          </w:tcPr>
          <w:p>
            <w:pPr>
              <w:spacing w:after="0"/>
              <w:rPr>
                <w:sz w:val="17"/>
                <w:szCs w:val="17"/>
                <w:color w:val="auto"/>
              </w:rPr>
            </w:pPr>
          </w:p>
        </w:tc>
        <w:tc>
          <w:tcPr>
            <w:tcW w:w="1160" w:type="dxa"/>
            <w:vAlign w:val="bottom"/>
            <w:shd w:val="clear" w:color="auto" w:fill="E9E9E9"/>
          </w:tcPr>
          <w:p>
            <w:pPr>
              <w:spacing w:after="0"/>
              <w:rPr>
                <w:sz w:val="17"/>
                <w:szCs w:val="17"/>
                <w:color w:val="auto"/>
              </w:rPr>
            </w:pPr>
          </w:p>
        </w:tc>
        <w:tc>
          <w:tcPr>
            <w:tcW w:w="1160" w:type="dxa"/>
            <w:vAlign w:val="bottom"/>
            <w:shd w:val="clear" w:color="auto" w:fill="E9E9E9"/>
          </w:tcPr>
          <w:p>
            <w:pPr>
              <w:spacing w:after="0"/>
              <w:rPr>
                <w:sz w:val="17"/>
                <w:szCs w:val="17"/>
                <w:color w:val="auto"/>
              </w:rPr>
            </w:pPr>
          </w:p>
        </w:tc>
        <w:tc>
          <w:tcPr>
            <w:tcW w:w="1000" w:type="dxa"/>
            <w:vAlign w:val="bottom"/>
            <w:shd w:val="clear" w:color="auto" w:fill="E9E9E9"/>
          </w:tcPr>
          <w:p>
            <w:pPr>
              <w:spacing w:after="0"/>
              <w:rPr>
                <w:sz w:val="17"/>
                <w:szCs w:val="17"/>
                <w:color w:val="auto"/>
              </w:rPr>
            </w:pPr>
          </w:p>
        </w:tc>
        <w:tc>
          <w:tcPr>
            <w:tcW w:w="1260" w:type="dxa"/>
            <w:vAlign w:val="bottom"/>
            <w:shd w:val="clear" w:color="auto" w:fill="E9E9E9"/>
          </w:tcPr>
          <w:p>
            <w:pPr>
              <w:spacing w:after="0"/>
              <w:rPr>
                <w:sz w:val="17"/>
                <w:szCs w:val="17"/>
                <w:color w:val="auto"/>
              </w:rPr>
            </w:pPr>
          </w:p>
        </w:tc>
        <w:tc>
          <w:tcPr>
            <w:tcW w:w="980" w:type="dxa"/>
            <w:vAlign w:val="bottom"/>
            <w:shd w:val="clear" w:color="auto" w:fill="E9E9E9"/>
          </w:tcPr>
          <w:p>
            <w:pPr>
              <w:spacing w:after="0"/>
              <w:rPr>
                <w:sz w:val="17"/>
                <w:szCs w:val="17"/>
                <w:color w:val="auto"/>
              </w:rPr>
            </w:pPr>
          </w:p>
        </w:tc>
      </w:tr>
      <w:tr>
        <w:trPr>
          <w:trHeight w:val="204"/>
        </w:trPr>
        <w:tc>
          <w:tcPr>
            <w:tcW w:w="2900" w:type="dxa"/>
            <w:vAlign w:val="bottom"/>
            <w:tcBorders>
              <w:bottom w:val="single" w:sz="8" w:color="auto"/>
            </w:tcBorders>
            <w:shd w:val="clear" w:color="auto" w:fill="E9E9E9"/>
          </w:tcPr>
          <w:p>
            <w:pPr>
              <w:ind w:left="60"/>
              <w:spacing w:after="0"/>
              <w:rPr>
                <w:sz w:val="20"/>
                <w:szCs w:val="20"/>
                <w:color w:val="auto"/>
              </w:rPr>
            </w:pPr>
            <w:r>
              <w:rPr>
                <w:rFonts w:ascii="Arial" w:cs="Arial" w:eastAsia="Arial" w:hAnsi="Arial"/>
                <w:sz w:val="16"/>
                <w:szCs w:val="16"/>
                <w:color w:val="auto"/>
              </w:rPr>
              <w:t>Termination</w:t>
            </w:r>
          </w:p>
        </w:tc>
        <w:tc>
          <w:tcPr>
            <w:tcW w:w="116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160" w:type="dxa"/>
            <w:vAlign w:val="bottom"/>
            <w:tcBorders>
              <w:bottom w:val="single" w:sz="8" w:color="auto"/>
            </w:tcBorders>
            <w:shd w:val="clear" w:color="auto" w:fill="E9E9E9"/>
          </w:tcPr>
          <w:p>
            <w:pPr>
              <w:jc w:val="right"/>
              <w:ind w:right="40"/>
              <w:spacing w:after="0"/>
              <w:rPr>
                <w:sz w:val="20"/>
                <w:szCs w:val="20"/>
                <w:color w:val="auto"/>
              </w:rPr>
            </w:pPr>
            <w:r>
              <w:rPr>
                <w:rFonts w:ascii="Arial" w:cs="Arial" w:eastAsia="Arial" w:hAnsi="Arial"/>
                <w:sz w:val="16"/>
                <w:szCs w:val="16"/>
                <w:color w:val="auto"/>
              </w:rPr>
              <w:t>0</w:t>
            </w:r>
          </w:p>
        </w:tc>
        <w:tc>
          <w:tcPr>
            <w:tcW w:w="116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0</w:t>
            </w:r>
          </w:p>
        </w:tc>
        <w:tc>
          <w:tcPr>
            <w:tcW w:w="1260" w:type="dxa"/>
            <w:vAlign w:val="bottom"/>
            <w:tcBorders>
              <w:bottom w:val="single" w:sz="8" w:color="auto"/>
            </w:tcBorders>
            <w:shd w:val="clear" w:color="auto" w:fill="E9E9E9"/>
          </w:tcPr>
          <w:p>
            <w:pPr>
              <w:jc w:val="right"/>
              <w:ind w:right="120"/>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0</w:t>
            </w:r>
          </w:p>
        </w:tc>
      </w:tr>
    </w:tbl>
    <w:p>
      <w:pPr>
        <w:spacing w:after="0" w:line="107" w:lineRule="exact"/>
        <w:rPr>
          <w:sz w:val="20"/>
          <w:szCs w:val="20"/>
          <w:color w:val="auto"/>
        </w:rPr>
      </w:pPr>
    </w:p>
    <w:p>
      <w:pPr>
        <w:ind w:left="420" w:right="660" w:hanging="369"/>
        <w:spacing w:after="0" w:line="265" w:lineRule="auto"/>
        <w:tabs>
          <w:tab w:leader="none" w:pos="4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Descriptions of the terms "Cause", "Constructive Discharge" and "Resignation Event" are provided above under the section captioned "Employment Agreements and Other Arrangements - Certain Defined Terms."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620"/>
          </w:cols>
          <w:pgMar w:left="1380" w:top="434" w:right="899" w:bottom="1440" w:gutter="0" w:footer="0" w:header="0"/>
        </w:sectPr>
      </w:pPr>
    </w:p>
    <w:bookmarkStart w:id="46" w:name="page47"/>
    <w:bookmarkEnd w:id="46"/>
    <w:p>
      <w:pPr>
        <w:ind w:left="420" w:right="160" w:hanging="369"/>
        <w:spacing w:after="0" w:line="283" w:lineRule="auto"/>
        <w:tabs>
          <w:tab w:leader="none" w:pos="4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Effective December 31, 2014, Messrs. Gartland and Siniscalchi retired from their positions of President, North America and President, Latin America/Asia-Pacific, respectively. In anticipation of their retirements, each of Mr. Gartland and Mr. Siniscalchi entered into a consulting agreement dated December 15, 2014, and the amounts reflected in the table are based on the terms of these agreements.</w:t>
      </w:r>
    </w:p>
    <w:p>
      <w:pPr>
        <w:ind w:left="420" w:right="40" w:hanging="369"/>
        <w:spacing w:after="0" w:line="265" w:lineRule="auto"/>
        <w:tabs>
          <w:tab w:leader="none" w:pos="4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For Messrs. Nelson, Wyshner, and De Shon, the lump-sum severance payments, other than due to death or disability, were calculated based on each executive's base salary and target annual incentive as of December 31, 2014 and multiplied by 299% or 200% as applicable. Severance due to death and disability is calculated based on target annual incentives for Mr. Nelson and Mr. Wyshner, and based on actual annual incentives for Mr. De Shon.</w:t>
      </w:r>
    </w:p>
    <w:p>
      <w:pPr>
        <w:ind w:left="420" w:hanging="369"/>
        <w:spacing w:after="0"/>
        <w:tabs>
          <w:tab w:leader="none" w:pos="4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Values represent total consulting fees due to be received over the life of consulting arrangements.</w:t>
      </w:r>
    </w:p>
    <w:p>
      <w:pPr>
        <w:spacing w:after="0" w:line="19" w:lineRule="exact"/>
        <w:rPr>
          <w:rFonts w:ascii="Arial" w:cs="Arial" w:eastAsia="Arial" w:hAnsi="Arial"/>
          <w:sz w:val="16"/>
          <w:szCs w:val="16"/>
          <w:color w:val="auto"/>
        </w:rPr>
      </w:pPr>
    </w:p>
    <w:p>
      <w:pPr>
        <w:ind w:left="420" w:right="60" w:hanging="369"/>
        <w:spacing w:after="0" w:line="265" w:lineRule="auto"/>
        <w:tabs>
          <w:tab w:leader="none" w:pos="4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value of RSUs and PSUs was calculated assuming accelerated vesting as of December 31, 2014 and based on the closing price of our Common Stock of $66.33. The value for RCUs and PCUs awarded to Mr. Nelson in 2012 and 2013 was calculated using the average 90-trading day closing stock price ending on December 31, 2014 of $59.14. Descriptions of the accelerated vesting provisions are provided under "Employment Agreements and Other Arrangements."</w:t>
      </w:r>
    </w:p>
    <w:p>
      <w:pPr>
        <w:ind w:left="420" w:hanging="369"/>
        <w:spacing w:after="0"/>
        <w:tabs>
          <w:tab w:leader="none" w:pos="4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Represents continued vesting of outstanding awards through January 2016 for Mr. Gartland and January 2017 for Mr. Siniscalchi.</w:t>
      </w:r>
    </w:p>
    <w:p>
      <w:pPr>
        <w:spacing w:after="0" w:line="30" w:lineRule="exact"/>
        <w:rPr>
          <w:rFonts w:ascii="Arial" w:cs="Arial" w:eastAsia="Arial" w:hAnsi="Arial"/>
          <w:sz w:val="15"/>
          <w:szCs w:val="15"/>
          <w:color w:val="auto"/>
        </w:rPr>
      </w:pPr>
    </w:p>
    <w:p>
      <w:pPr>
        <w:ind w:left="420" w:hanging="369"/>
        <w:spacing w:after="0" w:line="302" w:lineRule="auto"/>
        <w:tabs>
          <w:tab w:leader="none" w:pos="4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 Mr. Nelson, reflects the continuation of benefit plans until age 75 in the event of a "Resignation or Termination by the Company for Cause" and all other amounts in the "Continuation of Benefits and Perquisites" column include the continuation of such benefits and 24 months of continued car benefits and financial planning. For Mr. Wyshner and Mr. De Shon, reflects 24 months of continued health, dental and car benefits and financial planning. For Mr. Gartland and Mr. Siniscalchi, reflects continued health, dental and car benefits and financial</w:t>
      </w:r>
    </w:p>
    <w:p>
      <w:pPr>
        <w:spacing w:after="0" w:line="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planning for the duration of their consulting arrangements.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540"/>
          </w:cols>
          <w:pgMar w:left="1380" w:top="223" w:right="97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2014 Director Compensation</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Non-employee directors are compensated for their service on the Board as described below.</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Compensation</w:t>
      </w:r>
    </w:p>
    <w:p>
      <w:pPr>
        <w:spacing w:after="0" w:line="250" w:lineRule="exact"/>
        <w:rPr>
          <w:sz w:val="20"/>
          <w:szCs w:val="20"/>
          <w:color w:val="auto"/>
        </w:rPr>
      </w:pPr>
    </w:p>
    <w:p>
      <w:pPr>
        <w:jc w:val="both"/>
        <w:ind w:right="320"/>
        <w:spacing w:after="0" w:line="278" w:lineRule="auto"/>
        <w:rPr>
          <w:sz w:val="20"/>
          <w:szCs w:val="20"/>
          <w:color w:val="auto"/>
        </w:rPr>
      </w:pPr>
      <w:r>
        <w:rPr>
          <w:rFonts w:ascii="Arial" w:cs="Arial" w:eastAsia="Arial" w:hAnsi="Arial"/>
          <w:sz w:val="16"/>
          <w:szCs w:val="16"/>
          <w:color w:val="auto"/>
        </w:rPr>
        <w:t>For 2014, our directors initially received an annual director retainer of $180,000, which was increased to $200,000 effective for the second half of 2014. Such increase was determined following a pay analysis conducted by Pay Governance, which was discussed and reviewed by the Corporate Governance Committee and approved by the Board.</w:t>
      </w:r>
    </w:p>
    <w:p>
      <w:pPr>
        <w:spacing w:after="0" w:line="209" w:lineRule="exact"/>
        <w:rPr>
          <w:sz w:val="20"/>
          <w:szCs w:val="20"/>
          <w:color w:val="auto"/>
        </w:rPr>
      </w:pPr>
    </w:p>
    <w:p>
      <w:pPr>
        <w:ind w:right="60"/>
        <w:spacing w:after="0" w:line="293" w:lineRule="auto"/>
        <w:rPr>
          <w:sz w:val="20"/>
          <w:szCs w:val="20"/>
          <w:color w:val="auto"/>
        </w:rPr>
      </w:pPr>
      <w:r>
        <w:rPr>
          <w:rFonts w:ascii="Arial" w:cs="Arial" w:eastAsia="Arial" w:hAnsi="Arial"/>
          <w:sz w:val="15"/>
          <w:szCs w:val="15"/>
          <w:color w:val="auto"/>
        </w:rPr>
        <w:t>To reflect their additional responsibilities, the Presiding Director and the chairs and members of each of the Audit, Compensation, Corporate Governance and Executive Committees, respectively, receive additional annual retainers as set forth below. The majority of such retainers were also increased for the second half of 2014 following a review conducted by the Company of a pay analysis with input from Pay Governance, which was reviewed by the Corporate Governance Committee and approved by the Board. Such increases ranged from $2,500 for members of the Compensation and Corporate Governance Committees to $10,000 for the Compensation Committee Chairman and the Presiding Director.</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4060" w:type="dxa"/>
            <w:vAlign w:val="bottom"/>
          </w:tcPr>
          <w:p>
            <w:pPr>
              <w:jc w:val="right"/>
              <w:ind w:right="60"/>
              <w:spacing w:after="0"/>
              <w:rPr>
                <w:sz w:val="20"/>
                <w:szCs w:val="20"/>
                <w:color w:val="auto"/>
              </w:rPr>
            </w:pPr>
            <w:r>
              <w:rPr>
                <w:rFonts w:ascii="Arial" w:cs="Arial" w:eastAsia="Arial" w:hAnsi="Arial"/>
                <w:sz w:val="16"/>
                <w:szCs w:val="16"/>
                <w:b w:val="1"/>
                <w:bCs w:val="1"/>
                <w:color w:val="auto"/>
              </w:rPr>
              <w:t>Annual Retainers</w:t>
            </w:r>
          </w:p>
        </w:tc>
      </w:tr>
      <w:tr>
        <w:trPr>
          <w:trHeight w:val="208"/>
        </w:trPr>
        <w:tc>
          <w:tcPr>
            <w:tcW w:w="556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w:t>
            </w:r>
          </w:p>
        </w:tc>
      </w:tr>
      <w:tr>
        <w:trPr>
          <w:trHeight w:val="195"/>
        </w:trPr>
        <w:tc>
          <w:tcPr>
            <w:tcW w:w="5560" w:type="dxa"/>
            <w:vAlign w:val="bottom"/>
            <w:shd w:val="clear" w:color="auto" w:fill="E9E9E9"/>
          </w:tcPr>
          <w:p>
            <w:pPr>
              <w:ind w:left="60"/>
              <w:spacing w:after="0"/>
              <w:rPr>
                <w:sz w:val="20"/>
                <w:szCs w:val="20"/>
                <w:color w:val="auto"/>
              </w:rPr>
            </w:pPr>
            <w:r>
              <w:rPr>
                <w:rFonts w:ascii="Arial" w:cs="Arial" w:eastAsia="Arial" w:hAnsi="Arial"/>
                <w:sz w:val="16"/>
                <w:szCs w:val="16"/>
                <w:color w:val="auto"/>
              </w:rPr>
              <w:t>Presiding Director</w:t>
            </w:r>
          </w:p>
        </w:tc>
        <w:tc>
          <w:tcPr>
            <w:tcW w:w="40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30,000</w:t>
            </w:r>
          </w:p>
        </w:tc>
      </w:tr>
      <w:tr>
        <w:trPr>
          <w:trHeight w:val="203"/>
        </w:trPr>
        <w:tc>
          <w:tcPr>
            <w:tcW w:w="5560" w:type="dxa"/>
            <w:vAlign w:val="bottom"/>
          </w:tcPr>
          <w:p>
            <w:pPr>
              <w:ind w:left="60"/>
              <w:spacing w:after="0"/>
              <w:rPr>
                <w:sz w:val="20"/>
                <w:szCs w:val="20"/>
                <w:color w:val="auto"/>
              </w:rPr>
            </w:pPr>
            <w:r>
              <w:rPr>
                <w:rFonts w:ascii="Arial" w:cs="Arial" w:eastAsia="Arial" w:hAnsi="Arial"/>
                <w:sz w:val="16"/>
                <w:szCs w:val="16"/>
                <w:color w:val="auto"/>
              </w:rPr>
              <w:t>Audit Committee Chair</w:t>
            </w:r>
          </w:p>
        </w:tc>
        <w:tc>
          <w:tcPr>
            <w:tcW w:w="406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203"/>
        </w:trPr>
        <w:tc>
          <w:tcPr>
            <w:tcW w:w="5560" w:type="dxa"/>
            <w:vAlign w:val="bottom"/>
            <w:shd w:val="clear" w:color="auto" w:fill="E9E9E9"/>
          </w:tcPr>
          <w:p>
            <w:pPr>
              <w:ind w:left="60"/>
              <w:spacing w:after="0"/>
              <w:rPr>
                <w:sz w:val="20"/>
                <w:szCs w:val="20"/>
                <w:color w:val="auto"/>
              </w:rPr>
            </w:pPr>
            <w:r>
              <w:rPr>
                <w:rFonts w:ascii="Arial" w:cs="Arial" w:eastAsia="Arial" w:hAnsi="Arial"/>
                <w:sz w:val="16"/>
                <w:szCs w:val="16"/>
                <w:color w:val="auto"/>
              </w:rPr>
              <w:t>Audit Committee Member</w:t>
            </w:r>
          </w:p>
        </w:tc>
        <w:tc>
          <w:tcPr>
            <w:tcW w:w="40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10,000</w:t>
            </w:r>
          </w:p>
        </w:tc>
      </w:tr>
      <w:tr>
        <w:trPr>
          <w:trHeight w:val="203"/>
        </w:trPr>
        <w:tc>
          <w:tcPr>
            <w:tcW w:w="5560" w:type="dxa"/>
            <w:vAlign w:val="bottom"/>
          </w:tcPr>
          <w:p>
            <w:pPr>
              <w:ind w:left="60"/>
              <w:spacing w:after="0"/>
              <w:rPr>
                <w:sz w:val="20"/>
                <w:szCs w:val="20"/>
                <w:color w:val="auto"/>
              </w:rPr>
            </w:pPr>
            <w:r>
              <w:rPr>
                <w:rFonts w:ascii="Arial" w:cs="Arial" w:eastAsia="Arial" w:hAnsi="Arial"/>
                <w:sz w:val="16"/>
                <w:szCs w:val="16"/>
                <w:color w:val="auto"/>
              </w:rPr>
              <w:t>Compensation Committee Chair</w:t>
            </w:r>
          </w:p>
        </w:tc>
        <w:tc>
          <w:tcPr>
            <w:tcW w:w="406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203"/>
        </w:trPr>
        <w:tc>
          <w:tcPr>
            <w:tcW w:w="5560" w:type="dxa"/>
            <w:vAlign w:val="bottom"/>
            <w:shd w:val="clear" w:color="auto" w:fill="E9E9E9"/>
          </w:tcPr>
          <w:p>
            <w:pPr>
              <w:ind w:left="60"/>
              <w:spacing w:after="0"/>
              <w:rPr>
                <w:sz w:val="20"/>
                <w:szCs w:val="20"/>
                <w:color w:val="auto"/>
              </w:rPr>
            </w:pPr>
            <w:r>
              <w:rPr>
                <w:rFonts w:ascii="Arial" w:cs="Arial" w:eastAsia="Arial" w:hAnsi="Arial"/>
                <w:sz w:val="16"/>
                <w:szCs w:val="16"/>
                <w:color w:val="auto"/>
              </w:rPr>
              <w:t>Compensation Committee Member</w:t>
            </w:r>
          </w:p>
        </w:tc>
        <w:tc>
          <w:tcPr>
            <w:tcW w:w="40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10,000</w:t>
            </w:r>
          </w:p>
        </w:tc>
      </w:tr>
      <w:tr>
        <w:trPr>
          <w:trHeight w:val="203"/>
        </w:trPr>
        <w:tc>
          <w:tcPr>
            <w:tcW w:w="5560" w:type="dxa"/>
            <w:vAlign w:val="bottom"/>
          </w:tcPr>
          <w:p>
            <w:pPr>
              <w:ind w:left="60"/>
              <w:spacing w:after="0"/>
              <w:rPr>
                <w:sz w:val="20"/>
                <w:szCs w:val="20"/>
                <w:color w:val="auto"/>
              </w:rPr>
            </w:pPr>
            <w:r>
              <w:rPr>
                <w:rFonts w:ascii="Arial" w:cs="Arial" w:eastAsia="Arial" w:hAnsi="Arial"/>
                <w:sz w:val="16"/>
                <w:szCs w:val="16"/>
                <w:color w:val="auto"/>
              </w:rPr>
              <w:t>Corporate Governance Committee Chair</w:t>
            </w:r>
          </w:p>
        </w:tc>
        <w:tc>
          <w:tcPr>
            <w:tcW w:w="4060" w:type="dxa"/>
            <w:vAlign w:val="bottom"/>
          </w:tcPr>
          <w:p>
            <w:pPr>
              <w:jc w:val="right"/>
              <w:spacing w:after="0"/>
              <w:rPr>
                <w:sz w:val="20"/>
                <w:szCs w:val="20"/>
                <w:color w:val="auto"/>
              </w:rPr>
            </w:pPr>
            <w:r>
              <w:rPr>
                <w:rFonts w:ascii="Arial" w:cs="Arial" w:eastAsia="Arial" w:hAnsi="Arial"/>
                <w:sz w:val="16"/>
                <w:szCs w:val="16"/>
                <w:color w:val="auto"/>
              </w:rPr>
              <w:t>15,000</w:t>
            </w:r>
          </w:p>
        </w:tc>
      </w:tr>
      <w:tr>
        <w:trPr>
          <w:trHeight w:val="203"/>
        </w:trPr>
        <w:tc>
          <w:tcPr>
            <w:tcW w:w="5560" w:type="dxa"/>
            <w:vAlign w:val="bottom"/>
            <w:shd w:val="clear" w:color="auto" w:fill="E9E9E9"/>
          </w:tcPr>
          <w:p>
            <w:pPr>
              <w:ind w:left="60"/>
              <w:spacing w:after="0"/>
              <w:rPr>
                <w:sz w:val="20"/>
                <w:szCs w:val="20"/>
                <w:color w:val="auto"/>
              </w:rPr>
            </w:pPr>
            <w:r>
              <w:rPr>
                <w:rFonts w:ascii="Arial" w:cs="Arial" w:eastAsia="Arial" w:hAnsi="Arial"/>
                <w:sz w:val="16"/>
                <w:szCs w:val="16"/>
                <w:color w:val="auto"/>
              </w:rPr>
              <w:t>Corporate Governance Committee Member</w:t>
            </w:r>
          </w:p>
        </w:tc>
        <w:tc>
          <w:tcPr>
            <w:tcW w:w="40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7,500</w:t>
            </w:r>
          </w:p>
        </w:tc>
      </w:tr>
      <w:tr>
        <w:trPr>
          <w:trHeight w:val="203"/>
        </w:trPr>
        <w:tc>
          <w:tcPr>
            <w:tcW w:w="55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Executive Committee Member</w:t>
            </w:r>
          </w:p>
        </w:tc>
        <w:tc>
          <w:tcPr>
            <w:tcW w:w="4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8,000</w:t>
            </w:r>
          </w:p>
        </w:tc>
      </w:tr>
    </w:tbl>
    <w:p>
      <w:pPr>
        <w:spacing w:after="0" w:line="226" w:lineRule="exact"/>
        <w:rPr>
          <w:sz w:val="20"/>
          <w:szCs w:val="20"/>
          <w:color w:val="auto"/>
        </w:rPr>
      </w:pPr>
    </w:p>
    <w:p>
      <w:pPr>
        <w:ind w:right="100"/>
        <w:spacing w:after="0" w:line="324" w:lineRule="auto"/>
        <w:rPr>
          <w:sz w:val="20"/>
          <w:szCs w:val="20"/>
          <w:color w:val="auto"/>
        </w:rPr>
      </w:pPr>
      <w:r>
        <w:rPr>
          <w:rFonts w:ascii="Arial" w:cs="Arial" w:eastAsia="Arial" w:hAnsi="Arial"/>
          <w:sz w:val="14"/>
          <w:szCs w:val="14"/>
          <w:color w:val="auto"/>
        </w:rPr>
        <w:t>Director compensation is paid quarterly, 50% in cash and 50% in equity, subject to a cap of 7,500 shares per quarter. Under the Company's deferred compensation plan applicable to non-employee directors, a director may elect to defer any or all of the cash portion of his or her compensation and direct such deferred amounts among a pre-selected group of investment options similar to those available in the deferred compensation plan available to the NEOs who are currently executive officers. Directors may also elect to receive up to 100% of their compensation in the form of equity.</w:t>
      </w:r>
    </w:p>
    <w:p>
      <w:pPr>
        <w:spacing w:after="0" w:line="182"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Under the Company's deferred compensation plan applicable to non-employee directors, the equity portion of director compensation is automatically deferred into the form of deferred stock units. Such units convert on a one-on-one basis into the Company's Common Stock upon termination of service, a change in control, or at a different time based on a director's election. In lieu of the default treatment of the equity portion of the director compensation discussed above, directors may elect to receive the equity portion of their compensation in the form of the Company's Common Stock on each quarterly payment date.</w:t>
      </w:r>
    </w:p>
    <w:p>
      <w:pPr>
        <w:spacing w:after="0" w:line="204" w:lineRule="exact"/>
        <w:rPr>
          <w:sz w:val="20"/>
          <w:szCs w:val="20"/>
          <w:color w:val="auto"/>
        </w:rPr>
      </w:pPr>
    </w:p>
    <w:p>
      <w:pPr>
        <w:jc w:val="both"/>
        <w:ind w:right="80"/>
        <w:spacing w:after="0" w:line="303" w:lineRule="auto"/>
        <w:rPr>
          <w:sz w:val="20"/>
          <w:szCs w:val="20"/>
          <w:color w:val="auto"/>
        </w:rPr>
      </w:pPr>
      <w:r>
        <w:rPr>
          <w:rFonts w:ascii="Arial" w:cs="Arial" w:eastAsia="Arial" w:hAnsi="Arial"/>
          <w:sz w:val="14"/>
          <w:szCs w:val="14"/>
          <w:color w:val="auto"/>
        </w:rPr>
        <w:t>Directors do not receive any meeting fees or any benefits such as life or medical insurance. Members of the Board who are also officers or employees of our Company do not receive compensation for serving as directors, other than reimbursement of travel-related expenses for meetings held outside the Company's headquarters. Directors are eligible for matching of charitable contributions through the Avis Budget Group Charitable Foundation.</w:t>
      </w:r>
    </w:p>
    <w:p>
      <w:pPr>
        <w:ind w:right="160"/>
        <w:spacing w:after="0" w:line="290" w:lineRule="auto"/>
        <w:rPr>
          <w:sz w:val="20"/>
          <w:szCs w:val="20"/>
          <w:color w:val="auto"/>
        </w:rPr>
      </w:pPr>
      <w:r>
        <w:rPr>
          <w:rFonts w:ascii="Arial" w:cs="Arial" w:eastAsia="Arial" w:hAnsi="Arial"/>
          <w:sz w:val="16"/>
          <w:szCs w:val="16"/>
          <w:color w:val="auto"/>
        </w:rPr>
        <w:t>Directors are also eligible to purchase vehicles through the auto lease program we make available to our employees; however, such purchases do not result in an associated incremental cost to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Ownership Guidelines</w:t>
      </w:r>
    </w:p>
    <w:p>
      <w:pPr>
        <w:spacing w:after="0" w:line="262" w:lineRule="exact"/>
        <w:rPr>
          <w:sz w:val="20"/>
          <w:szCs w:val="20"/>
          <w:color w:val="auto"/>
        </w:rPr>
      </w:pPr>
    </w:p>
    <w:p>
      <w:pPr>
        <w:ind w:right="140"/>
        <w:spacing w:after="0" w:line="318" w:lineRule="auto"/>
        <w:rPr>
          <w:sz w:val="20"/>
          <w:szCs w:val="20"/>
          <w:color w:val="auto"/>
        </w:rPr>
      </w:pPr>
      <w:r>
        <w:rPr>
          <w:rFonts w:ascii="Arial" w:cs="Arial" w:eastAsia="Arial" w:hAnsi="Arial"/>
          <w:sz w:val="14"/>
          <w:szCs w:val="14"/>
          <w:color w:val="auto"/>
        </w:rPr>
        <w:t>Minimum stock ownership guidelines require each non-employee director to acquire and hold designated levels of our Company's stock. Under such guidelines, our non-employee directors are required to retain a minimum of 50% of the net shares (net of taxes) awarded in connection with their director compensation, until reaching an ownership threshold of five times the annual cash retainer. Given the mandatory hold provision until the threshold is obtained, there is no specified deadline for achieving designated thresholds. For purposes of non-employee director stock ownership guidelines, stock ownership is defined to include stock owned by the director directly, stock owned indirectly through the Company's deferred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620"/>
          </w:cols>
          <w:pgMar w:left="1380" w:top="438" w:right="899" w:bottom="1440" w:gutter="0" w:footer="0" w:header="0"/>
        </w:sectPr>
      </w:pPr>
    </w:p>
    <w:bookmarkStart w:id="48" w:name="page49"/>
    <w:bookmarkEnd w:id="48"/>
    <w:p>
      <w:pPr>
        <w:ind w:right="280"/>
        <w:spacing w:after="0" w:line="291" w:lineRule="auto"/>
        <w:rPr>
          <w:sz w:val="20"/>
          <w:szCs w:val="20"/>
          <w:color w:val="auto"/>
        </w:rPr>
      </w:pPr>
      <w:r>
        <w:rPr>
          <w:rFonts w:ascii="Arial" w:cs="Arial" w:eastAsia="Arial" w:hAnsi="Arial"/>
          <w:sz w:val="16"/>
          <w:szCs w:val="16"/>
          <w:color w:val="auto"/>
        </w:rPr>
        <w:t>compensation plan applicable to non-employee directors, and the "in-the-money" portion of vested stock options. All directors with more than two years of Board service have exceeded such minimum ownership threshold.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920" w:type="dxa"/>
            <w:vAlign w:val="bottom"/>
          </w:tcPr>
          <w:p>
            <w:pPr>
              <w:spacing w:after="0"/>
              <w:rPr>
                <w:sz w:val="20"/>
                <w:szCs w:val="20"/>
                <w:color w:val="auto"/>
              </w:rPr>
            </w:pPr>
            <w:r>
              <w:rPr>
                <w:rFonts w:ascii="Arial" w:cs="Arial" w:eastAsia="Arial" w:hAnsi="Arial"/>
                <w:sz w:val="16"/>
                <w:szCs w:val="16"/>
                <w:b w:val="1"/>
                <w:bCs w:val="1"/>
                <w:color w:val="auto"/>
              </w:rPr>
              <w:t>2014 Director Compensation Table</w:t>
            </w:r>
          </w:p>
        </w:tc>
        <w:tc>
          <w:tcPr>
            <w:tcW w:w="1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66"/>
        </w:trPr>
        <w:tc>
          <w:tcPr>
            <w:tcW w:w="29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87"/>
              </w:rPr>
              <w:t>Change in Pension</w:t>
            </w: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3"/>
        </w:trPr>
        <w:tc>
          <w:tcPr>
            <w:tcW w:w="2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89"/>
              </w:rPr>
              <w:t>Value and</w:t>
            </w:r>
          </w:p>
        </w:tc>
        <w:tc>
          <w:tcPr>
            <w:tcW w:w="1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2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2"/>
              </w:rPr>
              <w:t>Nonqualified</w:t>
            </w:r>
          </w:p>
        </w:tc>
        <w:tc>
          <w:tcPr>
            <w:tcW w:w="1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2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4"/>
              </w:rPr>
              <w:t>Deferred</w:t>
            </w:r>
          </w:p>
        </w:tc>
        <w:tc>
          <w:tcPr>
            <w:tcW w:w="1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2920" w:type="dxa"/>
            <w:vAlign w:val="bottom"/>
          </w:tcPr>
          <w:p>
            <w:pPr>
              <w:spacing w:after="0"/>
              <w:rPr>
                <w:sz w:val="17"/>
                <w:szCs w:val="17"/>
                <w:color w:val="auto"/>
              </w:rPr>
            </w:pPr>
          </w:p>
        </w:tc>
        <w:tc>
          <w:tcPr>
            <w:tcW w:w="1740" w:type="dxa"/>
            <w:vAlign w:val="bottom"/>
          </w:tcPr>
          <w:p>
            <w:pPr>
              <w:jc w:val="center"/>
              <w:ind w:left="320"/>
              <w:spacing w:after="0"/>
              <w:rPr>
                <w:sz w:val="20"/>
                <w:szCs w:val="20"/>
                <w:color w:val="auto"/>
              </w:rPr>
            </w:pPr>
            <w:r>
              <w:rPr>
                <w:rFonts w:ascii="Arial" w:cs="Arial" w:eastAsia="Arial" w:hAnsi="Arial"/>
                <w:sz w:val="16"/>
                <w:szCs w:val="16"/>
                <w:b w:val="1"/>
                <w:bCs w:val="1"/>
                <w:color w:val="auto"/>
                <w:w w:val="88"/>
              </w:rPr>
              <w:t>Fees Earned or</w:t>
            </w:r>
          </w:p>
        </w:tc>
        <w:tc>
          <w:tcPr>
            <w:tcW w:w="124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88"/>
              </w:rPr>
              <w:t>Compensation</w:t>
            </w:r>
          </w:p>
        </w:tc>
        <w:tc>
          <w:tcPr>
            <w:tcW w:w="1400" w:type="dxa"/>
            <w:vAlign w:val="bottom"/>
          </w:tcPr>
          <w:p>
            <w:pPr>
              <w:jc w:val="center"/>
              <w:ind w:right="20"/>
              <w:spacing w:after="0"/>
              <w:rPr>
                <w:sz w:val="20"/>
                <w:szCs w:val="20"/>
                <w:color w:val="auto"/>
              </w:rPr>
            </w:pPr>
            <w:r>
              <w:rPr>
                <w:rFonts w:ascii="Arial" w:cs="Arial" w:eastAsia="Arial" w:hAnsi="Arial"/>
                <w:sz w:val="16"/>
                <w:szCs w:val="16"/>
                <w:b w:val="1"/>
                <w:bCs w:val="1"/>
                <w:color w:val="auto"/>
                <w:w w:val="97"/>
              </w:rPr>
              <w:t>All Other</w:t>
            </w:r>
          </w:p>
        </w:tc>
        <w:tc>
          <w:tcPr>
            <w:tcW w:w="820" w:type="dxa"/>
            <w:vAlign w:val="bottom"/>
          </w:tcPr>
          <w:p>
            <w:pPr>
              <w:spacing w:after="0"/>
              <w:rPr>
                <w:sz w:val="17"/>
                <w:szCs w:val="17"/>
                <w:color w:val="auto"/>
              </w:rPr>
            </w:pPr>
          </w:p>
        </w:tc>
      </w:tr>
      <w:tr>
        <w:trPr>
          <w:trHeight w:val="203"/>
        </w:trPr>
        <w:tc>
          <w:tcPr>
            <w:tcW w:w="2920" w:type="dxa"/>
            <w:vAlign w:val="bottom"/>
          </w:tcPr>
          <w:p>
            <w:pPr>
              <w:spacing w:after="0"/>
              <w:rPr>
                <w:sz w:val="17"/>
                <w:szCs w:val="17"/>
                <w:color w:val="auto"/>
              </w:rPr>
            </w:pPr>
          </w:p>
        </w:tc>
        <w:tc>
          <w:tcPr>
            <w:tcW w:w="1740" w:type="dxa"/>
            <w:vAlign w:val="bottom"/>
          </w:tcPr>
          <w:p>
            <w:pPr>
              <w:jc w:val="center"/>
              <w:ind w:left="320"/>
              <w:spacing w:after="0"/>
              <w:rPr>
                <w:sz w:val="20"/>
                <w:szCs w:val="20"/>
                <w:color w:val="auto"/>
              </w:rPr>
            </w:pPr>
            <w:r>
              <w:rPr>
                <w:rFonts w:ascii="Arial" w:cs="Arial" w:eastAsia="Arial" w:hAnsi="Arial"/>
                <w:sz w:val="16"/>
                <w:szCs w:val="16"/>
                <w:b w:val="1"/>
                <w:bCs w:val="1"/>
                <w:color w:val="auto"/>
                <w:w w:val="93"/>
              </w:rPr>
              <w:t>Paid In Cash</w:t>
            </w:r>
          </w:p>
        </w:tc>
        <w:tc>
          <w:tcPr>
            <w:tcW w:w="1240" w:type="dxa"/>
            <w:vAlign w:val="bottom"/>
          </w:tcPr>
          <w:p>
            <w:pPr>
              <w:jc w:val="right"/>
              <w:ind w:right="140"/>
              <w:spacing w:after="0"/>
              <w:rPr>
                <w:sz w:val="20"/>
                <w:szCs w:val="20"/>
                <w:color w:val="auto"/>
              </w:rPr>
            </w:pPr>
            <w:r>
              <w:rPr>
                <w:rFonts w:ascii="Arial" w:cs="Arial" w:eastAsia="Arial" w:hAnsi="Arial"/>
                <w:sz w:val="16"/>
                <w:szCs w:val="16"/>
                <w:b w:val="1"/>
                <w:bCs w:val="1"/>
                <w:color w:val="auto"/>
                <w:w w:val="94"/>
              </w:rPr>
              <w:t>Stock Awards</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0"/>
              </w:rPr>
              <w:t>Earnings</w:t>
            </w:r>
          </w:p>
        </w:tc>
        <w:tc>
          <w:tcPr>
            <w:tcW w:w="1400" w:type="dxa"/>
            <w:vAlign w:val="bottom"/>
          </w:tcPr>
          <w:p>
            <w:pPr>
              <w:jc w:val="center"/>
              <w:ind w:right="20"/>
              <w:spacing w:after="0"/>
              <w:rPr>
                <w:sz w:val="20"/>
                <w:szCs w:val="20"/>
                <w:color w:val="auto"/>
              </w:rPr>
            </w:pPr>
            <w:r>
              <w:rPr>
                <w:rFonts w:ascii="Arial" w:cs="Arial" w:eastAsia="Arial" w:hAnsi="Arial"/>
                <w:sz w:val="16"/>
                <w:szCs w:val="16"/>
                <w:b w:val="1"/>
                <w:bCs w:val="1"/>
                <w:color w:val="auto"/>
                <w:w w:val="88"/>
              </w:rPr>
              <w:t>Compensation</w:t>
            </w:r>
          </w:p>
        </w:tc>
        <w:tc>
          <w:tcPr>
            <w:tcW w:w="820" w:type="dxa"/>
            <w:vAlign w:val="bottom"/>
          </w:tcPr>
          <w:p>
            <w:pPr>
              <w:ind w:left="160"/>
              <w:spacing w:after="0"/>
              <w:rPr>
                <w:sz w:val="20"/>
                <w:szCs w:val="20"/>
                <w:color w:val="auto"/>
              </w:rPr>
            </w:pPr>
            <w:r>
              <w:rPr>
                <w:rFonts w:ascii="Arial" w:cs="Arial" w:eastAsia="Arial" w:hAnsi="Arial"/>
                <w:sz w:val="16"/>
                <w:szCs w:val="16"/>
                <w:b w:val="1"/>
                <w:bCs w:val="1"/>
                <w:color w:val="auto"/>
              </w:rPr>
              <w:t>Total</w:t>
            </w:r>
          </w:p>
        </w:tc>
      </w:tr>
      <w:tr>
        <w:trPr>
          <w:trHeight w:val="208"/>
        </w:trPr>
        <w:tc>
          <w:tcPr>
            <w:tcW w:w="29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 of Director</w:t>
            </w:r>
          </w:p>
        </w:tc>
        <w:tc>
          <w:tcPr>
            <w:tcW w:w="1740" w:type="dxa"/>
            <w:vAlign w:val="bottom"/>
            <w:tcBorders>
              <w:bottom w:val="single" w:sz="8" w:color="auto"/>
            </w:tcBorders>
          </w:tcPr>
          <w:p>
            <w:pPr>
              <w:jc w:val="center"/>
              <w:ind w:left="320"/>
              <w:spacing w:after="0"/>
              <w:rPr>
                <w:sz w:val="20"/>
                <w:szCs w:val="20"/>
                <w:color w:val="auto"/>
              </w:rPr>
            </w:pPr>
            <w:r>
              <w:rPr>
                <w:rFonts w:ascii="Arial" w:cs="Arial" w:eastAsia="Arial" w:hAnsi="Arial"/>
                <w:sz w:val="16"/>
                <w:szCs w:val="16"/>
                <w:b w:val="1"/>
                <w:bCs w:val="1"/>
                <w:color w:val="auto"/>
                <w:w w:val="97"/>
              </w:rPr>
              <w:t>($)(a)</w:t>
            </w:r>
          </w:p>
        </w:tc>
        <w:tc>
          <w:tcPr>
            <w:tcW w:w="12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($)(b)</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w:t>
            </w:r>
          </w:p>
        </w:tc>
        <w:tc>
          <w:tcPr>
            <w:tcW w:w="140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4"/>
              </w:rPr>
              <w:t>($)(d)</w:t>
            </w: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w:t>
            </w:r>
          </w:p>
        </w:tc>
      </w:tr>
      <w:tr>
        <w:trPr>
          <w:trHeight w:val="195"/>
        </w:trPr>
        <w:tc>
          <w:tcPr>
            <w:tcW w:w="2920" w:type="dxa"/>
            <w:vAlign w:val="bottom"/>
            <w:shd w:val="clear" w:color="auto" w:fill="E9E9E9"/>
          </w:tcPr>
          <w:p>
            <w:pPr>
              <w:ind w:left="60"/>
              <w:spacing w:after="0"/>
              <w:rPr>
                <w:sz w:val="20"/>
                <w:szCs w:val="20"/>
                <w:color w:val="auto"/>
              </w:rPr>
            </w:pPr>
            <w:r>
              <w:rPr>
                <w:rFonts w:ascii="Arial" w:cs="Arial" w:eastAsia="Arial" w:hAnsi="Arial"/>
                <w:sz w:val="16"/>
                <w:szCs w:val="16"/>
                <w:color w:val="auto"/>
              </w:rPr>
              <w:t>Cathcart, Alun (e)</w:t>
            </w:r>
          </w:p>
        </w:tc>
        <w:tc>
          <w:tcPr>
            <w:tcW w:w="174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98,542</w:t>
            </w:r>
          </w:p>
        </w:tc>
        <w:tc>
          <w:tcPr>
            <w:tcW w:w="124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98,526</w:t>
            </w:r>
          </w:p>
        </w:tc>
        <w:tc>
          <w:tcPr>
            <w:tcW w:w="15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400" w:type="dxa"/>
            <w:vAlign w:val="bottom"/>
            <w:shd w:val="clear" w:color="auto" w:fill="E9E9E9"/>
          </w:tcPr>
          <w:p>
            <w:pPr>
              <w:jc w:val="right"/>
              <w:ind w:right="100"/>
              <w:spacing w:after="0"/>
              <w:rPr>
                <w:sz w:val="20"/>
                <w:szCs w:val="20"/>
                <w:color w:val="auto"/>
              </w:rPr>
            </w:pPr>
            <w:r>
              <w:rPr>
                <w:rFonts w:ascii="Arial" w:cs="Arial" w:eastAsia="Arial" w:hAnsi="Arial"/>
                <w:sz w:val="16"/>
                <w:szCs w:val="16"/>
                <w:color w:val="auto"/>
              </w:rPr>
              <w:t>5,000</w:t>
            </w:r>
          </w:p>
        </w:tc>
        <w:tc>
          <w:tcPr>
            <w:tcW w:w="820" w:type="dxa"/>
            <w:vAlign w:val="bottom"/>
            <w:shd w:val="clear" w:color="auto" w:fill="E9E9E9"/>
          </w:tcPr>
          <w:p>
            <w:pPr>
              <w:ind w:left="240"/>
              <w:spacing w:after="0"/>
              <w:rPr>
                <w:sz w:val="20"/>
                <w:szCs w:val="20"/>
                <w:color w:val="auto"/>
              </w:rPr>
            </w:pPr>
            <w:r>
              <w:rPr>
                <w:rFonts w:ascii="Arial" w:cs="Arial" w:eastAsia="Arial" w:hAnsi="Arial"/>
                <w:sz w:val="16"/>
                <w:szCs w:val="16"/>
                <w:color w:val="auto"/>
                <w:w w:val="96"/>
              </w:rPr>
              <w:t>202,068</w:t>
            </w:r>
          </w:p>
        </w:tc>
      </w:tr>
      <w:tr>
        <w:trPr>
          <w:trHeight w:val="203"/>
        </w:trPr>
        <w:tc>
          <w:tcPr>
            <w:tcW w:w="2920" w:type="dxa"/>
            <w:vAlign w:val="bottom"/>
          </w:tcPr>
          <w:p>
            <w:pPr>
              <w:ind w:left="60"/>
              <w:spacing w:after="0"/>
              <w:rPr>
                <w:sz w:val="20"/>
                <w:szCs w:val="20"/>
                <w:color w:val="auto"/>
              </w:rPr>
            </w:pPr>
            <w:r>
              <w:rPr>
                <w:rFonts w:ascii="Arial" w:cs="Arial" w:eastAsia="Arial" w:hAnsi="Arial"/>
                <w:sz w:val="16"/>
                <w:szCs w:val="16"/>
                <w:color w:val="auto"/>
              </w:rPr>
              <w:t>Choksi, Mary C.</w:t>
            </w:r>
          </w:p>
        </w:tc>
        <w:tc>
          <w:tcPr>
            <w:tcW w:w="1740" w:type="dxa"/>
            <w:vAlign w:val="bottom"/>
          </w:tcPr>
          <w:p>
            <w:pPr>
              <w:jc w:val="right"/>
              <w:ind w:right="20"/>
              <w:spacing w:after="0"/>
              <w:rPr>
                <w:sz w:val="20"/>
                <w:szCs w:val="20"/>
                <w:color w:val="auto"/>
              </w:rPr>
            </w:pPr>
            <w:r>
              <w:rPr>
                <w:rFonts w:ascii="Arial" w:cs="Arial" w:eastAsia="Arial" w:hAnsi="Arial"/>
                <w:sz w:val="16"/>
                <w:szCs w:val="16"/>
                <w:color w:val="auto"/>
              </w:rPr>
              <w:t>103,125</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103,142</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5,000</w:t>
            </w:r>
          </w:p>
        </w:tc>
        <w:tc>
          <w:tcPr>
            <w:tcW w:w="820" w:type="dxa"/>
            <w:vAlign w:val="bottom"/>
          </w:tcPr>
          <w:p>
            <w:pPr>
              <w:ind w:left="260"/>
              <w:spacing w:after="0"/>
              <w:rPr>
                <w:sz w:val="20"/>
                <w:szCs w:val="20"/>
                <w:color w:val="auto"/>
              </w:rPr>
            </w:pPr>
            <w:r>
              <w:rPr>
                <w:rFonts w:ascii="Arial" w:cs="Arial" w:eastAsia="Arial" w:hAnsi="Arial"/>
                <w:sz w:val="16"/>
                <w:szCs w:val="16"/>
                <w:color w:val="auto"/>
                <w:w w:val="93"/>
              </w:rPr>
              <w:t>211,267</w:t>
            </w:r>
          </w:p>
        </w:tc>
      </w:tr>
      <w:tr>
        <w:trPr>
          <w:trHeight w:val="203"/>
        </w:trPr>
        <w:tc>
          <w:tcPr>
            <w:tcW w:w="2920" w:type="dxa"/>
            <w:vAlign w:val="bottom"/>
            <w:shd w:val="clear" w:color="auto" w:fill="E9E9E9"/>
          </w:tcPr>
          <w:p>
            <w:pPr>
              <w:ind w:left="60"/>
              <w:spacing w:after="0"/>
              <w:rPr>
                <w:sz w:val="20"/>
                <w:szCs w:val="20"/>
                <w:color w:val="auto"/>
              </w:rPr>
            </w:pPr>
            <w:r>
              <w:rPr>
                <w:rFonts w:ascii="Arial" w:cs="Arial" w:eastAsia="Arial" w:hAnsi="Arial"/>
                <w:sz w:val="16"/>
                <w:szCs w:val="16"/>
                <w:color w:val="auto"/>
              </w:rPr>
              <w:t>Coleman, Leonard S.</w:t>
            </w:r>
          </w:p>
        </w:tc>
        <w:tc>
          <w:tcPr>
            <w:tcW w:w="174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118,125</w:t>
            </w:r>
          </w:p>
        </w:tc>
        <w:tc>
          <w:tcPr>
            <w:tcW w:w="124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118,142</w:t>
            </w:r>
          </w:p>
        </w:tc>
        <w:tc>
          <w:tcPr>
            <w:tcW w:w="15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400" w:type="dxa"/>
            <w:vAlign w:val="bottom"/>
            <w:shd w:val="clear" w:color="auto" w:fill="E9E9E9"/>
          </w:tcPr>
          <w:p>
            <w:pPr>
              <w:jc w:val="right"/>
              <w:ind w:right="100"/>
              <w:spacing w:after="0"/>
              <w:rPr>
                <w:sz w:val="20"/>
                <w:szCs w:val="20"/>
                <w:color w:val="auto"/>
              </w:rPr>
            </w:pPr>
            <w:r>
              <w:rPr>
                <w:rFonts w:ascii="Arial" w:cs="Arial" w:eastAsia="Arial" w:hAnsi="Arial"/>
                <w:sz w:val="16"/>
                <w:szCs w:val="16"/>
                <w:color w:val="auto"/>
              </w:rPr>
              <w:t>5,000</w:t>
            </w:r>
          </w:p>
        </w:tc>
        <w:tc>
          <w:tcPr>
            <w:tcW w:w="820" w:type="dxa"/>
            <w:vAlign w:val="bottom"/>
            <w:shd w:val="clear" w:color="auto" w:fill="E9E9E9"/>
          </w:tcPr>
          <w:p>
            <w:pPr>
              <w:ind w:left="240"/>
              <w:spacing w:after="0"/>
              <w:rPr>
                <w:sz w:val="20"/>
                <w:szCs w:val="20"/>
                <w:color w:val="auto"/>
              </w:rPr>
            </w:pPr>
            <w:r>
              <w:rPr>
                <w:rFonts w:ascii="Arial" w:cs="Arial" w:eastAsia="Arial" w:hAnsi="Arial"/>
                <w:sz w:val="16"/>
                <w:szCs w:val="16"/>
                <w:color w:val="auto"/>
                <w:w w:val="96"/>
              </w:rPr>
              <w:t>241,267</w:t>
            </w:r>
          </w:p>
        </w:tc>
      </w:tr>
      <w:tr>
        <w:trPr>
          <w:trHeight w:val="203"/>
        </w:trPr>
        <w:tc>
          <w:tcPr>
            <w:tcW w:w="2920" w:type="dxa"/>
            <w:vAlign w:val="bottom"/>
          </w:tcPr>
          <w:p>
            <w:pPr>
              <w:ind w:left="60"/>
              <w:spacing w:after="0"/>
              <w:rPr>
                <w:sz w:val="20"/>
                <w:szCs w:val="20"/>
                <w:color w:val="auto"/>
              </w:rPr>
            </w:pPr>
            <w:r>
              <w:rPr>
                <w:rFonts w:ascii="Arial" w:cs="Arial" w:eastAsia="Arial" w:hAnsi="Arial"/>
                <w:sz w:val="16"/>
                <w:szCs w:val="16"/>
                <w:color w:val="auto"/>
              </w:rPr>
              <w:t>Fox, Jeffrey H.</w:t>
            </w:r>
          </w:p>
        </w:tc>
        <w:tc>
          <w:tcPr>
            <w:tcW w:w="1740" w:type="dxa"/>
            <w:vAlign w:val="bottom"/>
          </w:tcPr>
          <w:p>
            <w:pPr>
              <w:jc w:val="right"/>
              <w:ind w:right="20"/>
              <w:spacing w:after="0"/>
              <w:rPr>
                <w:sz w:val="20"/>
                <w:szCs w:val="20"/>
                <w:color w:val="auto"/>
              </w:rPr>
            </w:pPr>
            <w:r>
              <w:rPr>
                <w:rFonts w:ascii="Arial" w:cs="Arial" w:eastAsia="Arial" w:hAnsi="Arial"/>
                <w:sz w:val="16"/>
                <w:szCs w:val="16"/>
                <w:color w:val="auto"/>
              </w:rPr>
              <w:t>95,000</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95,019</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5,000</w:t>
            </w:r>
          </w:p>
        </w:tc>
        <w:tc>
          <w:tcPr>
            <w:tcW w:w="820" w:type="dxa"/>
            <w:vAlign w:val="bottom"/>
          </w:tcPr>
          <w:p>
            <w:pPr>
              <w:ind w:left="240"/>
              <w:spacing w:after="0"/>
              <w:rPr>
                <w:sz w:val="20"/>
                <w:szCs w:val="20"/>
                <w:color w:val="auto"/>
              </w:rPr>
            </w:pPr>
            <w:r>
              <w:rPr>
                <w:rFonts w:ascii="Arial" w:cs="Arial" w:eastAsia="Arial" w:hAnsi="Arial"/>
                <w:sz w:val="16"/>
                <w:szCs w:val="16"/>
                <w:color w:val="auto"/>
                <w:w w:val="96"/>
              </w:rPr>
              <w:t>195,019</w:t>
            </w:r>
          </w:p>
        </w:tc>
      </w:tr>
      <w:tr>
        <w:trPr>
          <w:trHeight w:val="203"/>
        </w:trPr>
        <w:tc>
          <w:tcPr>
            <w:tcW w:w="2920" w:type="dxa"/>
            <w:vAlign w:val="bottom"/>
            <w:shd w:val="clear" w:color="auto" w:fill="E9E9E9"/>
          </w:tcPr>
          <w:p>
            <w:pPr>
              <w:ind w:left="60"/>
              <w:spacing w:after="0"/>
              <w:rPr>
                <w:sz w:val="20"/>
                <w:szCs w:val="20"/>
                <w:color w:val="auto"/>
              </w:rPr>
            </w:pPr>
            <w:r>
              <w:rPr>
                <w:rFonts w:ascii="Arial" w:cs="Arial" w:eastAsia="Arial" w:hAnsi="Arial"/>
                <w:sz w:val="16"/>
                <w:szCs w:val="16"/>
                <w:color w:val="auto"/>
              </w:rPr>
              <w:t>Hardy, John D.</w:t>
            </w:r>
          </w:p>
        </w:tc>
        <w:tc>
          <w:tcPr>
            <w:tcW w:w="174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105,000</w:t>
            </w:r>
          </w:p>
        </w:tc>
        <w:tc>
          <w:tcPr>
            <w:tcW w:w="124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104,983</w:t>
            </w:r>
          </w:p>
        </w:tc>
        <w:tc>
          <w:tcPr>
            <w:tcW w:w="15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400" w:type="dxa"/>
            <w:vAlign w:val="bottom"/>
            <w:shd w:val="clear" w:color="auto" w:fill="E9E9E9"/>
          </w:tcPr>
          <w:p>
            <w:pPr>
              <w:jc w:val="right"/>
              <w:ind w:right="100"/>
              <w:spacing w:after="0"/>
              <w:rPr>
                <w:sz w:val="20"/>
                <w:szCs w:val="20"/>
                <w:color w:val="auto"/>
              </w:rPr>
            </w:pPr>
            <w:r>
              <w:rPr>
                <w:rFonts w:ascii="Arial" w:cs="Arial" w:eastAsia="Arial" w:hAnsi="Arial"/>
                <w:sz w:val="16"/>
                <w:szCs w:val="16"/>
                <w:color w:val="auto"/>
              </w:rPr>
              <w:t>5,000</w:t>
            </w:r>
          </w:p>
        </w:tc>
        <w:tc>
          <w:tcPr>
            <w:tcW w:w="820" w:type="dxa"/>
            <w:vAlign w:val="bottom"/>
            <w:shd w:val="clear" w:color="auto" w:fill="E9E9E9"/>
          </w:tcPr>
          <w:p>
            <w:pPr>
              <w:ind w:left="240"/>
              <w:spacing w:after="0"/>
              <w:rPr>
                <w:sz w:val="20"/>
                <w:szCs w:val="20"/>
                <w:color w:val="auto"/>
              </w:rPr>
            </w:pPr>
            <w:r>
              <w:rPr>
                <w:rFonts w:ascii="Arial" w:cs="Arial" w:eastAsia="Arial" w:hAnsi="Arial"/>
                <w:sz w:val="16"/>
                <w:szCs w:val="16"/>
                <w:color w:val="auto"/>
                <w:w w:val="96"/>
              </w:rPr>
              <w:t>214,983</w:t>
            </w:r>
          </w:p>
        </w:tc>
      </w:tr>
      <w:tr>
        <w:trPr>
          <w:trHeight w:val="203"/>
        </w:trPr>
        <w:tc>
          <w:tcPr>
            <w:tcW w:w="2920" w:type="dxa"/>
            <w:vAlign w:val="bottom"/>
          </w:tcPr>
          <w:p>
            <w:pPr>
              <w:ind w:left="60"/>
              <w:spacing w:after="0"/>
              <w:rPr>
                <w:sz w:val="20"/>
                <w:szCs w:val="20"/>
                <w:color w:val="auto"/>
              </w:rPr>
            </w:pPr>
            <w:r>
              <w:rPr>
                <w:rFonts w:ascii="Arial" w:cs="Arial" w:eastAsia="Arial" w:hAnsi="Arial"/>
                <w:sz w:val="16"/>
                <w:szCs w:val="16"/>
                <w:color w:val="auto"/>
              </w:rPr>
              <w:t>Krominga, Lynn</w:t>
            </w:r>
          </w:p>
        </w:tc>
        <w:tc>
          <w:tcPr>
            <w:tcW w:w="1740" w:type="dxa"/>
            <w:vAlign w:val="bottom"/>
          </w:tcPr>
          <w:p>
            <w:pPr>
              <w:jc w:val="right"/>
              <w:ind w:right="20"/>
              <w:spacing w:after="0"/>
              <w:rPr>
                <w:sz w:val="20"/>
                <w:szCs w:val="20"/>
                <w:color w:val="auto"/>
              </w:rPr>
            </w:pPr>
            <w:r>
              <w:rPr>
                <w:rFonts w:ascii="Arial" w:cs="Arial" w:eastAsia="Arial" w:hAnsi="Arial"/>
                <w:sz w:val="16"/>
                <w:szCs w:val="16"/>
                <w:color w:val="auto"/>
              </w:rPr>
              <w:t>104,375</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104,398</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5,000</w:t>
            </w:r>
          </w:p>
        </w:tc>
        <w:tc>
          <w:tcPr>
            <w:tcW w:w="820" w:type="dxa"/>
            <w:vAlign w:val="bottom"/>
          </w:tcPr>
          <w:p>
            <w:pPr>
              <w:ind w:left="240"/>
              <w:spacing w:after="0"/>
              <w:rPr>
                <w:sz w:val="20"/>
                <w:szCs w:val="20"/>
                <w:color w:val="auto"/>
              </w:rPr>
            </w:pPr>
            <w:r>
              <w:rPr>
                <w:rFonts w:ascii="Arial" w:cs="Arial" w:eastAsia="Arial" w:hAnsi="Arial"/>
                <w:sz w:val="16"/>
                <w:szCs w:val="16"/>
                <w:color w:val="auto"/>
                <w:w w:val="96"/>
              </w:rPr>
              <w:t>213,773</w:t>
            </w:r>
          </w:p>
        </w:tc>
      </w:tr>
      <w:tr>
        <w:trPr>
          <w:trHeight w:val="203"/>
        </w:trPr>
        <w:tc>
          <w:tcPr>
            <w:tcW w:w="2920" w:type="dxa"/>
            <w:vAlign w:val="bottom"/>
            <w:shd w:val="clear" w:color="auto" w:fill="E9E9E9"/>
          </w:tcPr>
          <w:p>
            <w:pPr>
              <w:ind w:left="60"/>
              <w:spacing w:after="0"/>
              <w:rPr>
                <w:sz w:val="20"/>
                <w:szCs w:val="20"/>
                <w:color w:val="auto"/>
              </w:rPr>
            </w:pPr>
            <w:r>
              <w:rPr>
                <w:rFonts w:ascii="Arial" w:cs="Arial" w:eastAsia="Arial" w:hAnsi="Arial"/>
                <w:sz w:val="16"/>
                <w:szCs w:val="16"/>
                <w:color w:val="auto"/>
              </w:rPr>
              <w:t>Mestre, Eduardo G.</w:t>
            </w:r>
          </w:p>
        </w:tc>
        <w:tc>
          <w:tcPr>
            <w:tcW w:w="174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197,994</w:t>
            </w:r>
          </w:p>
        </w:tc>
        <w:tc>
          <w:tcPr>
            <w:tcW w:w="15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400" w:type="dxa"/>
            <w:vAlign w:val="bottom"/>
            <w:shd w:val="clear" w:color="auto" w:fill="E9E9E9"/>
          </w:tcPr>
          <w:p>
            <w:pPr>
              <w:jc w:val="right"/>
              <w:ind w:right="100"/>
              <w:spacing w:after="0"/>
              <w:rPr>
                <w:sz w:val="20"/>
                <w:szCs w:val="20"/>
                <w:color w:val="auto"/>
              </w:rPr>
            </w:pPr>
            <w:r>
              <w:rPr>
                <w:rFonts w:ascii="Arial" w:cs="Arial" w:eastAsia="Arial" w:hAnsi="Arial"/>
                <w:sz w:val="16"/>
                <w:szCs w:val="16"/>
                <w:color w:val="auto"/>
              </w:rPr>
              <w:t>5,000</w:t>
            </w:r>
          </w:p>
        </w:tc>
        <w:tc>
          <w:tcPr>
            <w:tcW w:w="820" w:type="dxa"/>
            <w:vAlign w:val="bottom"/>
            <w:shd w:val="clear" w:color="auto" w:fill="E9E9E9"/>
          </w:tcPr>
          <w:p>
            <w:pPr>
              <w:ind w:left="240"/>
              <w:spacing w:after="0"/>
              <w:rPr>
                <w:sz w:val="20"/>
                <w:szCs w:val="20"/>
                <w:color w:val="auto"/>
              </w:rPr>
            </w:pPr>
            <w:r>
              <w:rPr>
                <w:rFonts w:ascii="Arial" w:cs="Arial" w:eastAsia="Arial" w:hAnsi="Arial"/>
                <w:sz w:val="16"/>
                <w:szCs w:val="16"/>
                <w:color w:val="auto"/>
                <w:w w:val="96"/>
              </w:rPr>
              <w:t>202,994</w:t>
            </w:r>
          </w:p>
        </w:tc>
      </w:tr>
      <w:tr>
        <w:trPr>
          <w:trHeight w:val="203"/>
        </w:trPr>
        <w:tc>
          <w:tcPr>
            <w:tcW w:w="2920" w:type="dxa"/>
            <w:vAlign w:val="bottom"/>
          </w:tcPr>
          <w:p>
            <w:pPr>
              <w:ind w:left="60"/>
              <w:spacing w:after="0"/>
              <w:rPr>
                <w:sz w:val="20"/>
                <w:szCs w:val="20"/>
                <w:color w:val="auto"/>
              </w:rPr>
            </w:pPr>
            <w:r>
              <w:rPr>
                <w:rFonts w:ascii="Arial" w:cs="Arial" w:eastAsia="Arial" w:hAnsi="Arial"/>
                <w:sz w:val="16"/>
                <w:szCs w:val="16"/>
                <w:color w:val="auto"/>
              </w:rPr>
              <w:t>Salerno, F. Robert (e)</w:t>
            </w:r>
          </w:p>
        </w:tc>
        <w:tc>
          <w:tcPr>
            <w:tcW w:w="1740" w:type="dxa"/>
            <w:vAlign w:val="bottom"/>
          </w:tcPr>
          <w:p>
            <w:pPr>
              <w:jc w:val="right"/>
              <w:ind w:right="20"/>
              <w:spacing w:after="0"/>
              <w:rPr>
                <w:sz w:val="20"/>
                <w:szCs w:val="20"/>
                <w:color w:val="auto"/>
              </w:rPr>
            </w:pPr>
            <w:r>
              <w:rPr>
                <w:rFonts w:ascii="Arial" w:cs="Arial" w:eastAsia="Arial" w:hAnsi="Arial"/>
                <w:sz w:val="16"/>
                <w:szCs w:val="16"/>
                <w:color w:val="auto"/>
              </w:rPr>
              <w:t>99,000</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99,004</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5,000</w:t>
            </w:r>
          </w:p>
        </w:tc>
        <w:tc>
          <w:tcPr>
            <w:tcW w:w="820" w:type="dxa"/>
            <w:vAlign w:val="bottom"/>
          </w:tcPr>
          <w:p>
            <w:pPr>
              <w:ind w:left="240"/>
              <w:spacing w:after="0"/>
              <w:rPr>
                <w:sz w:val="20"/>
                <w:szCs w:val="20"/>
                <w:color w:val="auto"/>
              </w:rPr>
            </w:pPr>
            <w:r>
              <w:rPr>
                <w:rFonts w:ascii="Arial" w:cs="Arial" w:eastAsia="Arial" w:hAnsi="Arial"/>
                <w:sz w:val="16"/>
                <w:szCs w:val="16"/>
                <w:color w:val="auto"/>
                <w:w w:val="96"/>
              </w:rPr>
              <w:t>203,004</w:t>
            </w:r>
          </w:p>
        </w:tc>
      </w:tr>
      <w:tr>
        <w:trPr>
          <w:trHeight w:val="203"/>
        </w:trPr>
        <w:tc>
          <w:tcPr>
            <w:tcW w:w="2920" w:type="dxa"/>
            <w:vAlign w:val="bottom"/>
            <w:tcBorders>
              <w:bottom w:val="single" w:sz="8" w:color="auto"/>
            </w:tcBorders>
            <w:shd w:val="clear" w:color="auto" w:fill="E9E9E9"/>
          </w:tcPr>
          <w:p>
            <w:pPr>
              <w:ind w:left="60"/>
              <w:spacing w:after="0"/>
              <w:rPr>
                <w:sz w:val="20"/>
                <w:szCs w:val="20"/>
                <w:color w:val="auto"/>
              </w:rPr>
            </w:pPr>
            <w:r>
              <w:rPr>
                <w:rFonts w:ascii="Arial" w:cs="Arial" w:eastAsia="Arial" w:hAnsi="Arial"/>
                <w:sz w:val="16"/>
                <w:szCs w:val="16"/>
                <w:color w:val="auto"/>
              </w:rPr>
              <w:t>Sweeney, Stender E.</w:t>
            </w:r>
          </w:p>
        </w:tc>
        <w:tc>
          <w:tcPr>
            <w:tcW w:w="1740" w:type="dxa"/>
            <w:vAlign w:val="bottom"/>
            <w:tcBorders>
              <w:bottom w:val="single" w:sz="8" w:color="auto"/>
            </w:tcBorders>
            <w:shd w:val="clear" w:color="auto" w:fill="E9E9E9"/>
          </w:tcPr>
          <w:p>
            <w:pPr>
              <w:jc w:val="right"/>
              <w:ind w:right="20"/>
              <w:spacing w:after="0"/>
              <w:rPr>
                <w:sz w:val="20"/>
                <w:szCs w:val="20"/>
                <w:color w:val="auto"/>
              </w:rPr>
            </w:pPr>
            <w:r>
              <w:rPr>
                <w:rFonts w:ascii="Arial" w:cs="Arial" w:eastAsia="Arial" w:hAnsi="Arial"/>
                <w:sz w:val="16"/>
                <w:szCs w:val="16"/>
                <w:color w:val="auto"/>
              </w:rPr>
              <w:t>109,375</w:t>
            </w:r>
          </w:p>
        </w:tc>
        <w:tc>
          <w:tcPr>
            <w:tcW w:w="1240" w:type="dxa"/>
            <w:vAlign w:val="bottom"/>
            <w:tcBorders>
              <w:bottom w:val="single" w:sz="8" w:color="auto"/>
            </w:tcBorders>
            <w:shd w:val="clear" w:color="auto" w:fill="E9E9E9"/>
          </w:tcPr>
          <w:p>
            <w:pPr>
              <w:jc w:val="right"/>
              <w:ind w:right="40"/>
              <w:spacing w:after="0"/>
              <w:rPr>
                <w:sz w:val="20"/>
                <w:szCs w:val="20"/>
                <w:color w:val="auto"/>
              </w:rPr>
            </w:pPr>
            <w:r>
              <w:rPr>
                <w:rFonts w:ascii="Arial" w:cs="Arial" w:eastAsia="Arial" w:hAnsi="Arial"/>
                <w:sz w:val="16"/>
                <w:szCs w:val="16"/>
                <w:color w:val="auto"/>
              </w:rPr>
              <w:t>109,382</w:t>
            </w:r>
          </w:p>
        </w:tc>
        <w:tc>
          <w:tcPr>
            <w:tcW w:w="1500" w:type="dxa"/>
            <w:vAlign w:val="bottom"/>
            <w:tcBorders>
              <w:bottom w:val="single" w:sz="8" w:color="auto"/>
            </w:tcBorders>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400" w:type="dxa"/>
            <w:vAlign w:val="bottom"/>
            <w:tcBorders>
              <w:bottom w:val="single" w:sz="8" w:color="auto"/>
            </w:tcBorders>
            <w:shd w:val="clear" w:color="auto" w:fill="E9E9E9"/>
          </w:tcPr>
          <w:p>
            <w:pPr>
              <w:jc w:val="right"/>
              <w:ind w:right="100"/>
              <w:spacing w:after="0"/>
              <w:rPr>
                <w:sz w:val="20"/>
                <w:szCs w:val="20"/>
                <w:color w:val="auto"/>
              </w:rPr>
            </w:pPr>
            <w:r>
              <w:rPr>
                <w:rFonts w:ascii="Arial" w:cs="Arial" w:eastAsia="Arial" w:hAnsi="Arial"/>
                <w:sz w:val="16"/>
                <w:szCs w:val="16"/>
                <w:color w:val="auto"/>
              </w:rPr>
              <w:t>5,000</w:t>
            </w:r>
          </w:p>
        </w:tc>
        <w:tc>
          <w:tcPr>
            <w:tcW w:w="820" w:type="dxa"/>
            <w:vAlign w:val="bottom"/>
            <w:tcBorders>
              <w:bottom w:val="single" w:sz="8" w:color="auto"/>
            </w:tcBorders>
            <w:shd w:val="clear" w:color="auto" w:fill="E9E9E9"/>
          </w:tcPr>
          <w:p>
            <w:pPr>
              <w:ind w:left="240"/>
              <w:spacing w:after="0"/>
              <w:rPr>
                <w:sz w:val="20"/>
                <w:szCs w:val="20"/>
                <w:color w:val="auto"/>
              </w:rPr>
            </w:pPr>
            <w:r>
              <w:rPr>
                <w:rFonts w:ascii="Arial" w:cs="Arial" w:eastAsia="Arial" w:hAnsi="Arial"/>
                <w:sz w:val="16"/>
                <w:szCs w:val="16"/>
                <w:color w:val="auto"/>
                <w:w w:val="96"/>
              </w:rPr>
              <w:t>223,757</w:t>
            </w:r>
          </w:p>
        </w:tc>
      </w:tr>
    </w:tbl>
    <w:p>
      <w:pPr>
        <w:spacing w:after="0" w:line="107" w:lineRule="exact"/>
        <w:rPr>
          <w:sz w:val="20"/>
          <w:szCs w:val="20"/>
          <w:color w:val="auto"/>
        </w:rPr>
      </w:pPr>
    </w:p>
    <w:p>
      <w:pPr>
        <w:ind w:left="420" w:right="60" w:hanging="369"/>
        <w:spacing w:after="0" w:line="282" w:lineRule="auto"/>
        <w:tabs>
          <w:tab w:leader="none" w:pos="4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cash portion of fees paid represents: 50% of the annual retainer and 50% of committee chair and membership stipends. Directors may elect to defer some or all fees earned or paid in cash under the Company's deferred compensation plan applicable to non-employee directors. For 2014, the following directors elected to defer their 2014 cash compensation: Mr. Mestre deferred all such fees and elected to receive such fees in the form of deferred stock units; and Mr. Sweeney deferred all such fees and elected to direct his deferred cash compensation into investment options selected from those offered under the deferred compensation plan.</w:t>
      </w:r>
    </w:p>
    <w:p>
      <w:pPr>
        <w:spacing w:after="0" w:line="3" w:lineRule="exact"/>
        <w:rPr>
          <w:rFonts w:ascii="Arial" w:cs="Arial" w:eastAsia="Arial" w:hAnsi="Arial"/>
          <w:sz w:val="15"/>
          <w:szCs w:val="15"/>
          <w:color w:val="auto"/>
        </w:rPr>
      </w:pPr>
    </w:p>
    <w:p>
      <w:pPr>
        <w:ind w:left="420" w:right="80" w:hanging="369"/>
        <w:spacing w:after="0" w:line="302" w:lineRule="auto"/>
        <w:tabs>
          <w:tab w:leader="none" w:pos="4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stock awards represent: 50% of the annual retainer and 50% of committee chair and membership stipends. Such amounts represent the aggregate grant date fair value computed in accordance with FASB ASC Topic 718. The number of deferred stock units or shares of Common Stock to be received pursuant to the equity portion of the retainer or any other compensation to be paid in the form of equity is equal to the value of the compensation being paid in the form of equity, divided by the fair market value of the Company's Common Stock on the date of grant. For 2014, directors had the opportunity to receive the equity portion of their compensation in the form of the Company's Common Stock on each quarterly payment date. Mr. Hardy, Ms. Krominga and Mr. Sweeney made such an election with respect to the equity portion of 2014 director compensation. Each of the other directors received stock awards in the form of deferred stock units.</w:t>
      </w:r>
    </w:p>
    <w:p>
      <w:pPr>
        <w:spacing w:after="0" w:line="4" w:lineRule="exact"/>
        <w:rPr>
          <w:rFonts w:ascii="Arial" w:cs="Arial" w:eastAsia="Arial" w:hAnsi="Arial"/>
          <w:sz w:val="14"/>
          <w:szCs w:val="14"/>
          <w:color w:val="auto"/>
        </w:rPr>
      </w:pPr>
    </w:p>
    <w:p>
      <w:pPr>
        <w:ind w:left="420" w:right="60"/>
        <w:spacing w:after="0" w:line="265" w:lineRule="auto"/>
        <w:rPr>
          <w:rFonts w:ascii="Arial" w:cs="Arial" w:eastAsia="Arial" w:hAnsi="Arial"/>
          <w:sz w:val="14"/>
          <w:szCs w:val="14"/>
          <w:color w:val="auto"/>
        </w:rPr>
      </w:pPr>
      <w:r>
        <w:rPr>
          <w:rFonts w:ascii="Arial" w:cs="Arial" w:eastAsia="Arial" w:hAnsi="Arial"/>
          <w:sz w:val="16"/>
          <w:szCs w:val="16"/>
          <w:color w:val="auto"/>
        </w:rPr>
        <w:t>Outstanding stock awards at fiscal year-end are as follows: for Mr. Cathcart, 18,913 deferred stock units; for Ms. Choksi, 56,729 deferred stock units; for Mr. Coleman, 69,287 deferred stock units; for Mr. Fox, 3,040 deferred stock units; for Mr. Hardy, 54,075 deferred stock units; for Ms. Krominga, 53,906 deferred stock units; for Mr. Mestre, 57,613 deferred stock units; for Mr. Salerno, 10,539 deferred stock units; and for Mr. Sweeney, 66,711 deferred stock units.</w:t>
      </w:r>
    </w:p>
    <w:p>
      <w:pPr>
        <w:ind w:left="420" w:right="120" w:hanging="369"/>
        <w:spacing w:after="0" w:line="265" w:lineRule="auto"/>
        <w:tabs>
          <w:tab w:leader="none" w:pos="4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As described above, Mr. Sweeney elected to defer the cash portion of his 2014 director compensation into certain investment options available under the deferred compensation plan. There were no above-market or preferential earnings in 2014 as any earnings were market-based, consistent with the investment options selected by Mr. Sweeney.</w:t>
      </w:r>
    </w:p>
    <w:p>
      <w:pPr>
        <w:ind w:left="420" w:hanging="369"/>
        <w:spacing w:after="0"/>
        <w:tabs>
          <w:tab w:leader="none" w:pos="4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Represents discretionary matching contributions available through The Avis Budget Group Charitable Foundation.</w:t>
      </w:r>
    </w:p>
    <w:p>
      <w:pPr>
        <w:spacing w:after="0" w:line="19" w:lineRule="exact"/>
        <w:rPr>
          <w:rFonts w:ascii="Arial" w:cs="Arial" w:eastAsia="Arial" w:hAnsi="Arial"/>
          <w:sz w:val="16"/>
          <w:szCs w:val="16"/>
          <w:color w:val="auto"/>
        </w:rPr>
      </w:pPr>
    </w:p>
    <w:p>
      <w:pPr>
        <w:ind w:left="420" w:right="440" w:hanging="369"/>
        <w:spacing w:after="0" w:line="296" w:lineRule="auto"/>
        <w:tabs>
          <w:tab w:leader="none" w:pos="4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In addition to the compensation reflected above, Messrs. Salerno and Cathcart were also paid the following amounts in 2014, which were previously earned and accrued during their prior employment with the Company and Avis Europe, respectively:</w:t>
      </w:r>
    </w:p>
    <w:tbl>
      <w:tblPr>
        <w:tblLayout w:type="fixed"/>
        <w:tblInd w:w="0" w:type="dxa"/>
        <w:tblCellMar>
          <w:top w:w="0" w:type="dxa"/>
          <w:left w:w="0" w:type="dxa"/>
          <w:bottom w:w="0" w:type="dxa"/>
          <w:right w:w="0" w:type="dxa"/>
        </w:tblCellMar>
      </w:tblPr>
      <w:tr>
        <w:trPr>
          <w:trHeight w:val="176"/>
        </w:trPr>
        <w:tc>
          <w:tcPr>
            <w:tcW w:w="380" w:type="dxa"/>
            <w:vAlign w:val="bottom"/>
            <w:shd w:val="clear" w:color="auto" w:fill="E9E9E9"/>
          </w:tcPr>
          <w:p>
            <w:pPr>
              <w:spacing w:after="0"/>
              <w:rPr>
                <w:sz w:val="15"/>
                <w:szCs w:val="15"/>
                <w:color w:val="auto"/>
              </w:rPr>
            </w:pPr>
          </w:p>
        </w:tc>
        <w:tc>
          <w:tcPr>
            <w:tcW w:w="6660" w:type="dxa"/>
            <w:vAlign w:val="bottom"/>
            <w:tcBorders>
              <w:top w:val="single" w:sz="8" w:color="auto"/>
            </w:tcBorders>
            <w:shd w:val="clear" w:color="auto" w:fill="E9E9E9"/>
          </w:tcPr>
          <w:p>
            <w:pPr>
              <w:ind w:left="40"/>
              <w:spacing w:after="0" w:line="176" w:lineRule="exact"/>
              <w:rPr>
                <w:sz w:val="20"/>
                <w:szCs w:val="20"/>
                <w:color w:val="auto"/>
              </w:rPr>
            </w:pPr>
            <w:r>
              <w:rPr>
                <w:rFonts w:ascii="Arial" w:cs="Arial" w:eastAsia="Arial" w:hAnsi="Arial"/>
                <w:sz w:val="16"/>
                <w:szCs w:val="16"/>
                <w:color w:val="auto"/>
              </w:rPr>
              <w:t>Avis Rent A Car System, LLC Pension Plan (Mr. Salerno)</w:t>
            </w:r>
          </w:p>
        </w:tc>
        <w:tc>
          <w:tcPr>
            <w:tcW w:w="1620" w:type="dxa"/>
            <w:vAlign w:val="bottom"/>
            <w:tcBorders>
              <w:top w:val="single" w:sz="8" w:color="auto"/>
            </w:tcBorders>
            <w:shd w:val="clear" w:color="auto" w:fill="E9E9E9"/>
          </w:tcPr>
          <w:p>
            <w:pPr>
              <w:jc w:val="right"/>
              <w:ind w:right="120"/>
              <w:spacing w:after="0" w:line="176" w:lineRule="exact"/>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E9E9E9"/>
          </w:tcPr>
          <w:p>
            <w:pPr>
              <w:jc w:val="right"/>
              <w:spacing w:after="0" w:line="176" w:lineRule="exact"/>
              <w:rPr>
                <w:sz w:val="20"/>
                <w:szCs w:val="20"/>
                <w:color w:val="auto"/>
              </w:rPr>
            </w:pPr>
            <w:r>
              <w:rPr>
                <w:rFonts w:ascii="Arial" w:cs="Arial" w:eastAsia="Arial" w:hAnsi="Arial"/>
                <w:sz w:val="16"/>
                <w:szCs w:val="16"/>
                <w:color w:val="auto"/>
              </w:rPr>
              <w:t>40,597</w:t>
            </w:r>
          </w:p>
        </w:tc>
        <w:tc>
          <w:tcPr>
            <w:tcW w:w="180" w:type="dxa"/>
            <w:vAlign w:val="bottom"/>
            <w:tcBorders>
              <w:top w:val="single" w:sz="8" w:color="auto"/>
            </w:tcBorders>
            <w:shd w:val="clear" w:color="auto" w:fill="E9E9E9"/>
          </w:tcPr>
          <w:p>
            <w:pPr>
              <w:spacing w:after="0"/>
              <w:rPr>
                <w:sz w:val="15"/>
                <w:szCs w:val="15"/>
                <w:color w:val="auto"/>
              </w:rPr>
            </w:pPr>
          </w:p>
        </w:tc>
      </w:tr>
      <w:tr>
        <w:trPr>
          <w:trHeight w:val="203"/>
        </w:trPr>
        <w:tc>
          <w:tcPr>
            <w:tcW w:w="380" w:type="dxa"/>
            <w:vAlign w:val="bottom"/>
          </w:tcPr>
          <w:p>
            <w:pPr>
              <w:spacing w:after="0"/>
              <w:rPr>
                <w:sz w:val="17"/>
                <w:szCs w:val="17"/>
                <w:color w:val="auto"/>
              </w:rPr>
            </w:pPr>
          </w:p>
        </w:tc>
        <w:tc>
          <w:tcPr>
            <w:tcW w:w="6660" w:type="dxa"/>
            <w:vAlign w:val="bottom"/>
          </w:tcPr>
          <w:p>
            <w:pPr>
              <w:ind w:left="40"/>
              <w:spacing w:after="0"/>
              <w:rPr>
                <w:sz w:val="20"/>
                <w:szCs w:val="20"/>
                <w:color w:val="auto"/>
              </w:rPr>
            </w:pPr>
            <w:r>
              <w:rPr>
                <w:rFonts w:ascii="Arial" w:cs="Arial" w:eastAsia="Arial" w:hAnsi="Arial"/>
                <w:sz w:val="16"/>
                <w:szCs w:val="16"/>
                <w:color w:val="auto"/>
              </w:rPr>
              <w:t>Avis Rent A Car System, LLC Retirement Equalization Benefit Plan (Mr. Salerno)</w:t>
            </w:r>
          </w:p>
        </w:tc>
        <w:tc>
          <w:tcPr>
            <w:tcW w:w="16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59,075</w:t>
            </w:r>
          </w:p>
        </w:tc>
        <w:tc>
          <w:tcPr>
            <w:tcW w:w="180" w:type="dxa"/>
            <w:vAlign w:val="bottom"/>
          </w:tcPr>
          <w:p>
            <w:pPr>
              <w:spacing w:after="0"/>
              <w:rPr>
                <w:sz w:val="17"/>
                <w:szCs w:val="17"/>
                <w:color w:val="auto"/>
              </w:rPr>
            </w:pPr>
          </w:p>
        </w:tc>
      </w:tr>
      <w:tr>
        <w:trPr>
          <w:trHeight w:val="203"/>
        </w:trPr>
        <w:tc>
          <w:tcPr>
            <w:tcW w:w="380" w:type="dxa"/>
            <w:vAlign w:val="bottom"/>
            <w:tcBorders>
              <w:bottom w:val="single" w:sz="8" w:color="E9E9E9"/>
            </w:tcBorders>
            <w:shd w:val="clear" w:color="auto" w:fill="E9E9E9"/>
          </w:tcPr>
          <w:p>
            <w:pPr>
              <w:spacing w:after="0"/>
              <w:rPr>
                <w:sz w:val="17"/>
                <w:szCs w:val="17"/>
                <w:color w:val="auto"/>
              </w:rPr>
            </w:pPr>
          </w:p>
        </w:tc>
        <w:tc>
          <w:tcPr>
            <w:tcW w:w="6660" w:type="dxa"/>
            <w:vAlign w:val="bottom"/>
            <w:tcBorders>
              <w:bottom w:val="single" w:sz="8" w:color="auto"/>
            </w:tcBorders>
            <w:shd w:val="clear" w:color="auto" w:fill="E9E9E9"/>
          </w:tcPr>
          <w:p>
            <w:pPr>
              <w:ind w:left="40"/>
              <w:spacing w:after="0"/>
              <w:rPr>
                <w:sz w:val="20"/>
                <w:szCs w:val="20"/>
                <w:color w:val="auto"/>
              </w:rPr>
            </w:pPr>
            <w:r>
              <w:rPr>
                <w:rFonts w:ascii="Arial" w:cs="Arial" w:eastAsia="Arial" w:hAnsi="Arial"/>
                <w:sz w:val="16"/>
                <w:szCs w:val="16"/>
                <w:color w:val="auto"/>
              </w:rPr>
              <w:t>Avis U.K. Pension Plan (Mr. Cathcart)</w:t>
            </w:r>
          </w:p>
        </w:tc>
        <w:tc>
          <w:tcPr>
            <w:tcW w:w="1620" w:type="dxa"/>
            <w:vAlign w:val="bottom"/>
            <w:tcBorders>
              <w:bottom w:val="single" w:sz="8" w:color="auto"/>
            </w:tcBorders>
            <w:shd w:val="clear" w:color="auto" w:fill="E9E9E9"/>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413,675</w:t>
            </w:r>
          </w:p>
        </w:tc>
        <w:tc>
          <w:tcPr>
            <w:tcW w:w="18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3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6660" w:type="dxa"/>
            <w:vAlign w:val="bottom"/>
          </w:tcPr>
          <w:p>
            <w:pPr>
              <w:ind w:left="40"/>
              <w:spacing w:after="0"/>
              <w:rPr>
                <w:sz w:val="20"/>
                <w:szCs w:val="20"/>
                <w:color w:val="auto"/>
              </w:rPr>
            </w:pPr>
            <w:r>
              <w:rPr>
                <w:rFonts w:ascii="Arial" w:cs="Arial" w:eastAsia="Arial" w:hAnsi="Arial"/>
                <w:sz w:val="16"/>
                <w:szCs w:val="16"/>
                <w:color w:val="auto"/>
              </w:rPr>
              <w:t>Reflects a £/$ exchange rate as of December 31, 2014 of 1.2101.</w:t>
            </w:r>
          </w:p>
        </w:tc>
        <w:tc>
          <w:tcPr>
            <w:tcW w:w="1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262" w:lineRule="exact"/>
        <w:rPr>
          <w:sz w:val="20"/>
          <w:szCs w:val="20"/>
          <w:color w:val="auto"/>
        </w:rPr>
      </w:pPr>
    </w:p>
    <w:p>
      <w:pPr>
        <w:ind w:right="60"/>
        <w:spacing w:after="0" w:line="293" w:lineRule="auto"/>
        <w:rPr>
          <w:sz w:val="20"/>
          <w:szCs w:val="20"/>
          <w:color w:val="auto"/>
        </w:rPr>
      </w:pPr>
      <w:r>
        <w:rPr>
          <w:rFonts w:ascii="Arial" w:cs="Arial" w:eastAsia="Arial" w:hAnsi="Arial"/>
          <w:sz w:val="15"/>
          <w:szCs w:val="15"/>
          <w:color w:val="auto"/>
        </w:rPr>
        <w:t>Our Compensation Committee is comprised entirely of independent directors and administers the Company's executive compensation policies and programs. Leonard S. Coleman has served as a member of our Compensation Committee since August 2006. Lynn Krominga has served as a member of our Compensation Committee since January 2007. John D. Hardy, Jr. has served as a member of our Compensation Committee since April 2008. None of these Directors were officers or employees of the Company or any of the Company's subsidiaries or had any relationship requiring disclosure by the Company under Item 404 of the SEC's Regulation S-K during 2014 or before.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620"/>
          </w:cols>
          <w:pgMar w:left="1380" w:top="438" w:right="89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Report of Audit Committee</w:t>
      </w:r>
    </w:p>
    <w:p>
      <w:pPr>
        <w:spacing w:after="0" w:line="258" w:lineRule="exact"/>
        <w:rPr>
          <w:sz w:val="20"/>
          <w:szCs w:val="20"/>
          <w:color w:val="auto"/>
        </w:rPr>
      </w:pPr>
    </w:p>
    <w:p>
      <w:pPr>
        <w:ind w:right="340"/>
        <w:spacing w:after="0" w:line="273" w:lineRule="auto"/>
        <w:rPr>
          <w:sz w:val="20"/>
          <w:szCs w:val="20"/>
          <w:color w:val="auto"/>
        </w:rPr>
      </w:pPr>
      <w:r>
        <w:rPr>
          <w:rFonts w:ascii="Arial" w:cs="Arial" w:eastAsia="Arial" w:hAnsi="Arial"/>
          <w:sz w:val="16"/>
          <w:szCs w:val="16"/>
          <w:color w:val="auto"/>
        </w:rPr>
        <w:t>Management has the primary responsibility for the financial statements and the reporting process, including the system of internal controls. The independent auditors are responsible for performing an independent audit of the Company's consolidated financial statements and opining on the effectiveness of the Company's controls in accordance with the standards of the Public Company Accounting Oversight Board (United States) ("PCAOB") and issuing their reports thereon.</w:t>
      </w:r>
    </w:p>
    <w:p>
      <w:pPr>
        <w:spacing w:after="0" w:line="203" w:lineRule="exact"/>
        <w:rPr>
          <w:sz w:val="20"/>
          <w:szCs w:val="20"/>
          <w:color w:val="auto"/>
        </w:rPr>
      </w:pPr>
    </w:p>
    <w:p>
      <w:pPr>
        <w:ind w:right="320"/>
        <w:spacing w:after="0" w:line="278" w:lineRule="auto"/>
        <w:rPr>
          <w:sz w:val="20"/>
          <w:szCs w:val="20"/>
          <w:color w:val="auto"/>
        </w:rPr>
      </w:pPr>
      <w:r>
        <w:rPr>
          <w:rFonts w:ascii="Arial" w:cs="Arial" w:eastAsia="Arial" w:hAnsi="Arial"/>
          <w:sz w:val="16"/>
          <w:szCs w:val="16"/>
          <w:color w:val="auto"/>
        </w:rPr>
        <w:t>In performing its oversight function, the Audit Committee discussed the consolidated financial statements with management and the independent auditors. The Audit Committee also discussed with the independent auditors the matters required to be discussed under the rules adopted by the PCAOB.</w:t>
      </w:r>
    </w:p>
    <w:p>
      <w:pPr>
        <w:spacing w:after="0" w:line="197"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In addition, the Audit Committee discussed with the independent auditors the auditors' independence from the Company and its management, and the independent auditors provided to the Audit Committee the written disclosures and letter required from the independent auditors by applicable requirements of the PCAOB.</w:t>
      </w:r>
    </w:p>
    <w:p>
      <w:pPr>
        <w:spacing w:after="0" w:line="209"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The Audit Committee discussed with the Company's internal and independent auditors the overall scope and plans for their respective audits. The Audit Committee met with the internal and independent auditors, with and without management present, to discuss the results of their examinations and the evaluations of the Company's internal controls.</w:t>
      </w:r>
    </w:p>
    <w:p>
      <w:pPr>
        <w:spacing w:after="0" w:line="197"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Based on the reviews and discussions referred to above and subject to the limitations on the roles and responsibilities of the Audit Committee referred to above and in its Charter, the Audit Committee recommended to the Board of Directors that the audited consolidated financial statements be included in the Company's Annual Report on Form 10-K for the year ended December 31, 2014 for filing with the SEC. The Audit Committee also has recommended the selection of the Company's independent registered public accounting firm for fiscal year 2015.</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THE AUDIT COMMITTEE</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Stender E. Sweeney, Chairman</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W. Alun Cathcart</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Mary C. Choksi</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Lynn Krominga</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560"/>
          </w:cols>
          <w:pgMar w:left="1380" w:top="438" w:right="95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Proposals to Be Voted On at Meeting</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NO. 1</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ELECTION OF DIRECTORS</w:t>
      </w:r>
    </w:p>
    <w:p>
      <w:pPr>
        <w:spacing w:after="0" w:line="250"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The Board of Directors has nominated Mses. Choksi and Krominga and Messrs. Cathcart, Coleman, Fox, Hardy, Mestre, Nelson, Salerno and Sweeney to be elected at the Meeting to serve as directors for a one-year term ending at the 2016 annual meeting of stockholders and until his or her successor is duly elected and qualified or until his or her earlier resignation or removal. All of the nominees for director are incumbent nominees and were each elected for one-year terms at the 2014 annual meeting. For certain information regarding each nominee, see "Board of Directors— Biographical Information for Nominees" above.</w:t>
      </w:r>
    </w:p>
    <w:p>
      <w:pPr>
        <w:spacing w:after="0" w:line="216" w:lineRule="exact"/>
        <w:rPr>
          <w:sz w:val="20"/>
          <w:szCs w:val="20"/>
          <w:color w:val="auto"/>
        </w:rPr>
      </w:pPr>
    </w:p>
    <w:p>
      <w:pPr>
        <w:ind w:right="360"/>
        <w:spacing w:after="0" w:line="304" w:lineRule="auto"/>
        <w:rPr>
          <w:sz w:val="20"/>
          <w:szCs w:val="20"/>
          <w:color w:val="auto"/>
        </w:rPr>
      </w:pPr>
      <w:r>
        <w:rPr>
          <w:rFonts w:ascii="Arial" w:cs="Arial" w:eastAsia="Arial" w:hAnsi="Arial"/>
          <w:sz w:val="15"/>
          <w:szCs w:val="15"/>
          <w:color w:val="auto"/>
        </w:rPr>
        <w:t>Each nominee has consented to being named in this Proxy Statement and to serve if elected. If, prior to the Meeting, any nominee should become unavailable to serve, proxies may be voted for another person designated as an alternative by the Board or the Board may reduce the number of directors in accordance with the Company's Amended and Restated Certificate of Incorporation and by-laws.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BOARD OF DIRECTORS RECOMMENDS A VOTE "FOR"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ELECTION OF EACH NOMINEE AS A DIRECTOR.</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NO. 2</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RATIFICATION OF APPOINTMENT OF AUDITORS</w:t>
      </w:r>
    </w:p>
    <w:p>
      <w:pPr>
        <w:spacing w:after="0" w:line="250" w:lineRule="exact"/>
        <w:rPr>
          <w:sz w:val="20"/>
          <w:szCs w:val="20"/>
          <w:color w:val="auto"/>
        </w:rPr>
      </w:pPr>
    </w:p>
    <w:p>
      <w:pPr>
        <w:jc w:val="both"/>
        <w:ind w:right="160"/>
        <w:spacing w:after="0" w:line="278" w:lineRule="auto"/>
        <w:rPr>
          <w:sz w:val="20"/>
          <w:szCs w:val="20"/>
          <w:color w:val="auto"/>
        </w:rPr>
      </w:pPr>
      <w:r>
        <w:rPr>
          <w:rFonts w:ascii="Arial" w:cs="Arial" w:eastAsia="Arial" w:hAnsi="Arial"/>
          <w:sz w:val="16"/>
          <w:szCs w:val="16"/>
          <w:color w:val="auto"/>
        </w:rPr>
        <w:t>Deloitte &amp; Touche LLP has been appointed by the Audit Committee as the Company's independent registered public accounting firm for fiscal year 2015. A representative of Deloitte &amp; Touche LLP is expected to be present at the Meeting and will have the opportunity to make a statement if he or she desires to do so and will be available to respond to appropriate questions of stockholders.</w:t>
      </w:r>
    </w:p>
    <w:p>
      <w:pPr>
        <w:spacing w:after="0" w:line="197" w:lineRule="exact"/>
        <w:rPr>
          <w:sz w:val="20"/>
          <w:szCs w:val="20"/>
          <w:color w:val="auto"/>
        </w:rPr>
      </w:pPr>
    </w:p>
    <w:p>
      <w:pPr>
        <w:ind w:right="240"/>
        <w:spacing w:after="0" w:line="326" w:lineRule="auto"/>
        <w:rPr>
          <w:sz w:val="20"/>
          <w:szCs w:val="20"/>
          <w:color w:val="auto"/>
        </w:rPr>
      </w:pPr>
      <w:r>
        <w:rPr>
          <w:rFonts w:ascii="Arial" w:cs="Arial" w:eastAsia="Arial" w:hAnsi="Arial"/>
          <w:sz w:val="15"/>
          <w:szCs w:val="15"/>
          <w:i w:val="1"/>
          <w:iCs w:val="1"/>
          <w:color w:val="auto"/>
        </w:rPr>
        <w:t xml:space="preserve">Principal Accounting Firm Fees. </w:t>
      </w:r>
      <w:r>
        <w:rPr>
          <w:rFonts w:ascii="Arial" w:cs="Arial" w:eastAsia="Arial" w:hAnsi="Arial"/>
          <w:sz w:val="15"/>
          <w:szCs w:val="15"/>
          <w:color w:val="auto"/>
        </w:rPr>
        <w:t>Fees billed to the Company by Deloitte &amp; Touche LLP, the member firms of Deloitte Touche Tohmatsu, and their</w:t>
      </w:r>
      <w:r>
        <w:rPr>
          <w:rFonts w:ascii="Arial" w:cs="Arial" w:eastAsia="Arial" w:hAnsi="Arial"/>
          <w:sz w:val="15"/>
          <w:szCs w:val="15"/>
          <w:i w:val="1"/>
          <w:iCs w:val="1"/>
          <w:color w:val="auto"/>
        </w:rPr>
        <w:t xml:space="preserve"> </w:t>
      </w:r>
      <w:r>
        <w:rPr>
          <w:rFonts w:ascii="Arial" w:cs="Arial" w:eastAsia="Arial" w:hAnsi="Arial"/>
          <w:sz w:val="15"/>
          <w:szCs w:val="15"/>
          <w:color w:val="auto"/>
        </w:rPr>
        <w:t>respective affiliates (collectively, the "Deloitte Entities") for the years ended December 31, 2014 and 2013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jc w:val="right"/>
              <w:ind w:right="60"/>
              <w:spacing w:after="0"/>
              <w:rPr>
                <w:sz w:val="20"/>
                <w:szCs w:val="20"/>
                <w:color w:val="auto"/>
              </w:rPr>
            </w:pPr>
            <w:r>
              <w:rPr>
                <w:rFonts w:ascii="Arial" w:cs="Arial" w:eastAsia="Arial" w:hAnsi="Arial"/>
                <w:sz w:val="16"/>
                <w:szCs w:val="16"/>
                <w:b w:val="1"/>
                <w:bCs w:val="1"/>
                <w:color w:val="auto"/>
              </w:rPr>
              <w:t>Fee</w:t>
            </w:r>
          </w:p>
        </w:tc>
        <w:tc>
          <w:tcPr>
            <w:tcW w:w="940" w:type="dxa"/>
            <w:vAlign w:val="bottom"/>
          </w:tcPr>
          <w:p>
            <w:pPr>
              <w:spacing w:after="0"/>
              <w:rPr>
                <w:sz w:val="17"/>
                <w:szCs w:val="17"/>
                <w:color w:val="auto"/>
              </w:rPr>
            </w:pPr>
          </w:p>
        </w:tc>
      </w:tr>
      <w:tr>
        <w:trPr>
          <w:trHeight w:val="208"/>
        </w:trPr>
        <w:tc>
          <w:tcPr>
            <w:tcW w:w="7260" w:type="dxa"/>
            <w:vAlign w:val="bottom"/>
          </w:tcPr>
          <w:p>
            <w:pPr>
              <w:spacing w:after="0"/>
              <w:rPr>
                <w:sz w:val="18"/>
                <w:szCs w:val="18"/>
                <w:color w:val="auto"/>
              </w:rPr>
            </w:pPr>
          </w:p>
        </w:tc>
        <w:tc>
          <w:tcPr>
            <w:tcW w:w="236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6"/>
                <w:szCs w:val="16"/>
                <w:b w:val="1"/>
                <w:bCs w:val="1"/>
                <w:color w:val="auto"/>
              </w:rPr>
              <w:t>(in thousands)</w:t>
            </w:r>
          </w:p>
        </w:tc>
      </w:tr>
      <w:tr>
        <w:trPr>
          <w:trHeight w:val="195"/>
        </w:trPr>
        <w:tc>
          <w:tcPr>
            <w:tcW w:w="72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Type of Fees</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2014</w:t>
            </w: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2013</w:t>
            </w:r>
          </w:p>
        </w:tc>
      </w:tr>
      <w:tr>
        <w:trPr>
          <w:trHeight w:val="195"/>
        </w:trPr>
        <w:tc>
          <w:tcPr>
            <w:tcW w:w="7260" w:type="dxa"/>
            <w:vAlign w:val="bottom"/>
            <w:shd w:val="clear" w:color="auto" w:fill="E9E9E9"/>
          </w:tcPr>
          <w:p>
            <w:pPr>
              <w:ind w:left="60"/>
              <w:spacing w:after="0"/>
              <w:rPr>
                <w:sz w:val="20"/>
                <w:szCs w:val="20"/>
                <w:color w:val="auto"/>
              </w:rPr>
            </w:pPr>
            <w:r>
              <w:rPr>
                <w:rFonts w:ascii="Arial" w:cs="Arial" w:eastAsia="Arial" w:hAnsi="Arial"/>
                <w:sz w:val="16"/>
                <w:szCs w:val="16"/>
                <w:color w:val="auto"/>
              </w:rPr>
              <w:t>Audit Fees</w:t>
            </w:r>
          </w:p>
        </w:tc>
        <w:tc>
          <w:tcPr>
            <w:tcW w:w="1420" w:type="dxa"/>
            <w:vAlign w:val="bottom"/>
            <w:gridSpan w:val="2"/>
            <w:shd w:val="clear" w:color="auto" w:fill="E9E9E9"/>
          </w:tcPr>
          <w:p>
            <w:pPr>
              <w:jc w:val="right"/>
              <w:ind w:right="200"/>
              <w:spacing w:after="0"/>
              <w:rPr>
                <w:sz w:val="20"/>
                <w:szCs w:val="20"/>
                <w:color w:val="auto"/>
              </w:rPr>
            </w:pPr>
            <w:r>
              <w:rPr>
                <w:rFonts w:ascii="Arial" w:cs="Arial" w:eastAsia="Arial" w:hAnsi="Arial"/>
                <w:sz w:val="16"/>
                <w:szCs w:val="16"/>
                <w:color w:val="auto"/>
              </w:rPr>
              <w:t>$7,700</w:t>
            </w:r>
          </w:p>
        </w:tc>
        <w:tc>
          <w:tcPr>
            <w:tcW w:w="9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$7,800</w:t>
            </w:r>
          </w:p>
        </w:tc>
      </w:tr>
      <w:tr>
        <w:trPr>
          <w:trHeight w:val="203"/>
        </w:trPr>
        <w:tc>
          <w:tcPr>
            <w:tcW w:w="7260" w:type="dxa"/>
            <w:vAlign w:val="bottom"/>
          </w:tcPr>
          <w:p>
            <w:pPr>
              <w:ind w:left="60"/>
              <w:spacing w:after="0"/>
              <w:rPr>
                <w:sz w:val="20"/>
                <w:szCs w:val="20"/>
                <w:color w:val="auto"/>
              </w:rPr>
            </w:pPr>
            <w:r>
              <w:rPr>
                <w:rFonts w:ascii="Arial" w:cs="Arial" w:eastAsia="Arial" w:hAnsi="Arial"/>
                <w:sz w:val="16"/>
                <w:szCs w:val="16"/>
                <w:color w:val="auto"/>
              </w:rPr>
              <w:t>Audit-Related Fees</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$1,700</w:t>
            </w:r>
          </w:p>
        </w:tc>
        <w:tc>
          <w:tcPr>
            <w:tcW w:w="940" w:type="dxa"/>
            <w:vAlign w:val="bottom"/>
          </w:tcPr>
          <w:p>
            <w:pPr>
              <w:jc w:val="right"/>
              <w:spacing w:after="0"/>
              <w:rPr>
                <w:sz w:val="20"/>
                <w:szCs w:val="20"/>
                <w:color w:val="auto"/>
              </w:rPr>
            </w:pPr>
            <w:r>
              <w:rPr>
                <w:rFonts w:ascii="Arial" w:cs="Arial" w:eastAsia="Arial" w:hAnsi="Arial"/>
                <w:sz w:val="16"/>
                <w:szCs w:val="16"/>
                <w:color w:val="auto"/>
              </w:rPr>
              <w:t>$1,900</w:t>
            </w:r>
          </w:p>
        </w:tc>
      </w:tr>
      <w:tr>
        <w:trPr>
          <w:trHeight w:val="203"/>
        </w:trPr>
        <w:tc>
          <w:tcPr>
            <w:tcW w:w="7260" w:type="dxa"/>
            <w:vAlign w:val="bottom"/>
            <w:shd w:val="clear" w:color="auto" w:fill="E9E9E9"/>
          </w:tcPr>
          <w:p>
            <w:pPr>
              <w:ind w:left="60"/>
              <w:spacing w:after="0"/>
              <w:rPr>
                <w:sz w:val="20"/>
                <w:szCs w:val="20"/>
                <w:color w:val="auto"/>
              </w:rPr>
            </w:pPr>
            <w:r>
              <w:rPr>
                <w:rFonts w:ascii="Arial" w:cs="Arial" w:eastAsia="Arial" w:hAnsi="Arial"/>
                <w:sz w:val="16"/>
                <w:szCs w:val="16"/>
                <w:color w:val="auto"/>
              </w:rPr>
              <w:t>Tax Fees</w:t>
            </w:r>
          </w:p>
        </w:tc>
        <w:tc>
          <w:tcPr>
            <w:tcW w:w="1420" w:type="dxa"/>
            <w:vAlign w:val="bottom"/>
            <w:gridSpan w:val="2"/>
            <w:shd w:val="clear" w:color="auto" w:fill="E9E9E9"/>
          </w:tcPr>
          <w:p>
            <w:pPr>
              <w:jc w:val="right"/>
              <w:ind w:right="200"/>
              <w:spacing w:after="0"/>
              <w:rPr>
                <w:sz w:val="20"/>
                <w:szCs w:val="20"/>
                <w:color w:val="auto"/>
              </w:rPr>
            </w:pPr>
            <w:r>
              <w:rPr>
                <w:rFonts w:ascii="Arial" w:cs="Arial" w:eastAsia="Arial" w:hAnsi="Arial"/>
                <w:sz w:val="16"/>
                <w:szCs w:val="16"/>
                <w:color w:val="auto"/>
              </w:rPr>
              <w:t>$3,200</w:t>
            </w:r>
          </w:p>
        </w:tc>
        <w:tc>
          <w:tcPr>
            <w:tcW w:w="9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$3,900</w:t>
            </w:r>
          </w:p>
        </w:tc>
      </w:tr>
      <w:tr>
        <w:trPr>
          <w:trHeight w:val="203"/>
        </w:trPr>
        <w:tc>
          <w:tcPr>
            <w:tcW w:w="72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All Other Fees</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75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r>
    </w:tbl>
    <w:p>
      <w:pPr>
        <w:spacing w:after="0" w:line="226" w:lineRule="exact"/>
        <w:rPr>
          <w:sz w:val="20"/>
          <w:szCs w:val="20"/>
          <w:color w:val="auto"/>
        </w:rPr>
      </w:pPr>
    </w:p>
    <w:p>
      <w:pPr>
        <w:jc w:val="both"/>
        <w:ind w:right="80"/>
        <w:spacing w:after="0" w:line="304" w:lineRule="auto"/>
        <w:rPr>
          <w:sz w:val="20"/>
          <w:szCs w:val="20"/>
          <w:color w:val="auto"/>
        </w:rPr>
      </w:pPr>
      <w:r>
        <w:rPr>
          <w:rFonts w:ascii="Arial" w:cs="Arial" w:eastAsia="Arial" w:hAnsi="Arial"/>
          <w:sz w:val="15"/>
          <w:szCs w:val="15"/>
          <w:i w:val="1"/>
          <w:iCs w:val="1"/>
          <w:color w:val="auto"/>
        </w:rPr>
        <w:t xml:space="preserve">Audit Fees. </w:t>
      </w:r>
      <w:r>
        <w:rPr>
          <w:rFonts w:ascii="Arial" w:cs="Arial" w:eastAsia="Arial" w:hAnsi="Arial"/>
          <w:sz w:val="15"/>
          <w:szCs w:val="15"/>
          <w:color w:val="auto"/>
        </w:rPr>
        <w:t>The aggregate audit fees primarily relate to the audit of the Company's annual consolidated financial statements for the fiscal years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2014 and 2013 and for the reviews of the consolidated condensed financial statements included in the Company's Quarterly Reports on Form 10-Q and for other attest services, including services related to regulatory and statutory filings and financings.</w:t>
      </w:r>
    </w:p>
    <w:p>
      <w:pPr>
        <w:spacing w:after="0" w:line="181"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The aggregate audit-related fees for 2014 and 2013 primarily relate to services in connection with due diligence pertaining to</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transactions or investments and audits of employee benefit plans.</w:t>
      </w:r>
    </w:p>
    <w:p>
      <w:pPr>
        <w:spacing w:after="0" w:line="199" w:lineRule="exact"/>
        <w:rPr>
          <w:sz w:val="20"/>
          <w:szCs w:val="20"/>
          <w:color w:val="auto"/>
        </w:rPr>
      </w:pPr>
    </w:p>
    <w:p>
      <w:pPr>
        <w:ind w:right="220"/>
        <w:spacing w:after="0" w:line="326" w:lineRule="auto"/>
        <w:rPr>
          <w:sz w:val="20"/>
          <w:szCs w:val="20"/>
          <w:color w:val="auto"/>
        </w:rPr>
      </w:pPr>
      <w:r>
        <w:rPr>
          <w:rFonts w:ascii="Arial" w:cs="Arial" w:eastAsia="Arial" w:hAnsi="Arial"/>
          <w:sz w:val="15"/>
          <w:szCs w:val="15"/>
          <w:i w:val="1"/>
          <w:iCs w:val="1"/>
          <w:color w:val="auto"/>
        </w:rPr>
        <w:t xml:space="preserve">Tax Fees. </w:t>
      </w:r>
      <w:r>
        <w:rPr>
          <w:rFonts w:ascii="Arial" w:cs="Arial" w:eastAsia="Arial" w:hAnsi="Arial"/>
          <w:sz w:val="15"/>
          <w:szCs w:val="15"/>
          <w:color w:val="auto"/>
        </w:rPr>
        <w:t>The aggregate fees billed for tax services for the fiscal years ended December 31, 2014 and 2013 relate to tax compliance, tax advice and</w:t>
      </w:r>
      <w:r>
        <w:rPr>
          <w:rFonts w:ascii="Arial" w:cs="Arial" w:eastAsia="Arial" w:hAnsi="Arial"/>
          <w:sz w:val="15"/>
          <w:szCs w:val="15"/>
          <w:i w:val="1"/>
          <w:iCs w:val="1"/>
          <w:color w:val="auto"/>
        </w:rPr>
        <w:t xml:space="preserve"> </w:t>
      </w:r>
      <w:r>
        <w:rPr>
          <w:rFonts w:ascii="Arial" w:cs="Arial" w:eastAsia="Arial" w:hAnsi="Arial"/>
          <w:sz w:val="15"/>
          <w:szCs w:val="15"/>
          <w:color w:val="auto"/>
        </w:rPr>
        <w:t>tax planning. For the fiscal year ended December 31, 2014, approximately $2.2 million of such fees related to tax compliance and</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620"/>
          </w:cols>
          <w:pgMar w:left="1380" w:top="438" w:right="899" w:bottom="1440" w:gutter="0" w:footer="0" w:header="0"/>
        </w:sectPr>
      </w:pPr>
    </w:p>
    <w:bookmarkStart w:id="51" w:name="page52"/>
    <w:bookmarkEnd w:id="51"/>
    <w:p>
      <w:pPr>
        <w:ind w:right="120"/>
        <w:spacing w:after="0" w:line="291" w:lineRule="auto"/>
        <w:rPr>
          <w:sz w:val="20"/>
          <w:szCs w:val="20"/>
          <w:color w:val="auto"/>
        </w:rPr>
      </w:pPr>
      <w:r>
        <w:rPr>
          <w:rFonts w:ascii="Arial" w:cs="Arial" w:eastAsia="Arial" w:hAnsi="Arial"/>
          <w:sz w:val="16"/>
          <w:szCs w:val="16"/>
          <w:color w:val="auto"/>
        </w:rPr>
        <w:t>approximately $1.0 million related to tax advice and tax planning. For the fiscal year ended December 31, 2013, approximately $2.9 million of such fees related to tax compliance and approximately $1.0 million related to tax advice and tax planning.</w:t>
      </w:r>
    </w:p>
    <w:p>
      <w:pPr>
        <w:spacing w:after="0" w:line="19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i w:val="1"/>
          <w:iCs w:val="1"/>
          <w:color w:val="auto"/>
        </w:rPr>
        <w:t xml:space="preserve">All Other Fees. </w:t>
      </w:r>
      <w:r>
        <w:rPr>
          <w:rFonts w:ascii="Arial" w:cs="Arial" w:eastAsia="Arial" w:hAnsi="Arial"/>
          <w:sz w:val="16"/>
          <w:szCs w:val="16"/>
          <w:color w:val="auto"/>
        </w:rPr>
        <w:t>Other fees for 2014 primarily relate to fees billed for services in connection with readiness assistance for the adoption of the COSO</w:t>
      </w:r>
      <w:r>
        <w:rPr>
          <w:rFonts w:ascii="Arial" w:cs="Arial" w:eastAsia="Arial" w:hAnsi="Arial"/>
          <w:sz w:val="16"/>
          <w:szCs w:val="16"/>
          <w:i w:val="1"/>
          <w:iCs w:val="1"/>
          <w:color w:val="auto"/>
        </w:rPr>
        <w:t xml:space="preserve"> </w:t>
      </w:r>
      <w:r>
        <w:rPr>
          <w:rFonts w:ascii="Arial" w:cs="Arial" w:eastAsia="Arial" w:hAnsi="Arial"/>
          <w:sz w:val="16"/>
          <w:szCs w:val="16"/>
          <w:color w:val="auto"/>
        </w:rPr>
        <w:t>2013 Framework. There were no other fees for the fiscal year ended December 31, 2013.</w:t>
      </w:r>
    </w:p>
    <w:p>
      <w:pPr>
        <w:spacing w:after="0" w:line="187"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Approximately $700,000 and $1.4 million of tax fees for 2014 and 2013, respectively, were related to the separation of our company in 2006. The Company was reimbursed for virtually all of such costs by two former subsidiaries of the Company.</w:t>
      </w:r>
    </w:p>
    <w:p>
      <w:pPr>
        <w:spacing w:after="0" w:line="187" w:lineRule="exact"/>
        <w:rPr>
          <w:sz w:val="20"/>
          <w:szCs w:val="20"/>
          <w:color w:val="auto"/>
        </w:rPr>
      </w:pPr>
    </w:p>
    <w:p>
      <w:pPr>
        <w:ind w:right="340"/>
        <w:spacing w:after="0" w:line="271" w:lineRule="auto"/>
        <w:rPr>
          <w:sz w:val="20"/>
          <w:szCs w:val="20"/>
          <w:color w:val="auto"/>
        </w:rPr>
      </w:pPr>
      <w:r>
        <w:rPr>
          <w:rFonts w:ascii="Arial" w:cs="Arial" w:eastAsia="Arial" w:hAnsi="Arial"/>
          <w:sz w:val="16"/>
          <w:szCs w:val="16"/>
          <w:color w:val="auto"/>
        </w:rPr>
        <w:t>The Audit Committee considered the non-audit services provided by the Deloitte Entities and determined that the provision of such services was compatible with maintaining the Deloitte Entities' independence. The Audit Committee has also adopted a policy prohibiting the Company from hiring the Deloitte Entities' personnel who have been directly involved in performing auditing procedures or providing accounting advice to the Company within a specified period of time in any role in which such person would be in a position to influence the contents of the Company's consolidated financial statements.</w:t>
      </w:r>
    </w:p>
    <w:p>
      <w:pPr>
        <w:spacing w:after="0" w:line="216"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The Company's Audit Committee is responsible for appointing the Company's independent registered public accounting firm and approving the terms of the independent registered public accounting firm's services. The Audit Committee has established a policy for the pre-approval of all audit and permissible non-audit services to be provided by the independent registered public accounting firm, as described below.</w:t>
      </w:r>
    </w:p>
    <w:p>
      <w:pPr>
        <w:spacing w:after="0" w:line="181" w:lineRule="exact"/>
        <w:rPr>
          <w:sz w:val="20"/>
          <w:szCs w:val="20"/>
          <w:color w:val="auto"/>
        </w:rPr>
      </w:pPr>
    </w:p>
    <w:p>
      <w:pPr>
        <w:ind w:right="80"/>
        <w:spacing w:after="0" w:line="293" w:lineRule="auto"/>
        <w:rPr>
          <w:sz w:val="20"/>
          <w:szCs w:val="20"/>
          <w:color w:val="auto"/>
        </w:rPr>
      </w:pPr>
      <w:r>
        <w:rPr>
          <w:rFonts w:ascii="Arial" w:cs="Arial" w:eastAsia="Arial" w:hAnsi="Arial"/>
          <w:sz w:val="15"/>
          <w:szCs w:val="15"/>
          <w:color w:val="auto"/>
        </w:rPr>
        <w:t>All services performed by the independent registered public accounting firm in 2014 were pre-approved in accordance with the pre-approval policy and procedures adopted by the Audit Committee. This policy describes the permitted audit, audit-related, tax and other services (collectively, the "Disclosure Categories") that the independent registered public accounting firm may perform. The policy requires that prior to the beginning of each fiscal year, a description of the services (the "Service List") anticipated to be performed by the independent registered public accounting firm in each of the Disclosure Categories in the ensuing fiscal year be presented to the Audit Committee for approval.</w:t>
      </w:r>
    </w:p>
    <w:p>
      <w:pPr>
        <w:spacing w:after="0" w:line="190" w:lineRule="exact"/>
        <w:rPr>
          <w:sz w:val="20"/>
          <w:szCs w:val="20"/>
          <w:color w:val="auto"/>
        </w:rPr>
      </w:pPr>
    </w:p>
    <w:p>
      <w:pPr>
        <w:ind w:right="80"/>
        <w:spacing w:after="0" w:line="293" w:lineRule="auto"/>
        <w:rPr>
          <w:sz w:val="20"/>
          <w:szCs w:val="20"/>
          <w:color w:val="auto"/>
        </w:rPr>
      </w:pPr>
      <w:r>
        <w:rPr>
          <w:rFonts w:ascii="Arial" w:cs="Arial" w:eastAsia="Arial" w:hAnsi="Arial"/>
          <w:sz w:val="15"/>
          <w:szCs w:val="15"/>
          <w:color w:val="auto"/>
        </w:rPr>
        <w:t>Any requests for audit, audit-related, tax and other services not contemplated by the Service List must be submitted to the Audit Committee for specific pre-approval, except for de minimis amounts under certain circumstances as described below, and cannot commence until such approval has been granted. Normally, pre-approval is provided at regularly scheduled meetings of the Audit Committee. However, the authority to grant specific pre-approval between meetings, as necessary, has been delegated to the Chairman of the Audit Committee. The Chairman will update the full Audit Committee no later than the next regularly scheduled meeting for any interim approvals granted.</w:t>
      </w:r>
    </w:p>
    <w:p>
      <w:pPr>
        <w:spacing w:after="0" w:line="20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On a quarterly basis, the Audit Committee reviews the status of services and fees incurred year-to-date as compared to the original Service List and the forecast of remaining services and fees for the fiscal year.</w:t>
      </w:r>
    </w:p>
    <w:p>
      <w:pPr>
        <w:spacing w:after="0" w:line="187" w:lineRule="exact"/>
        <w:rPr>
          <w:sz w:val="20"/>
          <w:szCs w:val="20"/>
          <w:color w:val="auto"/>
        </w:rPr>
      </w:pPr>
    </w:p>
    <w:p>
      <w:pPr>
        <w:ind w:right="860"/>
        <w:spacing w:after="0" w:line="326" w:lineRule="auto"/>
        <w:rPr>
          <w:sz w:val="20"/>
          <w:szCs w:val="20"/>
          <w:color w:val="auto"/>
        </w:rPr>
      </w:pPr>
      <w:r>
        <w:rPr>
          <w:rFonts w:ascii="Arial" w:cs="Arial" w:eastAsia="Arial" w:hAnsi="Arial"/>
          <w:sz w:val="15"/>
          <w:szCs w:val="15"/>
          <w:color w:val="auto"/>
        </w:rPr>
        <w:t>The policy contains a de minimis provision that operates to provide retroactive approval for permissible non-audit services under certain circumstances. No services were provided by the Deloitte Entities during 2014 and 2013 under such provision.</w:t>
      </w:r>
    </w:p>
    <w:p>
      <w:pPr>
        <w:spacing w:after="0" w:line="165" w:lineRule="exact"/>
        <w:rPr>
          <w:sz w:val="20"/>
          <w:szCs w:val="20"/>
          <w:color w:val="auto"/>
        </w:rPr>
      </w:pPr>
    </w:p>
    <w:p>
      <w:pPr>
        <w:ind w:right="300"/>
        <w:spacing w:after="0" w:line="278" w:lineRule="auto"/>
        <w:rPr>
          <w:sz w:val="20"/>
          <w:szCs w:val="20"/>
          <w:color w:val="auto"/>
        </w:rPr>
      </w:pPr>
      <w:r>
        <w:rPr>
          <w:rFonts w:ascii="Arial" w:cs="Arial" w:eastAsia="Arial" w:hAnsi="Arial"/>
          <w:sz w:val="16"/>
          <w:szCs w:val="16"/>
          <w:color w:val="auto"/>
        </w:rPr>
        <w:t>Although not required by the Company's by-laws or otherwise, the Board of Directors is submitting for stockholder ratification the selection of Deloitte &amp; Touche LLP as the Company's independent registered public accounting firm. If the selection is not ratified, the Audit Committee will consider whether it is appropriate to select another independent registered public accounting firm.</w:t>
      </w:r>
    </w:p>
    <w:p>
      <w:pPr>
        <w:spacing w:after="0" w:line="205" w:lineRule="exact"/>
        <w:rPr>
          <w:sz w:val="20"/>
          <w:szCs w:val="20"/>
          <w:color w:val="auto"/>
        </w:rPr>
      </w:pPr>
    </w:p>
    <w:p>
      <w:pPr>
        <w:jc w:val="center"/>
        <w:ind w:left="1440" w:right="1700"/>
        <w:spacing w:after="0" w:line="275" w:lineRule="auto"/>
        <w:rPr>
          <w:sz w:val="20"/>
          <w:szCs w:val="20"/>
          <w:color w:val="auto"/>
        </w:rPr>
      </w:pPr>
      <w:r>
        <w:rPr>
          <w:rFonts w:ascii="Arial" w:cs="Arial" w:eastAsia="Arial" w:hAnsi="Arial"/>
          <w:sz w:val="16"/>
          <w:szCs w:val="16"/>
          <w:b w:val="1"/>
          <w:bCs w:val="1"/>
          <w:color w:val="auto"/>
        </w:rPr>
        <w:t>THE BOARD OF DIRECTORS RECOMMENDS A VOTE "FOR" THE RATIFICATION OF DELOITTE &amp; TOUCHE LLP AS THE COMPANY'S INDEPENDENT REGISTERED PUBLIC ACCOUNTING FIRM FOR FISCAL YEAR 2015.</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560"/>
          </w:cols>
          <w:pgMar w:left="1380" w:top="438" w:right="95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color w:val="auto"/>
        </w:rPr>
        <w:t>PROPOSAL NO. 3</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ADVISORY APPROVAL OF EXECUTIVE COMPENSATION</w:t>
      </w:r>
    </w:p>
    <w:p>
      <w:pPr>
        <w:spacing w:after="0" w:line="250" w:lineRule="exact"/>
        <w:rPr>
          <w:sz w:val="20"/>
          <w:szCs w:val="20"/>
          <w:color w:val="auto"/>
        </w:rPr>
      </w:pPr>
    </w:p>
    <w:p>
      <w:pPr>
        <w:ind w:right="760"/>
        <w:spacing w:after="0" w:line="291" w:lineRule="auto"/>
        <w:rPr>
          <w:sz w:val="20"/>
          <w:szCs w:val="20"/>
          <w:color w:val="auto"/>
        </w:rPr>
      </w:pPr>
      <w:r>
        <w:rPr>
          <w:rFonts w:ascii="Arial" w:cs="Arial" w:eastAsia="Arial" w:hAnsi="Arial"/>
          <w:sz w:val="16"/>
          <w:szCs w:val="16"/>
          <w:color w:val="auto"/>
        </w:rPr>
        <w:t>As required by Section 14A of the Exchange Act, the Company is asking its stockholders to approve an advisory resolution to approve the compensation of our named executive officers as follows:</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color w:val="auto"/>
        </w:rPr>
        <w:t>"RESOLVED, that the compensation paid to the Company's named executive officers as disclosed pursuant to the compensation rules of the Securities and Exchange Commission, including the Compensation Discussion and Analysis, the compensation tables and any related material disclosed in this proxy statement, is hereby APPROVED."</w:t>
      </w:r>
    </w:p>
    <w:p>
      <w:pPr>
        <w:spacing w:after="0" w:line="209" w:lineRule="exact"/>
        <w:rPr>
          <w:sz w:val="20"/>
          <w:szCs w:val="20"/>
          <w:color w:val="auto"/>
        </w:rPr>
      </w:pPr>
    </w:p>
    <w:p>
      <w:pPr>
        <w:ind w:right="480"/>
        <w:spacing w:after="0" w:line="291" w:lineRule="auto"/>
        <w:rPr>
          <w:sz w:val="20"/>
          <w:szCs w:val="20"/>
          <w:color w:val="auto"/>
        </w:rPr>
      </w:pPr>
      <w:r>
        <w:rPr>
          <w:rFonts w:ascii="Arial" w:cs="Arial" w:eastAsia="Arial" w:hAnsi="Arial"/>
          <w:sz w:val="16"/>
          <w:szCs w:val="16"/>
          <w:color w:val="auto"/>
        </w:rPr>
        <w:t>This vote is not intended to address any specific item of compensation, but rather the overall compensation of our named executive officers, as described in this proxy statement.</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5"/>
          <w:szCs w:val="15"/>
          <w:color w:val="auto"/>
        </w:rPr>
        <w:t>This vote is advisory and therefore, it will not be binding on the Company, the Compensation Committee or our Board of Directors, nor will it overrule any prior decision or require the Board or the Compensation Committee to take any action. However, the Compensation Committee and our Board of Directors value the opinions of our stockholders and to the extent there is any significant vote against the named executive officer compensation as disclosed in this proxy statement, the Compensation Committee and our Board of Directors will consider stockholders' concerns and the Compensation Committee will evaluate whether any actions are necessary to address those concerns.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BOARD OF DIRECTORS RECOMMENDS A VOTE "FOR" THE</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APPROVAL OF THE RESOLUTION SET FORTH ABOVE.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580"/>
          </w:cols>
          <w:pgMar w:left="1380" w:top="434" w:right="93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t>Stockholder Proposals for 2016 Annual Meeting</w:t>
      </w:r>
    </w:p>
    <w:p>
      <w:pPr>
        <w:spacing w:after="0" w:line="258" w:lineRule="exact"/>
        <w:rPr>
          <w:sz w:val="20"/>
          <w:szCs w:val="20"/>
          <w:color w:val="auto"/>
        </w:rPr>
      </w:pPr>
    </w:p>
    <w:p>
      <w:pPr>
        <w:ind w:right="180"/>
        <w:spacing w:after="0" w:line="303" w:lineRule="auto"/>
        <w:rPr>
          <w:sz w:val="20"/>
          <w:szCs w:val="20"/>
          <w:color w:val="auto"/>
        </w:rPr>
      </w:pPr>
      <w:r>
        <w:rPr>
          <w:rFonts w:ascii="Arial" w:cs="Arial" w:eastAsia="Arial" w:hAnsi="Arial"/>
          <w:sz w:val="14"/>
          <w:szCs w:val="14"/>
          <w:color w:val="auto"/>
        </w:rPr>
        <w:t>Proposals received from stockholders are given careful consideration by the Company in accordance with Rule 14a-8 under the Exchange Act. Stockholder proposals are eligible for consideration for inclusion in the proxy statement for the 2016 annual meeting of stockholders if they are received by the Company on or before December 1, 2015. Any proposal should be directed to the attention of the Corporate Secretary, Avis Budget Group, Inc., 6 Sylvan Way, Parsippany, N.J. 07054. In order for a stockholder proposal submitted outside of Rule 14a-8 to be considered "timely" within the meaning of Rule 14a-4(c), such proposal must be received by the Company not later than the last date for submission of stockholder proposals under the Company's by-laws. In order for a proposal to be "timely" under the Company's by-laws, it must be received not less than sixty</w:t>
      </w:r>
    </w:p>
    <w:p>
      <w:pPr>
        <w:ind w:right="20" w:firstLine="3"/>
        <w:spacing w:after="0" w:line="293" w:lineRule="auto"/>
        <w:tabs>
          <w:tab w:leader="none" w:pos="305" w:val="left"/>
        </w:tabs>
        <w:numPr>
          <w:ilvl w:val="0"/>
          <w:numId w:val="56"/>
        </w:numPr>
        <w:rPr>
          <w:rFonts w:ascii="Arial" w:cs="Arial" w:eastAsia="Arial" w:hAnsi="Arial"/>
          <w:sz w:val="15"/>
          <w:szCs w:val="15"/>
          <w:color w:val="auto"/>
        </w:rPr>
      </w:pPr>
      <w:r>
        <w:rPr>
          <w:rFonts w:ascii="Arial" w:cs="Arial" w:eastAsia="Arial" w:hAnsi="Arial"/>
          <w:sz w:val="15"/>
          <w:szCs w:val="15"/>
          <w:color w:val="auto"/>
        </w:rPr>
        <w:t>days (i.e., March 20, 2016) nor more than ninety (90) days (i.e., February 19, 2016) before the anniversary date of the immediately preceding annual meeting of stockholders; provided, however, in the event that the annual meeting of stockholders is called for on a date that is not within twenty-five (25) days before or after such anniversary date, notice by the stockholder in order to be timely must be so received not later than the close of business on the tenth (10th) day following the day on which such notice of the date of the annual meeting of stockholders was mailed or such public disclosure of the date of the annual meeting of stockholders was made, whichever occurs first.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w:t>
      </w:r>
    </w:p>
    <w:p>
      <w:pPr>
        <w:spacing w:after="0" w:line="246"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i w:val="1"/>
          <w:iCs w:val="1"/>
          <w:color w:val="auto"/>
        </w:rPr>
        <w:t xml:space="preserve">Eliminating Duplicate Mailings. </w:t>
      </w:r>
      <w:r>
        <w:rPr>
          <w:rFonts w:ascii="Arial" w:cs="Arial" w:eastAsia="Arial" w:hAnsi="Arial"/>
          <w:sz w:val="16"/>
          <w:szCs w:val="16"/>
          <w:color w:val="auto"/>
        </w:rPr>
        <w:t>If you share an address with other stockholders of the Company, you may receive notification that you are being sent</w:t>
      </w:r>
      <w:r>
        <w:rPr>
          <w:rFonts w:ascii="Arial" w:cs="Arial" w:eastAsia="Arial" w:hAnsi="Arial"/>
          <w:sz w:val="16"/>
          <w:szCs w:val="16"/>
          <w:i w:val="1"/>
          <w:iCs w:val="1"/>
          <w:color w:val="auto"/>
        </w:rPr>
        <w:t xml:space="preserve"> </w:t>
      </w:r>
      <w:r>
        <w:rPr>
          <w:rFonts w:ascii="Arial" w:cs="Arial" w:eastAsia="Arial" w:hAnsi="Arial"/>
          <w:sz w:val="16"/>
          <w:szCs w:val="16"/>
          <w:color w:val="auto"/>
        </w:rPr>
        <w:t>only a single copy of proxy materials (including a copy of the proxy statement and the 2014 Annual Report) or a single Notice, as applicable, unless your bank, broker or other intermediary that provides the notification receives contrary instructions from the affected stockholders. This practice, permitted under SEC rules and commonly referred to as "householding," is designed to provide extra convenience for stockholders and potential cost savings for companies.</w:t>
      </w:r>
    </w:p>
    <w:p>
      <w:pPr>
        <w:spacing w:after="0" w:line="216"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If, at any time, you no longer wish to participate in householding and would prefer to receive a separate set of proxy materials, or the Notice, as applicable, please notify your broker if your shares of Common Stock are held in a brokerage account or the Company if you hold registered shares of Common Stock. You can notify the Company by sending a written request to Avis Budget Group, Inc., 6 Sylvan Way, Parsippany, N.J. 07054, Attention: Corporate Secretary or by calling (973) 496-4700 and selecting the "Investor Relations" option.</w:t>
      </w:r>
    </w:p>
    <w:p>
      <w:pPr>
        <w:spacing w:after="0" w:line="186" w:lineRule="exact"/>
        <w:rPr>
          <w:sz w:val="20"/>
          <w:szCs w:val="20"/>
          <w:color w:val="auto"/>
        </w:rPr>
      </w:pPr>
    </w:p>
    <w:p>
      <w:pPr>
        <w:ind w:right="40"/>
        <w:spacing w:after="0" w:line="315" w:lineRule="auto"/>
        <w:rPr>
          <w:sz w:val="20"/>
          <w:szCs w:val="20"/>
          <w:color w:val="auto"/>
        </w:rPr>
      </w:pPr>
      <w:r>
        <w:rPr>
          <w:rFonts w:ascii="Arial" w:cs="Arial" w:eastAsia="Arial" w:hAnsi="Arial"/>
          <w:sz w:val="14"/>
          <w:szCs w:val="14"/>
          <w:i w:val="1"/>
          <w:iCs w:val="1"/>
          <w:color w:val="auto"/>
        </w:rPr>
        <w:t xml:space="preserve">Solicitation of Proxies. </w:t>
      </w:r>
      <w:r>
        <w:rPr>
          <w:rFonts w:ascii="Arial" w:cs="Arial" w:eastAsia="Arial" w:hAnsi="Arial"/>
          <w:sz w:val="14"/>
          <w:szCs w:val="14"/>
          <w:color w:val="auto"/>
        </w:rPr>
        <w:t>The accompanying form of proxy is being solicited on behalf of the Board of Directors of the Company. The expenses of</w:t>
      </w:r>
      <w:r>
        <w:rPr>
          <w:rFonts w:ascii="Arial" w:cs="Arial" w:eastAsia="Arial" w:hAnsi="Arial"/>
          <w:sz w:val="14"/>
          <w:szCs w:val="14"/>
          <w:i w:val="1"/>
          <w:iCs w:val="1"/>
          <w:color w:val="auto"/>
        </w:rPr>
        <w:t xml:space="preserve"> </w:t>
      </w:r>
      <w:r>
        <w:rPr>
          <w:rFonts w:ascii="Arial" w:cs="Arial" w:eastAsia="Arial" w:hAnsi="Arial"/>
          <w:sz w:val="14"/>
          <w:szCs w:val="14"/>
          <w:color w:val="auto"/>
        </w:rPr>
        <w:t>solicitation of proxies for the Meeting will be paid by the Company. In addition to the mailing of the proxy material, such solicitation may be made in person or by telephone by directors, officers and employees of the Company, who will receive no additional compensation therefor. Upon request, the Company will reimburse brokers, dealers, banks and trustees, or their nominees, for reasonable expenses incurred by them in forwarding material to beneficial owners of shares of Common Stock. The Company has hired D.F. King to aid in the solicitation of proxies. It is estimated that the fee for D.F. King will be approximately $9,500 plus reasonable out-of-pocket costs and expenses. Such fee will be paid by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JEAN M. SERA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Corporate Secretary</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Dated: March 24, 2015</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70485</wp:posOffset>
            </wp:positionV>
            <wp:extent cx="6850380" cy="35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0380" cy="35560"/>
                    </a:xfrm>
                    <a:prstGeom prst="rect">
                      <a:avLst/>
                    </a:prstGeom>
                    <a:noFill/>
                  </pic:spPr>
                </pic:pic>
              </a:graphicData>
            </a:graphic>
          </wp:anchor>
        </w:drawing>
      </w:r>
    </w:p>
    <w:p>
      <w:pPr>
        <w:sectPr>
          <w:pgSz w:w="11900" w:h="16838" w:orient="portrait"/>
          <w:cols w:equalWidth="0" w:num="1">
            <w:col w:w="9580"/>
          </w:cols>
          <w:pgMar w:left="1380" w:top="438" w:right="939" w:bottom="1440" w:gutter="0" w:footer="0" w:header="0"/>
        </w:sectPr>
      </w:pPr>
    </w:p>
    <w:bookmarkStart w:id="54" w:name="page55"/>
    <w:bookmarkEnd w:id="54"/>
    <w:p>
      <w:pPr>
        <w:ind w:left="7704"/>
        <w:spacing w:after="0"/>
        <w:rPr>
          <w:sz w:val="20"/>
          <w:szCs w:val="20"/>
          <w:color w:val="auto"/>
        </w:rPr>
      </w:pPr>
      <w:r>
        <w:rPr>
          <w:rFonts w:ascii="Arial" w:cs="Arial" w:eastAsia="Arial" w:hAnsi="Arial"/>
          <w:sz w:val="25"/>
          <w:szCs w:val="25"/>
          <w:b w:val="1"/>
          <w:bCs w:val="1"/>
          <w:color w:val="auto"/>
        </w:rPr>
        <w:t>Admission Ticket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429260</wp:posOffset>
            </wp:positionV>
            <wp:extent cx="1818640" cy="164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18640" cy="1644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-38100</wp:posOffset>
            </wp:positionV>
            <wp:extent cx="2238375" cy="3492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38375" cy="34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84"/>
        <w:spacing w:after="0"/>
        <w:rPr>
          <w:sz w:val="20"/>
          <w:szCs w:val="20"/>
          <w:color w:val="auto"/>
        </w:rPr>
      </w:pPr>
      <w:r>
        <w:rPr>
          <w:rFonts w:ascii="Arial" w:cs="Arial" w:eastAsia="Arial" w:hAnsi="Arial"/>
          <w:sz w:val="12"/>
          <w:szCs w:val="12"/>
          <w:b w:val="1"/>
          <w:bCs w:val="1"/>
          <w:i w:val="1"/>
          <w:iCs w:val="1"/>
          <w:color w:val="auto"/>
        </w:rPr>
        <w:t>IMPORTANT ANNUAL MEETING INFORMATION</w:t>
      </w:r>
    </w:p>
    <w:p>
      <w:pPr>
        <w:spacing w:after="0" w:line="208" w:lineRule="exact"/>
        <w:rPr>
          <w:sz w:val="20"/>
          <w:szCs w:val="20"/>
          <w:color w:val="auto"/>
        </w:rPr>
      </w:pPr>
    </w:p>
    <w:p>
      <w:pPr>
        <w:ind w:left="7704"/>
        <w:spacing w:after="0"/>
        <w:rPr>
          <w:sz w:val="20"/>
          <w:szCs w:val="20"/>
          <w:color w:val="auto"/>
        </w:rPr>
      </w:pPr>
      <w:r>
        <w:rPr>
          <w:rFonts w:ascii="Arial" w:cs="Arial" w:eastAsia="Arial" w:hAnsi="Arial"/>
          <w:sz w:val="16"/>
          <w:szCs w:val="16"/>
          <w:b w:val="1"/>
          <w:bCs w:val="1"/>
          <w:color w:val="auto"/>
        </w:rPr>
        <w:t>Electronic Voting Instructions</w:t>
      </w:r>
    </w:p>
    <w:p>
      <w:pPr>
        <w:spacing w:after="0" w:line="127" w:lineRule="exact"/>
        <w:rPr>
          <w:sz w:val="20"/>
          <w:szCs w:val="20"/>
          <w:color w:val="auto"/>
        </w:rPr>
      </w:pPr>
    </w:p>
    <w:p>
      <w:pPr>
        <w:ind w:left="7704"/>
        <w:spacing w:after="0"/>
        <w:rPr>
          <w:sz w:val="20"/>
          <w:szCs w:val="20"/>
          <w:color w:val="auto"/>
        </w:rPr>
      </w:pPr>
      <w:r>
        <w:rPr>
          <w:rFonts w:ascii="Arial" w:cs="Arial" w:eastAsia="Arial" w:hAnsi="Arial"/>
          <w:sz w:val="12"/>
          <w:szCs w:val="12"/>
          <w:b w:val="1"/>
          <w:bCs w:val="1"/>
          <w:color w:val="auto"/>
        </w:rPr>
        <w:t>Available 24 hours a day, 7 days a week!</w:t>
      </w:r>
    </w:p>
    <w:p>
      <w:pPr>
        <w:spacing w:after="0" w:line="192" w:lineRule="exact"/>
        <w:rPr>
          <w:sz w:val="20"/>
          <w:szCs w:val="20"/>
          <w:color w:val="auto"/>
        </w:rPr>
      </w:pPr>
    </w:p>
    <w:p>
      <w:pPr>
        <w:ind w:left="7704"/>
        <w:spacing w:after="0"/>
        <w:rPr>
          <w:sz w:val="20"/>
          <w:szCs w:val="20"/>
          <w:color w:val="auto"/>
        </w:rPr>
      </w:pPr>
      <w:r>
        <w:rPr>
          <w:rFonts w:ascii="Arial" w:cs="Arial" w:eastAsia="Arial" w:hAnsi="Arial"/>
          <w:sz w:val="12"/>
          <w:szCs w:val="12"/>
          <w:color w:val="auto"/>
        </w:rPr>
        <w:t>Instead of mailing your proxy, you may choose one of the voting</w:t>
      </w:r>
    </w:p>
    <w:p>
      <w:pPr>
        <w:ind w:left="7704"/>
        <w:spacing w:after="0"/>
        <w:rPr>
          <w:sz w:val="20"/>
          <w:szCs w:val="20"/>
          <w:color w:val="auto"/>
        </w:rPr>
      </w:pPr>
      <w:r>
        <w:rPr>
          <w:rFonts w:ascii="Arial" w:cs="Arial" w:eastAsia="Arial" w:hAnsi="Arial"/>
          <w:sz w:val="12"/>
          <w:szCs w:val="12"/>
          <w:color w:val="auto"/>
        </w:rPr>
        <w:t>methods outlined below to vote your proxy.</w:t>
      </w:r>
    </w:p>
    <w:p>
      <w:pPr>
        <w:spacing w:after="0" w:line="125" w:lineRule="exact"/>
        <w:rPr>
          <w:sz w:val="20"/>
          <w:szCs w:val="20"/>
          <w:color w:val="auto"/>
        </w:rPr>
      </w:pPr>
    </w:p>
    <w:p>
      <w:pPr>
        <w:ind w:left="7704"/>
        <w:spacing w:after="0"/>
        <w:rPr>
          <w:sz w:val="20"/>
          <w:szCs w:val="20"/>
          <w:color w:val="auto"/>
        </w:rPr>
      </w:pPr>
      <w:r>
        <w:rPr>
          <w:rFonts w:ascii="Arial" w:cs="Arial" w:eastAsia="Arial" w:hAnsi="Arial"/>
          <w:sz w:val="12"/>
          <w:szCs w:val="12"/>
          <w:color w:val="auto"/>
        </w:rPr>
        <w:t>VALIDATION DETAILS ARE LOCATED BELOW IN THE TITLE BAR.</w:t>
      </w:r>
    </w:p>
    <w:p>
      <w:pPr>
        <w:spacing w:after="0" w:line="111" w:lineRule="exact"/>
        <w:rPr>
          <w:sz w:val="20"/>
          <w:szCs w:val="20"/>
          <w:color w:val="auto"/>
        </w:rPr>
      </w:pPr>
    </w:p>
    <w:p>
      <w:pPr>
        <w:ind w:left="7704"/>
        <w:spacing w:after="0"/>
        <w:rPr>
          <w:sz w:val="20"/>
          <w:szCs w:val="20"/>
          <w:color w:val="auto"/>
        </w:rPr>
      </w:pPr>
      <w:r>
        <w:rPr>
          <w:rFonts w:ascii="Arial" w:cs="Arial" w:eastAsia="Arial" w:hAnsi="Arial"/>
          <w:sz w:val="12"/>
          <w:szCs w:val="12"/>
          <w:b w:val="1"/>
          <w:bCs w:val="1"/>
          <w:color w:val="auto"/>
        </w:rPr>
        <w:t>Proxies submitted by the Internet or telephone must be received</w:t>
      </w:r>
    </w:p>
    <w:p>
      <w:pPr>
        <w:spacing w:after="0" w:line="7" w:lineRule="exact"/>
        <w:rPr>
          <w:sz w:val="20"/>
          <w:szCs w:val="20"/>
          <w:color w:val="auto"/>
        </w:rPr>
      </w:pPr>
    </w:p>
    <w:p>
      <w:pPr>
        <w:ind w:left="7704"/>
        <w:spacing w:after="0"/>
        <w:rPr>
          <w:sz w:val="20"/>
          <w:szCs w:val="20"/>
          <w:color w:val="auto"/>
        </w:rPr>
      </w:pPr>
      <w:r>
        <w:rPr>
          <w:rFonts w:ascii="Arial" w:cs="Arial" w:eastAsia="Arial" w:hAnsi="Arial"/>
          <w:sz w:val="12"/>
          <w:szCs w:val="12"/>
          <w:b w:val="1"/>
          <w:bCs w:val="1"/>
          <w:color w:val="auto"/>
        </w:rPr>
        <w:t>by 11:59 p.m., Eastern Time, on May 18, 2015.</w:t>
      </w:r>
    </w:p>
    <w:p>
      <w:pPr>
        <w:spacing w:after="0" w:line="110" w:lineRule="exact"/>
        <w:rPr>
          <w:sz w:val="20"/>
          <w:szCs w:val="20"/>
          <w:color w:val="auto"/>
        </w:rPr>
      </w:pPr>
    </w:p>
    <w:p>
      <w:pPr>
        <w:ind w:left="8804"/>
        <w:spacing w:after="0"/>
        <w:rPr>
          <w:sz w:val="20"/>
          <w:szCs w:val="20"/>
          <w:color w:val="auto"/>
        </w:rPr>
      </w:pPr>
      <w:r>
        <w:rPr>
          <w:rFonts w:ascii="Arial" w:cs="Arial" w:eastAsia="Arial" w:hAnsi="Arial"/>
          <w:sz w:val="16"/>
          <w:szCs w:val="16"/>
          <w:b w:val="1"/>
          <w:bCs w:val="1"/>
          <w:color w:val="auto"/>
        </w:rPr>
        <w:t>Vote by Internet</w:t>
      </w:r>
    </w:p>
    <w:p>
      <w:pPr>
        <w:spacing w:after="0" w:line="56" w:lineRule="exact"/>
        <w:rPr>
          <w:sz w:val="20"/>
          <w:szCs w:val="20"/>
          <w:color w:val="auto"/>
        </w:rPr>
      </w:pPr>
    </w:p>
    <w:p>
      <w:pPr>
        <w:ind w:left="8804"/>
        <w:spacing w:after="0"/>
        <w:tabs>
          <w:tab w:leader="none" w:pos="8964"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 xml:space="preserve">Go to </w:t>
      </w:r>
      <w:r>
        <w:rPr>
          <w:rFonts w:ascii="Arial" w:cs="Arial" w:eastAsia="Arial" w:hAnsi="Arial"/>
          <w:sz w:val="11"/>
          <w:szCs w:val="11"/>
          <w:b w:val="1"/>
          <w:bCs w:val="1"/>
          <w:color w:val="auto"/>
        </w:rPr>
        <w:t>www.envisionreports.com/CAR</w:t>
      </w:r>
    </w:p>
    <w:p>
      <w:pPr>
        <w:spacing w:after="0" w:line="83" w:lineRule="exact"/>
        <w:rPr>
          <w:sz w:val="20"/>
          <w:szCs w:val="20"/>
          <w:color w:val="auto"/>
        </w:rPr>
      </w:pPr>
    </w:p>
    <w:p>
      <w:pPr>
        <w:ind w:left="8804"/>
        <w:spacing w:after="0"/>
        <w:tabs>
          <w:tab w:leader="none" w:pos="8964"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Or scan the QR code with your smartphone</w:t>
      </w:r>
    </w:p>
    <w:p>
      <w:pPr>
        <w:spacing w:after="0" w:line="77" w:lineRule="exact"/>
        <w:rPr>
          <w:sz w:val="20"/>
          <w:szCs w:val="20"/>
          <w:color w:val="auto"/>
        </w:rPr>
      </w:pPr>
    </w:p>
    <w:p>
      <w:pPr>
        <w:ind w:left="8804"/>
        <w:spacing w:after="0"/>
        <w:tabs>
          <w:tab w:leader="none" w:pos="8964"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Follow the steps outlined on the secure website</w:t>
      </w:r>
    </w:p>
    <w:p>
      <w:pPr>
        <w:spacing w:after="0" w:line="143" w:lineRule="exact"/>
        <w:rPr>
          <w:sz w:val="20"/>
          <w:szCs w:val="20"/>
          <w:color w:val="auto"/>
        </w:rPr>
      </w:pPr>
    </w:p>
    <w:p>
      <w:pPr>
        <w:ind w:left="7704"/>
        <w:spacing w:after="0"/>
        <w:rPr>
          <w:sz w:val="20"/>
          <w:szCs w:val="20"/>
          <w:color w:val="auto"/>
        </w:rPr>
      </w:pPr>
      <w:r>
        <w:rPr>
          <w:rFonts w:ascii="Arial" w:cs="Arial" w:eastAsia="Arial" w:hAnsi="Arial"/>
          <w:sz w:val="16"/>
          <w:szCs w:val="16"/>
          <w:b w:val="1"/>
          <w:bCs w:val="1"/>
          <w:color w:val="auto"/>
        </w:rPr>
        <w:t>Vote by telephone</w:t>
      </w:r>
    </w:p>
    <w:p>
      <w:pPr>
        <w:spacing w:after="0" w:line="3" w:lineRule="exact"/>
        <w:rPr>
          <w:sz w:val="20"/>
          <w:szCs w:val="20"/>
          <w:color w:val="auto"/>
        </w:rPr>
      </w:pPr>
    </w:p>
    <w:p>
      <w:pPr>
        <w:ind w:left="7724"/>
        <w:spacing w:after="0"/>
        <w:tabs>
          <w:tab w:leader="none" w:pos="7964"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Call  toll  free  1-800-652-VOTE  (8683)  within  the  USA, US</w:t>
      </w:r>
    </w:p>
    <w:p>
      <w:pPr>
        <w:ind w:left="7944"/>
        <w:spacing w:after="0" w:line="228" w:lineRule="auto"/>
        <w:rPr>
          <w:sz w:val="20"/>
          <w:szCs w:val="20"/>
          <w:color w:val="auto"/>
        </w:rPr>
      </w:pPr>
      <w:r>
        <w:rPr>
          <w:rFonts w:ascii="Arial" w:cs="Arial" w:eastAsia="Arial" w:hAnsi="Arial"/>
          <w:sz w:val="12"/>
          <w:szCs w:val="12"/>
          <w:color w:val="auto"/>
        </w:rPr>
        <w:t>territories &amp; Canada on a touch tone telephone</w:t>
      </w:r>
    </w:p>
    <w:p>
      <w:pPr>
        <w:ind w:left="7724"/>
        <w:spacing w:after="0"/>
        <w:rPr>
          <w:sz w:val="20"/>
          <w:szCs w:val="20"/>
          <w:color w:val="auto"/>
        </w:rPr>
      </w:pPr>
      <w:r>
        <w:rPr>
          <w:rFonts w:ascii="Arial" w:cs="Arial" w:eastAsia="Arial" w:hAnsi="Arial"/>
          <w:sz w:val="12"/>
          <w:szCs w:val="12"/>
          <w:color w:val="auto"/>
        </w:rPr>
        <w:t>●  Follow the instructions provided by the recorded message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3004820</wp:posOffset>
            </wp:positionH>
            <wp:positionV relativeFrom="paragraph">
              <wp:posOffset>254000</wp:posOffset>
            </wp:positionV>
            <wp:extent cx="257810" cy="2349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7810" cy="23495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4" w:right="6920"/>
        <w:spacing w:after="0" w:line="305" w:lineRule="auto"/>
        <w:rPr>
          <w:sz w:val="20"/>
          <w:szCs w:val="20"/>
          <w:color w:val="auto"/>
        </w:rPr>
      </w:pPr>
      <w:r>
        <w:rPr>
          <w:rFonts w:ascii="Arial" w:cs="Arial" w:eastAsia="Arial" w:hAnsi="Arial"/>
          <w:sz w:val="12"/>
          <w:szCs w:val="12"/>
          <w:color w:val="auto"/>
        </w:rPr>
        <w:t xml:space="preserve">Using a </w:t>
      </w:r>
      <w:r>
        <w:rPr>
          <w:rFonts w:ascii="Arial" w:cs="Arial" w:eastAsia="Arial" w:hAnsi="Arial"/>
          <w:sz w:val="12"/>
          <w:szCs w:val="12"/>
          <w:b w:val="1"/>
          <w:bCs w:val="1"/>
          <w:u w:val="single" w:color="auto"/>
          <w:color w:val="auto"/>
        </w:rPr>
        <w:t>black ink</w:t>
      </w:r>
      <w:r>
        <w:rPr>
          <w:rFonts w:ascii="Arial" w:cs="Arial" w:eastAsia="Arial" w:hAnsi="Arial"/>
          <w:sz w:val="12"/>
          <w:szCs w:val="12"/>
          <w:color w:val="auto"/>
        </w:rPr>
        <w:t xml:space="preserve"> pen, mark your votes with an </w:t>
      </w:r>
      <w:r>
        <w:rPr>
          <w:rFonts w:ascii="Arial" w:cs="Arial" w:eastAsia="Arial" w:hAnsi="Arial"/>
          <w:sz w:val="12"/>
          <w:szCs w:val="12"/>
          <w:b w:val="1"/>
          <w:bCs w:val="1"/>
          <w:color w:val="auto"/>
        </w:rPr>
        <w:t>X</w:t>
      </w:r>
      <w:r>
        <w:rPr>
          <w:rFonts w:ascii="Arial" w:cs="Arial" w:eastAsia="Arial" w:hAnsi="Arial"/>
          <w:sz w:val="12"/>
          <w:szCs w:val="12"/>
          <w:color w:val="auto"/>
        </w:rPr>
        <w:t xml:space="preserve"> as shown in this example. Please do not write outside the designated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7262495" cy="3416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2495" cy="341630"/>
                    </a:xfrm>
                    <a:prstGeom prst="rect">
                      <a:avLst/>
                    </a:prstGeom>
                    <a:noFill/>
                  </pic:spPr>
                </pic:pic>
              </a:graphicData>
            </a:graphic>
          </wp:anchor>
        </w:drawing>
      </w:r>
    </w:p>
    <w:p>
      <w:pPr>
        <w:spacing w:after="0" w:line="195" w:lineRule="exact"/>
        <w:rPr>
          <w:sz w:val="20"/>
          <w:szCs w:val="20"/>
          <w:color w:val="auto"/>
        </w:rPr>
      </w:pPr>
    </w:p>
    <w:p>
      <w:pPr>
        <w:ind w:left="4"/>
        <w:spacing w:after="0"/>
        <w:rPr>
          <w:sz w:val="20"/>
          <w:szCs w:val="20"/>
          <w:color w:val="auto"/>
        </w:rPr>
      </w:pPr>
      <w:r>
        <w:rPr>
          <w:rFonts w:ascii="Arial" w:cs="Arial" w:eastAsia="Arial" w:hAnsi="Arial"/>
          <w:sz w:val="22"/>
          <w:szCs w:val="22"/>
          <w:color w:val="auto"/>
        </w:rPr>
        <w:t>Annual Meeting Proxy Card</w:t>
      </w:r>
    </w:p>
    <w:p>
      <w:pPr>
        <w:spacing w:after="0" w:line="161" w:lineRule="exact"/>
        <w:rPr>
          <w:sz w:val="20"/>
          <w:szCs w:val="20"/>
          <w:color w:val="auto"/>
        </w:rPr>
      </w:pPr>
    </w:p>
    <w:p>
      <w:pPr>
        <w:jc w:val="center"/>
        <w:ind w:right="56"/>
        <w:spacing w:after="0"/>
        <w:rPr>
          <w:sz w:val="20"/>
          <w:szCs w:val="20"/>
          <w:color w:val="auto"/>
        </w:rPr>
      </w:pPr>
      <w:r>
        <w:rPr>
          <w:rFonts w:ascii="Arial" w:cs="Arial" w:eastAsia="Arial" w:hAnsi="Arial"/>
          <w:sz w:val="12"/>
          <w:szCs w:val="12"/>
          <w:b w:val="1"/>
          <w:bCs w:val="1"/>
          <w:color w:val="auto"/>
        </w:rPr>
        <w:t xml:space="preserve">IF YOU HAVE NOT VOTED VIA THE INTERNET </w:t>
      </w:r>
      <w:r>
        <w:rPr>
          <w:rFonts w:ascii="Arial" w:cs="Arial" w:eastAsia="Arial" w:hAnsi="Arial"/>
          <w:sz w:val="12"/>
          <w:szCs w:val="12"/>
          <w:b w:val="1"/>
          <w:bCs w:val="1"/>
          <w:u w:val="single" w:color="auto"/>
          <w:color w:val="auto"/>
        </w:rPr>
        <w:t>OR</w:t>
      </w:r>
      <w:r>
        <w:rPr>
          <w:rFonts w:ascii="Arial" w:cs="Arial" w:eastAsia="Arial" w:hAnsi="Arial"/>
          <w:sz w:val="12"/>
          <w:szCs w:val="12"/>
          <w:b w:val="1"/>
          <w:bCs w:val="1"/>
          <w:color w:val="auto"/>
        </w:rPr>
        <w:t xml:space="preserve"> TELEPHONE, FOLD ALONG THE PERFORATION, DETACH AND RETURN THE BOTTOM PORTION IN THE ENCLOSED ENVELOPE.</w:t>
      </w:r>
    </w:p>
    <w:p>
      <w:pPr>
        <w:spacing w:after="0" w:line="183" w:lineRule="exact"/>
        <w:rPr>
          <w:sz w:val="20"/>
          <w:szCs w:val="20"/>
          <w:color w:val="auto"/>
        </w:rPr>
      </w:pPr>
    </w:p>
    <w:p>
      <w:pPr>
        <w:ind w:left="1164" w:right="1300" w:hanging="1125"/>
        <w:spacing w:after="0" w:line="258" w:lineRule="auto"/>
        <w:tabs>
          <w:tab w:leader="none" w:pos="280" w:val="left"/>
        </w:tabs>
        <w:numPr>
          <w:ilvl w:val="0"/>
          <w:numId w:val="57"/>
        </w:numPr>
        <w:rPr>
          <w:rFonts w:ascii="Arial" w:cs="Arial" w:eastAsia="Arial" w:hAnsi="Arial"/>
          <w:sz w:val="16"/>
          <w:szCs w:val="16"/>
          <w:b w:val="1"/>
          <w:bCs w:val="1"/>
          <w:color w:val="FFFFFF"/>
        </w:rPr>
      </w:pPr>
      <w:r>
        <w:rPr>
          <w:rFonts w:ascii="Arial" w:cs="Arial" w:eastAsia="Arial" w:hAnsi="Arial"/>
          <w:sz w:val="14"/>
          <w:szCs w:val="14"/>
          <w:b w:val="1"/>
          <w:bCs w:val="1"/>
          <w:color w:val="auto"/>
        </w:rPr>
        <w:t>Proposals —The Board of Directors unanimously recommends a vote “FOR” Items 1 – 3. This proxy will be voted as directed, or, if no direction is indicated, will be voted “FOR” Items 1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-224790</wp:posOffset>
            </wp:positionV>
            <wp:extent cx="121285" cy="1136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1285" cy="113665"/>
                    </a:xfrm>
                    <a:prstGeom prst="rect">
                      <a:avLst/>
                    </a:prstGeom>
                    <a:noFill/>
                  </pic:spPr>
                </pic:pic>
              </a:graphicData>
            </a:graphic>
          </wp:anchor>
        </w:drawing>
      </w:r>
    </w:p>
    <w:p>
      <w:pPr>
        <w:sectPr>
          <w:pgSz w:w="11900" w:h="16838" w:orient="portrait"/>
          <w:cols w:equalWidth="0" w:num="1">
            <w:col w:w="11504"/>
          </w:cols>
          <w:pgMar w:left="236" w:top="319" w:right="159" w:bottom="1440" w:gutter="0" w:footer="0" w:header="0"/>
        </w:sectPr>
      </w:pPr>
    </w:p>
    <w:p>
      <w:pPr>
        <w:spacing w:after="0" w:line="33" w:lineRule="exact"/>
        <w:rPr>
          <w:sz w:val="20"/>
          <w:szCs w:val="20"/>
          <w:color w:val="auto"/>
        </w:rPr>
      </w:pPr>
    </w:p>
    <w:tbl>
      <w:tblPr>
        <w:tblLayout w:type="fixed"/>
        <w:tblInd w:w="4" w:type="dxa"/>
        <w:tblCellMar>
          <w:top w:w="0" w:type="dxa"/>
          <w:left w:w="0" w:type="dxa"/>
          <w:bottom w:w="0" w:type="dxa"/>
          <w:right w:w="0" w:type="dxa"/>
        </w:tblCellMar>
      </w:tblPr>
      <w:tr>
        <w:trPr>
          <w:trHeight w:val="138"/>
        </w:trPr>
        <w:tc>
          <w:tcPr>
            <w:tcW w:w="1860" w:type="dxa"/>
            <w:vAlign w:val="bottom"/>
            <w:gridSpan w:val="2"/>
          </w:tcPr>
          <w:p>
            <w:pPr>
              <w:spacing w:after="0"/>
              <w:rPr>
                <w:sz w:val="20"/>
                <w:szCs w:val="20"/>
                <w:color w:val="auto"/>
              </w:rPr>
            </w:pPr>
            <w:r>
              <w:rPr>
                <w:rFonts w:ascii="Arial" w:cs="Arial" w:eastAsia="Arial" w:hAnsi="Arial"/>
                <w:sz w:val="12"/>
                <w:szCs w:val="12"/>
                <w:color w:val="auto"/>
              </w:rPr>
              <w:t>1.  Election of Directors:</w:t>
            </w:r>
          </w:p>
        </w:tc>
        <w:tc>
          <w:tcPr>
            <w:tcW w:w="1240" w:type="dxa"/>
            <w:vAlign w:val="bottom"/>
          </w:tcPr>
          <w:p>
            <w:pPr>
              <w:ind w:left="340"/>
              <w:spacing w:after="0"/>
              <w:rPr>
                <w:sz w:val="20"/>
                <w:szCs w:val="20"/>
                <w:color w:val="auto"/>
              </w:rPr>
            </w:pPr>
            <w:r>
              <w:rPr>
                <w:rFonts w:ascii="Arial" w:cs="Arial" w:eastAsia="Arial" w:hAnsi="Arial"/>
                <w:sz w:val="12"/>
                <w:szCs w:val="12"/>
                <w:b w:val="1"/>
                <w:bCs w:val="1"/>
                <w:color w:val="auto"/>
              </w:rPr>
              <w:t>For   Against</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9"/>
              </w:rPr>
              <w:t>Abstain</w:t>
            </w:r>
          </w:p>
        </w:tc>
        <w:tc>
          <w:tcPr>
            <w:tcW w:w="0" w:type="dxa"/>
            <w:vAlign w:val="bottom"/>
          </w:tcPr>
          <w:p>
            <w:pPr>
              <w:spacing w:after="0"/>
              <w:rPr>
                <w:sz w:val="1"/>
                <w:szCs w:val="1"/>
                <w:color w:val="auto"/>
              </w:rPr>
            </w:pPr>
          </w:p>
        </w:tc>
      </w:tr>
      <w:tr>
        <w:trPr>
          <w:trHeight w:val="239"/>
        </w:trPr>
        <w:tc>
          <w:tcPr>
            <w:tcW w:w="360" w:type="dxa"/>
            <w:vAlign w:val="bottom"/>
            <w:vMerge w:val="restart"/>
          </w:tcPr>
          <w:p>
            <w:pPr>
              <w:ind w:left="180"/>
              <w:spacing w:after="0"/>
              <w:rPr>
                <w:sz w:val="20"/>
                <w:szCs w:val="20"/>
                <w:color w:val="auto"/>
              </w:rPr>
            </w:pPr>
            <w:r>
              <w:rPr>
                <w:rFonts w:ascii="Arial" w:cs="Arial" w:eastAsia="Arial" w:hAnsi="Arial"/>
                <w:sz w:val="12"/>
                <w:szCs w:val="12"/>
                <w:color w:val="auto"/>
                <w:w w:val="95"/>
              </w:rPr>
              <w:t>1.1</w:t>
            </w:r>
          </w:p>
        </w:tc>
        <w:tc>
          <w:tcPr>
            <w:tcW w:w="1500" w:type="dxa"/>
            <w:vAlign w:val="bottom"/>
            <w:vMerge w:val="restart"/>
          </w:tcPr>
          <w:p>
            <w:pPr>
              <w:ind w:left="20"/>
              <w:spacing w:after="0"/>
              <w:rPr>
                <w:sz w:val="20"/>
                <w:szCs w:val="20"/>
                <w:color w:val="auto"/>
              </w:rPr>
            </w:pPr>
            <w:r>
              <w:rPr>
                <w:rFonts w:ascii="Arial" w:cs="Arial" w:eastAsia="Arial" w:hAnsi="Arial"/>
                <w:sz w:val="12"/>
                <w:szCs w:val="12"/>
                <w:color w:val="auto"/>
              </w:rPr>
              <w:t>Ronald L. Nelson</w:t>
            </w:r>
          </w:p>
        </w:tc>
        <w:tc>
          <w:tcPr>
            <w:tcW w:w="1240" w:type="dxa"/>
            <w:vAlign w:val="bottom"/>
          </w:tcPr>
          <w:p>
            <w:pPr>
              <w:ind w:left="320"/>
              <w:spacing w:after="0" w:line="239" w:lineRule="exact"/>
              <w:rPr>
                <w:sz w:val="20"/>
                <w:szCs w:val="20"/>
                <w:color w:val="auto"/>
              </w:rPr>
            </w:pPr>
            <w:r>
              <w:rPr>
                <w:rFonts w:ascii="MS PGothic" w:cs="MS PGothic" w:eastAsia="MS PGothic" w:hAnsi="MS PGothic"/>
                <w:sz w:val="29"/>
                <w:szCs w:val="29"/>
                <w:color w:val="auto"/>
              </w:rPr>
              <w:t>☐ ☐</w:t>
            </w:r>
          </w:p>
        </w:tc>
        <w:tc>
          <w:tcPr>
            <w:tcW w:w="520" w:type="dxa"/>
            <w:vAlign w:val="bottom"/>
          </w:tcPr>
          <w:p>
            <w:pPr>
              <w:jc w:val="center"/>
              <w:spacing w:after="0" w:line="239"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36"/>
        </w:trPr>
        <w:tc>
          <w:tcPr>
            <w:tcW w:w="36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1240" w:type="dxa"/>
            <w:vAlign w:val="bottom"/>
            <w:vMerge w:val="restart"/>
          </w:tcPr>
          <w:p>
            <w:pPr>
              <w:ind w:left="320"/>
              <w:spacing w:after="0" w:line="291" w:lineRule="exact"/>
              <w:rPr>
                <w:sz w:val="20"/>
                <w:szCs w:val="20"/>
                <w:color w:val="auto"/>
              </w:rPr>
            </w:pPr>
            <w:r>
              <w:rPr>
                <w:rFonts w:ascii="MS PGothic" w:cs="MS PGothic" w:eastAsia="MS PGothic" w:hAnsi="MS PGothic"/>
                <w:sz w:val="29"/>
                <w:szCs w:val="29"/>
                <w:color w:val="auto"/>
              </w:rPr>
              <w:t>☐ ☐</w:t>
            </w:r>
          </w:p>
        </w:tc>
        <w:tc>
          <w:tcPr>
            <w:tcW w:w="52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line="20" w:lineRule="exact"/>
              <w:rPr>
                <w:sz w:val="1"/>
                <w:szCs w:val="1"/>
                <w:color w:val="auto"/>
              </w:rPr>
            </w:pPr>
          </w:p>
        </w:tc>
      </w:tr>
      <w:tr>
        <w:trPr>
          <w:trHeight w:val="299"/>
        </w:trPr>
        <w:tc>
          <w:tcPr>
            <w:tcW w:w="360" w:type="dxa"/>
            <w:vAlign w:val="bottom"/>
            <w:vMerge w:val="restart"/>
          </w:tcPr>
          <w:p>
            <w:pPr>
              <w:ind w:left="180"/>
              <w:spacing w:after="0"/>
              <w:rPr>
                <w:sz w:val="20"/>
                <w:szCs w:val="20"/>
                <w:color w:val="auto"/>
              </w:rPr>
            </w:pPr>
            <w:r>
              <w:rPr>
                <w:rFonts w:ascii="Arial" w:cs="Arial" w:eastAsia="Arial" w:hAnsi="Arial"/>
                <w:sz w:val="12"/>
                <w:szCs w:val="12"/>
                <w:color w:val="auto"/>
                <w:w w:val="95"/>
              </w:rPr>
              <w:t>1.4</w:t>
            </w:r>
          </w:p>
        </w:tc>
        <w:tc>
          <w:tcPr>
            <w:tcW w:w="1500" w:type="dxa"/>
            <w:vAlign w:val="bottom"/>
            <w:vMerge w:val="restart"/>
          </w:tcPr>
          <w:p>
            <w:pPr>
              <w:ind w:left="20"/>
              <w:spacing w:after="0"/>
              <w:rPr>
                <w:sz w:val="20"/>
                <w:szCs w:val="20"/>
                <w:color w:val="auto"/>
              </w:rPr>
            </w:pPr>
            <w:r>
              <w:rPr>
                <w:rFonts w:ascii="Arial" w:cs="Arial" w:eastAsia="Arial" w:hAnsi="Arial"/>
                <w:sz w:val="12"/>
                <w:szCs w:val="12"/>
                <w:color w:val="auto"/>
              </w:rPr>
              <w:t>Leonard S. Coleman</w:t>
            </w:r>
          </w:p>
        </w:tc>
        <w:tc>
          <w:tcPr>
            <w:tcW w:w="1240" w:type="dxa"/>
            <w:vAlign w:val="bottom"/>
            <w:vMerge w:val="continue"/>
          </w:tcPr>
          <w:p>
            <w:pPr>
              <w:spacing w:after="0"/>
              <w:rPr>
                <w:sz w:val="24"/>
                <w:szCs w:val="24"/>
                <w:color w:val="auto"/>
              </w:rPr>
            </w:pP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36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1240" w:type="dxa"/>
            <w:vAlign w:val="bottom"/>
            <w:vMerge w:val="restart"/>
          </w:tcPr>
          <w:p>
            <w:pPr>
              <w:ind w:left="320"/>
              <w:spacing w:after="0" w:line="291" w:lineRule="exact"/>
              <w:rPr>
                <w:sz w:val="20"/>
                <w:szCs w:val="20"/>
                <w:color w:val="auto"/>
              </w:rPr>
            </w:pPr>
            <w:r>
              <w:rPr>
                <w:rFonts w:ascii="MS PGothic" w:cs="MS PGothic" w:eastAsia="MS PGothic" w:hAnsi="MS PGothic"/>
                <w:sz w:val="29"/>
                <w:szCs w:val="29"/>
                <w:color w:val="auto"/>
              </w:rPr>
              <w:t>☐ ☐</w:t>
            </w:r>
          </w:p>
        </w:tc>
        <w:tc>
          <w:tcPr>
            <w:tcW w:w="52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line="20" w:lineRule="exact"/>
              <w:rPr>
                <w:sz w:val="1"/>
                <w:szCs w:val="1"/>
                <w:color w:val="auto"/>
              </w:rPr>
            </w:pPr>
          </w:p>
        </w:tc>
      </w:tr>
      <w:tr>
        <w:trPr>
          <w:trHeight w:val="299"/>
        </w:trPr>
        <w:tc>
          <w:tcPr>
            <w:tcW w:w="360" w:type="dxa"/>
            <w:vAlign w:val="bottom"/>
            <w:vMerge w:val="restart"/>
          </w:tcPr>
          <w:p>
            <w:pPr>
              <w:ind w:left="180"/>
              <w:spacing w:after="0"/>
              <w:rPr>
                <w:sz w:val="20"/>
                <w:szCs w:val="20"/>
                <w:color w:val="auto"/>
              </w:rPr>
            </w:pPr>
            <w:r>
              <w:rPr>
                <w:rFonts w:ascii="Arial" w:cs="Arial" w:eastAsia="Arial" w:hAnsi="Arial"/>
                <w:sz w:val="12"/>
                <w:szCs w:val="12"/>
                <w:color w:val="auto"/>
                <w:w w:val="95"/>
              </w:rPr>
              <w:t>1.7</w:t>
            </w:r>
          </w:p>
        </w:tc>
        <w:tc>
          <w:tcPr>
            <w:tcW w:w="1500" w:type="dxa"/>
            <w:vAlign w:val="bottom"/>
            <w:vMerge w:val="restart"/>
          </w:tcPr>
          <w:p>
            <w:pPr>
              <w:ind w:left="20"/>
              <w:spacing w:after="0"/>
              <w:rPr>
                <w:sz w:val="20"/>
                <w:szCs w:val="20"/>
                <w:color w:val="auto"/>
              </w:rPr>
            </w:pPr>
            <w:r>
              <w:rPr>
                <w:rFonts w:ascii="Arial" w:cs="Arial" w:eastAsia="Arial" w:hAnsi="Arial"/>
                <w:sz w:val="12"/>
                <w:szCs w:val="12"/>
                <w:color w:val="auto"/>
              </w:rPr>
              <w:t>Lynn Krominga</w:t>
            </w:r>
          </w:p>
        </w:tc>
        <w:tc>
          <w:tcPr>
            <w:tcW w:w="1240" w:type="dxa"/>
            <w:vAlign w:val="bottom"/>
            <w:vMerge w:val="continue"/>
          </w:tcPr>
          <w:p>
            <w:pPr>
              <w:spacing w:after="0"/>
              <w:rPr>
                <w:sz w:val="24"/>
                <w:szCs w:val="24"/>
                <w:color w:val="auto"/>
              </w:rPr>
            </w:pP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36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1240" w:type="dxa"/>
            <w:vAlign w:val="bottom"/>
            <w:vMerge w:val="restart"/>
          </w:tcPr>
          <w:p>
            <w:pPr>
              <w:ind w:left="320"/>
              <w:spacing w:after="0" w:line="291" w:lineRule="exact"/>
              <w:rPr>
                <w:sz w:val="20"/>
                <w:szCs w:val="20"/>
                <w:color w:val="auto"/>
              </w:rPr>
            </w:pPr>
            <w:r>
              <w:rPr>
                <w:rFonts w:ascii="MS PGothic" w:cs="MS PGothic" w:eastAsia="MS PGothic" w:hAnsi="MS PGothic"/>
                <w:sz w:val="29"/>
                <w:szCs w:val="29"/>
                <w:color w:val="auto"/>
              </w:rPr>
              <w:t>☐ ☐</w:t>
            </w:r>
          </w:p>
        </w:tc>
        <w:tc>
          <w:tcPr>
            <w:tcW w:w="52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line="20" w:lineRule="exact"/>
              <w:rPr>
                <w:sz w:val="1"/>
                <w:szCs w:val="1"/>
                <w:color w:val="auto"/>
              </w:rPr>
            </w:pPr>
          </w:p>
        </w:tc>
      </w:tr>
      <w:tr>
        <w:trPr>
          <w:trHeight w:val="299"/>
        </w:trPr>
        <w:tc>
          <w:tcPr>
            <w:tcW w:w="1860" w:type="dxa"/>
            <w:vAlign w:val="bottom"/>
            <w:gridSpan w:val="2"/>
            <w:vMerge w:val="restart"/>
          </w:tcPr>
          <w:p>
            <w:pPr>
              <w:ind w:left="180"/>
              <w:spacing w:after="0"/>
              <w:rPr>
                <w:sz w:val="20"/>
                <w:szCs w:val="20"/>
                <w:color w:val="auto"/>
              </w:rPr>
            </w:pPr>
            <w:r>
              <w:rPr>
                <w:rFonts w:ascii="Arial" w:cs="Arial" w:eastAsia="Arial" w:hAnsi="Arial"/>
                <w:sz w:val="12"/>
                <w:szCs w:val="12"/>
                <w:color w:val="auto"/>
              </w:rPr>
              <w:t>1.10 Stender E. Sweeney</w:t>
            </w:r>
          </w:p>
        </w:tc>
        <w:tc>
          <w:tcPr>
            <w:tcW w:w="1240" w:type="dxa"/>
            <w:vAlign w:val="bottom"/>
            <w:vMerge w:val="continue"/>
          </w:tcPr>
          <w:p>
            <w:pPr>
              <w:spacing w:after="0"/>
              <w:rPr>
                <w:sz w:val="24"/>
                <w:szCs w:val="24"/>
                <w:color w:val="auto"/>
              </w:rPr>
            </w:pP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1860" w:type="dxa"/>
            <w:vAlign w:val="bottom"/>
            <w:gridSpan w:val="2"/>
            <w:vMerge w:val="continue"/>
          </w:tcPr>
          <w:p>
            <w:pPr>
              <w:spacing w:after="0"/>
              <w:rPr>
                <w:sz w:val="3"/>
                <w:szCs w:val="3"/>
                <w:color w:val="auto"/>
              </w:rPr>
            </w:pPr>
          </w:p>
        </w:tc>
        <w:tc>
          <w:tcPr>
            <w:tcW w:w="1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44" w:hanging="144"/>
        <w:spacing w:after="0" w:line="275" w:lineRule="auto"/>
        <w:tabs>
          <w:tab w:leader="none" w:pos="144" w:val="left"/>
        </w:tabs>
        <w:numPr>
          <w:ilvl w:val="0"/>
          <w:numId w:val="58"/>
        </w:numPr>
        <w:rPr>
          <w:rFonts w:ascii="Arial" w:cs="Arial" w:eastAsia="Arial" w:hAnsi="Arial"/>
          <w:sz w:val="12"/>
          <w:szCs w:val="12"/>
          <w:color w:val="auto"/>
        </w:rPr>
      </w:pPr>
      <w:r>
        <w:rPr>
          <w:rFonts w:ascii="Arial" w:cs="Arial" w:eastAsia="Arial" w:hAnsi="Arial"/>
          <w:sz w:val="12"/>
          <w:szCs w:val="12"/>
          <w:color w:val="auto"/>
        </w:rPr>
        <w:t>To ratify the appointment of Deloitte &amp; Touche LLP as the Company’s independent registered public accounting firm for fiscal year 2015.</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60" w:type="dxa"/>
            <w:vAlign w:val="bottom"/>
          </w:tcPr>
          <w:p>
            <w:pPr>
              <w:ind w:left="240"/>
              <w:spacing w:after="0"/>
              <w:rPr>
                <w:sz w:val="20"/>
                <w:szCs w:val="20"/>
                <w:color w:val="auto"/>
              </w:rPr>
            </w:pPr>
            <w:r>
              <w:rPr>
                <w:rFonts w:ascii="Arial" w:cs="Arial" w:eastAsia="Arial" w:hAnsi="Arial"/>
                <w:sz w:val="12"/>
                <w:szCs w:val="12"/>
                <w:b w:val="1"/>
                <w:bCs w:val="1"/>
                <w:color w:val="auto"/>
              </w:rPr>
              <w:t>For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Against   Abstain</w:t>
            </w:r>
          </w:p>
        </w:tc>
        <w:tc>
          <w:tcPr>
            <w:tcW w:w="1340" w:type="dxa"/>
            <w:vAlign w:val="bottom"/>
          </w:tcPr>
          <w:p>
            <w:pPr>
              <w:spacing w:after="0"/>
              <w:rPr>
                <w:sz w:val="12"/>
                <w:szCs w:val="12"/>
                <w:color w:val="auto"/>
              </w:rPr>
            </w:pPr>
          </w:p>
        </w:tc>
        <w:tc>
          <w:tcPr>
            <w:tcW w:w="1840" w:type="dxa"/>
            <w:vAlign w:val="bottom"/>
            <w:gridSpan w:val="2"/>
          </w:tcPr>
          <w:p>
            <w:pPr>
              <w:ind w:left="400"/>
              <w:spacing w:after="0"/>
              <w:rPr>
                <w:sz w:val="20"/>
                <w:szCs w:val="20"/>
                <w:color w:val="auto"/>
              </w:rPr>
            </w:pPr>
            <w:r>
              <w:rPr>
                <w:rFonts w:ascii="Arial" w:cs="Arial" w:eastAsia="Arial" w:hAnsi="Arial"/>
                <w:sz w:val="12"/>
                <w:szCs w:val="12"/>
                <w:b w:val="1"/>
                <w:bCs w:val="1"/>
                <w:color w:val="auto"/>
              </w:rPr>
              <w:t>For   Against   Abstain</w:t>
            </w:r>
          </w:p>
        </w:tc>
      </w:tr>
      <w:tr>
        <w:trPr>
          <w:trHeight w:val="299"/>
        </w:trPr>
        <w:tc>
          <w:tcPr>
            <w:tcW w:w="180" w:type="dxa"/>
            <w:vAlign w:val="bottom"/>
          </w:tcPr>
          <w:p>
            <w:pPr>
              <w:jc w:val="right"/>
              <w:spacing w:after="0"/>
              <w:rPr>
                <w:sz w:val="20"/>
                <w:szCs w:val="20"/>
                <w:color w:val="auto"/>
              </w:rPr>
            </w:pPr>
            <w:r>
              <w:rPr>
                <w:rFonts w:ascii="Arial" w:cs="Arial" w:eastAsia="Arial" w:hAnsi="Arial"/>
                <w:sz w:val="12"/>
                <w:szCs w:val="12"/>
                <w:color w:val="auto"/>
                <w:w w:val="83"/>
              </w:rPr>
              <w:t>1.2</w:t>
            </w:r>
          </w:p>
        </w:tc>
        <w:tc>
          <w:tcPr>
            <w:tcW w:w="1240" w:type="dxa"/>
            <w:vAlign w:val="bottom"/>
          </w:tcPr>
          <w:p>
            <w:pPr>
              <w:ind w:left="20"/>
              <w:spacing w:after="0"/>
              <w:rPr>
                <w:sz w:val="20"/>
                <w:szCs w:val="20"/>
                <w:color w:val="auto"/>
              </w:rPr>
            </w:pPr>
            <w:r>
              <w:rPr>
                <w:rFonts w:ascii="Arial" w:cs="Arial" w:eastAsia="Arial" w:hAnsi="Arial"/>
                <w:sz w:val="12"/>
                <w:szCs w:val="12"/>
                <w:color w:val="auto"/>
              </w:rPr>
              <w:t>Alun Cathcart</w:t>
            </w:r>
          </w:p>
        </w:tc>
        <w:tc>
          <w:tcPr>
            <w:tcW w:w="560" w:type="dxa"/>
            <w:vAlign w:val="bottom"/>
          </w:tcPr>
          <w:p>
            <w:pPr>
              <w:ind w:left="200"/>
              <w:spacing w:after="0" w:line="291" w:lineRule="exact"/>
              <w:rPr>
                <w:sz w:val="20"/>
                <w:szCs w:val="20"/>
                <w:color w:val="auto"/>
              </w:rPr>
            </w:pPr>
            <w:r>
              <w:rPr>
                <w:rFonts w:ascii="MS PGothic" w:cs="MS PGothic" w:eastAsia="MS PGothic" w:hAnsi="MS PGothic"/>
                <w:sz w:val="29"/>
                <w:szCs w:val="29"/>
                <w:color w:val="auto"/>
              </w:rPr>
              <w:t>☐</w:t>
            </w:r>
          </w:p>
        </w:tc>
        <w:tc>
          <w:tcPr>
            <w:tcW w:w="640" w:type="dxa"/>
            <w:vAlign w:val="bottom"/>
          </w:tcPr>
          <w:p>
            <w:pPr>
              <w:ind w:left="200"/>
              <w:spacing w:after="0" w:line="291" w:lineRule="exact"/>
              <w:rPr>
                <w:sz w:val="20"/>
                <w:szCs w:val="20"/>
                <w:color w:val="auto"/>
              </w:rPr>
            </w:pPr>
            <w:r>
              <w:rPr>
                <w:rFonts w:ascii="MS PGothic" w:cs="MS PGothic" w:eastAsia="MS PGothic" w:hAnsi="MS PGothic"/>
                <w:sz w:val="29"/>
                <w:szCs w:val="29"/>
                <w:color w:val="auto"/>
              </w:rPr>
              <w:t>☐</w:t>
            </w:r>
          </w:p>
        </w:tc>
        <w:tc>
          <w:tcPr>
            <w:tcW w:w="920" w:type="dxa"/>
            <w:vAlign w:val="bottom"/>
            <w:gridSpan w:val="2"/>
          </w:tcPr>
          <w:p>
            <w:pPr>
              <w:jc w:val="right"/>
              <w:spacing w:after="0" w:line="300" w:lineRule="exact"/>
              <w:rPr>
                <w:sz w:val="20"/>
                <w:szCs w:val="20"/>
                <w:color w:val="auto"/>
              </w:rPr>
            </w:pPr>
            <w:r>
              <w:rPr>
                <w:rFonts w:ascii="MS PGothic" w:cs="MS PGothic" w:eastAsia="MS PGothic" w:hAnsi="MS PGothic"/>
                <w:sz w:val="28"/>
                <w:szCs w:val="28"/>
                <w:color w:val="auto"/>
              </w:rPr>
              <w:t>☐</w:t>
            </w:r>
            <w:r>
              <w:rPr>
                <w:rFonts w:ascii="Arial" w:cs="Arial" w:eastAsia="Arial" w:hAnsi="Arial"/>
                <w:sz w:val="12"/>
                <w:szCs w:val="12"/>
                <w:color w:val="auto"/>
              </w:rPr>
              <w:t>1.3</w:t>
            </w:r>
          </w:p>
        </w:tc>
        <w:tc>
          <w:tcPr>
            <w:tcW w:w="1340" w:type="dxa"/>
            <w:vAlign w:val="bottom"/>
          </w:tcPr>
          <w:p>
            <w:pPr>
              <w:spacing w:after="0"/>
              <w:rPr>
                <w:sz w:val="20"/>
                <w:szCs w:val="20"/>
                <w:color w:val="auto"/>
              </w:rPr>
            </w:pPr>
            <w:r>
              <w:rPr>
                <w:rFonts w:ascii="Arial" w:cs="Arial" w:eastAsia="Arial" w:hAnsi="Arial"/>
                <w:sz w:val="12"/>
                <w:szCs w:val="12"/>
                <w:color w:val="auto"/>
              </w:rPr>
              <w:t>Mary C. Choksi</w:t>
            </w:r>
          </w:p>
        </w:tc>
        <w:tc>
          <w:tcPr>
            <w:tcW w:w="1300" w:type="dxa"/>
            <w:vAlign w:val="bottom"/>
          </w:tcPr>
          <w:p>
            <w:pPr>
              <w:ind w:left="360"/>
              <w:spacing w:after="0" w:line="291" w:lineRule="exact"/>
              <w:rPr>
                <w:sz w:val="20"/>
                <w:szCs w:val="20"/>
                <w:color w:val="auto"/>
              </w:rPr>
            </w:pPr>
            <w:r>
              <w:rPr>
                <w:rFonts w:ascii="MS PGothic" w:cs="MS PGothic" w:eastAsia="MS PGothic" w:hAnsi="MS PGothic"/>
                <w:sz w:val="29"/>
                <w:szCs w:val="29"/>
                <w:color w:val="auto"/>
              </w:rPr>
              <w:t>☐ ☐</w:t>
            </w:r>
          </w:p>
        </w:tc>
        <w:tc>
          <w:tcPr>
            <w:tcW w:w="540" w:type="dxa"/>
            <w:vAlign w:val="bottom"/>
          </w:tcPr>
          <w:p>
            <w:pPr>
              <w:ind w:left="180"/>
              <w:spacing w:after="0" w:line="291" w:lineRule="exact"/>
              <w:rPr>
                <w:sz w:val="20"/>
                <w:szCs w:val="20"/>
                <w:color w:val="auto"/>
              </w:rPr>
            </w:pPr>
            <w:r>
              <w:rPr>
                <w:rFonts w:ascii="MS PGothic" w:cs="MS PGothic" w:eastAsia="MS PGothic" w:hAnsi="MS PGothic"/>
                <w:sz w:val="29"/>
                <w:szCs w:val="29"/>
                <w:color w:val="auto"/>
              </w:rPr>
              <w:t>☐</w:t>
            </w:r>
          </w:p>
        </w:tc>
      </w:tr>
      <w:tr>
        <w:trPr>
          <w:trHeight w:val="335"/>
        </w:trPr>
        <w:tc>
          <w:tcPr>
            <w:tcW w:w="180" w:type="dxa"/>
            <w:vAlign w:val="bottom"/>
          </w:tcPr>
          <w:p>
            <w:pPr>
              <w:jc w:val="right"/>
              <w:spacing w:after="0"/>
              <w:rPr>
                <w:sz w:val="20"/>
                <w:szCs w:val="20"/>
                <w:color w:val="auto"/>
              </w:rPr>
            </w:pPr>
            <w:r>
              <w:rPr>
                <w:rFonts w:ascii="Arial" w:cs="Arial" w:eastAsia="Arial" w:hAnsi="Arial"/>
                <w:sz w:val="12"/>
                <w:szCs w:val="12"/>
                <w:color w:val="auto"/>
                <w:w w:val="83"/>
              </w:rPr>
              <w:t>1.5</w:t>
            </w:r>
          </w:p>
        </w:tc>
        <w:tc>
          <w:tcPr>
            <w:tcW w:w="1240" w:type="dxa"/>
            <w:vAlign w:val="bottom"/>
          </w:tcPr>
          <w:p>
            <w:pPr>
              <w:ind w:left="20"/>
              <w:spacing w:after="0"/>
              <w:rPr>
                <w:sz w:val="20"/>
                <w:szCs w:val="20"/>
                <w:color w:val="auto"/>
              </w:rPr>
            </w:pPr>
            <w:r>
              <w:rPr>
                <w:rFonts w:ascii="Arial" w:cs="Arial" w:eastAsia="Arial" w:hAnsi="Arial"/>
                <w:sz w:val="12"/>
                <w:szCs w:val="12"/>
                <w:color w:val="auto"/>
              </w:rPr>
              <w:t>Jeffrey H. Fox</w:t>
            </w:r>
          </w:p>
        </w:tc>
        <w:tc>
          <w:tcPr>
            <w:tcW w:w="560" w:type="dxa"/>
            <w:vAlign w:val="bottom"/>
          </w:tcPr>
          <w:p>
            <w:pPr>
              <w:ind w:left="200"/>
              <w:spacing w:after="0" w:line="291" w:lineRule="exact"/>
              <w:rPr>
                <w:sz w:val="20"/>
                <w:szCs w:val="20"/>
                <w:color w:val="auto"/>
              </w:rPr>
            </w:pPr>
            <w:r>
              <w:rPr>
                <w:rFonts w:ascii="MS PGothic" w:cs="MS PGothic" w:eastAsia="MS PGothic" w:hAnsi="MS PGothic"/>
                <w:sz w:val="29"/>
                <w:szCs w:val="29"/>
                <w:color w:val="auto"/>
              </w:rPr>
              <w:t>☐</w:t>
            </w:r>
          </w:p>
        </w:tc>
        <w:tc>
          <w:tcPr>
            <w:tcW w:w="640" w:type="dxa"/>
            <w:vAlign w:val="bottom"/>
          </w:tcPr>
          <w:p>
            <w:pPr>
              <w:ind w:left="200"/>
              <w:spacing w:after="0" w:line="291" w:lineRule="exact"/>
              <w:rPr>
                <w:sz w:val="20"/>
                <w:szCs w:val="20"/>
                <w:color w:val="auto"/>
              </w:rPr>
            </w:pPr>
            <w:r>
              <w:rPr>
                <w:rFonts w:ascii="MS PGothic" w:cs="MS PGothic" w:eastAsia="MS PGothic" w:hAnsi="MS PGothic"/>
                <w:sz w:val="29"/>
                <w:szCs w:val="29"/>
                <w:color w:val="auto"/>
              </w:rPr>
              <w:t>☐</w:t>
            </w:r>
          </w:p>
        </w:tc>
        <w:tc>
          <w:tcPr>
            <w:tcW w:w="580" w:type="dxa"/>
            <w:vAlign w:val="bottom"/>
          </w:tcPr>
          <w:p>
            <w:pPr>
              <w:ind w:left="200"/>
              <w:spacing w:after="0" w:line="291" w:lineRule="exact"/>
              <w:rPr>
                <w:sz w:val="20"/>
                <w:szCs w:val="20"/>
                <w:color w:val="auto"/>
              </w:rPr>
            </w:pPr>
            <w:r>
              <w:rPr>
                <w:rFonts w:ascii="MS PGothic" w:cs="MS PGothic" w:eastAsia="MS PGothic" w:hAnsi="MS PGothic"/>
                <w:sz w:val="29"/>
                <w:szCs w:val="29"/>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1.6</w:t>
            </w:r>
          </w:p>
        </w:tc>
        <w:tc>
          <w:tcPr>
            <w:tcW w:w="1340" w:type="dxa"/>
            <w:vAlign w:val="bottom"/>
          </w:tcPr>
          <w:p>
            <w:pPr>
              <w:spacing w:after="0"/>
              <w:rPr>
                <w:sz w:val="20"/>
                <w:szCs w:val="20"/>
                <w:color w:val="auto"/>
              </w:rPr>
            </w:pPr>
            <w:r>
              <w:rPr>
                <w:rFonts w:ascii="Arial" w:cs="Arial" w:eastAsia="Arial" w:hAnsi="Arial"/>
                <w:sz w:val="12"/>
                <w:szCs w:val="12"/>
                <w:color w:val="auto"/>
              </w:rPr>
              <w:t>John D. Hardy, Jr.</w:t>
            </w:r>
          </w:p>
        </w:tc>
        <w:tc>
          <w:tcPr>
            <w:tcW w:w="1300" w:type="dxa"/>
            <w:vAlign w:val="bottom"/>
          </w:tcPr>
          <w:p>
            <w:pPr>
              <w:ind w:left="360"/>
              <w:spacing w:after="0" w:line="291" w:lineRule="exact"/>
              <w:rPr>
                <w:sz w:val="20"/>
                <w:szCs w:val="20"/>
                <w:color w:val="auto"/>
              </w:rPr>
            </w:pPr>
            <w:r>
              <w:rPr>
                <w:rFonts w:ascii="MS PGothic" w:cs="MS PGothic" w:eastAsia="MS PGothic" w:hAnsi="MS PGothic"/>
                <w:sz w:val="29"/>
                <w:szCs w:val="29"/>
                <w:color w:val="auto"/>
              </w:rPr>
              <w:t>☐ ☐</w:t>
            </w:r>
          </w:p>
        </w:tc>
        <w:tc>
          <w:tcPr>
            <w:tcW w:w="540" w:type="dxa"/>
            <w:vAlign w:val="bottom"/>
          </w:tcPr>
          <w:p>
            <w:pPr>
              <w:ind w:left="180"/>
              <w:spacing w:after="0" w:line="291" w:lineRule="exact"/>
              <w:rPr>
                <w:sz w:val="20"/>
                <w:szCs w:val="20"/>
                <w:color w:val="auto"/>
              </w:rPr>
            </w:pPr>
            <w:r>
              <w:rPr>
                <w:rFonts w:ascii="MS PGothic" w:cs="MS PGothic" w:eastAsia="MS PGothic" w:hAnsi="MS PGothic"/>
                <w:sz w:val="29"/>
                <w:szCs w:val="29"/>
                <w:color w:val="auto"/>
              </w:rPr>
              <w:t>☐</w:t>
            </w:r>
          </w:p>
        </w:tc>
      </w:tr>
      <w:tr>
        <w:trPr>
          <w:trHeight w:val="452"/>
        </w:trPr>
        <w:tc>
          <w:tcPr>
            <w:tcW w:w="180" w:type="dxa"/>
            <w:vAlign w:val="bottom"/>
          </w:tcPr>
          <w:p>
            <w:pPr>
              <w:jc w:val="right"/>
              <w:spacing w:after="0"/>
              <w:rPr>
                <w:sz w:val="20"/>
                <w:szCs w:val="20"/>
                <w:color w:val="auto"/>
              </w:rPr>
            </w:pPr>
            <w:r>
              <w:rPr>
                <w:rFonts w:ascii="Arial" w:cs="Arial" w:eastAsia="Arial" w:hAnsi="Arial"/>
                <w:sz w:val="12"/>
                <w:szCs w:val="12"/>
                <w:color w:val="auto"/>
                <w:w w:val="83"/>
              </w:rPr>
              <w:t>1.8</w:t>
            </w:r>
          </w:p>
        </w:tc>
        <w:tc>
          <w:tcPr>
            <w:tcW w:w="1240" w:type="dxa"/>
            <w:vAlign w:val="bottom"/>
          </w:tcPr>
          <w:p>
            <w:pPr>
              <w:ind w:left="20"/>
              <w:spacing w:after="0"/>
              <w:rPr>
                <w:sz w:val="20"/>
                <w:szCs w:val="20"/>
                <w:color w:val="auto"/>
              </w:rPr>
            </w:pPr>
            <w:r>
              <w:rPr>
                <w:rFonts w:ascii="Arial" w:cs="Arial" w:eastAsia="Arial" w:hAnsi="Arial"/>
                <w:sz w:val="12"/>
                <w:szCs w:val="12"/>
                <w:color w:val="auto"/>
              </w:rPr>
              <w:t>Eduardo G. Mestre</w:t>
            </w:r>
          </w:p>
        </w:tc>
        <w:tc>
          <w:tcPr>
            <w:tcW w:w="560" w:type="dxa"/>
            <w:vAlign w:val="bottom"/>
          </w:tcPr>
          <w:p>
            <w:pPr>
              <w:ind w:left="200"/>
              <w:spacing w:after="0" w:line="291" w:lineRule="exact"/>
              <w:rPr>
                <w:sz w:val="20"/>
                <w:szCs w:val="20"/>
                <w:color w:val="auto"/>
              </w:rPr>
            </w:pPr>
            <w:r>
              <w:rPr>
                <w:rFonts w:ascii="MS PGothic" w:cs="MS PGothic" w:eastAsia="MS PGothic" w:hAnsi="MS PGothic"/>
                <w:sz w:val="29"/>
                <w:szCs w:val="29"/>
                <w:color w:val="auto"/>
              </w:rPr>
              <w:t>☐</w:t>
            </w:r>
          </w:p>
        </w:tc>
        <w:tc>
          <w:tcPr>
            <w:tcW w:w="640" w:type="dxa"/>
            <w:vAlign w:val="bottom"/>
          </w:tcPr>
          <w:p>
            <w:pPr>
              <w:ind w:left="200"/>
              <w:spacing w:after="0" w:line="291" w:lineRule="exact"/>
              <w:rPr>
                <w:sz w:val="20"/>
                <w:szCs w:val="20"/>
                <w:color w:val="auto"/>
              </w:rPr>
            </w:pPr>
            <w:r>
              <w:rPr>
                <w:rFonts w:ascii="MS PGothic" w:cs="MS PGothic" w:eastAsia="MS PGothic" w:hAnsi="MS PGothic"/>
                <w:sz w:val="29"/>
                <w:szCs w:val="29"/>
                <w:color w:val="auto"/>
              </w:rPr>
              <w:t>☐</w:t>
            </w:r>
          </w:p>
        </w:tc>
        <w:tc>
          <w:tcPr>
            <w:tcW w:w="580" w:type="dxa"/>
            <w:vAlign w:val="bottom"/>
          </w:tcPr>
          <w:p>
            <w:pPr>
              <w:ind w:left="200"/>
              <w:spacing w:after="0" w:line="291" w:lineRule="exact"/>
              <w:rPr>
                <w:sz w:val="20"/>
                <w:szCs w:val="20"/>
                <w:color w:val="auto"/>
              </w:rPr>
            </w:pPr>
            <w:r>
              <w:rPr>
                <w:rFonts w:ascii="MS PGothic" w:cs="MS PGothic" w:eastAsia="MS PGothic" w:hAnsi="MS PGothic"/>
                <w:sz w:val="29"/>
                <w:szCs w:val="29"/>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1.9</w:t>
            </w:r>
          </w:p>
        </w:tc>
        <w:tc>
          <w:tcPr>
            <w:tcW w:w="1340" w:type="dxa"/>
            <w:vAlign w:val="bottom"/>
          </w:tcPr>
          <w:p>
            <w:pPr>
              <w:spacing w:after="0"/>
              <w:rPr>
                <w:sz w:val="20"/>
                <w:szCs w:val="20"/>
                <w:color w:val="auto"/>
              </w:rPr>
            </w:pPr>
            <w:r>
              <w:rPr>
                <w:rFonts w:ascii="Arial" w:cs="Arial" w:eastAsia="Arial" w:hAnsi="Arial"/>
                <w:sz w:val="12"/>
                <w:szCs w:val="12"/>
                <w:color w:val="auto"/>
              </w:rPr>
              <w:t>F. Robert Salerno</w:t>
            </w:r>
          </w:p>
        </w:tc>
        <w:tc>
          <w:tcPr>
            <w:tcW w:w="1300" w:type="dxa"/>
            <w:vAlign w:val="bottom"/>
          </w:tcPr>
          <w:p>
            <w:pPr>
              <w:ind w:left="360"/>
              <w:spacing w:after="0" w:line="291" w:lineRule="exact"/>
              <w:rPr>
                <w:sz w:val="20"/>
                <w:szCs w:val="20"/>
                <w:color w:val="auto"/>
              </w:rPr>
            </w:pPr>
            <w:r>
              <w:rPr>
                <w:rFonts w:ascii="MS PGothic" w:cs="MS PGothic" w:eastAsia="MS PGothic" w:hAnsi="MS PGothic"/>
                <w:sz w:val="29"/>
                <w:szCs w:val="29"/>
                <w:color w:val="auto"/>
              </w:rPr>
              <w:t>☐ ☐</w:t>
            </w:r>
          </w:p>
        </w:tc>
        <w:tc>
          <w:tcPr>
            <w:tcW w:w="540" w:type="dxa"/>
            <w:vAlign w:val="bottom"/>
          </w:tcPr>
          <w:p>
            <w:pPr>
              <w:ind w:left="180"/>
              <w:spacing w:after="0" w:line="291" w:lineRule="exact"/>
              <w:rPr>
                <w:sz w:val="20"/>
                <w:szCs w:val="20"/>
                <w:color w:val="auto"/>
              </w:rPr>
            </w:pPr>
            <w:r>
              <w:rPr>
                <w:rFonts w:ascii="MS PGothic" w:cs="MS PGothic" w:eastAsia="MS PGothic" w:hAnsi="MS PGothic"/>
                <w:sz w:val="29"/>
                <w:szCs w:val="29"/>
                <w:color w:val="auto"/>
              </w:rPr>
              <w:t>☐</w:t>
            </w:r>
          </w:p>
        </w:tc>
      </w:tr>
    </w:tbl>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0" w:type="dxa"/>
            <w:vAlign w:val="bottom"/>
          </w:tcPr>
          <w:p>
            <w:pPr>
              <w:jc w:val="center"/>
              <w:ind w:right="34"/>
              <w:spacing w:after="0"/>
              <w:rPr>
                <w:sz w:val="20"/>
                <w:szCs w:val="20"/>
                <w:color w:val="auto"/>
              </w:rPr>
            </w:pPr>
            <w:r>
              <w:rPr>
                <w:rFonts w:ascii="Arial" w:cs="Arial" w:eastAsia="Arial" w:hAnsi="Arial"/>
                <w:sz w:val="12"/>
                <w:szCs w:val="12"/>
                <w:b w:val="1"/>
                <w:bCs w:val="1"/>
                <w:color w:val="auto"/>
              </w:rPr>
              <w:t>For</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9"/>
              </w:rPr>
              <w:t>Against</w:t>
            </w:r>
          </w:p>
        </w:tc>
        <w:tc>
          <w:tcPr>
            <w:tcW w:w="760" w:type="dxa"/>
            <w:vAlign w:val="bottom"/>
          </w:tcPr>
          <w:p>
            <w:pPr>
              <w:jc w:val="center"/>
              <w:ind w:right="94"/>
              <w:spacing w:after="0"/>
              <w:rPr>
                <w:sz w:val="20"/>
                <w:szCs w:val="20"/>
                <w:color w:val="auto"/>
              </w:rPr>
            </w:pPr>
            <w:r>
              <w:rPr>
                <w:rFonts w:ascii="Arial" w:cs="Arial" w:eastAsia="Arial" w:hAnsi="Arial"/>
                <w:sz w:val="12"/>
                <w:szCs w:val="12"/>
                <w:b w:val="1"/>
                <w:bCs w:val="1"/>
                <w:color w:val="auto"/>
                <w:w w:val="99"/>
              </w:rPr>
              <w:t>Abstain</w:t>
            </w:r>
          </w:p>
        </w:tc>
        <w:tc>
          <w:tcPr>
            <w:tcW w:w="3980" w:type="dxa"/>
            <w:vAlign w:val="bottom"/>
            <w:vMerge w:val="restart"/>
          </w:tcPr>
          <w:p>
            <w:pPr>
              <w:ind w:left="400"/>
              <w:spacing w:after="0"/>
              <w:rPr>
                <w:sz w:val="20"/>
                <w:szCs w:val="20"/>
                <w:color w:val="auto"/>
              </w:rPr>
            </w:pPr>
            <w:r>
              <w:rPr>
                <w:rFonts w:ascii="Arial" w:cs="Arial" w:eastAsia="Arial" w:hAnsi="Arial"/>
                <w:sz w:val="12"/>
                <w:szCs w:val="12"/>
                <w:color w:val="auto"/>
              </w:rPr>
              <w:t>officers.</w:t>
            </w:r>
          </w:p>
        </w:tc>
        <w:tc>
          <w:tcPr>
            <w:tcW w:w="600" w:type="dxa"/>
            <w:vAlign w:val="bottom"/>
          </w:tcPr>
          <w:p>
            <w:pPr>
              <w:jc w:val="center"/>
              <w:ind w:left="54"/>
              <w:spacing w:after="0"/>
              <w:rPr>
                <w:sz w:val="20"/>
                <w:szCs w:val="20"/>
                <w:color w:val="auto"/>
              </w:rPr>
            </w:pPr>
            <w:r>
              <w:rPr>
                <w:rFonts w:ascii="Arial" w:cs="Arial" w:eastAsia="Arial" w:hAnsi="Arial"/>
                <w:sz w:val="12"/>
                <w:szCs w:val="12"/>
                <w:b w:val="1"/>
                <w:bCs w:val="1"/>
                <w:color w:val="auto"/>
              </w:rPr>
              <w:t>For</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9"/>
              </w:rPr>
              <w:t>Against</w:t>
            </w: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99"/>
              </w:rPr>
              <w:t>Abstain</w:t>
            </w:r>
          </w:p>
        </w:tc>
        <w:tc>
          <w:tcPr>
            <w:tcW w:w="0" w:type="dxa"/>
            <w:vAlign w:val="bottom"/>
          </w:tcPr>
          <w:p>
            <w:pPr>
              <w:spacing w:after="0"/>
              <w:rPr>
                <w:sz w:val="1"/>
                <w:szCs w:val="1"/>
                <w:color w:val="auto"/>
              </w:rPr>
            </w:pPr>
          </w:p>
        </w:tc>
      </w:tr>
      <w:tr>
        <w:trPr>
          <w:trHeight w:val="107"/>
        </w:trPr>
        <w:tc>
          <w:tcPr>
            <w:tcW w:w="380" w:type="dxa"/>
            <w:vAlign w:val="bottom"/>
          </w:tcPr>
          <w:p>
            <w:pPr>
              <w:jc w:val="center"/>
              <w:ind w:right="54"/>
              <w:spacing w:after="0" w:line="107" w:lineRule="exact"/>
              <w:rPr>
                <w:sz w:val="20"/>
                <w:szCs w:val="20"/>
                <w:color w:val="auto"/>
              </w:rPr>
            </w:pPr>
            <w:r>
              <w:rPr>
                <w:rFonts w:ascii="MS PGothic" w:cs="MS PGothic" w:eastAsia="MS PGothic" w:hAnsi="MS PGothic"/>
                <w:sz w:val="14"/>
                <w:szCs w:val="14"/>
                <w:color w:val="auto"/>
              </w:rPr>
              <w:t>☐</w:t>
            </w:r>
          </w:p>
        </w:tc>
        <w:tc>
          <w:tcPr>
            <w:tcW w:w="640" w:type="dxa"/>
            <w:vAlign w:val="bottom"/>
          </w:tcPr>
          <w:p>
            <w:pPr>
              <w:jc w:val="center"/>
              <w:spacing w:after="0" w:line="107" w:lineRule="exact"/>
              <w:rPr>
                <w:sz w:val="20"/>
                <w:szCs w:val="20"/>
                <w:color w:val="auto"/>
              </w:rPr>
            </w:pPr>
            <w:r>
              <w:rPr>
                <w:rFonts w:ascii="MS PGothic" w:cs="MS PGothic" w:eastAsia="MS PGothic" w:hAnsi="MS PGothic"/>
                <w:sz w:val="14"/>
                <w:szCs w:val="14"/>
                <w:color w:val="auto"/>
              </w:rPr>
              <w:t>☐</w:t>
            </w:r>
          </w:p>
        </w:tc>
        <w:tc>
          <w:tcPr>
            <w:tcW w:w="760" w:type="dxa"/>
            <w:vAlign w:val="bottom"/>
          </w:tcPr>
          <w:p>
            <w:pPr>
              <w:jc w:val="center"/>
              <w:ind w:right="114"/>
              <w:spacing w:after="0" w:line="107" w:lineRule="exact"/>
              <w:rPr>
                <w:sz w:val="20"/>
                <w:szCs w:val="20"/>
                <w:color w:val="auto"/>
              </w:rPr>
            </w:pPr>
            <w:r>
              <w:rPr>
                <w:rFonts w:ascii="MS PGothic" w:cs="MS PGothic" w:eastAsia="MS PGothic" w:hAnsi="MS PGothic"/>
                <w:sz w:val="14"/>
                <w:szCs w:val="14"/>
                <w:color w:val="auto"/>
              </w:rPr>
              <w:t>☐</w:t>
            </w:r>
          </w:p>
        </w:tc>
        <w:tc>
          <w:tcPr>
            <w:tcW w:w="3980" w:type="dxa"/>
            <w:vAlign w:val="bottom"/>
            <w:vMerge w:val="continue"/>
          </w:tcPr>
          <w:p>
            <w:pPr>
              <w:spacing w:after="0"/>
              <w:rPr>
                <w:sz w:val="9"/>
                <w:szCs w:val="9"/>
                <w:color w:val="auto"/>
              </w:rPr>
            </w:pPr>
          </w:p>
        </w:tc>
        <w:tc>
          <w:tcPr>
            <w:tcW w:w="600" w:type="dxa"/>
            <w:vAlign w:val="bottom"/>
          </w:tcPr>
          <w:p>
            <w:pPr>
              <w:jc w:val="center"/>
              <w:ind w:left="54"/>
              <w:spacing w:after="0" w:line="107" w:lineRule="exact"/>
              <w:rPr>
                <w:sz w:val="20"/>
                <w:szCs w:val="20"/>
                <w:color w:val="auto"/>
              </w:rPr>
            </w:pPr>
            <w:r>
              <w:rPr>
                <w:rFonts w:ascii="MS PGothic" w:cs="MS PGothic" w:eastAsia="MS PGothic" w:hAnsi="MS PGothic"/>
                <w:sz w:val="14"/>
                <w:szCs w:val="14"/>
                <w:color w:val="auto"/>
              </w:rPr>
              <w:t>☐</w:t>
            </w:r>
          </w:p>
        </w:tc>
        <w:tc>
          <w:tcPr>
            <w:tcW w:w="620" w:type="dxa"/>
            <w:vAlign w:val="bottom"/>
          </w:tcPr>
          <w:p>
            <w:pPr>
              <w:jc w:val="center"/>
              <w:spacing w:after="0" w:line="107" w:lineRule="exact"/>
              <w:rPr>
                <w:sz w:val="20"/>
                <w:szCs w:val="20"/>
                <w:color w:val="auto"/>
              </w:rPr>
            </w:pPr>
            <w:r>
              <w:rPr>
                <w:rFonts w:ascii="MS PGothic" w:cs="MS PGothic" w:eastAsia="MS PGothic" w:hAnsi="MS PGothic"/>
                <w:sz w:val="14"/>
                <w:szCs w:val="14"/>
                <w:color w:val="auto"/>
              </w:rPr>
              <w:t>☐</w:t>
            </w:r>
          </w:p>
        </w:tc>
        <w:tc>
          <w:tcPr>
            <w:tcW w:w="500" w:type="dxa"/>
            <w:vAlign w:val="bottom"/>
          </w:tcPr>
          <w:p>
            <w:pPr>
              <w:jc w:val="center"/>
              <w:spacing w:after="0" w:line="107"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44"/>
        </w:trPr>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980" w:type="dxa"/>
            <w:vAlign w:val="bottom"/>
          </w:tcPr>
          <w:p>
            <w:pPr>
              <w:ind w:left="260"/>
              <w:spacing w:after="0"/>
              <w:rPr>
                <w:sz w:val="20"/>
                <w:szCs w:val="20"/>
                <w:color w:val="auto"/>
              </w:rPr>
            </w:pPr>
            <w:r>
              <w:rPr>
                <w:rFonts w:ascii="Arial" w:cs="Arial" w:eastAsia="Arial" w:hAnsi="Arial"/>
                <w:sz w:val="12"/>
                <w:szCs w:val="12"/>
                <w:color w:val="auto"/>
              </w:rPr>
              <w:t>3. Advisory approval of the compensation of our named executive</w:t>
            </w: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18" w:lineRule="exact"/>
        <w:rPr>
          <w:sz w:val="20"/>
          <w:szCs w:val="20"/>
          <w:color w:val="auto"/>
        </w:rPr>
      </w:pPr>
    </w:p>
    <w:p>
      <w:pPr>
        <w:sectPr>
          <w:pgSz w:w="11900" w:h="16838" w:orient="portrait"/>
          <w:cols w:equalWidth="0" w:num="2">
            <w:col w:w="3664" w:space="240"/>
            <w:col w:w="7600"/>
          </w:cols>
          <w:pgMar w:left="236" w:top="319" w:right="159" w:bottom="1440" w:gutter="0" w:footer="0" w:header="0"/>
          <w:type w:val="continuous"/>
        </w:sectPr>
      </w:pPr>
    </w:p>
    <w:p>
      <w:pPr>
        <w:spacing w:after="0" w:line="99" w:lineRule="exact"/>
        <w:rPr>
          <w:sz w:val="20"/>
          <w:szCs w:val="20"/>
          <w:color w:val="auto"/>
        </w:rPr>
      </w:pPr>
    </w:p>
    <w:p>
      <w:pPr>
        <w:ind w:left="904" w:hanging="560"/>
        <w:spacing w:after="0"/>
        <w:tabs>
          <w:tab w:leader="none" w:pos="904" w:val="left"/>
        </w:tabs>
        <w:numPr>
          <w:ilvl w:val="0"/>
          <w:numId w:val="59"/>
        </w:numPr>
        <w:rPr>
          <w:rFonts w:ascii="Arial" w:cs="Arial" w:eastAsia="Arial" w:hAnsi="Arial"/>
          <w:sz w:val="16"/>
          <w:szCs w:val="16"/>
          <w:b w:val="1"/>
          <w:bCs w:val="1"/>
          <w:color w:val="FFFFFF"/>
        </w:rPr>
      </w:pPr>
      <w:r>
        <w:rPr>
          <w:rFonts w:ascii="Arial" w:cs="Arial" w:eastAsia="Arial" w:hAnsi="Arial"/>
          <w:sz w:val="14"/>
          <w:szCs w:val="14"/>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-113665</wp:posOffset>
            </wp:positionV>
            <wp:extent cx="128905" cy="1136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905" cy="113665"/>
                    </a:xfrm>
                    <a:prstGeom prst="rect">
                      <a:avLst/>
                    </a:prstGeom>
                    <a:noFill/>
                  </pic:spPr>
                </pic:pic>
              </a:graphicData>
            </a:graphic>
          </wp:anchor>
        </w:drawing>
      </w:r>
    </w:p>
    <w:p>
      <w:pPr>
        <w:spacing w:after="0" w:line="1" w:lineRule="exact"/>
        <w:rPr>
          <w:sz w:val="20"/>
          <w:szCs w:val="20"/>
          <w:color w:val="auto"/>
        </w:rPr>
      </w:pPr>
    </w:p>
    <w:p>
      <w:pPr>
        <w:ind w:left="4"/>
        <w:spacing w:after="0"/>
        <w:rPr>
          <w:sz w:val="20"/>
          <w:szCs w:val="20"/>
          <w:color w:val="auto"/>
        </w:rPr>
      </w:pPr>
      <w:r>
        <w:rPr>
          <w:rFonts w:ascii="Arial" w:cs="Arial" w:eastAsia="Arial" w:hAnsi="Arial"/>
          <w:sz w:val="12"/>
          <w:szCs w:val="12"/>
          <w:b w:val="1"/>
          <w:bCs w:val="1"/>
          <w:color w:val="auto"/>
        </w:rPr>
        <w:t>NOTE: Please sign as name appears hereon. Joint owners should each sign. When signing as attorney, executor, administrator, trustee or guardian, please give full title as such.</w:t>
      </w:r>
    </w:p>
    <w:p>
      <w:pPr>
        <w:spacing w:after="0" w:line="175" w:lineRule="exact"/>
        <w:rPr>
          <w:sz w:val="20"/>
          <w:szCs w:val="20"/>
          <w:color w:val="auto"/>
        </w:rPr>
      </w:pPr>
    </w:p>
    <w:tbl>
      <w:tblPr>
        <w:tblLayout w:type="fixed"/>
        <w:tblInd w:w="14" w:type="dxa"/>
        <w:tblCellMar>
          <w:top w:w="0" w:type="dxa"/>
          <w:left w:w="0" w:type="dxa"/>
          <w:bottom w:w="0" w:type="dxa"/>
          <w:right w:w="0" w:type="dxa"/>
        </w:tblCellMar>
      </w:tblPr>
      <w:tr>
        <w:trPr>
          <w:trHeight w:val="158"/>
        </w:trPr>
        <w:tc>
          <w:tcPr>
            <w:tcW w:w="4100" w:type="dxa"/>
            <w:vAlign w:val="bottom"/>
          </w:tcPr>
          <w:p>
            <w:pPr>
              <w:jc w:val="right"/>
              <w:ind w:right="1491"/>
              <w:spacing w:after="0"/>
              <w:rPr>
                <w:sz w:val="20"/>
                <w:szCs w:val="20"/>
                <w:color w:val="auto"/>
              </w:rPr>
            </w:pPr>
            <w:r>
              <w:rPr>
                <w:rFonts w:ascii="Arial" w:cs="Arial" w:eastAsia="Arial" w:hAnsi="Arial"/>
                <w:sz w:val="12"/>
                <w:szCs w:val="12"/>
                <w:color w:val="auto"/>
                <w:w w:val="98"/>
              </w:rPr>
              <w:t>Date (mm/dd/yyyy) — Please print date below.</w:t>
            </w:r>
          </w:p>
        </w:tc>
        <w:tc>
          <w:tcPr>
            <w:tcW w:w="3660" w:type="dxa"/>
            <w:vAlign w:val="bottom"/>
            <w:gridSpan w:val="2"/>
          </w:tcPr>
          <w:p>
            <w:pPr>
              <w:ind w:left="100"/>
              <w:spacing w:after="0"/>
              <w:rPr>
                <w:sz w:val="20"/>
                <w:szCs w:val="20"/>
                <w:color w:val="auto"/>
              </w:rPr>
            </w:pPr>
            <w:r>
              <w:rPr>
                <w:rFonts w:ascii="Arial" w:cs="Arial" w:eastAsia="Arial" w:hAnsi="Arial"/>
                <w:sz w:val="12"/>
                <w:szCs w:val="12"/>
                <w:color w:val="auto"/>
              </w:rPr>
              <w:t>Signature 1 — Please keep signature within the box.</w:t>
            </w:r>
          </w:p>
        </w:tc>
        <w:tc>
          <w:tcPr>
            <w:tcW w:w="3680" w:type="dxa"/>
            <w:vAlign w:val="bottom"/>
            <w:gridSpan w:val="2"/>
          </w:tcPr>
          <w:p>
            <w:pPr>
              <w:ind w:left="120"/>
              <w:spacing w:after="0"/>
              <w:rPr>
                <w:sz w:val="20"/>
                <w:szCs w:val="20"/>
                <w:color w:val="auto"/>
              </w:rPr>
            </w:pPr>
            <w:r>
              <w:rPr>
                <w:rFonts w:ascii="Arial" w:cs="Arial" w:eastAsia="Arial" w:hAnsi="Arial"/>
                <w:sz w:val="12"/>
                <w:szCs w:val="12"/>
                <w:color w:val="auto"/>
              </w:rPr>
              <w:t>Signature 2 — Please keep signature within the box.</w:t>
            </w:r>
          </w:p>
        </w:tc>
      </w:tr>
      <w:tr>
        <w:trPr>
          <w:trHeight w:val="422"/>
        </w:trPr>
        <w:tc>
          <w:tcPr>
            <w:tcW w:w="4100" w:type="dxa"/>
            <w:vAlign w:val="bottom"/>
            <w:tcBorders>
              <w:top w:val="single" w:sz="8" w:color="auto"/>
              <w:left w:val="single" w:sz="8" w:color="auto"/>
              <w:bottom w:val="single" w:sz="8" w:color="auto"/>
              <w:right w:val="single" w:sz="8" w:color="auto"/>
            </w:tcBorders>
          </w:tcPr>
          <w:p>
            <w:pPr>
              <w:jc w:val="right"/>
              <w:ind w:right="1371"/>
              <w:spacing w:after="0" w:line="421" w:lineRule="exact"/>
              <w:rPr>
                <w:sz w:val="20"/>
                <w:szCs w:val="20"/>
                <w:color w:val="auto"/>
              </w:rPr>
            </w:pPr>
            <w:r>
              <w:rPr>
                <w:rFonts w:ascii="Arial" w:cs="Arial" w:eastAsia="Arial" w:hAnsi="Arial"/>
                <w:sz w:val="48"/>
                <w:szCs w:val="48"/>
                <w:color w:val="auto"/>
              </w:rPr>
              <w:t>/   /</w:t>
            </w:r>
          </w:p>
        </w:tc>
        <w:tc>
          <w:tcPr>
            <w:tcW w:w="120" w:type="dxa"/>
            <w:vAlign w:val="bottom"/>
            <w:tcBorders>
              <w:right w:val="single" w:sz="8" w:color="auto"/>
            </w:tcBorders>
          </w:tcPr>
          <w:p>
            <w:pPr>
              <w:spacing w:after="0"/>
              <w:rPr>
                <w:sz w:val="24"/>
                <w:szCs w:val="24"/>
                <w:color w:val="auto"/>
              </w:rPr>
            </w:pPr>
          </w:p>
        </w:tc>
        <w:tc>
          <w:tcPr>
            <w:tcW w:w="3540" w:type="dxa"/>
            <w:vAlign w:val="bottom"/>
            <w:tcBorders>
              <w:top w:val="single" w:sz="8" w:color="auto"/>
              <w:bottom w:val="single" w:sz="8" w:color="auto"/>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540" w:type="dxa"/>
            <w:vAlign w:val="bottom"/>
            <w:tcBorders>
              <w:top w:val="single" w:sz="8" w:color="auto"/>
              <w:bottom w:val="single" w:sz="8" w:color="auto"/>
              <w:right w:val="single" w:sz="8" w:color="auto"/>
            </w:tcBorders>
          </w:tcPr>
          <w:p>
            <w:pPr>
              <w:spacing w:after="0"/>
              <w:rPr>
                <w:sz w:val="24"/>
                <w:szCs w:val="24"/>
                <w:color w:val="auto"/>
              </w:rPr>
            </w:pPr>
          </w:p>
        </w:tc>
      </w:tr>
    </w:tbl>
    <w:p>
      <w:pPr>
        <w:spacing w:after="0" w:line="35" w:lineRule="exact"/>
        <w:rPr>
          <w:sz w:val="20"/>
          <w:szCs w:val="20"/>
          <w:color w:val="auto"/>
        </w:rPr>
      </w:pPr>
    </w:p>
    <w:p>
      <w:pPr>
        <w:jc w:val="center"/>
        <w:ind w:right="156"/>
        <w:spacing w:after="0"/>
        <w:rPr>
          <w:sz w:val="20"/>
          <w:szCs w:val="20"/>
          <w:color w:val="auto"/>
        </w:rPr>
      </w:pPr>
      <w:r>
        <w:rPr>
          <w:rFonts w:ascii="Arial" w:cs="Arial" w:eastAsia="Arial" w:hAnsi="Arial"/>
          <w:sz w:val="16"/>
          <w:szCs w:val="16"/>
          <w:b w:val="1"/>
          <w:bCs w:val="1"/>
          <w:color w:val="auto"/>
        </w:rPr>
        <w:t xml:space="preserve">IF VOTING BY MAIL, YOU </w:t>
      </w:r>
      <w:r>
        <w:rPr>
          <w:rFonts w:ascii="Arial" w:cs="Arial" w:eastAsia="Arial" w:hAnsi="Arial"/>
          <w:sz w:val="16"/>
          <w:szCs w:val="16"/>
          <w:b w:val="1"/>
          <w:bCs w:val="1"/>
          <w:u w:val="single" w:color="auto"/>
          <w:color w:val="auto"/>
        </w:rPr>
        <w:t>MUST</w:t>
      </w:r>
      <w:r>
        <w:rPr>
          <w:rFonts w:ascii="Arial" w:cs="Arial" w:eastAsia="Arial" w:hAnsi="Arial"/>
          <w:sz w:val="16"/>
          <w:szCs w:val="16"/>
          <w:b w:val="1"/>
          <w:bCs w:val="1"/>
          <w:color w:val="auto"/>
        </w:rPr>
        <w:t xml:space="preserve"> COMPLETE SECTIONS A - C ON BOTH SIDES OF THIS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224155</wp:posOffset>
            </wp:positionV>
            <wp:extent cx="7282815"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2815" cy="20320"/>
                    </a:xfrm>
                    <a:prstGeom prst="rect">
                      <a:avLst/>
                    </a:prstGeom>
                    <a:noFill/>
                  </pic:spPr>
                </pic:pic>
              </a:graphicData>
            </a:graphic>
          </wp:anchor>
        </w:drawing>
      </w:r>
    </w:p>
    <w:p>
      <w:pPr>
        <w:sectPr>
          <w:pgSz w:w="11900" w:h="16838" w:orient="portrait"/>
          <w:cols w:equalWidth="0" w:num="1">
            <w:col w:w="11504"/>
          </w:cols>
          <w:pgMar w:left="236" w:top="319" w:right="159" w:bottom="1440" w:gutter="0" w:footer="0" w:header="0"/>
          <w:type w:val="continuous"/>
        </w:sectPr>
      </w:pPr>
    </w:p>
    <w:bookmarkStart w:id="55" w:name="page56"/>
    <w:bookmarkEnd w:id="55"/>
    <w:p>
      <w:pPr>
        <w:ind w:left="4300"/>
        <w:spacing w:after="0"/>
        <w:rPr>
          <w:sz w:val="20"/>
          <w:szCs w:val="20"/>
          <w:color w:val="auto"/>
        </w:rPr>
      </w:pPr>
      <w:r>
        <w:rPr>
          <w:rFonts w:ascii="Arial" w:cs="Arial" w:eastAsia="Arial" w:hAnsi="Arial"/>
          <w:sz w:val="22"/>
          <w:szCs w:val="22"/>
          <w:b w:val="1"/>
          <w:bCs w:val="1"/>
          <w:color w:val="auto"/>
        </w:rPr>
        <w:t>AVIS BUDGET GROUP, INC.</w:t>
      </w:r>
    </w:p>
    <w:p>
      <w:pPr>
        <w:spacing w:after="0" w:line="189"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THIS IS YOUR PROXY.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YOUR VOTE IS IMPORTANT</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Whether or not you plan to attend the Annual Meeting of Stockholders, you can ensure your shares are represented at the Meeting by promptly completing, signing and returning your proxy card to Computershare by mail, or by voting via telephone (1-866-540-5760) or via the Internet at </w:t>
      </w:r>
      <w:r>
        <w:rPr>
          <w:rFonts w:ascii="Arial" w:cs="Arial" w:eastAsia="Arial" w:hAnsi="Arial"/>
          <w:sz w:val="16"/>
          <w:szCs w:val="16"/>
          <w:u w:val="single" w:color="auto"/>
          <w:color w:val="auto"/>
        </w:rPr>
        <w:t>www.envisionreports.com/CAR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ADMISSION TICKET</w:t>
      </w:r>
    </w:p>
    <w:p>
      <w:pPr>
        <w:spacing w:after="0" w:line="26"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auto"/>
        </w:rPr>
        <w:t>AVIS BUDGET GROUP, INC.</w:t>
      </w:r>
    </w:p>
    <w:p>
      <w:pPr>
        <w:ind w:left="4340"/>
        <w:spacing w:after="0"/>
        <w:rPr>
          <w:sz w:val="20"/>
          <w:szCs w:val="20"/>
          <w:color w:val="auto"/>
        </w:rPr>
      </w:pPr>
      <w:r>
        <w:rPr>
          <w:rFonts w:ascii="Arial" w:cs="Arial" w:eastAsia="Arial" w:hAnsi="Arial"/>
          <w:sz w:val="16"/>
          <w:szCs w:val="16"/>
          <w:b w:val="1"/>
          <w:bCs w:val="1"/>
          <w:color w:val="auto"/>
        </w:rPr>
        <w:t>2015 Annual Meeting of Stockholders</w:t>
      </w:r>
    </w:p>
    <w:p>
      <w:pPr>
        <w:spacing w:after="0" w:line="168" w:lineRule="exact"/>
        <w:rPr>
          <w:sz w:val="20"/>
          <w:szCs w:val="20"/>
          <w:color w:val="auto"/>
        </w:rPr>
      </w:pPr>
    </w:p>
    <w:p>
      <w:pPr>
        <w:ind w:left="4880"/>
        <w:spacing w:after="0"/>
        <w:rPr>
          <w:sz w:val="20"/>
          <w:szCs w:val="20"/>
          <w:color w:val="auto"/>
        </w:rPr>
      </w:pPr>
      <w:r>
        <w:rPr>
          <w:rFonts w:ascii="Arial" w:cs="Arial" w:eastAsia="Arial" w:hAnsi="Arial"/>
          <w:sz w:val="16"/>
          <w:szCs w:val="16"/>
          <w:b w:val="1"/>
          <w:bCs w:val="1"/>
          <w:color w:val="auto"/>
        </w:rPr>
        <w:t>Tuesday, May 19, 2015</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11:00 a.m. Eastern Time</w:t>
      </w:r>
    </w:p>
    <w:p>
      <w:pPr>
        <w:ind w:left="3520"/>
        <w:spacing w:after="0" w:line="233" w:lineRule="auto"/>
        <w:rPr>
          <w:sz w:val="20"/>
          <w:szCs w:val="20"/>
          <w:color w:val="auto"/>
        </w:rPr>
      </w:pPr>
      <w:r>
        <w:rPr>
          <w:rFonts w:ascii="Arial" w:cs="Arial" w:eastAsia="Arial" w:hAnsi="Arial"/>
          <w:sz w:val="16"/>
          <w:szCs w:val="16"/>
          <w:b w:val="1"/>
          <w:bCs w:val="1"/>
          <w:color w:val="auto"/>
        </w:rPr>
        <w:t>DoubleTree by Hilton Downtown Wilmington–Legal District</w:t>
      </w:r>
    </w:p>
    <w:p>
      <w:pPr>
        <w:ind w:left="5020"/>
        <w:spacing w:after="0" w:line="234" w:lineRule="auto"/>
        <w:rPr>
          <w:sz w:val="20"/>
          <w:szCs w:val="20"/>
          <w:color w:val="auto"/>
        </w:rPr>
      </w:pPr>
      <w:r>
        <w:rPr>
          <w:rFonts w:ascii="Arial" w:cs="Arial" w:eastAsia="Arial" w:hAnsi="Arial"/>
          <w:sz w:val="16"/>
          <w:szCs w:val="16"/>
          <w:b w:val="1"/>
          <w:bCs w:val="1"/>
          <w:color w:val="auto"/>
        </w:rPr>
        <w:t>700 N. King Street</w:t>
      </w:r>
    </w:p>
    <w:p>
      <w:pPr>
        <w:spacing w:after="0" w:line="1"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auto"/>
        </w:rPr>
        <w:t>Wilmington, Delaware 19801</w:t>
      </w:r>
    </w:p>
    <w:p>
      <w:pPr>
        <w:spacing w:after="0" w:line="180" w:lineRule="exact"/>
        <w:rPr>
          <w:sz w:val="20"/>
          <w:szCs w:val="20"/>
          <w:color w:val="auto"/>
        </w:rPr>
      </w:pPr>
    </w:p>
    <w:p>
      <w:pPr>
        <w:spacing w:after="0"/>
        <w:tabs>
          <w:tab w:leader="none" w:pos="9740" w:val="left"/>
        </w:tabs>
        <w:rPr>
          <w:sz w:val="20"/>
          <w:szCs w:val="20"/>
          <w:color w:val="auto"/>
        </w:rPr>
      </w:pPr>
      <w:r>
        <w:rPr>
          <w:rFonts w:ascii="Arial" w:cs="Arial" w:eastAsia="Arial" w:hAnsi="Arial"/>
          <w:sz w:val="16"/>
          <w:szCs w:val="16"/>
          <w:b w:val="1"/>
          <w:bCs w:val="1"/>
          <w:color w:val="auto"/>
        </w:rPr>
        <w:t>NON-TRANSFERABLE</w:t>
      </w:r>
      <w:r>
        <w:rPr>
          <w:sz w:val="20"/>
          <w:szCs w:val="20"/>
          <w:color w:val="auto"/>
        </w:rPr>
        <w:tab/>
      </w:r>
      <w:r>
        <w:rPr>
          <w:rFonts w:ascii="Arial" w:cs="Arial" w:eastAsia="Arial" w:hAnsi="Arial"/>
          <w:sz w:val="14"/>
          <w:szCs w:val="14"/>
          <w:b w:val="1"/>
          <w:bCs w:val="1"/>
          <w:color w:val="auto"/>
        </w:rPr>
        <w:t>NON-TRANSFERABLE</w:t>
      </w:r>
    </w:p>
    <w:p>
      <w:pPr>
        <w:spacing w:after="0" w:line="229"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auto"/>
        </w:rPr>
        <w:t>Important notice regarding the Internet availability of proxy materials for the Annual Meeting of Stockholders.</w:t>
      </w:r>
    </w:p>
    <w:p>
      <w:pPr>
        <w:spacing w:after="0" w:line="1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 xml:space="preserve">The Proxy Statement, Annual Report and other proxy materials are available at: </w:t>
      </w:r>
      <w:r>
        <w:rPr>
          <w:rFonts w:ascii="Arial" w:cs="Arial" w:eastAsia="Arial" w:hAnsi="Arial"/>
          <w:sz w:val="16"/>
          <w:szCs w:val="16"/>
          <w:b w:val="1"/>
          <w:bCs w:val="1"/>
          <w:u w:val="single" w:color="auto"/>
          <w:color w:val="auto"/>
        </w:rPr>
        <w:t>www.envisionreports.com/CAR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xml:space="preserve">IF YOU HAVE NOT VOTED VIA THE INTERNET </w:t>
      </w:r>
      <w:r>
        <w:rPr>
          <w:rFonts w:ascii="Arial" w:cs="Arial" w:eastAsia="Arial" w:hAnsi="Arial"/>
          <w:sz w:val="12"/>
          <w:szCs w:val="12"/>
          <w:b w:val="1"/>
          <w:bCs w:val="1"/>
          <w:u w:val="single" w:color="auto"/>
          <w:color w:val="auto"/>
        </w:rPr>
        <w:t>OR</w:t>
      </w:r>
      <w:r>
        <w:rPr>
          <w:rFonts w:ascii="Arial" w:cs="Arial" w:eastAsia="Arial" w:hAnsi="Arial"/>
          <w:sz w:val="12"/>
          <w:szCs w:val="12"/>
          <w:b w:val="1"/>
          <w:bCs w:val="1"/>
          <w:color w:val="auto"/>
        </w:rPr>
        <w:t xml:space="preserve"> TELEPHONE, FOLD ALONG THE PERFORATION, DETACH AND RETURN THE BOTTOM PORTION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642620</wp:posOffset>
            </wp:positionV>
            <wp:extent cx="726249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2495"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2618105" cy="3644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18105" cy="36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 — AVIS BUDGET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6249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2495" cy="1524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Annual Meeting of Stockholders – May 19, 2015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THIS PROXY IS SOLICITED BY THE BOARD OF DIRECTORS OF THE COMPANY</w:t>
      </w:r>
    </w:p>
    <w:p>
      <w:pPr>
        <w:spacing w:after="0" w:line="188" w:lineRule="exact"/>
        <w:rPr>
          <w:sz w:val="20"/>
          <w:szCs w:val="20"/>
          <w:color w:val="auto"/>
        </w:rPr>
      </w:pPr>
    </w:p>
    <w:p>
      <w:pPr>
        <w:jc w:val="both"/>
        <w:ind w:firstLine="239"/>
        <w:spacing w:after="0" w:line="238" w:lineRule="auto"/>
        <w:rPr>
          <w:sz w:val="20"/>
          <w:szCs w:val="20"/>
          <w:color w:val="auto"/>
        </w:rPr>
      </w:pPr>
      <w:r>
        <w:rPr>
          <w:rFonts w:ascii="Arial" w:cs="Arial" w:eastAsia="Arial" w:hAnsi="Arial"/>
          <w:sz w:val="19"/>
          <w:szCs w:val="19"/>
          <w:color w:val="auto"/>
        </w:rPr>
        <w:t>The undersigned hereby appoints Ronald L. Nelson, Michael K. Tucker, and Jean M. Sera, and each of them, with power to act without the other and with power of substitution, as proxies and attorneys-in-fact and hereby authorizes them to represent and vote, as provided on the other side, all the shares of Avis Budget Group, Inc. Common Stock which the undersigned is entitled to vote, and, in their discretion, to vote upon such other business as may properly come before the Annual Meeting of Stockholders of the Company to be held May 19, 2015 or at any adjournment or postponement thereof, with all powers which the undersigned would possess if present at the Meeting.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113665" cy="1365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3665" cy="136525"/>
                    </a:xfrm>
                    <a:prstGeom prst="rect">
                      <a:avLst/>
                    </a:prstGeom>
                    <a:noFill/>
                  </pic:spPr>
                </pic:pic>
              </a:graphicData>
            </a:graphic>
          </wp:anchor>
        </w:drawing>
      </w:r>
    </w:p>
    <w:p>
      <w:pPr>
        <w:sectPr>
          <w:pgSz w:w="11900" w:h="16838" w:orient="portrait"/>
          <w:cols w:equalWidth="0" w:num="1">
            <w:col w:w="11440"/>
          </w:cols>
          <w:pgMar w:left="240" w:top="516" w:right="219" w:bottom="1440" w:gutter="0" w:footer="0" w:header="0"/>
        </w:sectPr>
      </w:pPr>
    </w:p>
    <w:p>
      <w:pPr>
        <w:spacing w:after="0" w:line="238" w:lineRule="exact"/>
        <w:rPr>
          <w:sz w:val="20"/>
          <w:szCs w:val="20"/>
          <w:color w:val="auto"/>
        </w:rPr>
      </w:pPr>
    </w:p>
    <w:p>
      <w:pPr>
        <w:ind w:left="220" w:hanging="191"/>
        <w:spacing w:after="0"/>
        <w:tabs>
          <w:tab w:leader="none" w:pos="220" w:val="left"/>
        </w:tabs>
        <w:numPr>
          <w:ilvl w:val="0"/>
          <w:numId w:val="60"/>
        </w:numPr>
        <w:rPr>
          <w:rFonts w:ascii="Arial" w:cs="Arial" w:eastAsia="Arial" w:hAnsi="Arial"/>
          <w:sz w:val="16"/>
          <w:szCs w:val="16"/>
          <w:color w:val="FFFFFF"/>
        </w:rPr>
      </w:pPr>
      <w:r>
        <w:rPr>
          <w:rFonts w:ascii="Arial" w:cs="Arial" w:eastAsia="Arial" w:hAnsi="Arial"/>
          <w:sz w:val="16"/>
          <w:szCs w:val="16"/>
          <w:b w:val="1"/>
          <w:bCs w:val="1"/>
          <w:color w:val="auto"/>
        </w:rPr>
        <w:t>Non-Voting Items</w:t>
      </w:r>
    </w:p>
    <w:p>
      <w:pPr>
        <w:spacing w:after="0" w:line="8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Change of Address </w:t>
      </w:r>
      <w:r>
        <w:rPr>
          <w:rFonts w:ascii="Arial" w:cs="Arial" w:eastAsia="Arial" w:hAnsi="Arial"/>
          <w:sz w:val="11"/>
          <w:szCs w:val="11"/>
          <w:color w:val="auto"/>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3526155" cy="3467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26155" cy="3467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jc w:val="center"/>
        <w:ind w:right="2940"/>
        <w:spacing w:after="0"/>
        <w:rPr>
          <w:sz w:val="20"/>
          <w:szCs w:val="20"/>
          <w:color w:val="auto"/>
        </w:rPr>
      </w:pPr>
      <w:r>
        <w:rPr>
          <w:rFonts w:ascii="Arial" w:cs="Arial" w:eastAsia="Arial" w:hAnsi="Arial"/>
          <w:sz w:val="11"/>
          <w:szCs w:val="11"/>
          <w:b w:val="1"/>
          <w:bCs w:val="1"/>
          <w:color w:val="auto"/>
        </w:rPr>
        <w:t xml:space="preserve">Comments </w:t>
      </w:r>
      <w:r>
        <w:rPr>
          <w:rFonts w:ascii="Arial" w:cs="Arial" w:eastAsia="Arial" w:hAnsi="Arial"/>
          <w:sz w:val="11"/>
          <w:szCs w:val="11"/>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3549015" cy="3467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549015" cy="3467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5600"/>
          </w:cols>
          <w:pgMar w:left="240" w:top="516"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 xml:space="preserve">IF VOTING BY MAIL, YOU </w:t>
      </w:r>
      <w:r>
        <w:rPr>
          <w:rFonts w:ascii="Arial" w:cs="Arial" w:eastAsia="Arial" w:hAnsi="Arial"/>
          <w:sz w:val="14"/>
          <w:szCs w:val="14"/>
          <w:b w:val="1"/>
          <w:bCs w:val="1"/>
          <w:u w:val="single" w:color="auto"/>
          <w:color w:val="auto"/>
        </w:rPr>
        <w:t>MUST</w:t>
      </w:r>
      <w:r>
        <w:rPr>
          <w:rFonts w:ascii="Arial" w:cs="Arial" w:eastAsia="Arial" w:hAnsi="Arial"/>
          <w:sz w:val="14"/>
          <w:szCs w:val="14"/>
          <w:b w:val="1"/>
          <w:bCs w:val="1"/>
          <w:color w:val="auto"/>
        </w:rPr>
        <w:t xml:space="preserve"> COMPLETE SECTIONS A - C ON BOTH SIDES OF THIS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140335</wp:posOffset>
            </wp:positionV>
            <wp:extent cx="7282815" cy="20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2815" cy="20320"/>
                    </a:xfrm>
                    <a:prstGeom prst="rect">
                      <a:avLst/>
                    </a:prstGeom>
                    <a:noFill/>
                  </pic:spPr>
                </pic:pic>
              </a:graphicData>
            </a:graphic>
          </wp:anchor>
        </w:drawing>
      </w:r>
    </w:p>
    <w:sectPr>
      <w:pgSz w:w="11900" w:h="16838" w:orient="portrait"/>
      <w:cols w:equalWidth="0" w:num="1">
        <w:col w:w="11440"/>
      </w:cols>
      <w:pgMar w:left="240" w:top="516"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lvl w:ilvl="1">
      <w:lvlJc w:val="left"/>
      <w:lvlText w:val="(%2)"/>
      <w:numFmt w:val="decimal"/>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1)"/>
      <w:numFmt w:val="decimal"/>
      <w:start w:val="10"/>
    </w:lvl>
  </w:abstractNum>
  <w:abstractNum w:abstractNumId="31">
    <w:nsid w:val="4B588F54"/>
    <w:multiLevelType w:val="hybridMultilevel"/>
    <w:lvl w:ilvl="0">
      <w:lvlJc w:val="left"/>
      <w:lvlText w:val="(%1)"/>
      <w:numFmt w:val="decimal"/>
      <w:start w:val="1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1"/>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1"/>
      <w:numFmt w:val="upperLetter"/>
      <w:start w:val="44"/>
    </w:lvl>
  </w:abstractNum>
  <w:abstractNum w:abstractNumId="42">
    <w:nsid w:val="79A1DEAA"/>
    <w:multiLevelType w:val="hybridMultilevel"/>
    <w:lvl w:ilvl="0">
      <w:lvlJc w:val="left"/>
      <w:lvlText w:val="2"/>
      <w:numFmt w:val="bullet"/>
      <w:start w:val="1"/>
    </w:lvl>
  </w:abstractNum>
  <w:abstractNum w:abstractNumId="43">
    <w:nsid w:val="75C6C33A"/>
    <w:multiLevelType w:val="hybridMultilevel"/>
    <w:lvl w:ilvl="0">
      <w:lvlJc w:val="left"/>
      <w:lvlText w:val="(%1)"/>
      <w:numFmt w:val="lowerLetter"/>
      <w:start w:val="1"/>
    </w:lvl>
  </w:abstractNum>
  <w:abstractNum w:abstractNumId="44">
    <w:nsid w:val="12E685FB"/>
    <w:multiLevelType w:val="hybridMultilevel"/>
    <w:lvl w:ilvl="0">
      <w:lvlJc w:val="left"/>
      <w:lvlText w:val="(%1)"/>
      <w:numFmt w:val="lowerLetter"/>
      <w:start w:val="1"/>
    </w:lvl>
  </w:abstractNum>
  <w:abstractNum w:abstractNumId="45">
    <w:nsid w:val="70C6A529"/>
    <w:multiLevelType w:val="hybridMultilevel"/>
    <w:lvl w:ilvl="0">
      <w:lvlJc w:val="left"/>
      <w:lvlText w:val="(%1)"/>
      <w:numFmt w:val="lowerLetter"/>
      <w:start w:val="4"/>
    </w:lvl>
  </w:abstractNum>
  <w:abstractNum w:abstractNumId="46">
    <w:nsid w:val="520EEDD1"/>
    <w:multiLevelType w:val="hybridMultilevel"/>
    <w:lvl w:ilvl="0">
      <w:lvlJc w:val="left"/>
      <w:lvlText w:val="(%1)"/>
      <w:numFmt w:val="lowerLetter"/>
      <w:start w:val="1"/>
    </w:lvl>
  </w:abstractNum>
  <w:abstractNum w:abstractNumId="47">
    <w:nsid w:val="374A3FE6"/>
    <w:multiLevelType w:val="hybridMultilevel"/>
    <w:lvl w:ilvl="0">
      <w:lvlJc w:val="left"/>
      <w:lvlText w:val="(%1)"/>
      <w:numFmt w:val="lowerLetter"/>
      <w:start w:val="1"/>
    </w:lvl>
  </w:abstractNum>
  <w:abstractNum w:abstractNumId="48">
    <w:nsid w:val="4F4EF005"/>
    <w:multiLevelType w:val="hybridMultilevel"/>
    <w:lvl w:ilvl="0">
      <w:lvlJc w:val="left"/>
      <w:lvlText w:val="(%1)"/>
      <w:numFmt w:val="lowerLetter"/>
      <w:start w:val="1"/>
    </w:lvl>
  </w:abstractNum>
  <w:abstractNum w:abstractNumId="49">
    <w:nsid w:val="23F9C13C"/>
    <w:multiLevelType w:val="hybridMultilevel"/>
    <w:lvl w:ilvl="0">
      <w:lvlJc w:val="left"/>
      <w:lvlText w:val="(%1)"/>
      <w:numFmt w:val="lowerLetter"/>
      <w:start w:val="1"/>
    </w:lvl>
  </w:abstractNum>
  <w:abstractNum w:abstractNumId="50">
    <w:nsid w:val="649BB77C"/>
    <w:multiLevelType w:val="hybridMultilevel"/>
    <w:lvl w:ilvl="0">
      <w:lvlJc w:val="left"/>
      <w:lvlText w:val="(%1)"/>
      <w:numFmt w:val="lowerLetter"/>
      <w:start w:val="1"/>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1)"/>
      <w:numFmt w:val="lowerLetter"/>
      <w:start w:val="1"/>
    </w:lvl>
  </w:abstractNum>
  <w:abstractNum w:abstractNumId="53">
    <w:nsid w:val="1CF10FD8"/>
    <w:multiLevelType w:val="hybridMultilevel"/>
    <w:lvl w:ilvl="0">
      <w:lvlJc w:val="left"/>
      <w:lvlText w:val="(%1)"/>
      <w:numFmt w:val="lowerLetter"/>
      <w:start w:val="2"/>
    </w:lvl>
  </w:abstractNum>
  <w:abstractNum w:abstractNumId="54">
    <w:nsid w:val="180115BE"/>
    <w:multiLevelType w:val="hybridMultilevel"/>
    <w:lvl w:ilvl="0">
      <w:lvlJc w:val="left"/>
      <w:lvlText w:val="(%1)"/>
      <w:numFmt w:val="lowerLetter"/>
      <w:start w:val="1"/>
    </w:lvl>
  </w:abstractNum>
  <w:abstractNum w:abstractNumId="55">
    <w:nsid w:val="235BA861"/>
    <w:multiLevelType w:val="hybridMultilevel"/>
    <w:lvl w:ilvl="0">
      <w:lvlJc w:val="left"/>
      <w:lvlText w:val="(%1)"/>
      <w:numFmt w:val="decimal"/>
      <w:start w:val="60"/>
    </w:lvl>
  </w:abstractNum>
  <w:abstractNum w:abstractNumId="56">
    <w:nsid w:val="47398C89"/>
    <w:multiLevelType w:val="hybridMultilevel"/>
    <w:lvl w:ilvl="0">
      <w:lvlJc w:val="left"/>
      <w:lvlText w:val="A"/>
      <w:numFmt w:val="bullet"/>
      <w:start w:val="1"/>
    </w:lvl>
  </w:abstractNum>
  <w:abstractNum w:abstractNumId="57">
    <w:nsid w:val="354FE9F9"/>
    <w:multiLevelType w:val="hybridMultilevel"/>
    <w:lvl w:ilvl="0">
      <w:lvlJc w:val="left"/>
      <w:lvlText w:val="%1."/>
      <w:numFmt w:val="decimal"/>
      <w:start w:val="2"/>
    </w:lvl>
  </w:abstractNum>
  <w:abstractNum w:abstractNumId="58">
    <w:nsid w:val="15B5AF5C"/>
    <w:multiLevelType w:val="hybridMultilevel"/>
    <w:lvl w:ilvl="0">
      <w:lvlJc w:val="left"/>
      <w:lvlText w:val="B"/>
      <w:numFmt w:val="bullet"/>
      <w:start w:val="1"/>
    </w:lvl>
  </w:abstractNum>
  <w:abstractNum w:abstractNumId="59">
    <w:nsid w:val="741226BB"/>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2019-12-05T21:45:03Z</dcterms:created>
  <dcterms:modified xsi:type="dcterms:W3CDTF">2019-12-05T21:45:03Z</dcterms:modified>
</cp:coreProperties>
</file>