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417830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443230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 the quarterly period ended June 30, 2021</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47"/>
        </w:trPr>
        <w:tc>
          <w:tcPr>
            <w:tcW w:w="3740" w:type="dxa"/>
            <w:vAlign w:val="bottom"/>
            <w:gridSpan w:val="2"/>
          </w:tcPr>
          <w:p>
            <w:pPr>
              <w:jc w:val="center"/>
              <w:ind w:right="14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jc w:val="center"/>
              <w:ind w:left="548"/>
              <w:spacing w:after="0" w:line="14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76"/>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89"/>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304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6"/>
                <w:szCs w:val="16"/>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2" w:lineRule="exact"/>
        <w:rPr>
          <w:sz w:val="24"/>
          <w:szCs w:val="24"/>
          <w:color w:val="auto"/>
        </w:rPr>
      </w:pPr>
    </w:p>
    <w:p>
      <w:pPr>
        <w:ind w:right="8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47" w:right="359" w:bottom="1440" w:gutter="0" w:footer="0" w:header="0"/>
        </w:sectPr>
      </w:pPr>
    </w:p>
    <w:p>
      <w:pPr>
        <w:spacing w:after="0" w:line="96" w:lineRule="exact"/>
        <w:rPr>
          <w:sz w:val="24"/>
          <w:szCs w:val="24"/>
          <w:color w:val="auto"/>
        </w:rPr>
      </w:pPr>
    </w:p>
    <w:p>
      <w:pPr>
        <w:ind w:left="100" w:right="880"/>
        <w:spacing w:after="0" w:line="379"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43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47" w:right="359" w:bottom="1440" w:gutter="0" w:footer="0" w:header="0"/>
          <w:type w:val="continuous"/>
        </w:sectPr>
      </w:pPr>
    </w:p>
    <w:p>
      <w:pPr>
        <w:ind w:right="2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66,542,531 shares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6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760" w:type="dxa"/>
            <w:vAlign w:val="bottom"/>
            <w:gridSpan w:val="1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820" w:type="dxa"/>
            <w:vAlign w:val="bottom"/>
            <w:gridSpan w:val="17"/>
          </w:tcPr>
          <w:p>
            <w:pPr>
              <w:spacing w:after="0" w:line="19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Condensed Statements of Comprehensive Income for the Three and Six Months Ended June 30,</w:t>
              </w:r>
            </w:hyperlink>
          </w:p>
        </w:tc>
        <w:tc>
          <w:tcPr>
            <w:tcW w:w="620" w:type="dxa"/>
            <w:vAlign w:val="bottom"/>
            <w:gridSpan w:val="2"/>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10"/>
          </w:tcPr>
          <w:p>
            <w:pPr>
              <w:spacing w:after="0" w:line="202"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2021 and 2020 (Unaudited)</w:t>
              </w:r>
            </w:hyperlink>
          </w:p>
        </w:tc>
        <w:tc>
          <w:tcPr>
            <w:tcW w:w="6620" w:type="dxa"/>
            <w:vAlign w:val="bottom"/>
            <w:tcBorders>
              <w:top w:val="single" w:sz="8" w:color="0000FF"/>
            </w:tcBorders>
            <w:gridSpan w:val="7"/>
          </w:tcPr>
          <w:p>
            <w:pPr>
              <w:spacing w:after="0"/>
              <w:rPr>
                <w:sz w:val="17"/>
                <w:szCs w:val="17"/>
                <w:color w:val="auto"/>
              </w:rPr>
            </w:pPr>
          </w:p>
        </w:tc>
        <w:tc>
          <w:tcPr>
            <w:tcW w:w="6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Condensed Balance Sheets as of June </w:t>
              </w:r>
            </w:hyperlink>
            <w:r>
              <w:rPr>
                <w:rFonts w:ascii="Arial" w:cs="Arial" w:eastAsia="Arial" w:hAnsi="Arial"/>
                <w:sz w:val="18"/>
                <w:szCs w:val="18"/>
                <w:color w:val="0000FF"/>
              </w:rPr>
              <w:t xml:space="preserve">30, </w:t>
            </w:r>
            <w:hyperlink w:anchor="page6">
              <w:r>
                <w:rPr>
                  <w:rFonts w:ascii="Arial" w:cs="Arial" w:eastAsia="Arial" w:hAnsi="Arial"/>
                  <w:sz w:val="18"/>
                  <w:szCs w:val="18"/>
                  <w:color w:val="0000FF"/>
                </w:rPr>
                <w:t>2021 and December 31, 2020 (Unaudited)</w:t>
              </w:r>
            </w:hyperlink>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70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8240" w:type="dxa"/>
            <w:vAlign w:val="bottom"/>
            <w:gridSpan w:val="16"/>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Consolidated Condensed Statements of Cash Flows for the Six Months Ended June 30, 2021 and 2020</w:t>
              </w:r>
            </w:hyperlink>
          </w:p>
        </w:tc>
        <w:tc>
          <w:tcPr>
            <w:tcW w:w="1200" w:type="dxa"/>
            <w:vAlign w:val="bottom"/>
            <w:gridSpan w:val="3"/>
          </w:tcPr>
          <w:p>
            <w:pPr>
              <w:spacing w:after="0"/>
              <w:rPr>
                <w:sz w:val="20"/>
                <w:szCs w:val="20"/>
                <w:color w:val="auto"/>
              </w:rPr>
            </w:pP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240" w:type="dxa"/>
            <w:vAlign w:val="bottom"/>
            <w:tcBorders>
              <w:top w:val="single" w:sz="8" w:color="0000FF"/>
            </w:tcBorders>
            <w:gridSpan w:val="16"/>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1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000" w:type="dxa"/>
            <w:vAlign w:val="bottom"/>
            <w:gridSpan w:val="18"/>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Consolidated Condensed Statements of Stockholders’ Equity for the Three and Six Months Ended June 30, 2021</w:t>
              </w:r>
            </w:hyperlink>
          </w:p>
        </w:tc>
        <w:tc>
          <w:tcPr>
            <w:tcW w:w="440" w:type="dxa"/>
            <w:vAlign w:val="bottom"/>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9000" w:type="dxa"/>
            <w:vAlign w:val="bottom"/>
            <w:tcBorders>
              <w:top w:val="single" w:sz="8" w:color="0000FF"/>
            </w:tcBorders>
            <w:gridSpan w:val="18"/>
          </w:tcPr>
          <w:p>
            <w:pPr>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and 2020 (Unaudited)</w:t>
              </w:r>
            </w:hyperlink>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Condensed Financial Statements (Unaudited)</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18"/>
                <w:szCs w:val="18"/>
                <w:color w:val="auto"/>
              </w:rPr>
            </w:pPr>
          </w:p>
        </w:tc>
        <w:tc>
          <w:tcPr>
            <w:tcW w:w="474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7440" w:type="dxa"/>
            <w:vAlign w:val="bottom"/>
            <w:gridSpan w:val="10"/>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Legal Proceedings</w:t>
              </w:r>
            </w:hyperlink>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Unregistered Sales of Equity Securities and Use of Proceeds</w:t>
              </w:r>
            </w:hyperlink>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1">
              <w:r>
                <w:rPr>
                  <w:rFonts w:ascii="Arial" w:cs="Arial" w:eastAsia="Arial" w:hAnsi="Arial"/>
                  <w:sz w:val="18"/>
                  <w:szCs w:val="18"/>
                  <w:color w:val="0000FF"/>
                  <w:w w:val="98"/>
                </w:rPr>
                <w:t>Exhibits</w:t>
              </w:r>
            </w:hyperlink>
          </w:p>
        </w:tc>
        <w:tc>
          <w:tcPr>
            <w:tcW w:w="4220" w:type="dxa"/>
            <w:vAlign w:val="bottom"/>
            <w:gridSpan w:val="11"/>
          </w:tcPr>
          <w:p>
            <w:pPr>
              <w:spacing w:after="0"/>
              <w:rPr>
                <w:sz w:val="18"/>
                <w:szCs w:val="18"/>
                <w:color w:val="auto"/>
              </w:rPr>
            </w:pP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pandemic, and the continued restrictions that have been placed on travel in many countries and the resulting adverse impact on the global economy. These factors include, but are not limited to:</w:t>
      </w:r>
    </w:p>
    <w:p>
      <w:pPr>
        <w:spacing w:after="0" w:line="238" w:lineRule="exact"/>
        <w:rPr>
          <w:sz w:val="20"/>
          <w:szCs w:val="20"/>
          <w:color w:val="auto"/>
        </w:rPr>
      </w:pPr>
    </w:p>
    <w:p>
      <w:pPr>
        <w:jc w:val="both"/>
        <w:ind w:left="66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28"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our business plans, deterioration in general economic conditions of the countries in which we operate, or significant changes in the assumptions and estimates that are used in our impairment testing for goodwill or intangible assets, which could result in a significant impairment of our goodwill; and</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those discussed in “Management’s Discussion and Analysis of Financial Condition and Results of Operations,” in Item 2 and “Risk Factors” in Item 1A in this quarterly report and in similarly titled sections set forth in Item 7 and in Item 1A and in other portions of our 2020 Annual Report on Form 10-K filed with the Securities and Exchange Commission on February 17, 2021 (the “2020 Form 10-K”), may cause actual results to differ materially from those projected in any forward-looking statements.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8,365</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3"/>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9,173</w:t>
            </w:r>
          </w:p>
        </w:tc>
        <w:tc>
          <w:tcPr>
            <w:tcW w:w="0" w:type="dxa"/>
            <w:vAlign w:val="bottom"/>
          </w:tcPr>
          <w:p>
            <w:pPr>
              <w:spacing w:after="0"/>
              <w:rPr>
                <w:sz w:val="1"/>
                <w:szCs w:val="1"/>
                <w:color w:val="auto"/>
              </w:rPr>
            </w:pPr>
          </w:p>
        </w:tc>
      </w:tr>
      <w:tr>
        <w:trPr>
          <w:trHeight w:val="183"/>
        </w:trPr>
        <w:tc>
          <w:tcPr>
            <w:tcW w:w="776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7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8,640</w:t>
            </w:r>
          </w:p>
        </w:tc>
        <w:tc>
          <w:tcPr>
            <w:tcW w:w="0" w:type="dxa"/>
            <w:vAlign w:val="bottom"/>
          </w:tcPr>
          <w:p>
            <w:pPr>
              <w:spacing w:after="0"/>
              <w:rPr>
                <w:sz w:val="1"/>
                <w:szCs w:val="1"/>
                <w:color w:val="auto"/>
              </w:rPr>
            </w:pPr>
          </w:p>
        </w:tc>
      </w:tr>
      <w:tr>
        <w:trPr>
          <w:trHeight w:val="170"/>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3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67 shares, respectively</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center"/>
              <w:ind w:right="310"/>
              <w:spacing w:after="0" w:line="202" w:lineRule="exact"/>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center"/>
              <w:ind w:right="310"/>
              <w:spacing w:after="0" w:line="202" w:lineRule="exact"/>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74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760" w:type="dxa"/>
            <w:vAlign w:val="bottom"/>
            <w:gridSpan w:val="5"/>
          </w:tcPr>
          <w:p>
            <w:pPr>
              <w:ind w:left="4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Additional Paid-in</w:t>
            </w: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rPr>
              <w:t>Comprehensive Income</w:t>
            </w: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restart"/>
          </w:tcPr>
          <w:p>
            <w:pPr>
              <w:jc w:val="right"/>
              <w:ind w:right="46"/>
              <w:spacing w:after="0" w:line="95"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 Deficit</w:t>
            </w:r>
          </w:p>
        </w:tc>
        <w:tc>
          <w:tcPr>
            <w:tcW w:w="1400" w:type="dxa"/>
            <w:vAlign w:val="bottom"/>
            <w:gridSpan w:val="3"/>
            <w:vMerge w:val="continue"/>
          </w:tcPr>
          <w:p>
            <w:pPr>
              <w:spacing w:after="0" w:line="20" w:lineRule="exact"/>
              <w:rPr>
                <w:sz w:val="1"/>
                <w:szCs w:val="1"/>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2021</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6,642</w:t>
            </w:r>
          </w:p>
        </w:tc>
        <w:tc>
          <w:tcPr>
            <w:tcW w:w="100" w:type="dxa"/>
            <w:vAlign w:val="bottom"/>
          </w:tcPr>
          <w:p>
            <w:pPr>
              <w:spacing w:after="0"/>
              <w:rPr>
                <w:sz w:val="11"/>
                <w:szCs w:val="11"/>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(1,640)</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(5,156)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(1,242)</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2020</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2560" w:type="dxa"/>
            <w:vAlign w:val="bottom"/>
            <w:vMerge w:val="continue"/>
          </w:tcPr>
          <w:p>
            <w:pPr>
              <w:spacing w:after="0"/>
              <w:rPr>
                <w:sz w:val="24"/>
                <w:szCs w:val="2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6,677</w:t>
            </w:r>
          </w:p>
        </w:tc>
        <w:tc>
          <w:tcPr>
            <w:tcW w:w="100" w:type="dxa"/>
            <w:vAlign w:val="bottom"/>
          </w:tcPr>
          <w:p>
            <w:pPr>
              <w:spacing w:after="0"/>
              <w:rPr>
                <w:sz w:val="24"/>
                <w:szCs w:val="24"/>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(67.5)</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(5,186)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(448)</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Non-controlling interest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6,670</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(1,425)</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74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76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60" w:type="dxa"/>
            <w:vAlign w:val="bottom"/>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rPr>
              <w:t>Additional Paid-in</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3"/>
            <w:vMerge w:val="restart"/>
          </w:tcPr>
          <w:p>
            <w:pPr>
              <w:jc w:val="center"/>
              <w:ind w:right="120"/>
              <w:spacing w:after="0" w:line="88" w:lineRule="exact"/>
              <w:rPr>
                <w:sz w:val="20"/>
                <w:szCs w:val="20"/>
                <w:color w:val="auto"/>
              </w:rPr>
            </w:pPr>
            <w:r>
              <w:rPr>
                <w:rFonts w:ascii="Arial" w:cs="Arial" w:eastAsia="Arial" w:hAnsi="Arial"/>
                <w:sz w:val="10"/>
                <w:szCs w:val="10"/>
                <w:b w:val="1"/>
                <w:bCs w:val="1"/>
                <w:color w:val="auto"/>
              </w:rPr>
              <w:t>Comprehensive Income</w:t>
            </w:r>
          </w:p>
        </w:tc>
        <w:tc>
          <w:tcPr>
            <w:tcW w:w="17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jc w:val="right"/>
              <w:ind w:right="46"/>
              <w:spacing w:after="0" w:line="88"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 Deficit</w:t>
            </w:r>
          </w:p>
        </w:tc>
        <w:tc>
          <w:tcPr>
            <w:tcW w:w="1400" w:type="dxa"/>
            <w:vAlign w:val="bottom"/>
            <w:gridSpan w:val="3"/>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2020</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00" w:type="dxa"/>
            <w:vAlign w:val="bottom"/>
          </w:tcPr>
          <w:p>
            <w:pPr>
              <w:spacing w:after="0"/>
              <w:rPr>
                <w:sz w:val="11"/>
                <w:szCs w:val="11"/>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(1,470)</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(67.3)</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(5,167)</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(1,242)</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60" w:type="dxa"/>
            <w:vAlign w:val="bottom"/>
            <w:vMerge w:val="continue"/>
          </w:tcPr>
          <w:p>
            <w:pPr>
              <w:spacing w:after="0"/>
              <w:rPr>
                <w:sz w:val="23"/>
                <w:szCs w:val="2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3"/>
                <w:szCs w:val="2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6,741</w:t>
            </w:r>
          </w:p>
        </w:tc>
        <w:tc>
          <w:tcPr>
            <w:tcW w:w="100" w:type="dxa"/>
            <w:vAlign w:val="bottom"/>
          </w:tcPr>
          <w:p>
            <w:pPr>
              <w:spacing w:after="0"/>
              <w:rPr>
                <w:sz w:val="23"/>
                <w:szCs w:val="23"/>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(785)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23"/>
                <w:szCs w:val="2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(5,144)</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Non-controlling interest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6,670</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(1,425)</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the following reportable business segments:</w:t>
      </w:r>
    </w:p>
    <w:p>
      <w:pPr>
        <w:spacing w:after="0" w:line="230" w:lineRule="exact"/>
        <w:rPr>
          <w:sz w:val="20"/>
          <w:szCs w:val="20"/>
          <w:color w:val="auto"/>
        </w:rPr>
      </w:pPr>
    </w:p>
    <w:p>
      <w:pPr>
        <w:jc w:val="both"/>
        <w:ind w:left="130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62" w:lineRule="exact"/>
        <w:rPr>
          <w:rFonts w:ascii="Arial" w:cs="Arial" w:eastAsia="Arial" w:hAnsi="Arial"/>
          <w:sz w:val="18"/>
          <w:szCs w:val="18"/>
          <w:color w:val="auto"/>
        </w:rPr>
      </w:pPr>
    </w:p>
    <w:p>
      <w:pPr>
        <w:jc w:val="both"/>
        <w:ind w:left="130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22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the Company’s 2020 acquisitions of various licensees were not material.</w:t>
      </w:r>
    </w:p>
    <w:p>
      <w:pPr>
        <w:spacing w:after="0" w:line="229"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2020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3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COVID-19 pandemic, which rapidly spread across the globe in 2020, resulted in an economic slowdown and significant disruptions in travel that had a negative impact on our business, specifically a significant decline in vehicle rental volumes. During the first half of 2021, global travel restrictions were eased, leading to an increase in travel demand and an improvement in general economic conditions. The Company believes the full extent of the ongoing impact of this virus on its long-term operational performance and liquidity will depend on future developments, including those outside of its control, such as the spread of new variants of the virus which may be resistant to currently approved vaccines and the implementation of new or continued travel restrictions.</w:t>
      </w:r>
    </w:p>
    <w:p>
      <w:pPr>
        <w:spacing w:after="0" w:line="23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remained in place after the Amendment. The Amendment provided for relief from a quarterly-tested leverage covenant contained in the credit agreement governing the senior credit facilities until June 30, 2021, during which time additional restrictions and requirements were also imposed. The Company subsequently further amended the credit agreement in February 2021 to permit refinancing of certain existing indebtedness and in July 2021 to remove the restrictions imposed in April 2020, increase the revolving credit facility to $1.95 billion and extend the maturity of the facility to 2026. As a result, the Company has no meaningful corporate debt maturities until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volatility in demand, and as a consequence, its ability to be predictive is uncertain. The Company plans to finance routine Asset Backed Securities (“ABS”) maturities with program cash on hand, available revolving debt capacity, new term note issuances and fleet sales. As a result, based on current operational assumptions, the Company believes it has adequate liquidity beyond the next twelve months.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7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2020 Form 10-K.</w:t>
      </w:r>
    </w:p>
    <w:p>
      <w:pPr>
        <w:spacing w:after="0" w:line="20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7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Program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1"/>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198" w:lineRule="auto"/>
        <w:tabs>
          <w:tab w:leader="none" w:pos="8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1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14"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June 30, 2021 and 2020, the Company recorded an immaterial amount in each period, related to such items. During the six months ended June 30, 2021 and 2020, the Company recorded an immaterial amount and a loss of $6 million, respectively, related to such items.</w:t>
      </w:r>
    </w:p>
    <w:p>
      <w:pPr>
        <w:spacing w:after="0" w:line="207"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May 2021, the Company completed the sale of its operation in Argentina to Urbiz S.A. for $4 million. As part of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Urbiz S.A. agreed to pay the purchase price, plus interest, over two years for the right to operate the Avis and Budget brands. During the six months ended June 30, 2021, the Company recorded a loss of $14 million, net of the impact of foreign currency adjustments, within restructuring and other related charges. In addition, the Company paid severance to terminated employees of $1 million.</w:t>
      </w:r>
    </w:p>
    <w:p>
      <w:pPr>
        <w:spacing w:after="0" w:line="207"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2021 and December 31, 2020, the Company had equity method investments with a carrying value of $66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$63 million, respectively, which are recorded within other non-current assets. Earnings from the Company’s equity method investments are reported within operating expenses. For the three and six months ended June 30, 2021, the Company recorded $2 million, respectively, and for the three and six months ended June 30, 2020, the Company recorded $1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respectively, related to its equity method investments.</w:t>
      </w:r>
    </w:p>
    <w:p>
      <w:pPr>
        <w:spacing w:after="0" w:line="234"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June 30, 2021 and December 31, 2020, the Company had nonmarketable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carrying value of $8 million, respectively, which are recorded within other non-current assets. No adjustments were made to the carrying amounts during the three and six months ended June 30, 2021 and 2020.</w:t>
      </w:r>
    </w:p>
    <w:p>
      <w:pPr>
        <w:spacing w:after="0" w:line="20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$19 million and $22 million during the three months ended June 30, 2021 and 2020, respectively and $59 million and $54 million during the six months ended June 30, 2021 and 2020,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480" w:type="dxa"/>
            <w:vAlign w:val="bottom"/>
            <w:gridSpan w:val="4"/>
          </w:tcPr>
          <w:p>
            <w:pPr>
              <w:jc w:val="right"/>
              <w:ind w:right="76"/>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2020</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Americas</w:t>
            </w: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1,974</w:t>
            </w:r>
          </w:p>
        </w:tc>
        <w:tc>
          <w:tcPr>
            <w:tcW w:w="100" w:type="dxa"/>
            <w:vAlign w:val="bottom"/>
          </w:tcPr>
          <w:p>
            <w:pPr>
              <w:spacing w:after="0"/>
              <w:rPr>
                <w:sz w:val="18"/>
                <w:szCs w:val="18"/>
                <w:color w:val="auto"/>
              </w:rPr>
            </w:pPr>
          </w:p>
        </w:tc>
        <w:tc>
          <w:tcPr>
            <w:tcW w:w="980" w:type="dxa"/>
            <w:vAlign w:val="bottom"/>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1,822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Asia and Australasia</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2,371</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1"/>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460" w:type="dxa"/>
            <w:vAlign w:val="bottom"/>
            <w:gridSpan w:val="4"/>
          </w:tcPr>
          <w:p>
            <w:pPr>
              <w:jc w:val="right"/>
              <w:ind w:right="76"/>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637"/>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2020</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1,204</w:t>
            </w:r>
          </w:p>
        </w:tc>
        <w:tc>
          <w:tcPr>
            <w:tcW w:w="12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Budget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2,371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0"/>
        </w:trPr>
        <w:tc>
          <w:tcPr>
            <w:tcW w:w="4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13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On January 1, 2021, as the result of a new accounting pronouncement, the Company adopted ASU 2019-12, “Simplifying the Accounting for Income Taxes,” which simplifies the accounting for income taxes by removing certain exceptions and improving the application of existing guidance. The adoption of this accounting pronouncement did not have a material impact on the Company's Consolidated Condensed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135"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On January 1, 2021, as the result of a new accounting pronouncement, the Company adopted ASU 2018-14, “Disclosure Framework— 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The adoption of this accounting pronouncement did not have a material impact on the Company's Consolidated Condensed Financial Statements.</w:t>
      </w:r>
    </w:p>
    <w:p>
      <w:pPr>
        <w:spacing w:after="0" w:line="197" w:lineRule="exact"/>
        <w:rPr>
          <w:sz w:val="20"/>
          <w:szCs w:val="20"/>
          <w:color w:val="auto"/>
        </w:rPr>
      </w:pPr>
    </w:p>
    <w:p>
      <w:pPr>
        <w:ind w:left="500" w:right="10160" w:hanging="492"/>
        <w:spacing w:after="0" w:line="318" w:lineRule="auto"/>
        <w:tabs>
          <w:tab w:leader="none" w:pos="36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Company’s lease revenues disaggregated by geography.</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4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Months Ended</w:t>
      </w:r>
    </w:p>
    <w:p>
      <w:pPr>
        <w:ind w:left="110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3,026</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100"/>
            <w:col w:w="3520"/>
          </w:cols>
          <w:pgMar w:left="320" w:top="140" w:right="339" w:bottom="1440" w:gutter="0" w:footer="0" w:header="0"/>
        </w:sectPr>
      </w:pP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Avis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Budget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Months Ended</w:t>
      </w:r>
    </w:p>
    <w:p>
      <w:pPr>
        <w:ind w:left="11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32" w:lineRule="exact"/>
        <w:rPr>
          <w:sz w:val="20"/>
          <w:szCs w:val="20"/>
          <w:color w:val="auto"/>
        </w:rPr>
      </w:pPr>
    </w:p>
    <w:p>
      <w:pPr>
        <w:sectPr>
          <w:pgSz w:w="11900" w:h="16838" w:orient="portrait"/>
          <w:cols w:equalWidth="0" w:num="2">
            <w:col w:w="7560" w:space="100"/>
            <w:col w:w="3580"/>
          </w:cols>
          <w:pgMar w:left="320" w:top="140" w:right="339" w:bottom="1440" w:gutter="0" w:footer="0" w:header="0"/>
          <w:type w:val="continuous"/>
        </w:sectPr>
      </w:pPr>
    </w:p>
    <w:p>
      <w:pPr>
        <w:spacing w:after="0" w:line="1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The Company’s operating leases for rental locations often also require the Company to pay or reimburse operating expenses.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460" w:type="dxa"/>
            <w:vAlign w:val="bottom"/>
            <w:gridSpan w:val="4"/>
          </w:tcPr>
          <w:p>
            <w:pPr>
              <w:jc w:val="right"/>
              <w:ind w:right="70"/>
              <w:spacing w:after="0" w:line="202"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 property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right="60" w:hanging="326"/>
        <w:spacing w:after="0" w:line="249" w:lineRule="auto"/>
        <w:tabs>
          <w:tab w:leader="none" w:pos="770" w:val="left"/>
        </w:tabs>
        <w:numPr>
          <w:ilvl w:val="0"/>
          <w:numId w:val="7"/>
        </w:numPr>
        <w:rPr>
          <w:rFonts w:ascii="Arial" w:cs="Arial" w:eastAsia="Arial" w:hAnsi="Arial"/>
          <w:sz w:val="9"/>
          <w:szCs w:val="9"/>
          <w:color w:val="auto"/>
        </w:rPr>
      </w:pPr>
      <w:r>
        <w:rPr>
          <w:rFonts w:ascii="Arial" w:cs="Arial" w:eastAsia="Arial" w:hAnsi="Arial"/>
          <w:sz w:val="14"/>
          <w:szCs w:val="14"/>
          <w:color w:val="auto"/>
        </w:rPr>
        <w:t>Primarily within operating expense and includes $(3) million and $30 million for the three months ended June 30, 2021 and 2020, respectively, and $16 million and $30 million for the six months ended June 30, 2021 and 2020, respectively, of minimum annual guaranteed rent in excess of concession fees, net, as defined in our rental concession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Property leases</w:t>
            </w:r>
          </w:p>
        </w:tc>
        <w:tc>
          <w:tcPr>
            <w:tcW w:w="320" w:type="dxa"/>
            <w:vAlign w:val="bottom"/>
          </w:tcPr>
          <w:p>
            <w:pPr>
              <w:spacing w:after="0"/>
              <w:rPr>
                <w:sz w:val="19"/>
                <w:szCs w:val="19"/>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 2021</w:t>
            </w:r>
          </w:p>
        </w:tc>
        <w:tc>
          <w:tcPr>
            <w:tcW w:w="220" w:type="dxa"/>
            <w:vAlign w:val="bottom"/>
          </w:tcPr>
          <w:p>
            <w:pPr>
              <w:spacing w:after="0"/>
              <w:rPr>
                <w:sz w:val="19"/>
                <w:szCs w:val="19"/>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4"/>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ROU assets</w:t>
            </w:r>
          </w:p>
        </w:tc>
        <w:tc>
          <w:tcPr>
            <w:tcW w:w="32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24"/>
                <w:szCs w:val="24"/>
                <w:color w:val="auto"/>
              </w:rPr>
            </w:pPr>
          </w:p>
        </w:tc>
        <w:tc>
          <w:tcPr>
            <w:tcW w:w="2020" w:type="dxa"/>
            <w:vAlign w:val="bottom"/>
            <w:gridSpan w:val="2"/>
          </w:tcPr>
          <w:p>
            <w:pPr>
              <w:ind w:left="1160"/>
              <w:spacing w:after="0"/>
              <w:rPr>
                <w:sz w:val="20"/>
                <w:szCs w:val="20"/>
                <w:color w:val="auto"/>
              </w:rPr>
            </w:pPr>
            <w:r>
              <w:rPr>
                <w:rFonts w:ascii="Arial" w:cs="Arial" w:eastAsia="Arial" w:hAnsi="Arial"/>
                <w:sz w:val="18"/>
                <w:szCs w:val="18"/>
                <w:color w:val="auto"/>
              </w:rPr>
              <w:t>8.3 years</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 years</w:t>
            </w:r>
          </w:p>
        </w:tc>
        <w:tc>
          <w:tcPr>
            <w:tcW w:w="0" w:type="dxa"/>
            <w:vAlign w:val="bottom"/>
          </w:tcPr>
          <w:p>
            <w:pPr>
              <w:spacing w:after="0"/>
              <w:rPr>
                <w:sz w:val="1"/>
                <w:szCs w:val="1"/>
                <w:color w:val="auto"/>
              </w:rPr>
            </w:pP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05"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18"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Six Months Ended</w:t>
      </w:r>
    </w:p>
    <w:p>
      <w:pPr>
        <w:ind w:left="876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7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r>
    </w:tbl>
    <w:p>
      <w:pPr>
        <w:spacing w:after="0" w:line="3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Restructuring and 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3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During first quarter 2021, the Company initiated a global restructuring plan to focus on cost discipline by reviewing headcounts, facilities and contractor agreements. The Company is transforming its business as it prepares to exit the COVID-19 crisis by controlling fixed costs and matching variable costs to demand (“T21”). During the six months ended June 30, 2021, as part of this process, the Company formally communicated the termination of employment to approximately 140 employees, and as of June 30, 2021, the Company terminated approximately 120 of these employees. The Company expects further restructuring expense of approximately $40 million related to this initiative to be incurred in 2021.</w:t>
      </w:r>
    </w:p>
    <w:p>
      <w:pPr>
        <w:spacing w:after="0" w:line="23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The Company expects no further restructuring expense related to this initiative.</w:t>
      </w:r>
    </w:p>
    <w:p>
      <w:pPr>
        <w:spacing w:after="0" w:line="22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truck rental operations in the U.S. by reducing headcount, large vehicles and rental locations (“T19”). This initiative is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w w:val="99"/>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color w:val="auto"/>
              </w:rPr>
              <w:t>T19</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T19</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June 30, 2021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4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Personnel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108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T19</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T19</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June 30, 2021</w:t>
            </w: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8" w:lineRule="auto"/>
        <w:tabs>
          <w:tab w:leader="none" w:pos="8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135"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During second quarter 2021, the Company’s operations in International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six months ended June 30, 2021, the Company recorded other related charges of approximately $17 million in connection with the LVOP. As of June 30, 2021, approximately 120 employees elected to participate in the plan and the employment of all participants had been terminated.</w:t>
      </w:r>
    </w:p>
    <w:p>
      <w:pPr>
        <w:spacing w:after="0" w:line="23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six months ended June 30, 2020, the Company recorded other related charges of approximately $18 million in connection with the LVOP.</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13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54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Net income (loss) for basic and diluted EPS</w:t>
            </w: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365"/>
        </w:trPr>
        <w:tc>
          <w:tcPr>
            <w:tcW w:w="514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69.9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22"/>
        </w:trPr>
        <w:tc>
          <w:tcPr>
            <w:tcW w:w="5140" w:type="dxa"/>
            <w:vAlign w:val="bottom"/>
          </w:tcPr>
          <w:p>
            <w:pPr>
              <w:spacing w:after="0" w:line="222"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7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70.6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6"/>
                <w:szCs w:val="16"/>
                <w:i w:val="1"/>
                <w:iCs w:val="1"/>
                <w:color w:val="auto"/>
              </w:rPr>
              <w:t>Earnings (loss) per share:</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1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6"/>
                <w:szCs w:val="16"/>
                <w:color w:val="auto"/>
              </w:rPr>
              <w:t>Basic</w:t>
            </w: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6"/>
              </w:rPr>
              <w:t>5.69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6"/>
                <w:szCs w:val="16"/>
                <w:color w:val="auto"/>
              </w:rPr>
              <w:t>Diluted</w:t>
            </w: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6"/>
              </w:rPr>
              <w:t>5.63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20" w:hanging="326"/>
        <w:spacing w:after="0" w:line="216" w:lineRule="auto"/>
        <w:tabs>
          <w:tab w:leader="none" w:pos="813" w:val="left"/>
        </w:tabs>
        <w:numPr>
          <w:ilvl w:val="1"/>
          <w:numId w:val="11"/>
        </w:numPr>
        <w:rPr>
          <w:rFonts w:ascii="Arial" w:cs="Arial" w:eastAsia="Arial" w:hAnsi="Arial"/>
          <w:sz w:val="21"/>
          <w:szCs w:val="21"/>
          <w:i w:val="1"/>
          <w:iCs w:val="1"/>
          <w:color w:val="auto"/>
          <w:vertAlign w:val="superscript"/>
        </w:rPr>
      </w:pPr>
      <w:r>
        <w:rPr>
          <w:rFonts w:ascii="Arial" w:cs="Arial" w:eastAsia="Arial" w:hAnsi="Arial"/>
          <w:sz w:val="16"/>
          <w:szCs w:val="16"/>
          <w:color w:val="auto"/>
        </w:rPr>
        <w:t>For the three and six months ended June 30, 2020, 1.3 million non-vested stock awards, respectively, have an anti-dilutive effect and therefore are excluded from the computation of diluted weighted average shares outstanding.</w:t>
      </w:r>
    </w:p>
    <w:p>
      <w:pPr>
        <w:spacing w:after="0" w:line="213" w:lineRule="exact"/>
        <w:rPr>
          <w:rFonts w:ascii="Arial" w:cs="Arial" w:eastAsia="Arial" w:hAnsi="Arial"/>
          <w:sz w:val="21"/>
          <w:szCs w:val="21"/>
          <w:i w:val="1"/>
          <w:iCs w:val="1"/>
          <w:color w:val="auto"/>
          <w:vertAlign w:val="superscript"/>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As of</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jc w:val="right"/>
              <w:ind w:right="759"/>
              <w:spacing w:after="0"/>
              <w:rPr>
                <w:sz w:val="20"/>
                <w:szCs w:val="20"/>
                <w:color w:val="auto"/>
              </w:rPr>
            </w:pPr>
            <w:r>
              <w:rPr>
                <w:rFonts w:ascii="Arial" w:cs="Arial" w:eastAsia="Arial" w:hAnsi="Arial"/>
                <w:sz w:val="16"/>
                <w:szCs w:val="16"/>
                <w:b w:val="1"/>
                <w:bCs w:val="1"/>
                <w:color w:val="auto"/>
              </w:rPr>
              <w:t>As of</w:t>
            </w:r>
          </w:p>
        </w:tc>
      </w:tr>
      <w:tr>
        <w:trPr>
          <w:trHeight w:val="215"/>
        </w:trPr>
        <w:tc>
          <w:tcPr>
            <w:tcW w:w="60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31, 2020</w:t>
            </w:r>
          </w:p>
        </w:tc>
      </w:tr>
      <w:tr>
        <w:trPr>
          <w:trHeight w:val="204"/>
        </w:trPr>
        <w:tc>
          <w:tcPr>
            <w:tcW w:w="6020" w:type="dxa"/>
            <w:vAlign w:val="bottom"/>
          </w:tcPr>
          <w:p>
            <w:pPr>
              <w:spacing w:after="0"/>
              <w:rPr>
                <w:sz w:val="20"/>
                <w:szCs w:val="20"/>
                <w:color w:val="auto"/>
              </w:rPr>
            </w:pPr>
            <w:r>
              <w:rPr>
                <w:rFonts w:ascii="Arial" w:cs="Arial" w:eastAsia="Arial" w:hAnsi="Arial"/>
                <w:sz w:val="16"/>
                <w:szCs w:val="16"/>
                <w:color w:val="auto"/>
              </w:rPr>
              <w:t>Sales and use tax</w:t>
            </w:r>
          </w:p>
        </w:tc>
        <w:tc>
          <w:tcPr>
            <w:tcW w:w="1600" w:type="dxa"/>
            <w:vAlign w:val="bottom"/>
          </w:tcPr>
          <w:p>
            <w:pPr>
              <w:jc w:val="right"/>
              <w:ind w:right="13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6020" w:type="dxa"/>
            <w:vAlign w:val="bottom"/>
          </w:tcPr>
          <w:p>
            <w:pPr>
              <w:spacing w:after="0"/>
              <w:rPr>
                <w:sz w:val="20"/>
                <w:szCs w:val="20"/>
                <w:color w:val="auto"/>
              </w:rPr>
            </w:pPr>
            <w:r>
              <w:rPr>
                <w:rFonts w:ascii="Arial" w:cs="Arial" w:eastAsia="Arial" w:hAnsi="Arial"/>
                <w:sz w:val="16"/>
                <w:szCs w:val="16"/>
                <w:color w:val="auto"/>
              </w:rPr>
              <w:t>Prepaid expenses</w:t>
            </w:r>
          </w:p>
        </w:tc>
        <w:tc>
          <w:tcPr>
            <w:tcW w:w="1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6020" w:type="dxa"/>
            <w:vAlign w:val="bottom"/>
          </w:tcPr>
          <w:p>
            <w:pPr>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6020" w:type="dxa"/>
            <w:vAlign w:val="bottom"/>
          </w:tcPr>
          <w:p>
            <w:pPr>
              <w:spacing w:after="0"/>
              <w:rPr>
                <w:sz w:val="20"/>
                <w:szCs w:val="20"/>
                <w:color w:val="auto"/>
              </w:rPr>
            </w:pPr>
            <w:r>
              <w:rPr>
                <w:rFonts w:ascii="Arial" w:cs="Arial" w:eastAsia="Arial" w:hAnsi="Arial"/>
                <w:sz w:val="16"/>
                <w:szCs w:val="16"/>
                <w:color w:val="auto"/>
              </w:rPr>
              <w:t>Other current assets</w:t>
            </w:r>
          </w:p>
        </w:tc>
        <w:tc>
          <w:tcPr>
            <w:tcW w:w="160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r>
      <w:tr>
        <w:trPr>
          <w:trHeight w:val="20"/>
        </w:trPr>
        <w:tc>
          <w:tcPr>
            <w:tcW w:w="6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As of June 30, 2021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9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242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For the three months ended June 30, 2021 and 2020, amortization expense related to amortizable intangible assets was approximately $14 million and $16 million, respectively. For the six months ended June 30, 2021 and 2020, amortization expense related to amortizable intangible assets was approximately $32 million and $29 million, respectively. Based on the Company’s amortizable intangible assets at June 30, 2021, the Company expects amortization expense of approximately $26 million for the remainder of 2021, $34 million for 2022, $26 million for 2023, $23 million for 2024, $17 million for 2025 and $16 million for 2026, excluding effects of currency exchange rates.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r>
      <w:tr>
        <w:trPr>
          <w:trHeight w:val="207"/>
        </w:trPr>
        <w:tc>
          <w:tcPr>
            <w:tcW w:w="6580" w:type="dxa"/>
            <w:vAlign w:val="bottom"/>
          </w:tcPr>
          <w:p>
            <w:pPr>
              <w:spacing w:after="0"/>
              <w:rPr>
                <w:sz w:val="20"/>
                <w:szCs w:val="20"/>
                <w:color w:val="auto"/>
              </w:rPr>
            </w:pPr>
            <w:r>
              <w:rPr>
                <w:rFonts w:ascii="Arial" w:cs="Arial" w:eastAsia="Arial" w:hAnsi="Arial"/>
                <w:sz w:val="16"/>
                <w:szCs w:val="16"/>
                <w:color w:val="auto"/>
              </w:rPr>
              <w:t>Rental vehicles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13,164</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9,210</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r>
      <w:tr>
        <w:trPr>
          <w:trHeight w:val="206"/>
        </w:trPr>
        <w:tc>
          <w:tcPr>
            <w:tcW w:w="6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7,873</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Vehicles held for sale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Vehicles,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r>
      <w:tr>
        <w:trPr>
          <w:trHeight w:val="21"/>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04"/>
        </w:trPr>
        <w:tc>
          <w:tcPr>
            <w:tcW w:w="4140" w:type="dxa"/>
            <w:vAlign w:val="bottom"/>
          </w:tcPr>
          <w:p>
            <w:pPr>
              <w:spacing w:after="0"/>
              <w:rPr>
                <w:sz w:val="20"/>
                <w:szCs w:val="20"/>
                <w:color w:val="auto"/>
              </w:rPr>
            </w:pPr>
            <w:r>
              <w:rPr>
                <w:rFonts w:ascii="Arial" w:cs="Arial" w:eastAsia="Arial" w:hAnsi="Arial"/>
                <w:sz w:val="16"/>
                <w:szCs w:val="16"/>
                <w:color w:val="auto"/>
              </w:rPr>
              <w:t>Depreciation expense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7"/>
                <w:szCs w:val="17"/>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Lease charges</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414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414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21"/>
        </w:trPr>
        <w:tc>
          <w:tcPr>
            <w:tcW w:w="4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At June 30, 2021 and 2020, the Company had payables related to vehicle purchases included in liabilities under vehicle programs - other of $485 million and $150 million, respectively, and receivables related to vehicle sales included in assets under vehicle programs</w:t>
      </w:r>
    </w:p>
    <w:p>
      <w:pPr>
        <w:spacing w:after="0" w:line="1" w:lineRule="exact"/>
        <w:rPr>
          <w:sz w:val="20"/>
          <w:szCs w:val="20"/>
          <w:color w:val="auto"/>
        </w:rPr>
      </w:pPr>
    </w:p>
    <w:p>
      <w:pPr>
        <w:ind w:left="600" w:hanging="106"/>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receivables from vehicle manufacturers and other of $104 million and $419 million, respectively.</w:t>
      </w:r>
    </w:p>
    <w:p>
      <w:pPr>
        <w:spacing w:after="0" w:line="230"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Company’s effective tax rate for the six months ended June 30, 2021 and 2020 were provision (benefit) of 3.4% and (26.9)%, respectively. Such rates differed from the Federal Statutory rate of 21.0% primarily due to foreign taxes on our International operations and state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b w:val="1"/>
                <w:bCs w:val="1"/>
                <w:color w:val="auto"/>
              </w:rPr>
              <w:t>9.  Accounts Payable and Other Current Liabilities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7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30"/>
        </w:trPr>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30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Deferred lease revenues – current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1"/>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Corporate Debt and Borrowing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corporate debt and borrowing arrangements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439"/>
              <w:spacing w:after="0"/>
              <w:rPr>
                <w:sz w:val="20"/>
                <w:szCs w:val="20"/>
                <w:color w:val="auto"/>
              </w:rPr>
            </w:pPr>
            <w:r>
              <w:rPr>
                <w:rFonts w:ascii="Arial" w:cs="Arial" w:eastAsia="Arial" w:hAnsi="Arial"/>
                <w:sz w:val="16"/>
                <w:szCs w:val="16"/>
                <w:b w:val="1"/>
                <w:bCs w:val="1"/>
                <w:color w:val="auto"/>
                <w:w w:val="99"/>
              </w:rPr>
              <w:t>As of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As of</w:t>
            </w:r>
          </w:p>
        </w:tc>
      </w:tr>
      <w:tr>
        <w:trPr>
          <w:trHeight w:val="222"/>
        </w:trPr>
        <w:tc>
          <w:tcPr>
            <w:tcW w:w="4640" w:type="dxa"/>
            <w:vAlign w:val="bottom"/>
          </w:tcPr>
          <w:p>
            <w:pPr>
              <w:spacing w:after="0"/>
              <w:rPr>
                <w:sz w:val="19"/>
                <w:szCs w:val="19"/>
                <w:color w:val="auto"/>
              </w:rPr>
            </w:pPr>
          </w:p>
        </w:tc>
        <w:tc>
          <w:tcPr>
            <w:tcW w:w="1800" w:type="dxa"/>
            <w:vAlign w:val="bottom"/>
            <w:gridSpan w:val="2"/>
          </w:tcPr>
          <w:p>
            <w:pPr>
              <w:ind w:left="520"/>
              <w:spacing w:after="0"/>
              <w:rPr>
                <w:sz w:val="20"/>
                <w:szCs w:val="20"/>
                <w:color w:val="auto"/>
              </w:rPr>
            </w:pPr>
            <w:r>
              <w:rPr>
                <w:rFonts w:ascii="Arial" w:cs="Arial" w:eastAsia="Arial" w:hAnsi="Arial"/>
                <w:sz w:val="16"/>
                <w:szCs w:val="16"/>
                <w:b w:val="1"/>
                <w:bCs w:val="1"/>
                <w:color w:val="auto"/>
              </w:rPr>
              <w:t>Maturity</w:t>
            </w:r>
          </w:p>
        </w:tc>
        <w:tc>
          <w:tcPr>
            <w:tcW w:w="1280" w:type="dxa"/>
            <w:vAlign w:val="bottom"/>
          </w:tcPr>
          <w:p>
            <w:pPr>
              <w:jc w:val="center"/>
              <w:ind w:left="43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December 31,</w:t>
            </w:r>
          </w:p>
        </w:tc>
      </w:tr>
      <w:tr>
        <w:trPr>
          <w:trHeight w:val="215"/>
        </w:trPr>
        <w:tc>
          <w:tcPr>
            <w:tcW w:w="4640" w:type="dxa"/>
            <w:vAlign w:val="bottom"/>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2020</w:t>
            </w:r>
          </w:p>
        </w:tc>
      </w:tr>
      <w:tr>
        <w:trPr>
          <w:trHeight w:val="204"/>
        </w:trPr>
        <w:tc>
          <w:tcPr>
            <w:tcW w:w="4640" w:type="dxa"/>
            <w:vAlign w:val="bottom"/>
          </w:tcPr>
          <w:p>
            <w:pPr>
              <w:ind w:left="80"/>
              <w:spacing w:after="0"/>
              <w:rPr>
                <w:sz w:val="20"/>
                <w:szCs w:val="20"/>
                <w:color w:val="auto"/>
              </w:rPr>
            </w:pPr>
            <w:r>
              <w:rPr>
                <w:rFonts w:ascii="Arial" w:cs="Arial" w:eastAsia="Arial" w:hAnsi="Arial"/>
                <w:sz w:val="16"/>
                <w:szCs w:val="16"/>
                <w:color w:val="auto"/>
              </w:rPr>
              <w:t>6.375%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4.125% euro-denominated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5.250%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4.500% euro-denominated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10.500% Senior Secured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4.750% euro-denominated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5.750%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4.750%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40" w:type="dxa"/>
            <w:vAlign w:val="bottom"/>
          </w:tcPr>
          <w:p>
            <w:pPr>
              <w:ind w:left="80"/>
              <w:spacing w:after="0"/>
              <w:rPr>
                <w:sz w:val="20"/>
                <w:szCs w:val="20"/>
                <w:color w:val="auto"/>
              </w:rPr>
            </w:pPr>
            <w:r>
              <w:rPr>
                <w:rFonts w:ascii="Arial" w:cs="Arial" w:eastAsia="Arial" w:hAnsi="Arial"/>
                <w:sz w:val="16"/>
                <w:szCs w:val="16"/>
                <w:color w:val="auto"/>
              </w:rPr>
              <w:t>5.375% Senior Notes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640" w:type="dxa"/>
            <w:vAlign w:val="bottom"/>
          </w:tcPr>
          <w:p>
            <w:pPr>
              <w:spacing w:after="0" w:line="235"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1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219"/>
        </w:trPr>
        <w:tc>
          <w:tcPr>
            <w:tcW w:w="4640" w:type="dxa"/>
            <w:vAlign w:val="bottom"/>
          </w:tcPr>
          <w:p>
            <w:pPr>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5"/>
        </w:trPr>
        <w:tc>
          <w:tcPr>
            <w:tcW w:w="464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4640" w:type="dxa"/>
            <w:vAlign w:val="bottom"/>
          </w:tcPr>
          <w:p>
            <w:pPr>
              <w:spacing w:after="0"/>
              <w:rPr>
                <w:sz w:val="20"/>
                <w:szCs w:val="20"/>
                <w:color w:val="auto"/>
              </w:rPr>
            </w:pPr>
            <w:r>
              <w:rPr>
                <w:rFonts w:ascii="Arial" w:cs="Arial" w:eastAsia="Arial" w:hAnsi="Arial"/>
                <w:sz w:val="16"/>
                <w:szCs w:val="16"/>
                <w:color w:val="auto"/>
              </w:rPr>
              <w:t>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4640" w:type="dxa"/>
            <w:vAlign w:val="bottom"/>
          </w:tcPr>
          <w:p>
            <w:pPr>
              <w:spacing w:after="0"/>
              <w:rPr>
                <w:sz w:val="20"/>
                <w:szCs w:val="20"/>
                <w:color w:val="auto"/>
              </w:rPr>
            </w:pPr>
            <w:r>
              <w:rPr>
                <w:rFonts w:ascii="Arial" w:cs="Arial" w:eastAsia="Arial" w:hAnsi="Arial"/>
                <w:sz w:val="16"/>
                <w:szCs w:val="16"/>
                <w:color w:val="auto"/>
              </w:rPr>
              <w:t>Long-term debt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r>
      <w:tr>
        <w:trPr>
          <w:trHeight w:val="23"/>
        </w:trPr>
        <w:tc>
          <w:tcPr>
            <w:tcW w:w="4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jc w:val="both"/>
        <w:ind w:left="820" w:hanging="326"/>
        <w:spacing w:after="0" w:line="221" w:lineRule="auto"/>
        <w:tabs>
          <w:tab w:leader="none" w:pos="81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June 30, 2021, the floating rate term loan due 2027 bears interest at one-month LIBOR plus 225 basis points, for an aggregate rate of 2.36%. The Company has entered into a swap to hedge $700 million of its interest rate exposure related to the floating rate term loan at an aggregate rate of 4.58%.</w:t>
      </w:r>
    </w:p>
    <w:p>
      <w:pPr>
        <w:spacing w:after="0" w:line="2"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2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2021, the Company issued $600 million of 5.375% Senior Notes due March 2029, at par, with interest paid semiannually. Net proceeds, together with cash on hand, were used to redeem all of the outstanding 10.5% Senior Secured Notes due 2025 for $599 million plus accrued interest.</w:t>
      </w:r>
    </w:p>
    <w:p>
      <w:pPr>
        <w:spacing w:after="0" w:line="22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2021, the Company issued $500 million of 4.75% Senior Notes due April 2028, at par, with interest paid semiannually. Net proceeds, together with cash on hand, were used to redeem all of the outstanding 6.375% Senior Notes due 2024 for $356 million plus accrued interest and a portion of its outstanding 5.25% Senior Notes due 2025 for $142 million plus accrued interest.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5.375% and 4.75% notes are guaranteed on a senior unsecured basis by the Company and certain of the Company’s subsidiaries.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the committed corporate credit facilities available to the Company and/or its subsidiaries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5"/>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6"/>
        </w:trPr>
        <w:tc>
          <w:tcPr>
            <w:tcW w:w="418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530</w:t>
            </w:r>
          </w:p>
        </w:tc>
      </w:tr>
    </w:tbl>
    <w:p>
      <w:pPr>
        <w:spacing w:after="0" w:line="34" w:lineRule="exact"/>
        <w:rPr>
          <w:sz w:val="20"/>
          <w:szCs w:val="20"/>
          <w:color w:val="auto"/>
        </w:rPr>
      </w:pPr>
    </w:p>
    <w:p>
      <w:pPr>
        <w:jc w:val="both"/>
        <w:ind w:left="820" w:hanging="326"/>
        <w:spacing w:after="0" w:line="196" w:lineRule="auto"/>
        <w:tabs>
          <w:tab w:leader="none" w:pos="81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250 basis points and is part of the Company’s senior credit facilities, which include the floating rate term loan and the senior revolving credit facility, and which are secured by pledges of capital stock of certain subsidiaries of the Company, liens on substantially all of the Company’s intellectual property and certain other real and personal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(See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color w:val="auto"/>
        </w:rPr>
        <w:t xml:space="preserve">Note 1 </w:t>
      </w:r>
      <w:r>
        <w:rPr>
          <w:rFonts w:ascii="Arial" w:cs="Arial" w:eastAsia="Arial" w:hAnsi="Arial"/>
          <w:sz w:val="14"/>
          <w:szCs w:val="14"/>
          <w:color w:val="auto"/>
        </w:rPr>
        <w:t>–</w:t>
      </w:r>
      <w:r>
        <w:rPr>
          <w:rFonts w:ascii="Arial" w:cs="Arial" w:eastAsia="Arial" w:hAnsi="Arial"/>
          <w:sz w:val="18"/>
          <w:szCs w:val="18"/>
          <w:color w:val="auto"/>
        </w:rPr>
        <w:t xml:space="preserve"> Basis of Presentation). As of June 30, 2021, the Company was in compliance with the financial covenants governing its indebtedness.</w:t>
      </w:r>
    </w:p>
    <w:p>
      <w:pPr>
        <w:spacing w:after="0" w:line="20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52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29"/>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6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line="230"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r>
      <w:tr>
        <w:trPr>
          <w:trHeight w:val="21"/>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hanging="326"/>
        <w:spacing w:after="0" w:line="211" w:lineRule="auto"/>
        <w:tabs>
          <w:tab w:leader="none" w:pos="81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June 30, 2021 and December 31, 2020 were $43 million and $36 million, respectively.</w:t>
      </w:r>
    </w:p>
    <w:p>
      <w:pPr>
        <w:spacing w:after="0" w:line="228"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In May 2021, the Company’s Avis Budget Rental Car Funding (AESOP) LLC subsidiary issued $800 million of asset-backed notes with an expected final payment date of August 2026, with a weighted average interest rate of 1.73%.</w:t>
      </w:r>
    </w:p>
    <w:p>
      <w:pPr>
        <w:spacing w:after="0" w:line="22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June 2021, the Company’s Avis Budget Rental Car Funding (AESOP) LLC subsidiary issued $96 million, $105 million and $103 million of asset-backed notes with expected final payment dates of March 2024, September 2024 and August 2025, respectively, with a weighted average interest rate of 3.14%.</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7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2021:</w:t>
      </w:r>
    </w:p>
    <w:p>
      <w:pPr>
        <w:jc w:val="center"/>
        <w:ind w:left="8420"/>
        <w:spacing w:after="0" w:line="229" w:lineRule="auto"/>
        <w:rPr>
          <w:sz w:val="20"/>
          <w:szCs w:val="20"/>
          <w:color w:val="auto"/>
        </w:rPr>
      </w:pPr>
      <w:r>
        <w:rPr>
          <w:rFonts w:ascii="Arial" w:cs="Arial" w:eastAsia="Arial" w:hAnsi="Arial"/>
          <w:sz w:val="18"/>
          <w:szCs w:val="18"/>
          <w:b w:val="1"/>
          <w:bCs w:val="1"/>
          <w:color w:val="auto"/>
        </w:rPr>
        <w:t>Debt under</w:t>
      </w:r>
    </w:p>
    <w:p>
      <w:pPr>
        <w:jc w:val="center"/>
        <w:ind w:left="8420"/>
        <w:spacing w:after="0" w:line="193" w:lineRule="auto"/>
        <w:rPr>
          <w:sz w:val="20"/>
          <w:szCs w:val="20"/>
          <w:color w:val="auto"/>
        </w:rPr>
      </w:pPr>
      <w:r>
        <w:rPr>
          <w:rFonts w:ascii="Arial" w:cs="Arial" w:eastAsia="Arial" w:hAnsi="Arial"/>
          <w:sz w:val="12"/>
          <w:szCs w:val="12"/>
          <w:b w:val="1"/>
          <w:bCs w:val="1"/>
          <w:color w:val="auto"/>
        </w:rPr>
        <w:t>Vehicle Programs</w:t>
      </w:r>
    </w:p>
    <w:p>
      <w:pPr>
        <w:ind w:left="978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48260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520"/>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$0.6 billion of bank and bank-sponsored facilities.</w:t>
      </w:r>
    </w:p>
    <w:p>
      <w:pPr>
        <w:ind w:left="760" w:hanging="266"/>
        <w:spacing w:after="0" w:line="187" w:lineRule="auto"/>
        <w:tabs>
          <w:tab w:leader="none" w:pos="7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$2.1 billion of bank and bank-sponsored facilities.</w:t>
      </w:r>
    </w:p>
    <w:p>
      <w:pPr>
        <w:ind w:left="760" w:hanging="266"/>
        <w:spacing w:after="0" w:line="189"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096" w:hanging="1096"/>
        <w:spacing w:after="0"/>
        <w:tabs>
          <w:tab w:leader="none" w:pos="10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2,026</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3,311</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1,564</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1,675</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1,531</w:t>
      </w:r>
    </w:p>
    <w:p>
      <w:pPr>
        <w:spacing w:after="0" w:line="34"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8" w:lineRule="exact"/>
        <w:rPr>
          <w:sz w:val="20"/>
          <w:szCs w:val="20"/>
          <w:color w:val="auto"/>
        </w:rPr>
      </w:pPr>
    </w:p>
    <w:p>
      <w:pPr>
        <w:ind w:left="996" w:hanging="996"/>
        <w:spacing w:after="0"/>
        <w:tabs>
          <w:tab w:leader="none" w:pos="9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10,457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235" w:lineRule="exact"/>
        <w:rPr>
          <w:sz w:val="20"/>
          <w:szCs w:val="20"/>
          <w:color w:val="auto"/>
        </w:rPr>
      </w:pPr>
    </w:p>
    <w:p>
      <w:pPr>
        <w:sectPr>
          <w:pgSz w:w="11900" w:h="16838" w:orient="portrait"/>
          <w:cols w:equalWidth="0" w:num="2">
            <w:col w:w="8324" w:space="720"/>
            <w:col w:w="2196"/>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328"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As of June 30, 2021, available funding under the Company’s vehicle programs, including related party debt due to Avis Budget Rental Car Funding, consisted of:</w:t>
      </w:r>
    </w:p>
    <w:tbl>
      <w:tblPr>
        <w:tblLayout w:type="fixed"/>
        <w:tblInd w:w="52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71" w:lineRule="exact"/>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4"/>
                <w:szCs w:val="14"/>
                <w:color w:val="auto"/>
              </w:rPr>
            </w:pPr>
          </w:p>
        </w:tc>
        <w:tc>
          <w:tcPr>
            <w:tcW w:w="1300" w:type="dxa"/>
            <w:vAlign w:val="bottom"/>
          </w:tcPr>
          <w:p>
            <w:pPr>
              <w:jc w:val="right"/>
              <w:ind w:right="359"/>
              <w:spacing w:after="0" w:line="171" w:lineRule="exact"/>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7"/>
              </w:rPr>
              <w:t xml:space="preserve">Borrowings </w:t>
            </w:r>
            <w:r>
              <w:rPr>
                <w:rFonts w:ascii="Arial" w:cs="Arial" w:eastAsia="Arial" w:hAnsi="Arial"/>
                <w:sz w:val="21"/>
                <w:szCs w:val="21"/>
                <w:color w:val="auto"/>
                <w:w w:val="97"/>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8,216</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2,130</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760" w:hanging="266"/>
        <w:spacing w:after="0"/>
        <w:tabs>
          <w:tab w:leader="none" w:pos="76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w:t>
      </w:r>
    </w:p>
    <w:p>
      <w:pPr>
        <w:ind w:left="820" w:right="20" w:hanging="326"/>
        <w:spacing w:after="0" w:line="211" w:lineRule="auto"/>
        <w:tabs>
          <w:tab w:leader="none" w:pos="827"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$9.2 billion for Americas - Debt due to Avis Budget Rental Car Funding; $0.8 billion for Americas - Debt borrowings; $1.7 billion for International - Debt borrowings; and $0.2 billion for International - Finance leases.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2021, the Company is not aware of any instances of non-compliance with any of the financial covenants contained in the debt agreements under its vehicle-backed funding programs.</w:t>
      </w:r>
    </w:p>
    <w:p>
      <w:pPr>
        <w:spacing w:after="0" w:line="210" w:lineRule="exact"/>
        <w:rPr>
          <w:sz w:val="20"/>
          <w:szCs w:val="20"/>
          <w:color w:val="auto"/>
        </w:rPr>
      </w:pPr>
    </w:p>
    <w:p>
      <w:pPr>
        <w:ind w:left="500" w:right="7920" w:hanging="492"/>
        <w:spacing w:after="0" w:line="569" w:lineRule="auto"/>
        <w:tabs>
          <w:tab w:leader="none" w:pos="46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3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February 2017, following state court trials in Georgia, the Company was found liable for damages in two cases brought by plaintiffs who were injured in a vehicle accident allegedly caused by an employee of an independent contractor of the Company who was acting outside of the scope of employment. In fourth quarter 2019, the Company appealed both verdicts resulting in a reversal of the judgments rendered. The Georgia Supreme Court granted the plaintiffs’ application to review the appellate court’s reversal of the judgements entered at the trial court. The Georgia Supreme Court heard oral arguments in December 2020 and on May 3, 2021 issued a decision affirming the appellate court’s judgments. Following the issuance of this decision, plaintiffs filed motions for reconsideration, which were denied in June 2021. The Company reversed a previously recognized liability related to these cases, net of recoverable insurance proceeds, of approximately $12 million within operating expenses.</w:t>
      </w:r>
    </w:p>
    <w:p>
      <w:pPr>
        <w:spacing w:after="0" w:line="23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Company is currently involved, and in the future may be involved, in claims and/or legal proceedings, including class actions,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$35 million in excess of amounts accrued as 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June 30, 2021. The Company does not believe that the impact should result in a material liability to the Company in relation to its consolidated financial condition or results of operations.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3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$5.7 billion of vehicles from manufacturers over the next 12 months, a $3.0 billion decrease compared to December 31, 2020,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39" w:lineRule="exact"/>
        <w:rPr>
          <w:sz w:val="20"/>
          <w:szCs w:val="20"/>
          <w:color w:val="auto"/>
        </w:rPr>
      </w:pPr>
    </w:p>
    <w:p>
      <w:pPr>
        <w:jc w:val="both"/>
        <w:ind w:left="500" w:right="20"/>
        <w:spacing w:after="0" w:line="253" w:lineRule="auto"/>
        <w:rPr>
          <w:sz w:val="20"/>
          <w:szCs w:val="20"/>
          <w:color w:val="auto"/>
        </w:rPr>
      </w:pPr>
      <w:r>
        <w:rPr>
          <w:rFonts w:ascii="Arial" w:cs="Arial" w:eastAsia="Arial" w:hAnsi="Arial"/>
          <w:sz w:val="18"/>
          <w:szCs w:val="18"/>
          <w:color w:val="auto"/>
        </w:rPr>
        <w:t>Concentrations of credit risk at June 30, 2021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$25 million and $ 15 million, respectively, related to certain contingent, income tax and other corporate liabilities assumed by Realogy and Wyndham in connection with their disposition.</w:t>
      </w:r>
    </w:p>
    <w:p>
      <w:pPr>
        <w:spacing w:after="0" w:line="2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3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Company’s Board of Directors has authorized the repurchase of up to $2.1 billion of its common stock under a plan originally approved in 2013 and subsequently expanded most recently in June 2021 (the “Stock Repurchase Program”). During the six months ended June 30, 2021, the Company repurchased approximately 0.1 million shares of common stock at a cost of approximately $10 million under the program. As of June 30, 2021, approximately $391 million of authorization remains available to repurchase common stock under the program.</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1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$15 million of unregistered shares of the Company’s common stock at a price per share equal to the closing price of the Company’s common stock on February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13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4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04"/>
        </w:trPr>
        <w:tc>
          <w:tcPr>
            <w:tcW w:w="418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Currency translation adjustments (net of tax of $3, $4,</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5"/>
        </w:trPr>
        <w:tc>
          <w:tcPr>
            <w:tcW w:w="4180" w:type="dxa"/>
            <w:vAlign w:val="bottom"/>
          </w:tcPr>
          <w:p>
            <w:pPr>
              <w:ind w:left="160"/>
              <w:spacing w:after="0"/>
              <w:rPr>
                <w:sz w:val="20"/>
                <w:szCs w:val="20"/>
                <w:color w:val="auto"/>
              </w:rPr>
            </w:pPr>
            <w:r>
              <w:rPr>
                <w:rFonts w:ascii="Arial" w:cs="Arial" w:eastAsia="Arial" w:hAnsi="Arial"/>
                <w:sz w:val="16"/>
                <w:szCs w:val="16"/>
                <w:color w:val="auto"/>
              </w:rPr>
              <w:t>$(9) and $0, respectively)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Net unrealized gain (loss) on cash flow hedges (net of</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5"/>
        </w:trPr>
        <w:tc>
          <w:tcPr>
            <w:tcW w:w="4180" w:type="dxa"/>
            <w:vAlign w:val="bottom"/>
          </w:tcPr>
          <w:p>
            <w:pPr>
              <w:ind w:left="320"/>
              <w:spacing w:after="0"/>
              <w:rPr>
                <w:sz w:val="20"/>
                <w:szCs w:val="20"/>
                <w:color w:val="auto"/>
              </w:rPr>
            </w:pPr>
            <w:r>
              <w:rPr>
                <w:rFonts w:ascii="Arial" w:cs="Arial" w:eastAsia="Arial" w:hAnsi="Arial"/>
                <w:sz w:val="16"/>
                <w:szCs w:val="16"/>
                <w:color w:val="auto"/>
              </w:rPr>
              <w:t>tax of $(10), $3, $(7) and $9, respectively)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Minimum pension liability adjustment (net of tax of $0,</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4180" w:type="dxa"/>
            <w:vAlign w:val="bottom"/>
          </w:tcPr>
          <w:p>
            <w:pPr>
              <w:ind w:left="320"/>
              <w:spacing w:after="0"/>
              <w:rPr>
                <w:sz w:val="20"/>
                <w:szCs w:val="20"/>
                <w:color w:val="auto"/>
              </w:rPr>
            </w:pPr>
            <w:r>
              <w:rPr>
                <w:rFonts w:ascii="Arial" w:cs="Arial" w:eastAsia="Arial" w:hAnsi="Arial"/>
                <w:sz w:val="16"/>
                <w:szCs w:val="16"/>
                <w:color w:val="auto"/>
              </w:rPr>
              <w:t>$0, $0 and $0, respectively)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4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1"/>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Unrealized</w:t>
            </w: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Minimum</w:t>
            </w:r>
          </w:p>
        </w:tc>
        <w:tc>
          <w:tcPr>
            <w:tcW w:w="20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Gains (Losses)</w:t>
            </w:r>
          </w:p>
        </w:tc>
        <w:tc>
          <w:tcPr>
            <w:tcW w:w="260" w:type="dxa"/>
            <w:vAlign w:val="bottom"/>
          </w:tcPr>
          <w:p>
            <w:pPr>
              <w:spacing w:after="0"/>
              <w:rPr>
                <w:sz w:val="11"/>
                <w:szCs w:val="11"/>
                <w:color w:val="auto"/>
              </w:rPr>
            </w:pPr>
          </w:p>
        </w:tc>
        <w:tc>
          <w:tcPr>
            <w:tcW w:w="15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1"/>
                <w:szCs w:val="11"/>
                <w:color w:val="auto"/>
              </w:rPr>
            </w:pPr>
          </w:p>
        </w:tc>
        <w:tc>
          <w:tcPr>
            <w:tcW w:w="152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on Cash Flow</w:t>
            </w:r>
          </w:p>
        </w:tc>
        <w:tc>
          <w:tcPr>
            <w:tcW w:w="260" w:type="dxa"/>
            <w:vAlign w:val="bottom"/>
          </w:tcPr>
          <w:p>
            <w:pPr>
              <w:spacing w:after="0"/>
              <w:rPr>
                <w:sz w:val="11"/>
                <w:szCs w:val="11"/>
                <w:color w:val="auto"/>
              </w:rPr>
            </w:pPr>
          </w:p>
        </w:tc>
        <w:tc>
          <w:tcPr>
            <w:tcW w:w="15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1"/>
                <w:szCs w:val="11"/>
                <w:color w:val="auto"/>
              </w:rPr>
            </w:pPr>
          </w:p>
        </w:tc>
        <w:tc>
          <w:tcPr>
            <w:tcW w:w="15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320"/>
              <w:spacing w:after="0" w:line="176" w:lineRule="exact"/>
              <w:rPr>
                <w:sz w:val="20"/>
                <w:szCs w:val="20"/>
                <w:color w:val="auto"/>
              </w:rPr>
            </w:pPr>
            <w:r>
              <w:rPr>
                <w:rFonts w:ascii="Arial" w:cs="Arial" w:eastAsia="Arial" w:hAnsi="Arial"/>
                <w:sz w:val="14"/>
                <w:szCs w:val="14"/>
                <w:b w:val="1"/>
                <w:bCs w:val="1"/>
                <w:color w:val="auto"/>
                <w:w w:val="97"/>
              </w:rPr>
              <w:t>Hedges</w:t>
            </w:r>
            <w:r>
              <w:rPr>
                <w:rFonts w:ascii="Arial" w:cs="Arial" w:eastAsia="Arial" w:hAnsi="Arial"/>
                <w:sz w:val="18"/>
                <w:szCs w:val="18"/>
                <w:b w:val="1"/>
                <w:bCs w:val="1"/>
                <w:color w:val="auto"/>
                <w:w w:val="97"/>
                <w:vertAlign w:val="superscript"/>
              </w:rPr>
              <w:t>(b)</w:t>
            </w:r>
          </w:p>
        </w:tc>
        <w:tc>
          <w:tcPr>
            <w:tcW w:w="260" w:type="dxa"/>
            <w:vAlign w:val="bottom"/>
          </w:tcPr>
          <w:p>
            <w:pPr>
              <w:spacing w:after="0"/>
              <w:rPr>
                <w:sz w:val="15"/>
                <w:szCs w:val="15"/>
                <w:color w:val="auto"/>
              </w:rPr>
            </w:pPr>
          </w:p>
        </w:tc>
        <w:tc>
          <w:tcPr>
            <w:tcW w:w="1580" w:type="dxa"/>
            <w:vAlign w:val="bottom"/>
            <w:gridSpan w:val="2"/>
          </w:tcPr>
          <w:p>
            <w:pPr>
              <w:jc w:val="center"/>
              <w:ind w:right="360"/>
              <w:spacing w:after="0" w:line="176" w:lineRule="exact"/>
              <w:rPr>
                <w:sz w:val="20"/>
                <w:szCs w:val="20"/>
                <w:color w:val="auto"/>
              </w:rPr>
            </w:pPr>
            <w:r>
              <w:rPr>
                <w:rFonts w:ascii="Arial" w:cs="Arial" w:eastAsia="Arial" w:hAnsi="Arial"/>
                <w:sz w:val="14"/>
                <w:szCs w:val="14"/>
                <w:b w:val="1"/>
                <w:bCs w:val="1"/>
                <w:color w:val="auto"/>
                <w:w w:val="98"/>
              </w:rPr>
              <w:t>Adjustment</w:t>
            </w:r>
            <w:r>
              <w:rPr>
                <w:rFonts w:ascii="Arial" w:cs="Arial" w:eastAsia="Arial" w:hAnsi="Arial"/>
                <w:sz w:val="18"/>
                <w:szCs w:val="18"/>
                <w:b w:val="1"/>
                <w:bCs w:val="1"/>
                <w:color w:val="auto"/>
                <w:w w:val="98"/>
                <w:vertAlign w:val="superscript"/>
              </w:rPr>
              <w:t>(c)</w:t>
            </w:r>
          </w:p>
        </w:tc>
        <w:tc>
          <w:tcPr>
            <w:tcW w:w="200" w:type="dxa"/>
            <w:vAlign w:val="bottom"/>
          </w:tcPr>
          <w:p>
            <w:pPr>
              <w:spacing w:after="0"/>
              <w:rPr>
                <w:sz w:val="15"/>
                <w:szCs w:val="15"/>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20"/>
                <w:szCs w:val="20"/>
                <w:color w:val="auto"/>
              </w:rPr>
            </w:pPr>
            <w:r>
              <w:rPr>
                <w:rFonts w:ascii="Arial" w:cs="Arial" w:eastAsia="Arial" w:hAnsi="Arial"/>
                <w:sz w:val="14"/>
                <w:szCs w:val="14"/>
                <w:color w:val="auto"/>
              </w:rPr>
              <w:t>Balance, January 1, 2021</w:t>
            </w:r>
          </w:p>
        </w:tc>
        <w:tc>
          <w:tcPr>
            <w:tcW w:w="12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2"/>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Amounts reclassified from accumulated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20"/>
                <w:szCs w:val="20"/>
                <w:color w:val="auto"/>
              </w:rPr>
            </w:pPr>
            <w:r>
              <w:rPr>
                <w:rFonts w:ascii="Arial" w:cs="Arial" w:eastAsia="Arial" w:hAnsi="Arial"/>
                <w:sz w:val="14"/>
                <w:szCs w:val="14"/>
                <w:color w:val="auto"/>
              </w:rPr>
              <w:t>Balance, June 30, 2021</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2900" w:type="dxa"/>
            <w:vAlign w:val="bottom"/>
          </w:tcPr>
          <w:p>
            <w:pPr>
              <w:spacing w:after="0"/>
              <w:rPr>
                <w:sz w:val="20"/>
                <w:szCs w:val="20"/>
                <w:color w:val="auto"/>
              </w:rPr>
            </w:pPr>
            <w:r>
              <w:rPr>
                <w:rFonts w:ascii="Arial" w:cs="Arial" w:eastAsia="Arial" w:hAnsi="Arial"/>
                <w:sz w:val="14"/>
                <w:szCs w:val="14"/>
                <w:color w:val="auto"/>
              </w:rPr>
              <w:t>Balance, January 1, 2020</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2"/>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Amounts reclassified from accumulated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1"/>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20"/>
                <w:szCs w:val="20"/>
                <w:color w:val="auto"/>
              </w:rPr>
            </w:pPr>
            <w:r>
              <w:rPr>
                <w:rFonts w:ascii="Arial" w:cs="Arial" w:eastAsia="Arial" w:hAnsi="Arial"/>
                <w:sz w:val="14"/>
                <w:szCs w:val="14"/>
                <w:color w:val="auto"/>
              </w:rPr>
              <w:t>Balance, June 30, 2020</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00"/>
        <w:spacing w:after="0" w:line="241"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$37 million gain, net of tax, as of June 30, 2021 related to the Company’s hedge of its investment in euro-denominated foreign operations (see Note 15–Financial Instruments).</w:t>
      </w:r>
    </w:p>
    <w:p>
      <w:pPr>
        <w:spacing w:after="0" w:line="1" w:lineRule="exact"/>
        <w:rPr>
          <w:sz w:val="20"/>
          <w:szCs w:val="20"/>
          <w:color w:val="auto"/>
        </w:rPr>
      </w:pPr>
    </w:p>
    <w:p>
      <w:pPr>
        <w:ind w:left="820" w:hanging="326"/>
        <w:spacing w:after="0" w:line="241" w:lineRule="auto"/>
        <w:tabs>
          <w:tab w:leader="none" w:pos="813" w:val="left"/>
        </w:tabs>
        <w:numPr>
          <w:ilvl w:val="0"/>
          <w:numId w:val="26"/>
        </w:numPr>
        <w:rPr>
          <w:rFonts w:ascii="Arial" w:cs="Arial" w:eastAsia="Arial" w:hAnsi="Arial"/>
          <w:sz w:val="9"/>
          <w:szCs w:val="9"/>
          <w:color w:val="auto"/>
        </w:rPr>
      </w:pPr>
      <w:r>
        <w:rPr>
          <w:rFonts w:ascii="Arial" w:cs="Arial" w:eastAsia="Arial" w:hAnsi="Arial"/>
          <w:sz w:val="14"/>
          <w:szCs w:val="14"/>
          <w:color w:val="auto"/>
        </w:rPr>
        <w:t>For the six months ended June 30, 2021, the amount was reclassified from accumulated other comprehensive income (loss) into restructuring and other related charges.</w:t>
      </w:r>
    </w:p>
    <w:p>
      <w:pPr>
        <w:jc w:val="both"/>
        <w:ind w:left="820" w:hanging="326"/>
        <w:spacing w:after="0" w:line="241" w:lineRule="auto"/>
        <w:tabs>
          <w:tab w:leader="none" w:pos="813" w:val="left"/>
        </w:tabs>
        <w:numPr>
          <w:ilvl w:val="0"/>
          <w:numId w:val="26"/>
        </w:numPr>
        <w:rPr>
          <w:rFonts w:ascii="Arial" w:cs="Arial" w:eastAsia="Arial" w:hAnsi="Arial"/>
          <w:sz w:val="9"/>
          <w:szCs w:val="9"/>
          <w:color w:val="auto"/>
        </w:rPr>
      </w:pPr>
      <w:r>
        <w:rPr>
          <w:rFonts w:ascii="Arial" w:cs="Arial" w:eastAsia="Arial" w:hAnsi="Arial"/>
          <w:sz w:val="14"/>
          <w:szCs w:val="14"/>
          <w:color w:val="auto"/>
        </w:rPr>
        <w:t>For the three and six months ended June 30, 2021, the amount reclassified from accumulated other comprehensive income (loss) into corporate interest expense was $4 million ($3 million, net of tax) and $8 million ($6 million, net of tax), respectively. For the three and six months ended June 30, 2021, the amount reclassified from accumulated other comprehensive income (loss) into vehicle interest expense was $1 million ($1 million net of tax) and $2 million ($1 million, net of tax), respectively. For the three and six months ended June 30, 2020, the amount reclassified from accumulated other comprehensive income (loss) into corporate interest expense and vehicle interest expense was $2 million ($1 million net of tax) and $1 million ($1 million, net of tax), respectively, in each period.</w:t>
      </w:r>
    </w:p>
    <w:p>
      <w:pPr>
        <w:spacing w:after="0" w:line="1" w:lineRule="exact"/>
        <w:rPr>
          <w:rFonts w:ascii="Arial" w:cs="Arial" w:eastAsia="Arial" w:hAnsi="Arial"/>
          <w:sz w:val="9"/>
          <w:szCs w:val="9"/>
          <w:color w:val="auto"/>
        </w:rPr>
      </w:pPr>
    </w:p>
    <w:p>
      <w:pPr>
        <w:jc w:val="both"/>
        <w:ind w:left="820" w:hanging="326"/>
        <w:spacing w:after="0" w:line="247" w:lineRule="auto"/>
        <w:tabs>
          <w:tab w:leader="none" w:pos="807" w:val="left"/>
        </w:tabs>
        <w:numPr>
          <w:ilvl w:val="0"/>
          <w:numId w:val="26"/>
        </w:numPr>
        <w:rPr>
          <w:rFonts w:ascii="Arial" w:cs="Arial" w:eastAsia="Arial" w:hAnsi="Arial"/>
          <w:sz w:val="9"/>
          <w:szCs w:val="9"/>
          <w:color w:val="auto"/>
        </w:rPr>
      </w:pPr>
      <w:r>
        <w:rPr>
          <w:rFonts w:ascii="Arial" w:cs="Arial" w:eastAsia="Arial" w:hAnsi="Arial"/>
          <w:sz w:val="14"/>
          <w:szCs w:val="14"/>
          <w:color w:val="auto"/>
        </w:rPr>
        <w:t>For the three and six months ended June 30, 2021, amounts reclassified from accumulated other comprehensive income (loss) into selling, general and administrative expenses were $2 million ($1 million, net of tax) and $5 million ($3 million, net of tax), respectively. For the three and six months ended June 30, 2020, the amount reclassified from accumulated other comprehensive income (loss) into selling, general and administrative expenses was $2 million ($2 million net of tax) and $4 million ($3 million, net of tax),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 recorded stock-based compensation expense of $10 million and $4 million ($7 million and $2 million, net of tax) during the three months ended June 30, 2021 and 2020, respectively, and $14 million and $2 million ($10 million and $1 million, net of tax) during the six months ended June 30, 2021 and 2020, respectively.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2020, the Company granted market-based restricted stock units (“RSUs”) that vest based on absolute stock price attainment.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grant date fair value of this award is estimated using a Monte Carlo simulation model.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assumptions used in the model are as follows:</w:t>
      </w: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140" w:type="dxa"/>
            <w:vAlign w:val="bottom"/>
          </w:tcPr>
          <w:p>
            <w:pPr>
              <w:jc w:val="center"/>
              <w:ind w:left="2539"/>
              <w:spacing w:after="0"/>
              <w:rPr>
                <w:sz w:val="20"/>
                <w:szCs w:val="20"/>
                <w:color w:val="auto"/>
              </w:rPr>
            </w:pPr>
            <w:r>
              <w:rPr>
                <w:rFonts w:ascii="Arial" w:cs="Arial" w:eastAsia="Arial" w:hAnsi="Arial"/>
                <w:sz w:val="16"/>
                <w:szCs w:val="16"/>
                <w:color w:val="auto"/>
                <w:w w:val="99"/>
              </w:rPr>
              <w:t>91%</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rPr>
              <w:t>0.18%</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Valuation period</w:t>
            </w:r>
          </w:p>
        </w:tc>
        <w:tc>
          <w:tcPr>
            <w:tcW w:w="3140" w:type="dxa"/>
            <w:vAlign w:val="bottom"/>
          </w:tcPr>
          <w:p>
            <w:pPr>
              <w:ind w:left="2620"/>
              <w:spacing w:after="0"/>
              <w:rPr>
                <w:sz w:val="20"/>
                <w:szCs w:val="20"/>
                <w:color w:val="auto"/>
              </w:rPr>
            </w:pPr>
            <w:r>
              <w:rPr>
                <w:rFonts w:ascii="Arial" w:cs="Arial" w:eastAsia="Arial" w:hAnsi="Arial"/>
                <w:sz w:val="16"/>
                <w:szCs w:val="16"/>
                <w:color w:val="auto"/>
                <w:w w:val="95"/>
              </w:rPr>
              <w:t>3 years</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Dividend yield</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w w:val="99"/>
              </w:rPr>
              <w:t>—%</w:t>
            </w:r>
          </w:p>
        </w:tc>
      </w:tr>
    </w:tbl>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Grant Date</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00" w:type="dxa"/>
            <w:vAlign w:val="bottom"/>
          </w:tcPr>
          <w:p>
            <w:pPr>
              <w:spacing w:after="0"/>
              <w:rPr>
                <w:sz w:val="11"/>
                <w:szCs w:val="11"/>
                <w:color w:val="auto"/>
              </w:rPr>
            </w:pPr>
          </w:p>
        </w:tc>
        <w:tc>
          <w:tcPr>
            <w:tcW w:w="11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6"/>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220" w:type="dxa"/>
            <w:vAlign w:val="bottom"/>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 (years)</w:t>
            </w:r>
          </w:p>
        </w:tc>
        <w:tc>
          <w:tcPr>
            <w:tcW w:w="100" w:type="dxa"/>
            <w:vAlign w:val="bottom"/>
          </w:tcPr>
          <w:p>
            <w:pPr>
              <w:spacing w:after="0"/>
              <w:rPr>
                <w:sz w:val="15"/>
                <w:szCs w:val="15"/>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0"/>
        </w:trPr>
        <w:tc>
          <w:tcPr>
            <w:tcW w:w="4500" w:type="dxa"/>
            <w:vAlign w:val="bottom"/>
            <w:vMerge w:val="continue"/>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color w:val="auto"/>
              </w:rPr>
              <w:t>Outstanding at January 1, 2021</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1,070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63.12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5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160"/>
              <w:spacing w:after="0" w:line="182" w:lineRule="exact"/>
              <w:rPr>
                <w:sz w:val="20"/>
                <w:szCs w:val="20"/>
                <w:color w:val="auto"/>
              </w:rPr>
            </w:pPr>
            <w:r>
              <w:rPr>
                <w:rFonts w:ascii="Arial" w:cs="Arial" w:eastAsia="Arial" w:hAnsi="Arial"/>
                <w:sz w:val="14"/>
                <w:szCs w:val="14"/>
                <w:color w:val="auto"/>
              </w:rPr>
              <w:t xml:space="preserve">Outstanding and expected to vest at June 30, 2021 </w:t>
            </w:r>
            <w:r>
              <w:rPr>
                <w:rFonts w:ascii="Arial" w:cs="Arial" w:eastAsia="Arial" w:hAnsi="Arial"/>
                <w:sz w:val="18"/>
                <w:szCs w:val="18"/>
                <w:color w:val="auto"/>
                <w:vertAlign w:val="superscript"/>
              </w:rPr>
              <w:t>(c)</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36.98</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5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60"/>
              <w:spacing w:after="0"/>
              <w:rPr>
                <w:sz w:val="20"/>
                <w:szCs w:val="20"/>
                <w:color w:val="auto"/>
              </w:rPr>
            </w:pPr>
            <w:r>
              <w:rPr>
                <w:rFonts w:ascii="Arial" w:cs="Arial" w:eastAsia="Arial" w:hAnsi="Arial"/>
                <w:sz w:val="14"/>
                <w:szCs w:val="14"/>
                <w:color w:val="auto"/>
              </w:rPr>
              <w:t>Outstanding at January 1, 2021</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988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62.27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5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46.59</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160"/>
              <w:spacing w:after="0"/>
              <w:rPr>
                <w:sz w:val="20"/>
                <w:szCs w:val="20"/>
                <w:color w:val="auto"/>
              </w:rPr>
            </w:pPr>
            <w:r>
              <w:rPr>
                <w:rFonts w:ascii="Arial" w:cs="Arial" w:eastAsia="Arial" w:hAnsi="Arial"/>
                <w:sz w:val="14"/>
                <w:szCs w:val="14"/>
                <w:color w:val="auto"/>
              </w:rPr>
              <w:t>Outstanding at June 30, 2021</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June 30, 2021 </w:t>
            </w:r>
            <w:r>
              <w:rPr>
                <w:rFonts w:ascii="Arial" w:cs="Arial" w:eastAsia="Arial" w:hAnsi="Arial"/>
                <w:sz w:val="18"/>
                <w:szCs w:val="18"/>
                <w:color w:val="auto"/>
                <w:vertAlign w:val="superscript"/>
              </w:rPr>
              <w:t>(c)</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500" w:type="dxa"/>
            <w:vAlign w:val="bottom"/>
            <w:vMerge w:val="continue"/>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40.63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820" w:hanging="326"/>
        <w:spacing w:after="0" w:line="241" w:lineRule="auto"/>
        <w:tabs>
          <w:tab w:leader="none" w:pos="813" w:val="left"/>
        </w:tabs>
        <w:numPr>
          <w:ilvl w:val="1"/>
          <w:numId w:val="28"/>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and market-based RSUs granted during the six months ended June 30, 2020 was $21.67 and $21.06, respectively.</w:t>
      </w:r>
    </w:p>
    <w:p>
      <w:pPr>
        <w:spacing w:after="0" w:line="1" w:lineRule="exact"/>
        <w:rPr>
          <w:rFonts w:ascii="Arial" w:cs="Arial" w:eastAsia="Arial" w:hAnsi="Arial"/>
          <w:sz w:val="9"/>
          <w:szCs w:val="9"/>
          <w:color w:val="auto"/>
        </w:rPr>
      </w:pPr>
    </w:p>
    <w:p>
      <w:pPr>
        <w:ind w:left="820" w:hanging="326"/>
        <w:spacing w:after="0"/>
        <w:tabs>
          <w:tab w:leader="none" w:pos="820" w:val="left"/>
        </w:tabs>
        <w:numPr>
          <w:ilvl w:val="1"/>
          <w:numId w:val="28"/>
        </w:numPr>
        <w:rPr>
          <w:rFonts w:ascii="Arial" w:cs="Arial" w:eastAsia="Arial" w:hAnsi="Arial"/>
          <w:sz w:val="9"/>
          <w:szCs w:val="9"/>
          <w:color w:val="auto"/>
        </w:rPr>
      </w:pPr>
      <w:r>
        <w:rPr>
          <w:rFonts w:ascii="Arial" w:cs="Arial" w:eastAsia="Arial" w:hAnsi="Arial"/>
          <w:sz w:val="14"/>
          <w:szCs w:val="14"/>
          <w:color w:val="auto"/>
        </w:rPr>
        <w:t>The total fair value of RSUs vested during June 30, 2021 and 2020 was $13 million and $18 million, respectively.</w:t>
      </w:r>
    </w:p>
    <w:p>
      <w:pPr>
        <w:spacing w:after="0" w:line="1" w:lineRule="exact"/>
        <w:rPr>
          <w:rFonts w:ascii="Arial" w:cs="Arial" w:eastAsia="Arial" w:hAnsi="Arial"/>
          <w:sz w:val="9"/>
          <w:szCs w:val="9"/>
          <w:color w:val="auto"/>
        </w:rPr>
      </w:pPr>
    </w:p>
    <w:p>
      <w:pPr>
        <w:ind w:left="820" w:hanging="326"/>
        <w:spacing w:after="0" w:line="258" w:lineRule="auto"/>
        <w:tabs>
          <w:tab w:leader="none" w:pos="807" w:val="left"/>
        </w:tabs>
        <w:numPr>
          <w:ilvl w:val="1"/>
          <w:numId w:val="28"/>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$40 million and will be recognized over a weighted average vesting period of 1.4 years.</w:t>
      </w:r>
    </w:p>
    <w:p>
      <w:pPr>
        <w:spacing w:after="0" w:line="193" w:lineRule="exact"/>
        <w:rPr>
          <w:rFonts w:ascii="Arial" w:cs="Arial" w:eastAsia="Arial" w:hAnsi="Arial"/>
          <w:sz w:val="9"/>
          <w:szCs w:val="9"/>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7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$21 million of losses currently recorded in accumulated other comprehensive income (loss) will be recognized in earnings over the next 12 months.</w:t>
      </w:r>
    </w:p>
    <w:p>
      <w:pPr>
        <w:spacing w:after="0" w:line="80"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earnings and are presented in the same line of the income statement expected for the hedged item.</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8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As of June 30, 2021</w:t>
            </w:r>
          </w:p>
        </w:tc>
      </w:tr>
      <w:tr>
        <w:trPr>
          <w:trHeight w:val="207"/>
        </w:trPr>
        <w:tc>
          <w:tcPr>
            <w:tcW w:w="804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37"/>
        </w:trPr>
        <w:tc>
          <w:tcPr>
            <w:tcW w:w="8040" w:type="dxa"/>
            <w:vAlign w:val="bottom"/>
          </w:tcPr>
          <w:p>
            <w:pPr>
              <w:spacing w:after="0" w:line="23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8,773</w:t>
            </w: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1,950</w:t>
            </w:r>
          </w:p>
        </w:tc>
      </w:tr>
    </w:tbl>
    <w:p>
      <w:pPr>
        <w:spacing w:after="0" w:line="119" w:lineRule="exact"/>
        <w:rPr>
          <w:sz w:val="20"/>
          <w:szCs w:val="20"/>
          <w:color w:val="auto"/>
        </w:rPr>
      </w:pPr>
    </w:p>
    <w:p>
      <w:pPr>
        <w:ind w:left="820" w:hanging="326"/>
        <w:spacing w:after="0" w:line="211"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Represents $5.9 billion of interest rate caps sold, partially offset by approximately $2.9 billion of interest rate caps purchased. These amounts exclude $3.0 billion of interest rate caps purchased by the Company’s Avis Budget Rental Car Funding subsidiary as it is not consolidated by the Company.</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As of June 30, 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r>
      <w:tr>
        <w:trPr>
          <w:trHeight w:val="158"/>
        </w:trPr>
        <w:tc>
          <w:tcPr>
            <w:tcW w:w="4200" w:type="dxa"/>
            <w:vAlign w:val="bottom"/>
          </w:tcPr>
          <w:p>
            <w:pPr>
              <w:spacing w:after="0"/>
              <w:rPr>
                <w:sz w:val="13"/>
                <w:szCs w:val="13"/>
                <w:color w:val="auto"/>
              </w:rPr>
            </w:pPr>
          </w:p>
        </w:tc>
        <w:tc>
          <w:tcPr>
            <w:tcW w:w="1140" w:type="dxa"/>
            <w:vAlign w:val="bottom"/>
          </w:tcPr>
          <w:p>
            <w:pPr>
              <w:jc w:val="center"/>
              <w:ind w:left="179"/>
              <w:spacing w:after="0" w:line="158" w:lineRule="exact"/>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8"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8"/>
              </w:rPr>
              <w:t>Fair Value,</w:t>
            </w:r>
          </w:p>
        </w:tc>
      </w:tr>
      <w:tr>
        <w:trPr>
          <w:trHeight w:val="162"/>
        </w:trPr>
        <w:tc>
          <w:tcPr>
            <w:tcW w:w="4200" w:type="dxa"/>
            <w:vAlign w:val="bottom"/>
          </w:tcPr>
          <w:p>
            <w:pPr>
              <w:spacing w:after="0"/>
              <w:rPr>
                <w:sz w:val="14"/>
                <w:szCs w:val="14"/>
                <w:color w:val="auto"/>
              </w:rPr>
            </w:pPr>
          </w:p>
        </w:tc>
        <w:tc>
          <w:tcPr>
            <w:tcW w:w="114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r>
      <w:tr>
        <w:trPr>
          <w:trHeight w:val="215"/>
        </w:trPr>
        <w:tc>
          <w:tcPr>
            <w:tcW w:w="4200" w:type="dxa"/>
            <w:vAlign w:val="bottom"/>
          </w:tcPr>
          <w:p>
            <w:pPr>
              <w:spacing w:after="0"/>
              <w:rPr>
                <w:sz w:val="18"/>
                <w:szCs w:val="18"/>
                <w:color w:val="auto"/>
              </w:rPr>
            </w:pPr>
          </w:p>
        </w:tc>
        <w:tc>
          <w:tcPr>
            <w:tcW w:w="114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r>
      <w:tr>
        <w:trPr>
          <w:trHeight w:val="195"/>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68"/>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420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20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500" w:right="2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13–Stockholders’ Equity.</w:t>
      </w:r>
    </w:p>
    <w:p>
      <w:pPr>
        <w:ind w:left="820" w:hanging="326"/>
        <w:spacing w:after="0" w:line="187" w:lineRule="auto"/>
        <w:tabs>
          <w:tab w:leader="none" w:pos="8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89" w:lineRule="auto"/>
        <w:tabs>
          <w:tab w:leader="none" w:pos="80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2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4260" w:type="dxa"/>
            <w:vAlign w:val="bottom"/>
          </w:tcPr>
          <w:p>
            <w:pPr>
              <w:spacing w:after="0" w:line="210" w:lineRule="exact"/>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9"/>
        </w:trPr>
        <w:tc>
          <w:tcPr>
            <w:tcW w:w="4260" w:type="dxa"/>
            <w:vAlign w:val="bottom"/>
          </w:tcPr>
          <w:p>
            <w:pPr>
              <w:ind w:left="160"/>
              <w:spacing w:after="0" w:line="19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4260" w:type="dxa"/>
            <w:vAlign w:val="bottom"/>
          </w:tcPr>
          <w:p>
            <w:pPr>
              <w:spacing w:after="0" w:line="233"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4260" w:type="dxa"/>
            <w:vAlign w:val="bottom"/>
          </w:tcPr>
          <w:p>
            <w:pPr>
              <w:ind w:left="160"/>
              <w:spacing w:after="0" w:line="20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9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4260" w:type="dxa"/>
            <w:vAlign w:val="bottom"/>
          </w:tcPr>
          <w:p>
            <w:pPr>
              <w:ind w:left="16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4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204"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15"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2021, included a $2 million gain in interest expense and a $1 million gain in operating expense and for the six months ended June 30, 2021, included a $5 million loss in interest expense. For the three months ended June 30, 2020, included an $8 million loss in operating expense and for the six months ended June 30, 2020, included a $28 million gain in interest expense and a $2 million loss in operating expense.</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81"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75"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Arial" w:cs="Arial" w:eastAsia="Arial" w:hAnsi="Arial"/>
                <w:sz w:val="16"/>
                <w:szCs w:val="16"/>
                <w:b w:val="1"/>
                <w:bCs w:val="1"/>
                <w:color w:val="auto"/>
              </w:rPr>
              <w:t>As of June 30, 2021</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 due to Avis Budget Rental Car</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8,173</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8,450</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73"/>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20" w:hanging="226"/>
        <w:spacing w:after="0"/>
        <w:tabs>
          <w:tab w:leader="none" w:pos="720" w:val="left"/>
        </w:tabs>
        <w:numPr>
          <w:ilvl w:val="1"/>
          <w:numId w:val="33"/>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16" w:lineRule="exact"/>
        <w:rPr>
          <w:rFonts w:ascii="Arial" w:cs="Arial" w:eastAsia="Arial" w:hAnsi="Arial"/>
          <w:sz w:val="9"/>
          <w:szCs w:val="9"/>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3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charges, early extinguishment of debt costs, non-vehicle related interest, transaction-related costs, net, charges for unprecedented personal-injury and other legal matters, net,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The Company’s presentation of Adjusted EBITDA may not be comparable to similarly-titled measures used by other companies.</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4"/>
                <w:szCs w:val="14"/>
                <w:color w:val="auto"/>
              </w:rPr>
            </w:pPr>
          </w:p>
        </w:tc>
        <w:tc>
          <w:tcPr>
            <w:tcW w:w="12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EBITDA</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4300" w:type="dxa"/>
            <w:vAlign w:val="bottom"/>
          </w:tcPr>
          <w:p>
            <w:pPr>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Reconciliation of Adjusted EBITDA to income (loss) before income taxes:</w:t>
      </w:r>
    </w:p>
    <w:p>
      <w:pPr>
        <w:sectPr>
          <w:pgSz w:w="11900" w:h="16838" w:orient="portrait"/>
          <w:cols w:equalWidth="0" w:num="1">
            <w:col w:w="11240"/>
          </w:cols>
          <w:pgMar w:left="320" w:top="140" w:right="339" w:bottom="1440" w:gutter="0" w:footer="0" w:header="0"/>
        </w:sect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ind w:left="520"/>
        <w:spacing w:after="0"/>
        <w:tabs>
          <w:tab w:leader="none" w:pos="1180" w:val="left"/>
        </w:tabs>
        <w:rPr>
          <w:sz w:val="20"/>
          <w:szCs w:val="20"/>
          <w:color w:val="auto"/>
        </w:rPr>
      </w:pPr>
      <w:r>
        <w:rPr>
          <w:rFonts w:ascii="Arial" w:cs="Arial" w:eastAsia="Arial" w:hAnsi="Arial"/>
          <w:sz w:val="17"/>
          <w:szCs w:val="17"/>
          <w:color w:val="auto"/>
        </w:rPr>
        <w:t>Less:</w:t>
        <w:tab/>
        <w:t xml:space="preserve">Non-vehicle related depreciation and amortization </w:t>
      </w:r>
      <w:r>
        <w:rPr>
          <w:rFonts w:ascii="Arial" w:cs="Arial" w:eastAsia="Arial" w:hAnsi="Arial"/>
          <w:sz w:val="22"/>
          <w:szCs w:val="22"/>
          <w:color w:val="auto"/>
          <w:vertAlign w:val="superscript"/>
        </w:rPr>
        <w:t>(b)</w:t>
      </w:r>
    </w:p>
    <w:p>
      <w:pPr>
        <w:ind w:left="1200"/>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Transaction-related costs, net</w:t>
      </w:r>
    </w:p>
    <w:p>
      <w:pPr>
        <w:ind w:left="1200"/>
        <w:spacing w:after="0" w:line="228" w:lineRule="auto"/>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(c)</w:t>
      </w:r>
    </w:p>
    <w:p>
      <w:pPr>
        <w:spacing w:after="0" w:line="1" w:lineRule="exact"/>
        <w:rPr>
          <w:sz w:val="20"/>
          <w:szCs w:val="20"/>
          <w:color w:val="auto"/>
        </w:rPr>
      </w:pPr>
    </w:p>
    <w:p>
      <w:pPr>
        <w:ind w:left="1360" w:right="720" w:hanging="149"/>
        <w:spacing w:after="0" w:line="226"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(d)</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16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05"/>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ectPr>
          <w:pgSz w:w="11900" w:h="16838" w:orient="portrait"/>
          <w:cols w:equalWidth="0" w:num="2">
            <w:col w:w="5620" w:space="720"/>
            <w:col w:w="4900"/>
          </w:cols>
          <w:pgMar w:left="320" w:top="140"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04" w:lineRule="auto"/>
        <w:tabs>
          <w:tab w:leader="none" w:pos="813"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2021 consists of $3 million within operating expenses and $2 million within selling, general and administrative expenses related to cloud computing costs.</w:t>
      </w:r>
    </w:p>
    <w:p>
      <w:pPr>
        <w:spacing w:after="0" w:line="1" w:lineRule="exact"/>
        <w:rPr>
          <w:rFonts w:ascii="Arial" w:cs="Arial" w:eastAsia="Arial" w:hAnsi="Arial"/>
          <w:sz w:val="19"/>
          <w:szCs w:val="19"/>
          <w:color w:val="auto"/>
          <w:vertAlign w:val="superscript"/>
        </w:rPr>
      </w:pPr>
    </w:p>
    <w:p>
      <w:pPr>
        <w:ind w:left="800" w:hanging="306"/>
        <w:spacing w:after="0" w:line="189" w:lineRule="auto"/>
        <w:tabs>
          <w:tab w:leader="none" w:pos="80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30"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0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2"/>
        </w:trPr>
        <w:tc>
          <w:tcPr>
            <w:tcW w:w="5300" w:type="dxa"/>
            <w:vAlign w:val="bottom"/>
          </w:tcPr>
          <w:p>
            <w:pPr>
              <w:ind w:left="22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w:t>
            </w:r>
          </w:p>
        </w:tc>
        <w:tc>
          <w:tcPr>
            <w:tcW w:w="1000" w:type="dxa"/>
            <w:vAlign w:val="bottom"/>
          </w:tcPr>
          <w:p>
            <w:pPr>
              <w:spacing w:after="0"/>
              <w:rPr>
                <w:sz w:val="13"/>
                <w:szCs w:val="13"/>
                <w:color w:val="auto"/>
              </w:rPr>
            </w:pPr>
          </w:p>
        </w:tc>
        <w:tc>
          <w:tcPr>
            <w:tcW w:w="1820" w:type="dxa"/>
            <w:vAlign w:val="bottom"/>
            <w:gridSpan w:val="2"/>
            <w:vMerge w:val="restart"/>
          </w:tcPr>
          <w:p>
            <w:pPr>
              <w:jc w:val="right"/>
              <w:ind w:right="1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2"/>
        </w:trPr>
        <w:tc>
          <w:tcPr>
            <w:tcW w:w="5300" w:type="dxa"/>
            <w:vAlign w:val="bottom"/>
          </w:tcPr>
          <w:p>
            <w:pPr>
              <w:ind w:left="220"/>
              <w:spacing w:after="0"/>
              <w:rPr>
                <w:sz w:val="20"/>
                <w:szCs w:val="20"/>
                <w:color w:val="auto"/>
              </w:rPr>
            </w:pPr>
            <w:r>
              <w:rPr>
                <w:rFonts w:ascii="Arial" w:cs="Arial" w:eastAsia="Arial" w:hAnsi="Arial"/>
                <w:sz w:val="14"/>
                <w:szCs w:val="14"/>
                <w:color w:val="auto"/>
              </w:rPr>
              <w:t>parking for idle vehicles</w:t>
            </w:r>
          </w:p>
        </w:tc>
        <w:tc>
          <w:tcPr>
            <w:tcW w:w="10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1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113"/>
        </w:trPr>
        <w:tc>
          <w:tcPr>
            <w:tcW w:w="200" w:type="dxa"/>
            <w:vAlign w:val="bottom"/>
          </w:tcPr>
          <w:p>
            <w:pPr>
              <w:spacing w:after="0"/>
              <w:rPr>
                <w:sz w:val="20"/>
                <w:szCs w:val="20"/>
                <w:color w:val="auto"/>
              </w:rPr>
            </w:pPr>
            <w:r>
              <w:rPr>
                <w:rFonts w:ascii="Arial" w:cs="Arial" w:eastAsia="Arial" w:hAnsi="Arial"/>
                <w:sz w:val="9"/>
                <w:szCs w:val="9"/>
                <w:color w:val="auto"/>
              </w:rPr>
              <w:t>(d)</w:t>
            </w:r>
          </w:p>
        </w:tc>
        <w:tc>
          <w:tcPr>
            <w:tcW w:w="2440" w:type="dxa"/>
            <w:vAlign w:val="bottom"/>
            <w:vMerge w:val="restart"/>
          </w:tcPr>
          <w:p>
            <w:pPr>
              <w:ind w:left="120"/>
              <w:spacing w:after="0"/>
              <w:rPr>
                <w:sz w:val="20"/>
                <w:szCs w:val="20"/>
                <w:color w:val="auto"/>
              </w:rPr>
            </w:pPr>
            <w:r>
              <w:rPr>
                <w:rFonts w:ascii="Arial" w:cs="Arial" w:eastAsia="Arial" w:hAnsi="Arial"/>
                <w:sz w:val="14"/>
                <w:szCs w:val="14"/>
                <w:color w:val="auto"/>
              </w:rPr>
              <w:t>Reported within operating expenses.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4"/>
                <w:szCs w:val="14"/>
                <w:color w:val="auto"/>
              </w:rPr>
            </w:pPr>
          </w:p>
        </w:tc>
        <w:tc>
          <w:tcPr>
            <w:tcW w:w="116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4820" w:type="dxa"/>
            <w:vAlign w:val="bottom"/>
            <w:gridSpan w:val="2"/>
          </w:tcPr>
          <w:p>
            <w:pPr>
              <w:ind w:left="52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820" w:type="dxa"/>
            <w:vAlign w:val="bottom"/>
            <w:gridSpan w:val="2"/>
          </w:tcPr>
          <w:p>
            <w:pPr>
              <w:ind w:left="76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Reconciliation of Adjusted EBITDA to income (loss) before income taxes:</w:t>
      </w:r>
    </w:p>
    <w:p>
      <w:pPr>
        <w:sectPr>
          <w:pgSz w:w="11900" w:h="16838" w:orient="portrait"/>
          <w:cols w:equalWidth="0" w:num="1">
            <w:col w:w="11240"/>
          </w:cols>
          <w:pgMar w:left="320" w:top="108" w:right="339" w:bottom="1440" w:gutter="0" w:footer="0" w:header="0"/>
        </w:sect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ind w:left="520"/>
        <w:spacing w:after="0"/>
        <w:tabs>
          <w:tab w:leader="none" w:pos="1180" w:val="left"/>
        </w:tabs>
        <w:rPr>
          <w:sz w:val="20"/>
          <w:szCs w:val="20"/>
          <w:color w:val="auto"/>
        </w:rPr>
      </w:pPr>
      <w:r>
        <w:rPr>
          <w:rFonts w:ascii="Arial" w:cs="Arial" w:eastAsia="Arial" w:hAnsi="Arial"/>
          <w:sz w:val="17"/>
          <w:szCs w:val="17"/>
          <w:color w:val="auto"/>
        </w:rPr>
        <w:t>Less:</w:t>
        <w:tab/>
        <w:t xml:space="preserve">Non-vehicle related depreciation and amortization </w:t>
      </w:r>
      <w:r>
        <w:rPr>
          <w:rFonts w:ascii="Arial" w:cs="Arial" w:eastAsia="Arial" w:hAnsi="Arial"/>
          <w:sz w:val="22"/>
          <w:szCs w:val="22"/>
          <w:color w:val="auto"/>
          <w:vertAlign w:val="superscript"/>
        </w:rPr>
        <w:t>(b)</w:t>
      </w:r>
    </w:p>
    <w:p>
      <w:pPr>
        <w:ind w:left="1200"/>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Restructuring and other related charges</w:t>
      </w:r>
    </w:p>
    <w:p>
      <w:pPr>
        <w:ind w:left="1200"/>
        <w:spacing w:after="0" w:line="228" w:lineRule="auto"/>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(c)</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Transaction-related costs, net</w:t>
      </w:r>
    </w:p>
    <w:p>
      <w:pPr>
        <w:spacing w:after="0" w:line="23" w:lineRule="exact"/>
        <w:rPr>
          <w:sz w:val="20"/>
          <w:szCs w:val="20"/>
          <w:color w:val="auto"/>
        </w:rPr>
      </w:pPr>
    </w:p>
    <w:p>
      <w:pPr>
        <w:ind w:left="1360" w:right="640" w:hanging="149"/>
        <w:spacing w:after="0" w:line="206" w:lineRule="auto"/>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23"/>
          <w:szCs w:val="23"/>
          <w:color w:val="auto"/>
          <w:vertAlign w:val="superscript"/>
        </w:rPr>
        <w:t>(d)</w:t>
      </w:r>
    </w:p>
    <w:p>
      <w:pPr>
        <w:ind w:left="1360" w:right="720" w:hanging="149"/>
        <w:spacing w:after="0" w:line="226"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b w:val="1"/>
          <w:bCs w:val="1"/>
          <w:color w:val="auto"/>
          <w:vertAlign w:val="superscript"/>
        </w:rPr>
        <w:t>(e)</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c>
          <w:tcPr>
            <w:tcW w:w="16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5"/>
        </w:trPr>
        <w:tc>
          <w:tcPr>
            <w:tcW w:w="300" w:type="dxa"/>
            <w:vAlign w:val="bottom"/>
          </w:tcPr>
          <w:p>
            <w:pPr>
              <w:spacing w:after="0"/>
              <w:rPr>
                <w:sz w:val="24"/>
                <w:szCs w:val="24"/>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ectPr>
          <w:pgSz w:w="11900" w:h="16838" w:orient="portrait"/>
          <w:cols w:equalWidth="0" w:num="2">
            <w:col w:w="5620" w:space="720"/>
            <w:col w:w="4900"/>
          </w:cols>
          <w:pgMar w:left="320" w:top="108"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04" w:lineRule="auto"/>
        <w:tabs>
          <w:tab w:leader="none" w:pos="81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2021 consists of $3 million within operating expenses and $2 million within selling, general and administrative expenses related to cloud computing costs.</w:t>
      </w:r>
    </w:p>
    <w:p>
      <w:pPr>
        <w:spacing w:after="0" w:line="1" w:lineRule="exact"/>
        <w:rPr>
          <w:rFonts w:ascii="Arial" w:cs="Arial" w:eastAsia="Arial" w:hAnsi="Arial"/>
          <w:sz w:val="19"/>
          <w:szCs w:val="19"/>
          <w:color w:val="auto"/>
          <w:vertAlign w:val="superscript"/>
        </w:rPr>
      </w:pPr>
    </w:p>
    <w:p>
      <w:pPr>
        <w:ind w:left="800" w:hanging="306"/>
        <w:spacing w:after="0" w:line="189"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30"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5460" w:type="dxa"/>
            <w:vAlign w:val="bottom"/>
          </w:tcPr>
          <w:p>
            <w:pPr>
              <w:ind w:left="360"/>
              <w:spacing w:after="0"/>
              <w:rPr>
                <w:sz w:val="20"/>
                <w:szCs w:val="20"/>
                <w:color w:val="auto"/>
              </w:rPr>
            </w:pPr>
            <w:r>
              <w:rPr>
                <w:rFonts w:ascii="Arial" w:cs="Arial" w:eastAsia="Arial" w:hAnsi="Arial"/>
                <w:sz w:val="14"/>
                <w:szCs w:val="14"/>
                <w:color w:val="auto"/>
              </w:rPr>
              <w:t>Minimum annual guaranteed rent in excess of concession fees, net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5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460" w:type="dxa"/>
            <w:vAlign w:val="bottom"/>
          </w:tcPr>
          <w:p>
            <w:pPr>
              <w:ind w:left="36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5460" w:type="dxa"/>
            <w:vAlign w:val="bottom"/>
          </w:tcPr>
          <w:p>
            <w:pPr>
              <w:ind w:left="360"/>
              <w:spacing w:after="0" w:line="152" w:lineRule="exact"/>
              <w:rPr>
                <w:sz w:val="20"/>
                <w:szCs w:val="20"/>
                <w:color w:val="auto"/>
              </w:rPr>
            </w:pPr>
            <w:r>
              <w:rPr>
                <w:rFonts w:ascii="Arial" w:cs="Arial" w:eastAsia="Arial" w:hAnsi="Arial"/>
                <w:sz w:val="14"/>
                <w:szCs w:val="14"/>
                <w:color w:val="auto"/>
              </w:rPr>
              <w:t>Incremental cleaning supplies to sanitize vehicles and facilities, and</w:t>
            </w:r>
          </w:p>
        </w:tc>
        <w:tc>
          <w:tcPr>
            <w:tcW w:w="300" w:type="dxa"/>
            <w:vAlign w:val="bottom"/>
          </w:tcPr>
          <w:p>
            <w:pPr>
              <w:spacing w:after="0"/>
              <w:rPr>
                <w:sz w:val="13"/>
                <w:szCs w:val="13"/>
                <w:color w:val="auto"/>
              </w:rPr>
            </w:pPr>
          </w:p>
        </w:tc>
        <w:tc>
          <w:tcPr>
            <w:tcW w:w="2600" w:type="dxa"/>
            <w:vAlign w:val="bottom"/>
            <w:gridSpan w:val="2"/>
            <w:vMerge w:val="restart"/>
          </w:tcPr>
          <w:p>
            <w:pPr>
              <w:jc w:val="right"/>
              <w:ind w:right="16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5460" w:type="dxa"/>
            <w:vAlign w:val="bottom"/>
          </w:tcPr>
          <w:p>
            <w:pPr>
              <w:ind w:left="480"/>
              <w:spacing w:after="0"/>
              <w:rPr>
                <w:sz w:val="20"/>
                <w:szCs w:val="20"/>
                <w:color w:val="auto"/>
              </w:rPr>
            </w:pPr>
            <w:r>
              <w:rPr>
                <w:rFonts w:ascii="Arial" w:cs="Arial" w:eastAsia="Arial" w:hAnsi="Arial"/>
                <w:sz w:val="14"/>
                <w:szCs w:val="14"/>
                <w:color w:val="auto"/>
              </w:rPr>
              <w:t>over flow parking for idle vehicles</w:t>
            </w:r>
          </w:p>
        </w:tc>
        <w:tc>
          <w:tcPr>
            <w:tcW w:w="30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5460" w:type="dxa"/>
            <w:vAlign w:val="bottom"/>
          </w:tcPr>
          <w:p>
            <w:pPr>
              <w:ind w:left="360"/>
              <w:spacing w:after="0"/>
              <w:rPr>
                <w:sz w:val="20"/>
                <w:szCs w:val="20"/>
                <w:color w:val="auto"/>
              </w:rPr>
            </w:pPr>
            <w:r>
              <w:rPr>
                <w:rFonts w:ascii="Arial" w:cs="Arial" w:eastAsia="Arial" w:hAnsi="Arial"/>
                <w:sz w:val="14"/>
                <w:szCs w:val="14"/>
                <w:color w:val="auto"/>
              </w:rPr>
              <w:t>Other charges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546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5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54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r>
              <w:rPr>
                <w:rFonts w:ascii="Arial" w:cs="Arial" w:eastAsia="Arial" w:hAnsi="Arial"/>
                <w:sz w:val="9"/>
                <w:szCs w:val="9"/>
                <w:color w:val="auto"/>
              </w:rPr>
              <w:t>(d)</w:t>
            </w:r>
          </w:p>
        </w:tc>
        <w:tc>
          <w:tcPr>
            <w:tcW w:w="5460" w:type="dxa"/>
            <w:vAlign w:val="bottom"/>
          </w:tcPr>
          <w:p>
            <w:pPr>
              <w:ind w:left="120"/>
              <w:spacing w:after="0"/>
              <w:rPr>
                <w:sz w:val="20"/>
                <w:szCs w:val="20"/>
                <w:color w:val="auto"/>
              </w:rPr>
            </w:pPr>
            <w:r>
              <w:rPr>
                <w:rFonts w:ascii="Arial" w:cs="Arial" w:eastAsia="Arial" w:hAnsi="Arial"/>
                <w:sz w:val="14"/>
                <w:szCs w:val="14"/>
                <w:color w:val="auto"/>
              </w:rPr>
              <w:t>Reported within selling, general and administrative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20"/>
                <w:szCs w:val="20"/>
                <w:color w:val="auto"/>
              </w:rPr>
            </w:pPr>
            <w:r>
              <w:rPr>
                <w:rFonts w:ascii="Arial" w:cs="Arial" w:eastAsia="Arial" w:hAnsi="Arial"/>
                <w:sz w:val="9"/>
                <w:szCs w:val="9"/>
                <w:color w:val="auto"/>
              </w:rPr>
              <w:t>(e)</w:t>
            </w:r>
          </w:p>
        </w:tc>
        <w:tc>
          <w:tcPr>
            <w:tcW w:w="5460" w:type="dxa"/>
            <w:vAlign w:val="bottom"/>
          </w:tcPr>
          <w:p>
            <w:pPr>
              <w:ind w:left="120"/>
              <w:spacing w:after="0"/>
              <w:rPr>
                <w:sz w:val="20"/>
                <w:szCs w:val="20"/>
                <w:color w:val="auto"/>
              </w:rPr>
            </w:pPr>
            <w:r>
              <w:rPr>
                <w:rFonts w:ascii="Arial" w:cs="Arial" w:eastAsia="Arial" w:hAnsi="Arial"/>
                <w:sz w:val="14"/>
                <w:szCs w:val="14"/>
                <w:color w:val="auto"/>
              </w:rPr>
              <w:t>Reported within operating expenses.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Since December 31, 2020, there have been no significant changes in segment assets exclusive of assets under vehicle programs. As of June 30, 2021 and December 31, 2020, Americas’ segment assets under vehicle programs were approximately $10.3 billion and $7.2 billion, respectively, and International segment assets under vehicle programs were approximately $2.5 billion and $2.0 billion, respectively. The changes in assets under vehicle programs is primarily due to the increase in the size of our vehicle rental fleet to meet increases in rental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From July 12, 2021 through August 3, 2021, the Company repurchased approximately 4.1 million shares of common stock at a cost of approximately $318 million under the Stock Repurchase Program.</w:t>
      </w:r>
    </w:p>
    <w:p>
      <w:pPr>
        <w:spacing w:after="0" w:line="22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In August 2021, the Company’s Board of Directors approved a $1 billion increase in repurchase authorization to the Company’s Stock Repurchase Program.</w:t>
      </w:r>
    </w:p>
    <w:p>
      <w:pPr>
        <w:spacing w:after="0" w:line="22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In August 2021, the Company’s 5.250% Senior Notes due March 2025 with an aggregate outstanding balance of $235 million were called for early redemption.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2020 Form 10-K. Our actual results of operations may differ materially from those discussed in forward-looking statements as a result of various factors, including those discussed in “Forward-Looking Statements”. See “Forward-Looking Statements” for additional information. Unless otherwise noted, all dollar amounts in tables are in millions.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2020 of nearly 533,000 vehicles. We also license the use of our trademarks to licensees in the areas in which we do not operate directly. We and our licensees operate our brands in approximately 180 countries throughout the world.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positive momentum from the fourth quarter of 2020 carried into the first half of 2021. For the three and six month periods ended June 30, 2021, the Company generated revenues of $2.4 billion and $3.7 billion, respectively, net income of $398 million and $228 million, respectively, and Adjusted EBITDA of $624 million and $ 671 million, respectively. These results were primarily driven by increased demand for rental vehicles, improved pricing across the industry, disciplined cost removal achieved in 2020 and continued fleet management. Our utilization rate for the second quarter ended June 30, 2021 was 71.3%, a 50 basis point improvement compared to second quarter 2019 and a 36.2% improvement over the second quarter of 2020, showing our continued ability to align our fleet with demand. In addition, per-unit fleet costs per month was $221, a 17% improvement compared to second quarter 2019 and a 2% improvement, excluding exchange rate effects, compared to the second quarter of 2020. Revenue per day was $71.74, a 35% improvement over the second quarter of 2019 and a 70% improvement over the second quarter of 2020.</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global economy and our business were significantly impacted by the COVID-19 pandemic in 2020. However, due to the continued distribution of effective vaccines, along with other protective measures, over the past six months travel advisories and restrictions have eased. There are a number of encouraging developments, such as a significant increase in global travel demand, which generated an increase in demand for rental vehicles and improved pricing across the industry, suggesting a steady return to historic travel trends. We have positioned ourselves to capitalize on the continued surge in travel demand. As our revenues begin to reach pre-pandemic levels, we continue to take actions to put us on a path of profitability to exceed such levels. We continue to look for ways to capitalize on the changes prompted by the pandemic and to expand our business in a post-COVID-19 environment. However, the full extent of the ongoing impact of this virus on our long-term operational and financial performance will depend on future developments, including those outside of our control, such as the spread of new variants of the virus and the implementation of new or continued travel restrictions and the overall economic environment.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semiconductor shortage is causing uncertainty in fleet supply and resulting in tighter fleets throughout the industry. We have historically navigated through significant vehicle recalls, and believe we have the logistics in place to effectively manage our fleet during this disruption in supply. We continue to purchase new vehicles and believe we can increase our fleet utilization efficiency to capture increased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w:t>
      </w:r>
    </w:p>
    <w:p>
      <w:pPr>
        <w:spacing w:after="0" w:line="252" w:lineRule="exact"/>
        <w:rPr>
          <w:sz w:val="20"/>
          <w:szCs w:val="20"/>
          <w:color w:val="auto"/>
        </w:rPr>
      </w:pPr>
    </w:p>
    <w:p>
      <w:pPr>
        <w:jc w:val="both"/>
        <w:ind w:left="66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revenues totaled $3.7 billion, an increase of 49% compared to the similar period in 2020, primarily due to a significant increase in pricing and increased demand for rental vehicles. The significant increase in revenues was a direct result of the global effort to combat the incidence and spread of the COVID-19 virus, which led to a significant increase in global travel demand, suggesting a steady return to historic travel levels.</w:t>
      </w:r>
    </w:p>
    <w:p>
      <w:pPr>
        <w:spacing w:after="0" w:line="95" w:lineRule="exact"/>
        <w:rPr>
          <w:rFonts w:ascii="Arial" w:cs="Arial" w:eastAsia="Arial" w:hAnsi="Arial"/>
          <w:sz w:val="18"/>
          <w:szCs w:val="18"/>
          <w:color w:val="auto"/>
        </w:rPr>
      </w:pPr>
    </w:p>
    <w:p>
      <w:pPr>
        <w:jc w:val="both"/>
        <w:ind w:left="660" w:right="2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net income was $228 million, representing an increase of $867 million year-over-year, primarily due to significantly higher revenues, as described above, in addition to disciplined cost management in 2021, building upon the cost removal achieved in 2020.</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Adjusted EBITDA was $671 million, representing a significant increase of $1.1 billion year-over-year, primarily due to significantly higher revenues and disciplined cost management.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repurchased $10 million of our common stock, reducing our shares outstanding by approximately 0.1 million shares.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issued $600 million and $500 million of 5.375% Senior Notes due March 2029 and 4.75% Senior Notes due April 2028, respectively, with proceeds used to redeem our 10.5% Senior Secured Notes due May 2025, our 6.375% Senior Notes due in April 2024 and a portion of our 5.25% Senior Notes due in March 2025.</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We issued $1.1 billion in asset-backed notes incurring interest at a blended weighted average rate of 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vs. Three Months Ended June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5"/>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358"/>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9"/>
        </w:trPr>
        <w:tc>
          <w:tcPr>
            <w:tcW w:w="5860" w:type="dxa"/>
            <w:vAlign w:val="bottom"/>
          </w:tcPr>
          <w:p>
            <w:pPr>
              <w:ind w:left="240"/>
              <w:spacing w:after="0"/>
              <w:rPr>
                <w:sz w:val="20"/>
                <w:szCs w:val="20"/>
                <w:color w:val="auto"/>
              </w:rPr>
            </w:pPr>
            <w:r>
              <w:rPr>
                <w:rFonts w:ascii="Arial" w:cs="Arial" w:eastAsia="Arial" w:hAnsi="Arial"/>
                <w:sz w:val="16"/>
                <w:szCs w:val="16"/>
                <w:color w:val="auto"/>
              </w:rPr>
              <w:t>Transaction-related costs,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06"/>
        </w:trPr>
        <w:tc>
          <w:tcPr>
            <w:tcW w:w="586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358"/>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19"/>
        </w:trPr>
        <w:tc>
          <w:tcPr>
            <w:tcW w:w="586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361"/>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8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5860" w:type="dxa"/>
            <w:vAlign w:val="bottom"/>
          </w:tcPr>
          <w:p>
            <w:pPr>
              <w:spacing w:after="0"/>
              <w:rPr>
                <w:sz w:val="20"/>
                <w:szCs w:val="20"/>
                <w:color w:val="auto"/>
              </w:rPr>
            </w:pPr>
            <w:r>
              <w:rPr>
                <w:rFonts w:ascii="Arial" w:cs="Arial" w:eastAsia="Arial" w:hAnsi="Arial"/>
                <w:sz w:val="14"/>
                <w:szCs w:val="14"/>
                <w:color w:val="auto"/>
              </w:rPr>
              <w:t>n/m - Not Meaningful</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increased $1.6 billion during the three months ended June 30, 2021 compared to the similar period in 2020, primarily due to a 67% increase in revenue per day, excluding exchange rate effects, an 84% increase in volume as the mobility industry recovers from the pandemic and a $45 million benefit from currency exchange rate movements. Total expenses increased 38% during the three months ended June 30, 2021, compared to the similar period in 2020, primarily due to increased demand, partially offset by cost discipline as volume returned. Our effective tax rates were a provision for (benefit from) of 18% and (21)% for the three months ended June 30, 2021 and 2020, respectively. As a result of these items, our net income increased by $879 million compared to the similar period in 2020. For the three months ended June 30, 2021 and 2020, the Company reported earnings (loss) per diluted share of $5.63 and $(6.91), respectively.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43.5% of revenue during the three months ended June 30, 2021 compared to 81.9% during the similar period in 2020, primarily due to the increased revenues and cost discipline as volume returned. Vehicle depreciation and lease charges decreased to 14.3% of revenue during the three months ended June 30, 2021 compared to 49.3% during the similar period in 2020, primarily due to increased revenues. Selling, general and administrative costs decreased to 12.4% of revenue during the three months ended June 30, 2021 compared to 17.4% during the similar period in 2020, primarily due to increased revenues and cost discipline as volume returned. Vehicle interest costs decreased to 3.2% of revenue during the three months ended June 30, 2021 compared to 11.4% during the similar period in 2020,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565</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195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760</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Reconciliation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09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(benefit from) income taxes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income taxes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4620" w:type="dxa"/>
            <w:vAlign w:val="bottom"/>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r>
      <w:tr>
        <w:trPr>
          <w:trHeight w:val="195"/>
        </w:trPr>
        <w:tc>
          <w:tcPr>
            <w:tcW w:w="540" w:type="dxa"/>
            <w:vAlign w:val="bottom"/>
          </w:tcPr>
          <w:p>
            <w:pPr>
              <w:spacing w:after="0"/>
              <w:rPr>
                <w:sz w:val="16"/>
                <w:szCs w:val="16"/>
                <w:color w:val="auto"/>
              </w:rPr>
            </w:pPr>
          </w:p>
        </w:tc>
        <w:tc>
          <w:tcPr>
            <w:tcW w:w="4620" w:type="dxa"/>
            <w:vAlign w:val="bottom"/>
          </w:tcPr>
          <w:p>
            <w:pPr>
              <w:ind w:left="200"/>
              <w:spacing w:after="0"/>
              <w:rPr>
                <w:sz w:val="20"/>
                <w:szCs w:val="20"/>
                <w:color w:val="auto"/>
              </w:rPr>
            </w:pPr>
            <w:r>
              <w:rPr>
                <w:rFonts w:ascii="Arial" w:cs="Arial" w:eastAsia="Arial" w:hAnsi="Arial"/>
                <w:sz w:val="16"/>
                <w:szCs w:val="16"/>
                <w:color w:val="auto"/>
              </w:rPr>
              <w:t>Interest expense related to corporate debt, net:</w:t>
            </w:r>
          </w:p>
        </w:tc>
      </w:tr>
      <w:tr>
        <w:trPr>
          <w:trHeight w:val="216"/>
        </w:trPr>
        <w:tc>
          <w:tcPr>
            <w:tcW w:w="54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6"/>
                <w:szCs w:val="16"/>
                <w:color w:val="auto"/>
              </w:rPr>
              <w:t>Interest expense</w:t>
            </w:r>
          </w:p>
        </w:tc>
      </w:tr>
      <w:tr>
        <w:trPr>
          <w:trHeight w:val="216"/>
        </w:trPr>
        <w:tc>
          <w:tcPr>
            <w:tcW w:w="54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6"/>
                <w:szCs w:val="16"/>
                <w:color w:val="auto"/>
              </w:rPr>
              <w:t>Early extinguishment of debt</w:t>
            </w:r>
          </w:p>
        </w:tc>
      </w:tr>
      <w:tr>
        <w:trPr>
          <w:trHeight w:val="216"/>
        </w:trPr>
        <w:tc>
          <w:tcPr>
            <w:tcW w:w="54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6"/>
                <w:szCs w:val="16"/>
                <w:color w:val="auto"/>
              </w:rPr>
              <w:t>Restructuring and other related charges</w:t>
            </w:r>
          </w:p>
        </w:tc>
      </w:tr>
      <w:tr>
        <w:trPr>
          <w:trHeight w:val="216"/>
        </w:trPr>
        <w:tc>
          <w:tcPr>
            <w:tcW w:w="54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6"/>
                <w:szCs w:val="16"/>
                <w:color w:val="auto"/>
              </w:rPr>
              <w:t>Transaction-related costs, net</w:t>
            </w:r>
          </w:p>
        </w:tc>
      </w:tr>
      <w:tr>
        <w:trPr>
          <w:trHeight w:val="235"/>
        </w:trPr>
        <w:tc>
          <w:tcPr>
            <w:tcW w:w="540" w:type="dxa"/>
            <w:vAlign w:val="bottom"/>
          </w:tcPr>
          <w:p>
            <w:pPr>
              <w:spacing w:after="0"/>
              <w:rPr>
                <w:sz w:val="20"/>
                <w:szCs w:val="20"/>
                <w:color w:val="auto"/>
              </w:rPr>
            </w:pPr>
          </w:p>
        </w:tc>
        <w:tc>
          <w:tcPr>
            <w:tcW w:w="462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(c)</w:t>
            </w:r>
          </w:p>
        </w:tc>
      </w:tr>
      <w:tr>
        <w:trPr>
          <w:trHeight w:val="259"/>
        </w:trPr>
        <w:tc>
          <w:tcPr>
            <w:tcW w:w="540" w:type="dxa"/>
            <w:vAlign w:val="bottom"/>
          </w:tcPr>
          <w:p>
            <w:pPr>
              <w:spacing w:after="0"/>
              <w:rPr>
                <w:sz w:val="22"/>
                <w:szCs w:val="22"/>
                <w:color w:val="auto"/>
              </w:rPr>
            </w:pPr>
          </w:p>
        </w:tc>
        <w:tc>
          <w:tcPr>
            <w:tcW w:w="4620" w:type="dxa"/>
            <w:vAlign w:val="bottom"/>
          </w:tcPr>
          <w:p>
            <w:pPr>
              <w:ind w:left="200"/>
              <w:spacing w:after="0"/>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(d)</w:t>
            </w:r>
          </w:p>
        </w:tc>
      </w:tr>
    </w:tbl>
    <w:p>
      <w:pPr>
        <w:ind w:left="2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6"/>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311"/>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32"/>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ectPr>
          <w:pgSz w:w="11900" w:h="16838" w:orient="portrait"/>
          <w:cols w:equalWidth="0" w:num="2">
            <w:col w:w="7460" w:space="720"/>
            <w:col w:w="3060"/>
          </w:cols>
          <w:pgMar w:left="320" w:top="140" w:right="339" w:bottom="1440" w:gutter="0" w:footer="0" w:header="0"/>
          <w:type w:val="continuous"/>
        </w:sectPr>
      </w:pPr>
    </w:p>
    <w:p>
      <w:pPr>
        <w:ind w:left="320" w:hanging="312"/>
        <w:spacing w:after="0"/>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 w:lineRule="exact"/>
        <w:rPr>
          <w:rFonts w:ascii="Arial" w:cs="Arial" w:eastAsia="Arial" w:hAnsi="Arial"/>
          <w:sz w:val="19"/>
          <w:szCs w:val="19"/>
          <w:color w:val="auto"/>
          <w:vertAlign w:val="superscript"/>
        </w:rPr>
      </w:pPr>
    </w:p>
    <w:p>
      <w:pPr>
        <w:ind w:left="320" w:hanging="312"/>
        <w:spacing w:after="0" w:line="189"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cloud computing costs of $3 million within operating expenses and $2 million within selling, general and administrative expenses.</w:t>
      </w:r>
    </w:p>
    <w:p>
      <w:pPr>
        <w:spacing w:after="0" w:line="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following table presents the unusual, direct and incremental costs due to the COVID-19 pandemic.</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7640" w:type="dxa"/>
            <w:vAlign w:val="bottom"/>
          </w:tcPr>
          <w:p>
            <w:pPr>
              <w:ind w:left="34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 parking for</w:t>
            </w:r>
          </w:p>
        </w:tc>
        <w:tc>
          <w:tcPr>
            <w:tcW w:w="1040" w:type="dxa"/>
            <w:vAlign w:val="bottom"/>
          </w:tcPr>
          <w:p>
            <w:pPr>
              <w:spacing w:after="0"/>
              <w:rPr>
                <w:sz w:val="13"/>
                <w:szCs w:val="13"/>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7640" w:type="dxa"/>
            <w:vAlign w:val="bottom"/>
          </w:tcPr>
          <w:p>
            <w:pPr>
              <w:ind w:left="460"/>
              <w:spacing w:after="0"/>
              <w:rPr>
                <w:sz w:val="20"/>
                <w:szCs w:val="20"/>
                <w:color w:val="auto"/>
              </w:rPr>
            </w:pPr>
            <w:r>
              <w:rPr>
                <w:rFonts w:ascii="Arial" w:cs="Arial" w:eastAsia="Arial" w:hAnsi="Arial"/>
                <w:sz w:val="14"/>
                <w:szCs w:val="14"/>
                <w:color w:val="auto"/>
              </w:rPr>
              <w:t>idle vehicles</w:t>
            </w:r>
          </w:p>
        </w:tc>
        <w:tc>
          <w:tcPr>
            <w:tcW w:w="10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7640" w:type="dxa"/>
            <w:vAlign w:val="bottom"/>
          </w:tcPr>
          <w:p>
            <w:pPr>
              <w:ind w:left="340"/>
              <w:spacing w:after="0"/>
              <w:rPr>
                <w:sz w:val="20"/>
                <w:szCs w:val="20"/>
                <w:color w:val="auto"/>
              </w:rPr>
            </w:pPr>
            <w:r>
              <w:rPr>
                <w:rFonts w:ascii="Arial" w:cs="Arial" w:eastAsia="Arial" w:hAnsi="Arial"/>
                <w:sz w:val="14"/>
                <w:szCs w:val="14"/>
                <w:color w:val="auto"/>
              </w:rPr>
              <w:t>Other charges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76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20"/>
                <w:szCs w:val="20"/>
                <w:color w:val="auto"/>
              </w:rPr>
            </w:pPr>
            <w:r>
              <w:rPr>
                <w:rFonts w:ascii="Arial" w:cs="Arial" w:eastAsia="Arial" w:hAnsi="Arial"/>
                <w:sz w:val="9"/>
                <w:szCs w:val="9"/>
                <w:color w:val="auto"/>
              </w:rPr>
              <w:t>(d)</w:t>
            </w:r>
          </w:p>
        </w:tc>
        <w:tc>
          <w:tcPr>
            <w:tcW w:w="7640" w:type="dxa"/>
            <w:vAlign w:val="bottom"/>
            <w:vMerge w:val="restart"/>
          </w:tcPr>
          <w:p>
            <w:pPr>
              <w:ind w:left="100"/>
              <w:spacing w:after="0"/>
              <w:rPr>
                <w:sz w:val="20"/>
                <w:szCs w:val="20"/>
                <w:color w:val="auto"/>
              </w:rPr>
            </w:pPr>
            <w:r>
              <w:rPr>
                <w:rFonts w:ascii="Arial" w:cs="Arial" w:eastAsia="Arial" w:hAnsi="Arial"/>
                <w:sz w:val="14"/>
                <w:szCs w:val="14"/>
                <w:color w:val="auto"/>
              </w:rPr>
              <w:t>Reported within operating expenses in our consolidated condensed results of operations.</w:t>
            </w: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76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372 %</w:t>
            </w:r>
          </w:p>
        </w:tc>
      </w:tr>
    </w:tbl>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$1.4 billion during the three months ended June 30, 2021 compared to the similar period in 2020, primarily due to a 68% increase in revenue per day and a significant increase in volume.</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40.9% of revenue during the three months ended June 30, 2021 compared to 78.0% during the similar period in 2020, primarily due to increased revenues and cost discipline as volume returned. Vehicle depreciation and lease charges decreased to 13.1% of revenue during the three months ended June 30, 2021 compared to 47.7% during the similar period in 2020, primarily due to increased revenues, partially offset by a 1% increase in per-unit fleet costs, excluding exchange rate effects. Selling, general and administrative costs decreased to 10.0% of revenue during the three months ended June 30, 2021 compared to 14.2% during the similar period in 2020, primarily due to increased revenues and cost discipline as volume returned. Vehicle interest costs decreased to 3.2% of revenue during the three months ended June 30, 2021 compared to 12.9% during the similar period in 2020, primarily due to increased revenues.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$867 million higher during the three months ended June 30, 2021 compared to the similar period in 2020, primarily due to increased revenues and cost discipline as volume returned.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106 %</w:t>
            </w:r>
          </w:p>
        </w:tc>
      </w:tr>
    </w:tbl>
    <w:p>
      <w:pPr>
        <w:spacing w:after="0" w:line="200" w:lineRule="exact"/>
        <w:rPr>
          <w:sz w:val="20"/>
          <w:szCs w:val="20"/>
          <w:color w:val="auto"/>
        </w:rPr>
      </w:pPr>
    </w:p>
    <w:p>
      <w:pPr>
        <w:spacing w:after="0" w:line="3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$202 million during the three months ended June 30, 2021, compared to the similar period in 2020, primarily due to a 35% increase in revenue per day excluding exchange rate effects, a 35% increase in volume and a $41 million benefit from currency exchange rate movements.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56.4% of revenue during the three months ended June 30, 2021 compared to 93.5% during the similar period in 2020, primarily due to increased revenues and cost discipline as volume returned. Vehicle depreciation and lease charges decreased to 19.9% of revenue during the three months ended June 30, 2021 compared to 53.8% during the similar period in 2020, primarily due to increased revenues and a 15% decrease in per-unit fleet costs, excluding exchange rate effects, driven by the continued favorable trend in the used-vehicle market. Selling, general and administrative costs decreased to 19.2% of revenue during the three months ended June 30, 2021 compared to 21.5% during the similar period in 2020, primarily due to increased revenues and cost discipline as volume returned. Vehicle interest costs decreased to 3.3% of revenue during the three months ended June 30, 2021 compared to 6.9% during the similar period in 2020, primarily due to increased revenues.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was $148 million higher in second quarter 2021 compared to the similar period in 2020, primarily due to increased revenues, decreased per-unit fleet costs, cost discipline as volume returned and a $9 million benefit from currency exchange rate movements.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vs. Six Months Ended June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1"/>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5"/>
        </w:trPr>
        <w:tc>
          <w:tcPr>
            <w:tcW w:w="58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49 %</w:t>
            </w:r>
          </w:p>
        </w:tc>
      </w:tr>
      <w:tr>
        <w:trPr>
          <w:trHeight w:val="358"/>
        </w:trPr>
        <w:tc>
          <w:tcPr>
            <w:tcW w:w="58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580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(42 %)</w:t>
            </w:r>
          </w:p>
        </w:tc>
      </w:tr>
      <w:tr>
        <w:trPr>
          <w:trHeight w:val="219"/>
        </w:trPr>
        <w:tc>
          <w:tcPr>
            <w:tcW w:w="580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(33 %)</w:t>
            </w:r>
          </w:p>
        </w:tc>
      </w:tr>
      <w:tr>
        <w:trPr>
          <w:trHeight w:val="206"/>
        </w:trPr>
        <w:tc>
          <w:tcPr>
            <w:tcW w:w="580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358"/>
        </w:trPr>
        <w:tc>
          <w:tcPr>
            <w:tcW w:w="58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127 %</w:t>
            </w:r>
          </w:p>
        </w:tc>
      </w:tr>
      <w:tr>
        <w:trPr>
          <w:trHeight w:val="219"/>
        </w:trPr>
        <w:tc>
          <w:tcPr>
            <w:tcW w:w="580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103 %</w:t>
            </w:r>
          </w:p>
        </w:tc>
      </w:tr>
      <w:tr>
        <w:trPr>
          <w:trHeight w:val="361"/>
        </w:trPr>
        <w:tc>
          <w:tcPr>
            <w:tcW w:w="58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136 %</w:t>
            </w:r>
          </w:p>
        </w:tc>
      </w:tr>
      <w:tr>
        <w:trPr>
          <w:trHeight w:val="21"/>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increased 49% during the six months ended June 30, 2021 compared to the similar period in 2020, primarily due to a 32% increase in revenue per day, excluding exchange rate effects, a 10% increase in volume and a $75 million benefit from currency exchange rate movements. Total expenses increased 4% during the six months ended June 30, 2021, compared to the similar period in 2020, primarily due to increased demand, partially offset by cost discipline as volume returned. Our effective tax rates were a provision for (benefit from) of 3.4% and (26.9)% for the six months ended June 30, 2021 and 2020, respectively. As a result of these items, our net income increased by $867 million compared to the similar period in 2020. For the six months ended June 30, 2021 and 2020, the Company reported earnings (loss) per diluted share of $3.23 and $(8.96), respectively.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49.8% of revenue during the six months ended June 30, 2021 compared to 66.9% during the similar period in 2020, due to increased revenues and cost discipline as volume returned. Vehicle depreciation and lease charges decreased to 15.8% of revenue during the six months ended June 30, 2021 compared to 33.2% during the similar period in 2020, primarily due to increased revenues and a 12% decrease in per-unit fleet costs per month, excluding exchange rate effects, driven by the continued favorable trend in the used-vehicle market. Selling, general and administrative costs decreased to 12.7% of revenue during the six months ended June 30, 2021 compared to 15.2% during the similar period in 2020, increased revenues and cost discipline as volume returned. Vehicle interest costs decreased to 4.1% of revenue during the six months ended June 30, 2021 compared to 6.7% during the similar period in 2020, primarily due to increased revenues.</w:t>
      </w:r>
    </w:p>
    <w:p>
      <w:pPr>
        <w:spacing w:after="0" w:line="23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Reconciliation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090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(benefit from) income taxes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income taxes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4860" w:type="dxa"/>
            <w:vAlign w:val="bottom"/>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r>
      <w:tr>
        <w:trPr>
          <w:trHeight w:val="195"/>
        </w:trPr>
        <w:tc>
          <w:tcPr>
            <w:tcW w:w="54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Interest expense related to corporate debt, net:</w:t>
            </w:r>
          </w:p>
        </w:tc>
      </w:tr>
      <w:tr>
        <w:trPr>
          <w:trHeight w:val="216"/>
        </w:trPr>
        <w:tc>
          <w:tcPr>
            <w:tcW w:w="54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6"/>
                <w:szCs w:val="16"/>
                <w:color w:val="auto"/>
              </w:rPr>
              <w:t>Interest expense</w:t>
            </w:r>
          </w:p>
        </w:tc>
      </w:tr>
      <w:tr>
        <w:trPr>
          <w:trHeight w:val="216"/>
        </w:trPr>
        <w:tc>
          <w:tcPr>
            <w:tcW w:w="54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6"/>
                <w:szCs w:val="16"/>
                <w:color w:val="auto"/>
              </w:rPr>
              <w:t>Early extinguishment of debt</w:t>
            </w:r>
          </w:p>
        </w:tc>
      </w:tr>
      <w:tr>
        <w:trPr>
          <w:trHeight w:val="216"/>
        </w:trPr>
        <w:tc>
          <w:tcPr>
            <w:tcW w:w="54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Restructuring and other related charges</w:t>
            </w:r>
          </w:p>
        </w:tc>
      </w:tr>
      <w:tr>
        <w:trPr>
          <w:trHeight w:val="237"/>
        </w:trPr>
        <w:tc>
          <w:tcPr>
            <w:tcW w:w="540" w:type="dxa"/>
            <w:vAlign w:val="bottom"/>
          </w:tcPr>
          <w:p>
            <w:pPr>
              <w:spacing w:after="0"/>
              <w:rPr>
                <w:sz w:val="20"/>
                <w:szCs w:val="20"/>
                <w:color w:val="auto"/>
              </w:rPr>
            </w:pPr>
          </w:p>
        </w:tc>
        <w:tc>
          <w:tcPr>
            <w:tcW w:w="4860" w:type="dxa"/>
            <w:vAlign w:val="bottom"/>
          </w:tcPr>
          <w:p>
            <w:pPr>
              <w:ind w:left="200"/>
              <w:spacing w:after="0" w:line="237"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(c)</w:t>
            </w:r>
          </w:p>
        </w:tc>
      </w:tr>
      <w:tr>
        <w:trPr>
          <w:trHeight w:val="195"/>
        </w:trPr>
        <w:tc>
          <w:tcPr>
            <w:tcW w:w="54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Transaction-related costs, net</w:t>
            </w:r>
          </w:p>
        </w:tc>
      </w:tr>
      <w:tr>
        <w:trPr>
          <w:trHeight w:val="235"/>
        </w:trPr>
        <w:tc>
          <w:tcPr>
            <w:tcW w:w="540" w:type="dxa"/>
            <w:vAlign w:val="bottom"/>
          </w:tcPr>
          <w:p>
            <w:pPr>
              <w:spacing w:after="0"/>
              <w:rPr>
                <w:sz w:val="20"/>
                <w:szCs w:val="20"/>
                <w:color w:val="auto"/>
              </w:rPr>
            </w:pPr>
          </w:p>
        </w:tc>
        <w:tc>
          <w:tcPr>
            <w:tcW w:w="486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Non-operational charges related to shareholder activist activity </w:t>
            </w:r>
            <w:r>
              <w:rPr>
                <w:rFonts w:ascii="Arial" w:cs="Arial" w:eastAsia="Arial" w:hAnsi="Arial"/>
                <w:sz w:val="21"/>
                <w:szCs w:val="21"/>
                <w:color w:val="auto"/>
                <w:vertAlign w:val="superscript"/>
              </w:rPr>
              <w:t>(d)</w:t>
            </w:r>
          </w:p>
        </w:tc>
      </w:tr>
      <w:tr>
        <w:trPr>
          <w:trHeight w:val="259"/>
        </w:trPr>
        <w:tc>
          <w:tcPr>
            <w:tcW w:w="540" w:type="dxa"/>
            <w:vAlign w:val="bottom"/>
          </w:tcPr>
          <w:p>
            <w:pPr>
              <w:spacing w:after="0"/>
              <w:rPr>
                <w:sz w:val="22"/>
                <w:szCs w:val="22"/>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(e)</w:t>
            </w:r>
          </w:p>
        </w:tc>
      </w:tr>
    </w:tbl>
    <w:p>
      <w:pPr>
        <w:ind w:left="2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920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6" w:lineRule="exact"/>
        <w:rPr>
          <w:sz w:val="20"/>
          <w:szCs w:val="20"/>
          <w:color w:val="auto"/>
        </w:rPr>
      </w:pPr>
    </w:p>
    <w:p>
      <w:pPr>
        <w:ind w:left="20"/>
        <w:spacing w:after="0"/>
        <w:tabs>
          <w:tab w:leader="none" w:pos="1100" w:val="left"/>
          <w:tab w:leader="none" w:pos="1580" w:val="left"/>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228</w:t>
        <w:tab/>
        <w:t>$</w:t>
      </w:r>
      <w:r>
        <w:rPr>
          <w:sz w:val="20"/>
          <w:szCs w:val="20"/>
          <w:color w:val="auto"/>
        </w:rPr>
        <w:tab/>
      </w:r>
      <w:r>
        <w:rPr>
          <w:rFonts w:ascii="Arial" w:cs="Arial" w:eastAsia="Arial" w:hAnsi="Arial"/>
          <w:sz w:val="16"/>
          <w:szCs w:val="16"/>
          <w:color w:val="auto"/>
        </w:rPr>
        <w:t>(639)</w:t>
      </w:r>
    </w:p>
    <w:p>
      <w:pPr>
        <w:spacing w:after="0" w:line="32" w:lineRule="exact"/>
        <w:rPr>
          <w:sz w:val="20"/>
          <w:szCs w:val="20"/>
          <w:color w:val="auto"/>
        </w:rPr>
      </w:pPr>
    </w:p>
    <w:p>
      <w:pPr>
        <w:ind w:left="2620" w:hanging="1315"/>
        <w:spacing w:after="0"/>
        <w:tabs>
          <w:tab w:leader="none" w:pos="2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(235)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w:t>
            </w:r>
          </w:p>
        </w:tc>
      </w:tr>
      <w:tr>
        <w:trPr>
          <w:trHeight w:val="270"/>
        </w:trPr>
        <w:tc>
          <w:tcPr>
            <w:tcW w:w="14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432"/>
        </w:trPr>
        <w:tc>
          <w:tcPr>
            <w:tcW w:w="14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1" w:lineRule="exact"/>
        <w:rPr>
          <w:sz w:val="20"/>
          <w:szCs w:val="20"/>
          <w:color w:val="auto"/>
        </w:rPr>
      </w:pPr>
    </w:p>
    <w:p>
      <w:pPr>
        <w:ind w:left="2800" w:hanging="1648"/>
        <w:spacing w:after="0"/>
        <w:tabs>
          <w:tab w:leader="none" w:pos="2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920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1100" w:val="left"/>
          <w:tab w:leader="none" w:pos="1580" w:val="left"/>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671</w:t>
        <w:tab/>
        <w:t>$</w:t>
      </w:r>
      <w:r>
        <w:rPr>
          <w:sz w:val="20"/>
          <w:szCs w:val="20"/>
          <w:color w:val="auto"/>
        </w:rPr>
        <w:tab/>
      </w:r>
      <w:r>
        <w:rPr>
          <w:rFonts w:ascii="Arial" w:cs="Arial" w:eastAsia="Arial" w:hAnsi="Arial"/>
          <w:sz w:val="16"/>
          <w:szCs w:val="16"/>
          <w:color w:val="auto"/>
        </w:rPr>
        <w:t>(469)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92024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20240" cy="342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7460" w:space="720"/>
            <w:col w:w="3060"/>
          </w:cols>
          <w:pgMar w:left="320" w:top="140" w:right="339" w:bottom="1440" w:gutter="0" w:footer="0" w:header="0"/>
          <w:type w:val="continuous"/>
        </w:sectPr>
      </w:pPr>
    </w:p>
    <w:p>
      <w:pPr>
        <w:ind w:left="320" w:hanging="312"/>
        <w:spacing w:after="0"/>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0" w:hanging="312"/>
        <w:spacing w:after="0" w:line="187" w:lineRule="auto"/>
        <w:tabs>
          <w:tab w:leader="none" w:pos="3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Includes cloud computing costs of $3 million within operating expenses and $2 million within selling, general and administrative expenses.</w:t>
      </w:r>
    </w:p>
    <w:p>
      <w:pPr>
        <w:ind w:left="320" w:hanging="312"/>
        <w:spacing w:after="0" w:line="189" w:lineRule="auto"/>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30"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500" w:type="dxa"/>
            <w:vAlign w:val="bottom"/>
          </w:tcPr>
          <w:p>
            <w:pPr>
              <w:ind w:left="20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7500" w:type="dxa"/>
            <w:vAlign w:val="bottom"/>
          </w:tcPr>
          <w:p>
            <w:pPr>
              <w:ind w:left="2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2"/>
        </w:trPr>
        <w:tc>
          <w:tcPr>
            <w:tcW w:w="7500" w:type="dxa"/>
            <w:vAlign w:val="bottom"/>
          </w:tcPr>
          <w:p>
            <w:pPr>
              <w:ind w:left="20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 parking for</w:t>
            </w:r>
          </w:p>
        </w:tc>
        <w:tc>
          <w:tcPr>
            <w:tcW w:w="1040" w:type="dxa"/>
            <w:vAlign w:val="bottom"/>
          </w:tcPr>
          <w:p>
            <w:pPr>
              <w:spacing w:after="0"/>
              <w:rPr>
                <w:sz w:val="13"/>
                <w:szCs w:val="13"/>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2"/>
        </w:trPr>
        <w:tc>
          <w:tcPr>
            <w:tcW w:w="7500" w:type="dxa"/>
            <w:vAlign w:val="bottom"/>
          </w:tcPr>
          <w:p>
            <w:pPr>
              <w:ind w:left="320"/>
              <w:spacing w:after="0"/>
              <w:rPr>
                <w:sz w:val="20"/>
                <w:szCs w:val="20"/>
                <w:color w:val="auto"/>
              </w:rPr>
            </w:pPr>
            <w:r>
              <w:rPr>
                <w:rFonts w:ascii="Arial" w:cs="Arial" w:eastAsia="Arial" w:hAnsi="Arial"/>
                <w:sz w:val="14"/>
                <w:szCs w:val="14"/>
                <w:color w:val="auto"/>
              </w:rPr>
              <w:t>idle vehicles</w:t>
            </w:r>
          </w:p>
        </w:tc>
        <w:tc>
          <w:tcPr>
            <w:tcW w:w="10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500" w:type="dxa"/>
            <w:vAlign w:val="bottom"/>
          </w:tcPr>
          <w:p>
            <w:pPr>
              <w:ind w:left="200"/>
              <w:spacing w:after="0"/>
              <w:rPr>
                <w:sz w:val="20"/>
                <w:szCs w:val="20"/>
                <w:color w:val="auto"/>
              </w:rPr>
            </w:pPr>
            <w:r>
              <w:rPr>
                <w:rFonts w:ascii="Arial" w:cs="Arial" w:eastAsia="Arial" w:hAnsi="Arial"/>
                <w:sz w:val="14"/>
                <w:szCs w:val="14"/>
                <w:color w:val="auto"/>
              </w:rPr>
              <w:t>Other charges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7"/>
        </w:trPr>
        <w:tc>
          <w:tcPr>
            <w:tcW w:w="75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9"/>
          <w:szCs w:val="9"/>
          <w:color w:val="auto"/>
        </w:rPr>
      </w:pPr>
      <w:r>
        <w:rPr>
          <w:rFonts w:ascii="Arial" w:cs="Arial" w:eastAsia="Arial" w:hAnsi="Arial"/>
          <w:sz w:val="14"/>
          <w:szCs w:val="14"/>
          <w:color w:val="auto"/>
        </w:rPr>
        <w:t>Reported within selling, general and administrative expenses in our consolidated condensed results of operations.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879"/>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382 %</w:t>
            </w:r>
          </w:p>
        </w:tc>
      </w:tr>
    </w:tbl>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68% during the six months ended June 30, 2021 compared to the similar period in 2020, primarily due to a 38% increase in revenue per day and a 21% increase in volume.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46.9% of revenue during the six months ended June 30, 2021 compared to 64.7% during the similar period in 2020, primarily due to increased revenues and cost discipline as volume returned. Vehicle depreciation and lease charges decreased to 14.5% of revenue during the six months ended June 30, 2021 compared to 33.0% during the similar period in 2020, primarily due to increased revenues and an 11% decrease in per-unit fleet costs, driven by the continued favorable trend in the used-vehicle market. Selling, general and administrative costs decreased to 10.2% of revenue during the six months ended June 30, 2021 compared to 12.9% during the similar period in 2020, primarily due to increased revenues and cost discipline as volume returned. Vehicle interest costs decreased to 4.1% of revenue during the six months ended June 30, 2021 compared to 7.9% during the similar period in 2020, primarily due to increased revenues.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$1.0 billion higher during the six months ended June 30, 2021 compared to the similar period in 2020, primarily due to increased revenues, decreased per-unit fleet costs and cost discipline as volume returned.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879"/>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7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77 %</w:t>
            </w:r>
          </w:p>
        </w:tc>
      </w:tr>
    </w:tbl>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was relatively unchanged during the six months ended June 30, 2021, compared to the similar period in 2020, primarily due to a 2% increase in revenue per day, excluding exchange rate effects and a $69 million benefit from currency exchange rate movements, partially offset by a 12% decrease in volume as a result of the impacts of COVID-19 from first quarter 2021.</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62.7% of revenue during the six months ended June 30, 2021 compared to 72.3% during the similar period in 2020, primarily due to cost discipline as volume recovers. Vehicle depreciation and lease charges decreased to 21.6% of revenue during the six months ended June 30, 2021 compared to 33.6% during the similar period in 2020, primarily due to a 16% decrease in per-unit fleet costs, excluding exchange rate effects, driven by the continued favorable trend in the used-vehicle market. Selling, general and administrative costs increased to 19.1% of revenue during the six months ended June 30, 2021 compared to 17.5% during the similar period in 2020, primarily due to impacts directly related to COVID-19, partially offset by cost discipline as volume recovers. Vehicle interest costs were at 3.8% of revenue during the six months ended June 30, 2021 compared to 3.8% during the similar period in 2020.</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Adjusted EBITDA increased 77% during the six months ended June 30, 2021 compared to the similar period in 2020, primarily due to a cost discipline as volume recovers and decreased per-unit fleet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9,217</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8,365</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2021, we issued $600 million of 5.375% Senior Notes due March 2029, at par. We used the proceeds, together with cash on hand, to redeem all of our outstanding 10.5% Senior Secured Notes due 2025. In March 2021, we issued $500 million of 4.75% Senior Unsecured Notes due April 2028. We used the proceeds, together with cash on hand, to redeem all of our outstanding 6.375% Senior Notes due in 2024 and $140 million in aggregate principal amount of our 5.25% Senior Notes due in 2025. In July, we amended our senior credit facilities to remove the restrictions imposed in April 2020, to increase the revolving credit facility to $1.95 billion and to extend the maturity of the facility to 2026. As a result, we have no meaningful corporate debt maturities until 2024.</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2021, our Avis Budget Rental Car Funding (AESOP) LLC subsidiary issued $800 million of asset-backed note with an expected final payment date of August 2026, with a weighted average interest rate of 1.73%.</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2021, our Avis Budget Rental Car Funding (AESOP) LLC subsidiary issued $96 million, $105 million and $103 million of asset-backed notes with expected final payment dates of March 2024, September 2024 and August 2025, respectively, with a weighted average interest rate of 3.14%.</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$2.1 billion of its common stock under a plan originally approved in 2013 and subsequently expanded, most recently in June 2021</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as amended.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six</w:t>
      </w:r>
      <w:r>
        <w:rPr>
          <w:rFonts w:ascii="Arial" w:cs="Arial" w:eastAsia="Arial" w:hAnsi="Arial"/>
          <w:sz w:val="18"/>
          <w:szCs w:val="18"/>
          <w:color w:val="262626"/>
        </w:rPr>
        <w:t xml:space="preserve"> </w:t>
      </w:r>
      <w:r>
        <w:rPr>
          <w:rFonts w:ascii="Arial" w:cs="Arial" w:eastAsia="Arial" w:hAnsi="Arial"/>
          <w:sz w:val="18"/>
          <w:szCs w:val="18"/>
          <w:color w:val="000000"/>
        </w:rPr>
        <w:t>months ended June 30, 2021, the Company repurchased approximately 0.1 million shares of common stock at a cost of approximately $10 million under the program. As of June 30, 2021, approximately $391 million of authorization remained available to 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1100" w:type="dxa"/>
            <w:vAlign w:val="bottom"/>
            <w:tcBorders>
              <w:bottom w:val="single" w:sz="8" w:color="auto"/>
            </w:tcBorders>
          </w:tcPr>
          <w:p>
            <w:pPr>
              <w:spacing w:after="0"/>
              <w:rPr>
                <w:sz w:val="18"/>
                <w:szCs w:val="18"/>
                <w:color w:val="auto"/>
              </w:rPr>
            </w:pPr>
          </w:p>
        </w:tc>
      </w:tr>
      <w:tr>
        <w:trPr>
          <w:trHeight w:val="211"/>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191"/>
        </w:trPr>
        <w:tc>
          <w:tcPr>
            <w:tcW w:w="6680" w:type="dxa"/>
            <w:vAlign w:val="bottom"/>
          </w:tcPr>
          <w:p>
            <w:pPr>
              <w:spacing w:after="0"/>
              <w:rPr>
                <w:sz w:val="20"/>
                <w:szCs w:val="20"/>
                <w:color w:val="auto"/>
              </w:rPr>
            </w:pPr>
            <w:r>
              <w:rPr>
                <w:rFonts w:ascii="Arial" w:cs="Arial" w:eastAsia="Arial" w:hAnsi="Arial"/>
                <w:sz w:val="16"/>
                <w:szCs w:val="16"/>
                <w:color w:val="auto"/>
              </w:rPr>
              <w:t>Cash provided by (used in):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68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216"/>
        </w:trPr>
        <w:tc>
          <w:tcPr>
            <w:tcW w:w="668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(4,352)</w:t>
            </w:r>
          </w:p>
        </w:tc>
      </w:tr>
      <w:tr>
        <w:trPr>
          <w:trHeight w:val="216"/>
        </w:trPr>
        <w:tc>
          <w:tcPr>
            <w:tcW w:w="668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3,654</w:t>
            </w:r>
          </w:p>
        </w:tc>
      </w:tr>
      <w:tr>
        <w:trPr>
          <w:trHeight w:val="183"/>
        </w:trPr>
        <w:tc>
          <w:tcPr>
            <w:tcW w:w="668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6680" w:type="dxa"/>
            <w:vAlign w:val="bottom"/>
          </w:tcPr>
          <w:p>
            <w:pPr>
              <w:ind w:left="160"/>
              <w:spacing w:after="0"/>
              <w:rPr>
                <w:sz w:val="20"/>
                <w:szCs w:val="20"/>
                <w:color w:val="auto"/>
              </w:rPr>
            </w:pPr>
            <w:r>
              <w:rPr>
                <w:rFonts w:ascii="Arial" w:cs="Arial" w:eastAsia="Arial" w:hAnsi="Arial"/>
                <w:sz w:val="16"/>
                <w:szCs w:val="16"/>
                <w:color w:val="auto"/>
              </w:rPr>
              <w:t>cash</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8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6"/>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
        </w:trPr>
        <w:tc>
          <w:tcPr>
            <w:tcW w:w="6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provided by operating activities during the six months ended June 30, 2021 compared with the same period in 2020 is principally due to the increase in our net income.</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used in investing activities during the six months ended June 30, 2021 compared with the same period in 2020 is primarily due to an increase in investment in vehicles and a reduction in the disposition of vehicles.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cash provided by financing activities during the six months ended June 30, 2021 compared with the same period in 2020 is primarily due to a decrease in net payments under vehicle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2021, we had approximately $14.7 billion of indebtedness, including corporate indebtedness of approximately $4.3 billion and debt under vehicle programs of approximately $10.4 billion. For information regarding our debt and borrowing arrangements, see Notes 1, 10 and 11 to our Consolidated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2020, our liquidity position was impacted by COVID-19 as a result of significant volume declines. However, during the first half of 2021, travel advisories and restrictions were eased, which led to a significant increase in global travel demand, resulting in increased demand for rental vehicles and improved pricing across the industry. However, the full extent of the ongoing impact of this virus on the Company’s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w:t>
      </w:r>
    </w:p>
    <w:p>
      <w:pPr>
        <w:spacing w:after="0" w:line="2" w:lineRule="exact"/>
        <w:rPr>
          <w:sz w:val="20"/>
          <w:szCs w:val="20"/>
          <w:color w:val="auto"/>
        </w:rPr>
      </w:pPr>
    </w:p>
    <w:p>
      <w:pPr>
        <w:jc w:val="both"/>
        <w:ind w:firstLine="8"/>
        <w:spacing w:after="0" w:line="256" w:lineRule="auto"/>
        <w:tabs>
          <w:tab w:leader="none" w:pos="2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we had access to $1.3 billion of available cash and cash equivalents and available borrowings under our revolving credit facility of approximately $0.5 billion, providing us with access to an approximate $1.8 billion of total liquidity. See Note 1 to our Consolidated Condensed Financial Statements for detailed information on liquidity and management’s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June 30, 2021, we were in compliance with the financial covenants governing our indebtedness. For additional information regarding our liquidity risks, see Part I, Item 1A, “Risk Factors” of our 2020 Form 10-K as well as the “Risk Factors” section in this quarterly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2020 Form 10-K with the exception of our commitment to purchase vehicles, which decreased by approximately $ 3.0 billion from December 31, 2020, to approximately $5.7 billion at June 30, 2021 due to seasonality.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2020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2021 reported results. There have been no significant changes to those accounting policies or our assessment of which accounting policies we would consider to be critical accounting policies.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2020 was 17% and the amount of goodwill allocated to our reporting unit was $488 million.</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six months ended June 30, 2021, we began to see a recovery from the impacts COVID-19 had on our business. However, we continued to observe impacts of COVID-19 in certain areas. We evaluated qualitative factors and determined that an interim impairment test was not required this quarter as we believe it is more likely than not that the fair value of our goodwill and other indefinite-lived intangible assets exceeds the carrying value.</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deterioration in the general economic conditions in the travel industry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2021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2021. For additional information regarding our long-term borrowings and financial instruments, see Notes 10, 11 and 15 to our Consolidated Condensed Financial Statements.</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left="340" w:hanging="332"/>
        <w:spacing w:after="0" w:line="258"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Based on such evaluation, our Chief Executive Officer and Chief Financial Officer have concluded that our disclosure controls and procedures were effective as of June 30, 2021.</w:t>
      </w:r>
    </w:p>
    <w:p>
      <w:pPr>
        <w:spacing w:after="0" w:line="210" w:lineRule="exact"/>
        <w:rPr>
          <w:rFonts w:ascii="Arial" w:cs="Arial" w:eastAsia="Arial" w:hAnsi="Arial"/>
          <w:sz w:val="18"/>
          <w:szCs w:val="18"/>
          <w:color w:val="auto"/>
        </w:rPr>
      </w:pPr>
    </w:p>
    <w:p>
      <w:pPr>
        <w:jc w:val="both"/>
        <w:ind w:left="340" w:hanging="332"/>
        <w:spacing w:after="0" w:line="266"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June 30, 2021, the Company had no material developments to report with respect to its legal proceedings. For additional information regarding the Company’s legal proceedings, see Note 12 to our Consolidated Condensed Financial Statements and refer to the Company’s 2020 Form 10-K.</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risk factor is provided to update the risk factors of the Company previously disclosed in periodic reports filed with the SEC, including its 2020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suppliers of vehicles, including as a result of a global semiconductor supply shortage.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faced and may face additional delays in receiving delivery of new vehicles from vehicle manufacturers for a variety of reasons, including due to closures at manufacturing facilities or otherwise. In particular, a global semiconductor supply shortage is having wide-ranging effects across multiple industries, particularly the automotive industry, and it has impacted multiple vehicle manufacturers that supply vehicles to us. For example, some automobile plants in North America and elsewhere have halted or reduced vehicle production due to the shortage of semiconductors used in the production of their vehicles. As a result, the semiconductor supply shortage has had, and is expected to continue to have, an impact on new car deliveries, which may make it challenging to meet consumer demand.</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$2.1 billion of its common stock under a plan originally approved in 2013 and subsequently expanded, most recently in June 2021</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as amended.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w:t>
      </w:r>
      <w:r>
        <w:rPr>
          <w:rFonts w:ascii="Arial" w:cs="Arial" w:eastAsia="Arial" w:hAnsi="Arial"/>
          <w:sz w:val="18"/>
          <w:szCs w:val="18"/>
          <w:color w:val="262626"/>
        </w:rPr>
        <w:t xml:space="preserve"> </w:t>
      </w:r>
      <w:r>
        <w:rPr>
          <w:rFonts w:ascii="Arial" w:cs="Arial" w:eastAsia="Arial" w:hAnsi="Arial"/>
          <w:sz w:val="18"/>
          <w:szCs w:val="18"/>
          <w:color w:val="000000"/>
        </w:rPr>
        <w:t>second quarter of 2021, no common stock repurchases were made under the plan. As of June 30, 2021, approximately $391 million of authorization remained available to repurchase common stock under this plan.</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500"/>
        </w:trPr>
        <w:tc>
          <w:tcPr>
            <w:tcW w:w="3660" w:type="dxa"/>
            <w:vAlign w:val="bottom"/>
          </w:tcPr>
          <w:p>
            <w:pPr>
              <w:ind w:left="20"/>
              <w:spacing w:after="0"/>
              <w:rPr>
                <w:sz w:val="20"/>
                <w:szCs w:val="20"/>
                <w:color w:val="auto"/>
              </w:rPr>
            </w:pPr>
            <w:r>
              <w:rPr>
                <w:rFonts w:ascii="Arial" w:cs="Arial" w:eastAsia="Arial" w:hAnsi="Arial"/>
                <w:sz w:val="18"/>
                <w:szCs w:val="18"/>
                <w:color w:val="auto"/>
              </w:rPr>
              <w:t>Date:   August 4, 2021</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23"/>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30"/>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40</w:t>
            </w:r>
          </w:p>
        </w:tc>
      </w:tr>
      <w:tr>
        <w:trPr>
          <w:trHeight w:val="115"/>
        </w:trPr>
        <w:tc>
          <w:tcPr>
            <w:tcW w:w="366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0" w:type="dxa"/>
            <w:vAlign w:val="bottom"/>
            <w:gridSpan w:val="25"/>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203"/>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4480" w:type="dxa"/>
            <w:vAlign w:val="bottom"/>
            <w:gridSpan w:val="23"/>
          </w:tcPr>
          <w:p>
            <w:pPr>
              <w:spacing w:after="0"/>
              <w:rPr>
                <w:sz w:val="17"/>
                <w:szCs w:val="17"/>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65">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the Company’s Current Report on Form 8-K dated September 5, 2006).</w:t>
              </w:r>
            </w:hyperlink>
          </w:p>
        </w:tc>
        <w:tc>
          <w:tcPr>
            <w:tcW w:w="40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Amended and Restated Bylaws of Avis Budget Group, Inc., dated as of August 10, 2020 (incorporated by reference to</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Exhibit 3.2 to the Company’s Current Report on Form 8-K dated August 13,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67">
              <w:r>
                <w:rPr>
                  <w:rFonts w:ascii="Arial" w:cs="Arial" w:eastAsia="Arial" w:hAnsi="Arial"/>
                  <w:sz w:val="18"/>
                  <w:szCs w:val="18"/>
                  <w:color w:val="0000FF"/>
                </w:rPr>
                <w:t>Series 2021-1 Supplement, dated as of May 18, 2021, between Avis Budget Rental Car Funding (AESOP) LLC and The</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Bank of New York Mellon Trust Company, N.A., as trustee and Series 2021-1 Agent (incorporated by reference to Exhibit</w:t>
              </w:r>
            </w:hyperlink>
          </w:p>
        </w:tc>
        <w:tc>
          <w:tcPr>
            <w:tcW w:w="6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40" w:type="dxa"/>
            <w:vAlign w:val="bottom"/>
            <w:tcBorders>
              <w:bottom w:val="single" w:sz="8" w:color="0000FF"/>
            </w:tcBorders>
            <w:gridSpan w:val="8"/>
          </w:tcPr>
          <w:p>
            <w:pPr>
              <w:spacing w:after="0" w:line="15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May 21, 2021).</w:t>
              </w:r>
            </w:hyperlink>
          </w:p>
        </w:tc>
        <w:tc>
          <w:tcPr>
            <w:tcW w:w="37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Series 2018-2 Supplement, dated as of June 18, 2021, between Avis Budget Rental Car Funding</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7"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(AESOP) LLC and The Bank of New York Mellon Trust Company, N.A., as trustee and Series 2018-2 Agent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line="157"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by</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reference to Exhibit 10.1 to the Company’s Current Report on Form 8-K dated June 23, 2021).</w:t>
              </w:r>
            </w:hyperlink>
          </w:p>
        </w:tc>
        <w:tc>
          <w:tcPr>
            <w:tcW w:w="23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69">
              <w:r>
                <w:rPr>
                  <w:rFonts w:ascii="Arial" w:cs="Arial" w:eastAsia="Arial" w:hAnsi="Arial"/>
                  <w:sz w:val="18"/>
                  <w:szCs w:val="18"/>
                  <w:color w:val="0000FF"/>
                </w:rPr>
                <w:t>Amended and Restated Series 2019-2 Supplement, dated as of June 18, 2021, between Avis Budget Rental Car Funding</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7"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(AESOP) LLC and The Bank of New York Mellon Trust Company, N.A., as trustee and Series 2019-2 Agent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line="157"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by</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reference to Exhibit 10.2 to the Company’s Current Report on Form 8-K dated June 23, 2021).</w:t>
              </w:r>
            </w:hyperlink>
          </w:p>
        </w:tc>
        <w:tc>
          <w:tcPr>
            <w:tcW w:w="23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and Restated Series 2020-1 Supplement, dated as of June 18, 2021, between Avis Budget Rental Car Funding</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7"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(AESOP) LLC and The Bank of New York Mellon Trust Company, N.A., as trustee and Series 2020-1 Agent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line="157"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by</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reference to Exhibit 10.3 to the Company’s Current Report on Form 8-K dated June 23, 2021).</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Fourth Amended and Restated Series 2010-6 Supplement, dated as of June 18, 2021, by and among Avis Budget Rental</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Car Funding (AESOP) LLC, as Issuer, Avis Budget Car Rental, LLC, as Administrator, JPMorgan Chase Bank, N.A., as</w:t>
              </w:r>
            </w:hyperlink>
          </w:p>
        </w:tc>
        <w:tc>
          <w:tcPr>
            <w:tcW w:w="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00" w:type="dxa"/>
            <w:vAlign w:val="bottom"/>
            <w:gridSpan w:val="29"/>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Administrative Agent, the Non-Conduit Purchasers, the CP Conduit Purchasers, the Committed Note Purchasers, the APA</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Banks and the Funding Agents named therein and The Bank of New York Mellon Trust Company, N.A., as Trustee and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Series 2010-6 Agent (incorporated by reference to Exhibit 10.4 to the Company’s Current Report on Form 8-K dated June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bottom w:val="single" w:sz="8" w:color="0000FF"/>
            </w:tcBorders>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23, 2021).</w:t>
              </w:r>
            </w:hyperlink>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72">
              <w:r>
                <w:rPr>
                  <w:rFonts w:ascii="Arial" w:cs="Arial" w:eastAsia="Arial" w:hAnsi="Arial"/>
                  <w:sz w:val="18"/>
                  <w:szCs w:val="18"/>
                  <w:color w:val="0000FF"/>
                </w:rPr>
                <w:t>Second Amended and Restated Series 2015-3 Supplement, dated as of June 18, 2021, by and among Avis Budget Rental</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Car Funding (AESOP) LLC, as Issuer, Avis Budget Car Rental, LLC, as Administrator, JPMorgan Chase Bank, N.A., as</w:t>
              </w:r>
            </w:hyperlink>
          </w:p>
        </w:tc>
        <w:tc>
          <w:tcPr>
            <w:tcW w:w="2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00" w:type="dxa"/>
            <w:vAlign w:val="bottom"/>
            <w:gridSpan w:val="29"/>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Administrative Agent, the Non-Conduit Purchasers, the CP Conduit Purchasers, the Committed Note Purchasers, the APA</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Banks and the Funding Agents named therein and The Bank of New York Mellon Trust Company, N.A., as Trustee and as</w:t>
              </w:r>
            </w:hyperlink>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Series 2015-3 Agent (incorporated by reference to Exhibit 10.5 to the Company’s Current Report on Form 8-K dated June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23, 2021).</w:t>
              </w:r>
            </w:hyperlink>
          </w:p>
        </w:tc>
        <w:tc>
          <w:tcPr>
            <w:tcW w:w="8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r:id="rId73">
              <w:r>
                <w:rPr>
                  <w:rFonts w:ascii="Arial" w:cs="Arial" w:eastAsia="Arial" w:hAnsi="Arial"/>
                  <w:sz w:val="18"/>
                  <w:szCs w:val="18"/>
                  <w:color w:val="0000FF"/>
                </w:rPr>
                <w:t>Sixth Amended and Restated Credit Agreement, dated as of July 9, 2021, among Avis Budget Holdings, LLC, Avis Budget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Car Rental, LLC, Avis Budget Group, Inc., the subsidiary borrowers from time to time party thereto, the financial institutions</w:t>
              </w:r>
            </w:hyperlink>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80" w:type="dxa"/>
            <w:vAlign w:val="bottom"/>
            <w:gridSpan w:val="27"/>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from time to time party thereto and JPMorgan Chase Bank, N.A., as Administrative Agent (incorporated by reference to</w:t>
              </w:r>
            </w:hyperlink>
          </w:p>
        </w:tc>
        <w:tc>
          <w:tcPr>
            <w:tcW w:w="120" w:type="dxa"/>
            <w:vAlign w:val="bottom"/>
            <w:gridSpan w:val="2"/>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Exhibit 10.1 to the Company’s Current Report on Form 8-K dated July 13, 2021).</w:t>
              </w:r>
            </w:hyperlink>
          </w:p>
        </w:tc>
        <w:tc>
          <w:tcPr>
            <w:tcW w:w="440" w:type="dxa"/>
            <w:vAlign w:val="bottom"/>
            <w:gridSpan w:val="13"/>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Chief Executive Officer pursuant to Rules 13(a)-14(a) and 15(d)-14(a) promulgated under the Securities</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Exchange Act of 1934, as amended.</w:t>
              </w:r>
            </w:hyperlink>
          </w:p>
        </w:tc>
        <w:tc>
          <w:tcPr>
            <w:tcW w:w="460" w:type="dxa"/>
            <w:vAlign w:val="bottom"/>
            <w:gridSpan w:val="1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9900" w:type="dxa"/>
            <w:vAlign w:val="bottom"/>
            <w:gridSpan w:val="2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Financial Officer pursuant to Rules 13(a)-14(a) and 15(d)-14(a) promulgated under the Securities</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Exchange Act of 1934, as amended.</w:t>
              </w:r>
            </w:hyperlink>
          </w:p>
        </w:tc>
        <w:tc>
          <w:tcPr>
            <w:tcW w:w="500" w:type="dxa"/>
            <w:vAlign w:val="bottom"/>
            <w:gridSpan w:val="15"/>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280" w:hanging="1254"/>
        <w:spacing w:after="0"/>
        <w:tabs>
          <w:tab w:leader="none" w:pos="1280" w:val="left"/>
        </w:tabs>
        <w:numPr>
          <w:ilvl w:val="0"/>
          <w:numId w:val="47"/>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 pursuant to 18 U.S.C. Section 1350, as adopted pursuant to Section 906 of the Sarbanes-Oxley Act of 2002.</w:t>
        </w:r>
      </w:hyperlink>
    </w:p>
    <w:tbl>
      <w:tblPr>
        <w:tblLayout w:type="fixed"/>
        <w:tblInd w:w="20" w:type="dxa"/>
        <w:tblCellMar>
          <w:top w:w="0" w:type="dxa"/>
          <w:left w:w="0" w:type="dxa"/>
          <w:bottom w:w="0" w:type="dxa"/>
          <w:right w:w="0" w:type="dxa"/>
        </w:tblCellMar>
      </w:tblPr>
      <w:tr>
        <w:trPr>
          <w:trHeight w:val="198"/>
        </w:trPr>
        <w:tc>
          <w:tcPr>
            <w:tcW w:w="1000" w:type="dxa"/>
            <w:vAlign w:val="bottom"/>
          </w:tcPr>
          <w:p>
            <w:pPr>
              <w:spacing w:after="0" w:line="198" w:lineRule="exact"/>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line="198"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00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ind w:left="1280" w:hanging="1254"/>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41</w:t>
      </w:r>
    </w:p>
    <w:p>
      <w:pPr>
        <w:sectPr>
          <w:pgSz w:w="11900" w:h="16838" w:orient="portrait"/>
          <w:cols w:equalWidth="0" w:num="1">
            <w:col w:w="11160"/>
          </w:cols>
          <w:pgMar w:left="320" w:top="140"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6350</wp:posOffset>
            </wp:positionV>
            <wp:extent cx="2863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6350</wp:posOffset>
            </wp:positionV>
            <wp:extent cx="41662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2021,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decimal"/>
      <w:start w:val="4"/>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decimal"/>
      <w:start w:val="5"/>
    </w:lvl>
    <w:lvl w:ilvl="1">
      <w:lvlJc w:val="left"/>
      <w:lvlText w:val="%2"/>
      <w:numFmt w:val="lowerLetter"/>
      <w:start w:val="1"/>
    </w:lvl>
  </w:abstractNum>
  <w:abstractNum w:abstractNumId="12">
    <w:nsid w:val="6CEAF087"/>
    <w:multiLevelType w:val="hybridMultilevel"/>
    <w:lvl w:ilvl="0">
      <w:lvlJc w:val="left"/>
      <w:lvlText w:val="%1."/>
      <w:numFmt w:val="decimal"/>
      <w:start w:val="7"/>
    </w:lvl>
  </w:abstractNum>
  <w:abstractNum w:abstractNumId="13">
    <w:nsid w:val="22221A70"/>
    <w:multiLevelType w:val="hybridMultilevel"/>
    <w:lvl w:ilvl="0">
      <w:lvlJc w:val="left"/>
      <w:lvlText w:val="%1."/>
      <w:numFmt w:val="decimal"/>
      <w:start w:val="7"/>
    </w:lvl>
    <w:lvl w:ilvl="1">
      <w:lvlJc w:val="left"/>
      <w:lvlText w:val="-"/>
      <w:numFmt w:val="bullet"/>
      <w:start w:val="1"/>
    </w:lvl>
  </w:abstractNum>
  <w:abstractNum w:abstractNumId="14">
    <w:nsid w:val="4516DDE9"/>
    <w:multiLevelType w:val="hybridMultilevel"/>
    <w:lvl w:ilvl="0">
      <w:lvlJc w:val="left"/>
      <w:lvlText w:val="%1."/>
      <w:numFmt w:val="decimal"/>
      <w:start w:val="10"/>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decimal"/>
      <w:start w:val="1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decimal"/>
      <w:start w:val="12"/>
    </w:lvl>
  </w:abstractNum>
  <w:abstractNum w:abstractNumId="24">
    <w:nsid w:val="5C482A97"/>
    <w:multiLevelType w:val="hybridMultilevel"/>
    <w:lvl w:ilvl="0">
      <w:lvlJc w:val="left"/>
      <w:lvlText w:val="%1."/>
      <w:numFmt w:val="decimal"/>
      <w:start w:val="13"/>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14"/>
    </w:lvl>
  </w:abstractNum>
  <w:abstractNum w:abstractNumId="27">
    <w:nsid w:val="51EAD36B"/>
    <w:multiLevelType w:val="hybridMultilevel"/>
    <w:lvl w:ilvl="0">
      <w:lvlJc w:val="left"/>
      <w:lvlText w:val="%1"/>
      <w:numFmt w:val="decimal"/>
      <w:start w:val="1"/>
    </w:lvl>
    <w:lvl w:ilvl="1">
      <w:lvlJc w:val="left"/>
      <w:lvlText w:val="(%2)"/>
      <w:numFmt w:val="lowerLetter"/>
      <w:start w:val="1"/>
    </w:lvl>
  </w:abstractNum>
  <w:abstractNum w:abstractNumId="28">
    <w:nsid w:val="2D517796"/>
    <w:multiLevelType w:val="hybridMultilevel"/>
    <w:lvl w:ilvl="0">
      <w:lvlJc w:val="left"/>
      <w:lvlText w:val="%1."/>
      <w:numFmt w:val="decimal"/>
      <w:start w:val="15"/>
    </w:lvl>
    <w:lvl w:ilvl="1">
      <w:lvlJc w:val="left"/>
      <w:lvlText w:val="%2"/>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decimal"/>
      <w:start w:val="1"/>
    </w:lvl>
    <w:lvl w:ilvl="1">
      <w:lvlJc w:val="left"/>
      <w:lvlText w:val="(%2)"/>
      <w:numFmt w:val="lowerLetter"/>
      <w:start w:val="1"/>
    </w:lvl>
  </w:abstractNum>
  <w:abstractNum w:abstractNumId="33">
    <w:nsid w:val="6A2342EC"/>
    <w:multiLevelType w:val="hybridMultilevel"/>
    <w:lvl w:ilvl="0">
      <w:lvlJc w:val="left"/>
      <w:lvlText w:val="%1."/>
      <w:numFmt w:val="decimal"/>
      <w:start w:val="16"/>
    </w:lvl>
    <w:lvl w:ilvl="1">
      <w:lvlJc w:val="left"/>
      <w:lvlText w:val="%2"/>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decimal"/>
      <w:start w:val="17"/>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8"/>
      <w:numFmt w:val="bullet"/>
      <w:start w:val="1"/>
    </w:lvl>
  </w:abstractNum>
  <w:abstractNum w:abstractNumId="40">
    <w:nsid w:val="4B588F54"/>
    <w:multiLevelType w:val="hybridMultilevel"/>
    <w:lvl w:ilvl="0">
      <w:lvlJc w:val="left"/>
      <w:lvlText w:val="(%1)"/>
      <w:numFmt w:val="decimal"/>
      <w:start w:val="1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4"/>
    </w:lvl>
  </w:abstractNum>
  <w:abstractNum w:abstractNumId="43">
    <w:nsid w:val="38437FDB"/>
    <w:multiLevelType w:val="hybridMultilevel"/>
    <w:lvl w:ilvl="0">
      <w:lvlJc w:val="left"/>
      <w:lvlText w:val="(%1)"/>
      <w:numFmt w:val="lowerLetter"/>
      <w:start w:val="5"/>
    </w:lvl>
  </w:abstractNum>
  <w:abstractNum w:abstractNumId="44">
    <w:nsid w:val="7644A45C"/>
    <w:multiLevelType w:val="hybridMultilevel"/>
    <w:lvl w:ilvl="0">
      <w:lvlJc w:val="left"/>
      <w:lvlText w:val="(%1)"/>
      <w:numFmt w:val="lowerRoman"/>
      <w:start w:val="2"/>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decimal"/>
      <w:start w:val="32"/>
    </w:lvl>
  </w:abstractNum>
  <w:abstractNum w:abstractNumId="47">
    <w:nsid w:val="579478FE"/>
    <w:multiLevelType w:val="hybridMultilevel"/>
    <w:lvl w:ilvl="0">
      <w:lvlJc w:val="left"/>
      <w:lvlText w:val="%1"/>
      <w:numFmt w:val="decimal"/>
      <w:start w:val="104"/>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65" Type="http://schemas.openxmlformats.org/officeDocument/2006/relationships/hyperlink" Target="http://www.sec.gov/Archives/edgar/data/723612/000072361206000058/articles.htm" TargetMode="External"/><Relationship Id="rId66" Type="http://schemas.openxmlformats.org/officeDocument/2006/relationships/hyperlink" Target="http://www.sec.gov/Archives/edgar/data/723612/000119312520218349/d84038dex32.htm" TargetMode="External"/><Relationship Id="rId67" Type="http://schemas.openxmlformats.org/officeDocument/2006/relationships/hyperlink" Target="http://www.sec.gov/Archives/edgar/data/723612/000119312521169321/d166440dex101.htm" TargetMode="External"/><Relationship Id="rId68" Type="http://schemas.openxmlformats.org/officeDocument/2006/relationships/hyperlink" Target="http://www.sec.gov/Archives/edgar/data/0000723612/000119312521197313/d168700dex101.htm" TargetMode="External"/><Relationship Id="rId69" Type="http://schemas.openxmlformats.org/officeDocument/2006/relationships/hyperlink" Target="http://www.sec.gov/Archives/edgar/data/0000723612/000119312521197313/d168700dex102.htm" TargetMode="External"/><Relationship Id="rId70" Type="http://schemas.openxmlformats.org/officeDocument/2006/relationships/hyperlink" Target="http://www.sec.gov/Archives/edgar/data/0000723612/000119312521197313/d168700dex103.htm" TargetMode="External"/><Relationship Id="rId71" Type="http://schemas.openxmlformats.org/officeDocument/2006/relationships/hyperlink" Target="http://www.sec.gov/Archives/edgar/data/0000723612/000119312521197313/d168700dex104.htm" TargetMode="External"/><Relationship Id="rId72" Type="http://schemas.openxmlformats.org/officeDocument/2006/relationships/hyperlink" Target="http://www.sec.gov/Archives/edgar/data/0000723612/000119312521197313/d168700dex105.htm" TargetMode="External"/><Relationship Id="rId73" Type="http://schemas.openxmlformats.org/officeDocument/2006/relationships/hyperlink" Target="http://www.sec.gov/Archives/edgar/data/723612/000119312521214124/d3535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2021-08-04T08:35:00Z</dcterms:created>
  <dcterms:modified xsi:type="dcterms:W3CDTF">2021-08-04T08:35:00Z</dcterms:modified>
</cp:coreProperties>
</file>