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429260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454660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WASHINGTON, D.C. 20549</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32"/>
                <w:szCs w:val="32"/>
                <w:b w:val="1"/>
                <w:bCs w:val="1"/>
                <w:color w:val="auto"/>
              </w:rPr>
              <w:t>Form 10-Q</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120" w:type="dxa"/>
            <w:vAlign w:val="bottom"/>
            <w:vMerge w:val="restart"/>
          </w:tcPr>
          <w:p>
            <w:pPr>
              <w:ind w:left="460"/>
              <w:spacing w:after="0" w:line="201" w:lineRule="exact"/>
              <w:rPr>
                <w:sz w:val="20"/>
                <w:szCs w:val="20"/>
                <w:color w:val="auto"/>
              </w:rPr>
            </w:pPr>
            <w:r>
              <w:rPr>
                <w:rFonts w:ascii="MS PGothic" w:cs="MS PGothic" w:eastAsia="MS PGothic" w:hAnsi="MS PGothic"/>
                <w:sz w:val="20"/>
                <w:szCs w:val="20"/>
                <w:color w:val="auto"/>
              </w:rPr>
              <w:t>☒</w:t>
            </w:r>
          </w:p>
        </w:tc>
        <w:tc>
          <w:tcPr>
            <w:tcW w:w="236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9"/>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quarterly period ended September 30, 2022</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212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OR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74"/>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Commission File No. 001-10308</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25"/>
                <w:szCs w:val="25"/>
                <w:b w:val="1"/>
                <w:bCs w:val="1"/>
                <w:color w:val="auto"/>
              </w:rPr>
              <w:t>Avis Budget Group,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Delaware</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jc w:val="right"/>
              <w:ind w:right="86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57"/>
        </w:trPr>
        <w:tc>
          <w:tcPr>
            <w:tcW w:w="3740" w:type="dxa"/>
            <w:vAlign w:val="bottom"/>
            <w:gridSpan w:val="2"/>
          </w:tcPr>
          <w:p>
            <w:pPr>
              <w:jc w:val="center"/>
              <w:ind w:right="14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7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60" w:type="dxa"/>
            <w:vAlign w:val="bottom"/>
          </w:tcPr>
          <w:p>
            <w:pPr>
              <w:jc w:val="center"/>
              <w:ind w:left="548"/>
              <w:spacing w:after="0" w:line="157"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7"/>
        </w:trPr>
        <w:tc>
          <w:tcPr>
            <w:tcW w:w="3740" w:type="dxa"/>
            <w:vAlign w:val="bottom"/>
            <w:gridSpan w:val="2"/>
          </w:tcPr>
          <w:p>
            <w:pPr>
              <w:jc w:val="center"/>
              <w:ind w:right="148"/>
              <w:spacing w:after="0"/>
              <w:rPr>
                <w:sz w:val="20"/>
                <w:szCs w:val="20"/>
                <w:color w:val="auto"/>
              </w:rPr>
            </w:pPr>
            <w:r>
              <w:rPr>
                <w:rFonts w:ascii="Arial" w:cs="Arial" w:eastAsia="Arial" w:hAnsi="Arial"/>
                <w:sz w:val="14"/>
                <w:szCs w:val="14"/>
                <w:i w:val="1"/>
                <w:iCs w:val="1"/>
                <w:color w:val="auto"/>
              </w:rPr>
              <w:t>incorporation or organization)</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196"/>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6 Sylvan Way</w:t>
            </w: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1060"/>
              <w:spacing w:after="0"/>
              <w:rPr>
                <w:sz w:val="20"/>
                <w:szCs w:val="20"/>
                <w:color w:val="auto"/>
              </w:rPr>
            </w:pPr>
            <w:r>
              <w:rPr>
                <w:rFonts w:ascii="Arial" w:cs="Arial" w:eastAsia="Arial" w:hAnsi="Arial"/>
                <w:sz w:val="14"/>
                <w:szCs w:val="14"/>
                <w:b w:val="1"/>
                <w:bCs w:val="1"/>
                <w:color w:val="auto"/>
              </w:rPr>
              <w:t>Parsippany,</w:t>
            </w:r>
          </w:p>
        </w:tc>
        <w:tc>
          <w:tcPr>
            <w:tcW w:w="1620" w:type="dxa"/>
            <w:vAlign w:val="bottom"/>
          </w:tcPr>
          <w:p>
            <w:pPr>
              <w:spacing w:after="0"/>
              <w:rPr>
                <w:sz w:val="20"/>
                <w:szCs w:val="20"/>
                <w:color w:val="auto"/>
              </w:rPr>
            </w:pPr>
            <w:r>
              <w:rPr>
                <w:rFonts w:ascii="Arial" w:cs="Arial" w:eastAsia="Arial" w:hAnsi="Arial"/>
                <w:sz w:val="14"/>
                <w:szCs w:val="14"/>
                <w:b w:val="1"/>
                <w:bCs w:val="1"/>
                <w:color w:val="auto"/>
              </w:rPr>
              <w:t>NJ</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jc w:val="right"/>
              <w:ind w:right="104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96"/>
        </w:trPr>
        <w:tc>
          <w:tcPr>
            <w:tcW w:w="3740" w:type="dxa"/>
            <w:vAlign w:val="bottom"/>
            <w:gridSpan w:val="2"/>
          </w:tcPr>
          <w:p>
            <w:pPr>
              <w:jc w:val="center"/>
              <w:ind w:right="168"/>
              <w:spacing w:after="0"/>
              <w:rPr>
                <w:sz w:val="20"/>
                <w:szCs w:val="20"/>
                <w:color w:val="auto"/>
              </w:rPr>
            </w:pPr>
            <w:r>
              <w:rPr>
                <w:rFonts w:ascii="Arial" w:cs="Arial" w:eastAsia="Arial" w:hAnsi="Arial"/>
                <w:sz w:val="14"/>
                <w:szCs w:val="14"/>
                <w:i w:val="1"/>
                <w:iCs w:val="1"/>
                <w:color w:val="auto"/>
              </w:rPr>
              <w:t>(Address of principal executive offices)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4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(973)   496-4700</w:t>
            </w:r>
          </w:p>
        </w:tc>
        <w:tc>
          <w:tcPr>
            <w:tcW w:w="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80" w:type="dxa"/>
            <w:vAlign w:val="bottom"/>
            <w:gridSpan w:val="3"/>
          </w:tcPr>
          <w:p>
            <w:pPr>
              <w:ind w:left="260"/>
              <w:spacing w:after="0"/>
              <w:rPr>
                <w:sz w:val="20"/>
                <w:szCs w:val="20"/>
                <w:color w:val="auto"/>
              </w:rPr>
            </w:pPr>
            <w:r>
              <w:rPr>
                <w:rFonts w:ascii="Arial" w:cs="Arial" w:eastAsia="Arial" w:hAnsi="Arial"/>
                <w:sz w:val="14"/>
                <w:szCs w:val="14"/>
                <w:color w:val="auto"/>
              </w:rPr>
              <w:t>(Registrant’s telephone number, including area code)</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tcPr>
          <w:p>
            <w:pPr>
              <w:spacing w:after="0"/>
              <w:rPr>
                <w:sz w:val="19"/>
                <w:szCs w:val="19"/>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Trading Symbol(s)</w:t>
            </w:r>
          </w:p>
        </w:tc>
        <w:tc>
          <w:tcPr>
            <w:tcW w:w="3260" w:type="dxa"/>
            <w:vAlign w:val="bottom"/>
          </w:tcPr>
          <w:p>
            <w:pPr>
              <w:jc w:val="center"/>
              <w:ind w:left="1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Common Stock, Par Value $0.01</w:t>
            </w:r>
          </w:p>
        </w:tc>
        <w:tc>
          <w:tcPr>
            <w:tcW w:w="740" w:type="dxa"/>
            <w:vAlign w:val="bottom"/>
          </w:tcPr>
          <w:p>
            <w:pPr>
              <w:spacing w:after="0"/>
              <w:rPr>
                <w:sz w:val="17"/>
                <w:szCs w:val="17"/>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color w:val="auto"/>
              </w:rPr>
              <w:t>CAR</w:t>
            </w:r>
          </w:p>
        </w:tc>
        <w:tc>
          <w:tcPr>
            <w:tcW w:w="3260" w:type="dxa"/>
            <w:vAlign w:val="bottom"/>
          </w:tcPr>
          <w:p>
            <w:pPr>
              <w:jc w:val="center"/>
              <w:ind w:left="14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1" w:lineRule="exact"/>
        <w:rPr>
          <w:sz w:val="24"/>
          <w:szCs w:val="24"/>
          <w:color w:val="auto"/>
        </w:rPr>
      </w:pPr>
    </w:p>
    <w:p>
      <w:pPr>
        <w:ind w:right="80"/>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right="66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sectPr>
      </w:pPr>
    </w:p>
    <w:p>
      <w:pPr>
        <w:spacing w:after="0" w:line="82" w:lineRule="exact"/>
        <w:rPr>
          <w:sz w:val="24"/>
          <w:szCs w:val="24"/>
          <w:color w:val="auto"/>
        </w:rPr>
      </w:pPr>
    </w:p>
    <w:p>
      <w:pPr>
        <w:ind w:left="100" w:right="880"/>
        <w:spacing w:after="0" w:line="41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440"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29" w:right="359" w:bottom="1440" w:gutter="0" w:footer="0" w:header="0"/>
          <w:type w:val="continuous"/>
        </w:sectPr>
      </w:pPr>
    </w:p>
    <w:p>
      <w:pPr>
        <w:ind w:right="28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2" w:lineRule="exact"/>
        <w:rPr>
          <w:sz w:val="24"/>
          <w:szCs w:val="24"/>
          <w:color w:val="auto"/>
        </w:rPr>
      </w:pPr>
    </w:p>
    <w:p>
      <w:pPr>
        <w:spacing w:after="0" w:line="184" w:lineRule="exact"/>
        <w:tabs>
          <w:tab w:leader="none" w:pos="730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41,466,412 shares as of 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7"/>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760" w:type="dxa"/>
            <w:vAlign w:val="bottom"/>
            <w:gridSpan w:val="12"/>
            <w:vMerge w:val="restart"/>
          </w:tcPr>
          <w:p>
            <w:pPr>
              <w:spacing w:after="0"/>
              <w:rPr>
                <w:sz w:val="14"/>
                <w:szCs w:val="14"/>
                <w:color w:val="auto"/>
              </w:rPr>
            </w:pPr>
          </w:p>
        </w:tc>
        <w:tc>
          <w:tcPr>
            <w:tcW w:w="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7"/>
            <w:vMerge w:val="continue"/>
          </w:tcPr>
          <w:p>
            <w:pPr>
              <w:spacing w:after="0"/>
              <w:rPr>
                <w:sz w:val="18"/>
                <w:szCs w:val="18"/>
                <w:color w:val="auto"/>
              </w:rPr>
            </w:pPr>
          </w:p>
        </w:tc>
        <w:tc>
          <w:tcPr>
            <w:tcW w:w="7760" w:type="dxa"/>
            <w:vAlign w:val="bottom"/>
            <w:gridSpan w:val="12"/>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620" w:type="dxa"/>
            <w:vAlign w:val="bottom"/>
            <w:gridSpan w:val="3"/>
            <w:vMerge w:val="restart"/>
          </w:tcPr>
          <w:p>
            <w:pPr>
              <w:spacing w:after="0"/>
              <w:rPr>
                <w:sz w:val="18"/>
                <w:szCs w:val="18"/>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8200" w:type="dxa"/>
            <w:vAlign w:val="bottom"/>
            <w:gridSpan w:val="15"/>
          </w:tcPr>
          <w:p>
            <w:pPr>
              <w:spacing w:after="0" w:line="196" w:lineRule="exact"/>
              <w:rPr>
                <w:sz w:val="20"/>
                <w:szCs w:val="20"/>
                <w:color w:val="auto"/>
              </w:rPr>
            </w:pPr>
            <w:r>
              <w:rPr>
                <w:rFonts w:ascii="Arial" w:cs="Arial" w:eastAsia="Arial" w:hAnsi="Arial"/>
                <w:sz w:val="18"/>
                <w:szCs w:val="18"/>
                <w:color w:val="0000FF"/>
                <w:w w:val="99"/>
              </w:rPr>
              <w:t>Consolidated Condensed Statements of Comprehensive Income for the Three and Nine Months Ended</w:t>
            </w:r>
          </w:p>
        </w:tc>
        <w:tc>
          <w:tcPr>
            <w:tcW w:w="1240" w:type="dxa"/>
            <w:vAlign w:val="bottom"/>
            <w:gridSpan w:val="4"/>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200" w:type="dxa"/>
            <w:vAlign w:val="bottom"/>
            <w:tcBorders>
              <w:top w:val="single" w:sz="8" w:color="0000FF"/>
            </w:tcBorders>
            <w:gridSpan w:val="15"/>
          </w:tcPr>
          <w:p>
            <w:pPr>
              <w:spacing w:after="0" w:line="202" w:lineRule="exact"/>
              <w:rPr>
                <w:sz w:val="20"/>
                <w:szCs w:val="20"/>
                <w:color w:val="auto"/>
              </w:rPr>
            </w:pPr>
            <w:r>
              <w:rPr>
                <w:rFonts w:ascii="Arial" w:cs="Arial" w:eastAsia="Arial" w:hAnsi="Arial"/>
                <w:sz w:val="18"/>
                <w:szCs w:val="18"/>
                <w:color w:val="0000FF"/>
              </w:rPr>
              <w:t>September 30, 2022 and 2021 (Unaudited)</w:t>
            </w:r>
          </w:p>
        </w:tc>
        <w:tc>
          <w:tcPr>
            <w:tcW w:w="124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5"/>
            <w:vMerge w:val="restart"/>
          </w:tcPr>
          <w:p>
            <w:pPr>
              <w:jc w:val="right"/>
              <w:ind w:right="6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19"/>
          </w:tcPr>
          <w:p>
            <w:pPr>
              <w:spacing w:after="0"/>
              <w:rPr>
                <w:sz w:val="20"/>
                <w:szCs w:val="20"/>
                <w:color w:val="auto"/>
              </w:rPr>
            </w:pPr>
            <w:r>
              <w:rPr>
                <w:rFonts w:ascii="Arial" w:cs="Arial" w:eastAsia="Arial" w:hAnsi="Arial"/>
                <w:sz w:val="18"/>
                <w:szCs w:val="18"/>
                <w:color w:val="0000FF"/>
              </w:rPr>
              <w:t>Consolidated Condensed Balance Sheets as of September 30, 2022 and December 31, 2021 (Unaudited)</w:t>
            </w:r>
          </w:p>
        </w:tc>
        <w:tc>
          <w:tcPr>
            <w:tcW w:w="7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gridSpan w:val="2"/>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220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1340" w:type="dxa"/>
            <w:vAlign w:val="bottom"/>
            <w:tcBorders>
              <w:bottom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19"/>
          </w:tcPr>
          <w:p>
            <w:pPr>
              <w:spacing w:after="0"/>
              <w:rPr>
                <w:sz w:val="20"/>
                <w:szCs w:val="20"/>
                <w:color w:val="auto"/>
              </w:rPr>
            </w:pPr>
            <w:r>
              <w:rPr>
                <w:rFonts w:ascii="Arial" w:cs="Arial" w:eastAsia="Arial" w:hAnsi="Arial"/>
                <w:sz w:val="18"/>
                <w:szCs w:val="18"/>
                <w:color w:val="0000FF"/>
              </w:rPr>
              <w:t>Consolidated Condensed Statements of Cash Flows for the Nine Months Ended September 30, 2022 and 2021</w:t>
            </w:r>
          </w:p>
        </w:tc>
        <w:tc>
          <w:tcPr>
            <w:tcW w:w="620" w:type="dxa"/>
            <w:vAlign w:val="bottom"/>
            <w:gridSpan w:val="3"/>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840" w:type="dxa"/>
            <w:vAlign w:val="bottom"/>
            <w:tcBorders>
              <w:top w:val="single" w:sz="8" w:color="0000FF"/>
            </w:tcBorders>
            <w:gridSpan w:val="17"/>
          </w:tcPr>
          <w:p>
            <w:pPr>
              <w:spacing w:after="0" w:line="202" w:lineRule="exact"/>
              <w:rPr>
                <w:sz w:val="20"/>
                <w:szCs w:val="20"/>
                <w:color w:val="auto"/>
              </w:rPr>
            </w:pPr>
            <w:r>
              <w:rPr>
                <w:rFonts w:ascii="Arial" w:cs="Arial" w:eastAsia="Arial" w:hAnsi="Arial"/>
                <w:sz w:val="18"/>
                <w:szCs w:val="18"/>
                <w:color w:val="0000FF"/>
              </w:rPr>
              <w:t>(Unaudited)</w:t>
            </w:r>
          </w:p>
        </w:tc>
        <w:tc>
          <w:tcPr>
            <w:tcW w:w="6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8860" w:type="dxa"/>
            <w:vAlign w:val="bottom"/>
            <w:gridSpan w:val="18"/>
          </w:tcPr>
          <w:p>
            <w:pPr>
              <w:spacing w:after="0"/>
              <w:rPr>
                <w:sz w:val="20"/>
                <w:szCs w:val="20"/>
                <w:color w:val="auto"/>
              </w:rPr>
            </w:pPr>
            <w:r>
              <w:rPr>
                <w:rFonts w:ascii="Arial" w:cs="Arial" w:eastAsia="Arial" w:hAnsi="Arial"/>
                <w:sz w:val="18"/>
                <w:szCs w:val="18"/>
                <w:color w:val="0000FF"/>
                <w:w w:val="99"/>
              </w:rPr>
              <w:t>Consolidated Condensed Statements of Stockholders’ Equity for the Three and Nine Months Ended September</w:t>
            </w:r>
          </w:p>
        </w:tc>
        <w:tc>
          <w:tcPr>
            <w:tcW w:w="580" w:type="dxa"/>
            <w:vAlign w:val="bottom"/>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9"/>
          </w:tcPr>
          <w:p>
            <w:pPr>
              <w:spacing w:after="0" w:line="202" w:lineRule="exact"/>
              <w:rPr>
                <w:sz w:val="20"/>
                <w:szCs w:val="20"/>
                <w:color w:val="auto"/>
              </w:rPr>
            </w:pPr>
            <w:r>
              <w:rPr>
                <w:rFonts w:ascii="Arial" w:cs="Arial" w:eastAsia="Arial" w:hAnsi="Arial"/>
                <w:sz w:val="18"/>
                <w:szCs w:val="18"/>
                <w:color w:val="0000FF"/>
                <w:w w:val="99"/>
              </w:rPr>
              <w:t>30, 2022 and 2021 (Unaudited)</w:t>
            </w:r>
          </w:p>
        </w:tc>
        <w:tc>
          <w:tcPr>
            <w:tcW w:w="6360" w:type="dxa"/>
            <w:vAlign w:val="bottom"/>
            <w:tcBorders>
              <w:top w:val="single" w:sz="8" w:color="0000FF"/>
            </w:tcBorders>
            <w:gridSpan w:val="9"/>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19"/>
          </w:tcPr>
          <w:p>
            <w:pPr>
              <w:spacing w:after="0"/>
              <w:rPr>
                <w:sz w:val="20"/>
                <w:szCs w:val="20"/>
                <w:color w:val="auto"/>
              </w:rPr>
            </w:pPr>
            <w:r>
              <w:rPr>
                <w:rFonts w:ascii="Arial" w:cs="Arial" w:eastAsia="Arial" w:hAnsi="Arial"/>
                <w:sz w:val="18"/>
                <w:szCs w:val="18"/>
                <w:color w:val="0000FF"/>
              </w:rPr>
              <w:t>Notes to Consolidated Condensed Financial Statements (Unaudited)</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1"/>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3"/>
          </w:tcPr>
          <w:p>
            <w:pPr>
              <w:spacing w:after="0"/>
              <w:rPr>
                <w:sz w:val="18"/>
                <w:szCs w:val="18"/>
                <w:color w:val="auto"/>
              </w:rPr>
            </w:pPr>
          </w:p>
        </w:tc>
        <w:tc>
          <w:tcPr>
            <w:tcW w:w="2360" w:type="dxa"/>
            <w:vAlign w:val="bottom"/>
            <w:gridSpan w:val="5"/>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gridSpan w:val="3"/>
          </w:tcPr>
          <w:p>
            <w:pPr>
              <w:spacing w:after="0"/>
              <w:rPr>
                <w:sz w:val="18"/>
                <w:szCs w:val="18"/>
                <w:color w:val="auto"/>
              </w:rPr>
            </w:pPr>
          </w:p>
        </w:tc>
        <w:tc>
          <w:tcPr>
            <w:tcW w:w="4740" w:type="dxa"/>
            <w:vAlign w:val="bottom"/>
            <w:gridSpan w:val="8"/>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Information</w:t>
            </w:r>
          </w:p>
        </w:tc>
        <w:tc>
          <w:tcPr>
            <w:tcW w:w="7440" w:type="dxa"/>
            <w:vAlign w:val="bottom"/>
            <w:gridSpan w:val="11"/>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7940" w:type="dxa"/>
            <w:vAlign w:val="bottom"/>
            <w:gridSpan w:val="13"/>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7940" w:type="dxa"/>
            <w:vAlign w:val="bottom"/>
            <w:gridSpan w:val="13"/>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2"/>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11"/>
          </w:tcPr>
          <w:p>
            <w:pPr>
              <w:spacing w:after="0"/>
              <w:rPr>
                <w:sz w:val="18"/>
                <w:szCs w:val="18"/>
                <w:color w:val="auto"/>
              </w:rPr>
            </w:pPr>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80" w:type="dxa"/>
            <w:vAlign w:val="bottom"/>
            <w:gridSpan w:val="1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1054"/>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 -19”) pandemic, the continued restrictions that have been placed on travel in many countries and the resulting adverse impact on the global economy, the potential effects on the global economy and markets as a result of the ongoing military conflict between Russia and Ukraine, and the risk of a recession in the United States or in any of the other regions in which we operate. These factors include, but are not limited to:</w:t>
      </w:r>
    </w:p>
    <w:p>
      <w:pPr>
        <w:spacing w:after="0" w:line="214" w:lineRule="exact"/>
        <w:rPr>
          <w:sz w:val="20"/>
          <w:szCs w:val="20"/>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COVID-19 and its resulting impact on the global economy, which has had, and is expected to continue to have, a significant impact on our operations, including unprecedented volatility in demand levels, as well as its current, and uncertain future, impact including, but not limited to, its effect on the ability or desire of people to travel, including due to travel restrictions, and other restrictions and orders, which may continue to impact our results, operations, outlooks, plans, goals, growth, cash flows, liquidity, and stock price;</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as COVID-19 related restrictions are lifted and travel demand increases;</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volatility in travel demand as a result of COVID-19, including the current and any future disruptions in airline passenger traffic;</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including the ongoing military conflict between Russia and Ukraine, or civil unrest in the locations in which we operate,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COVID-19, inflation, the ongoing military conflict between Russia and Ukraine, and any embargos on oil sales imposed on or by the Russian government;</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interest rate increases,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are materially different from those forecast or anticipated. Other factors and assumptions not identified above, including those discussed in “Management’s Discussion and Analysis of Financial Condition and Results of Operations,” in Item 2 and “Risk Factors” in Item 1A in this quarterly report and in similarly titled sections set forth in Item 7 and in Item 1A and in other portions of our 2021 Annual Report on Form 10-K filed with the Securities and Exchange Commission on February 17, 2022 (the “2021 Form 10-K”), may cause actual results to differ materially from those projected in any forward-looking statements.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1"/>
                <w:szCs w:val="21"/>
                <w:color w:val="auto"/>
              </w:rPr>
            </w:pPr>
          </w:p>
        </w:tc>
        <w:tc>
          <w:tcPr>
            <w:tcW w:w="25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353"/>
        </w:trPr>
        <w:tc>
          <w:tcPr>
            <w:tcW w:w="5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34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53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477"/>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attributable to Avis Budget Group,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attributable to Avis Budget Group,</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8"/>
        </w:trPr>
        <w:tc>
          <w:tcPr>
            <w:tcW w:w="5340" w:type="dxa"/>
            <w:vAlign w:val="bottom"/>
          </w:tcPr>
          <w:p>
            <w:pPr>
              <w:ind w:left="160"/>
              <w:spacing w:after="0"/>
              <w:rPr>
                <w:sz w:val="20"/>
                <w:szCs w:val="20"/>
                <w:color w:val="auto"/>
              </w:rPr>
            </w:pPr>
            <w:r>
              <w:rPr>
                <w:rFonts w:ascii="Arial" w:cs="Arial" w:eastAsia="Arial" w:hAnsi="Arial"/>
                <w:sz w:val="18"/>
                <w:szCs w:val="18"/>
                <w:b w:val="1"/>
                <w:bCs w:val="1"/>
                <w:color w:val="auto"/>
              </w:rPr>
              <w:t>Inc.</w:t>
            </w:r>
          </w:p>
        </w:tc>
        <w:tc>
          <w:tcPr>
            <w:tcW w:w="30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9"/>
        </w:trPr>
        <w:tc>
          <w:tcPr>
            <w:tcW w:w="5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8,581</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12,866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14,019</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25,197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22,600</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3,990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8,933</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10,422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13,876</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respectively</w:t>
            </w:r>
          </w:p>
        </w:tc>
        <w:tc>
          <w:tcPr>
            <w:tcW w:w="2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6,676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Retained earnings (accumulated deficit)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 94 and 81 shares, respectively</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(6,579)</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99"/>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25,197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22,600</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82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14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Cash disposed upon deconsolidation of subsidiary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change in short-term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11,612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Retained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Stockholders’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440" w:type="dxa"/>
            <w:vAlign w:val="bottom"/>
            <w:gridSpan w:val="5"/>
          </w:tcPr>
          <w:p>
            <w:pPr>
              <w:ind w:left="28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rPr>
              <w:t>Earnings</w:t>
            </w: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Accumulated Other</w:t>
            </w:r>
          </w:p>
        </w:tc>
        <w:tc>
          <w:tcPr>
            <w:tcW w:w="1400" w:type="dxa"/>
            <w:vAlign w:val="bottom"/>
            <w:gridSpan w:val="5"/>
          </w:tcPr>
          <w:p>
            <w:pPr>
              <w:ind w:left="260"/>
              <w:spacing w:after="0" w:line="122" w:lineRule="exact"/>
              <w:rPr>
                <w:sz w:val="20"/>
                <w:szCs w:val="20"/>
                <w:color w:val="auto"/>
              </w:rPr>
            </w:pPr>
            <w:r>
              <w:rPr>
                <w:rFonts w:ascii="Arial" w:cs="Arial" w:eastAsia="Arial" w:hAnsi="Arial"/>
                <w:sz w:val="11"/>
                <w:szCs w:val="11"/>
                <w:b w:val="1"/>
                <w:bCs w:val="1"/>
                <w:color w:val="auto"/>
              </w:rPr>
              <w:t>Treasury Stock</w:t>
            </w: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9"/>
              </w:rPr>
              <w:t>Equity Attributable</w:t>
            </w: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9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10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to Avis Budget</w:t>
            </w:r>
          </w:p>
        </w:tc>
        <w:tc>
          <w:tcPr>
            <w:tcW w:w="80" w:type="dxa"/>
            <w:vAlign w:val="bottom"/>
          </w:tcPr>
          <w:p>
            <w:pPr>
              <w:spacing w:after="0"/>
              <w:rPr>
                <w:sz w:val="4"/>
                <w:szCs w:val="4"/>
                <w:color w:val="auto"/>
              </w:rPr>
            </w:pPr>
          </w:p>
        </w:tc>
        <w:tc>
          <w:tcPr>
            <w:tcW w:w="7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4"/>
                <w:szCs w:val="4"/>
                <w:color w:val="auto"/>
              </w:rPr>
            </w:pPr>
          </w:p>
        </w:tc>
        <w:tc>
          <w:tcPr>
            <w:tcW w:w="84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Group, Inc.</w:t>
            </w: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Interests</w:t>
            </w: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June 30, 2022</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6,643</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1,122</w:t>
            </w:r>
          </w:p>
        </w:tc>
        <w:tc>
          <w:tcPr>
            <w:tcW w:w="12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(88.8)</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(8,290)</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(649)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1,034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1,031</w:t>
            </w:r>
          </w:p>
        </w:tc>
        <w:tc>
          <w:tcPr>
            <w:tcW w:w="0" w:type="dxa"/>
            <w:vAlign w:val="bottom"/>
          </w:tcPr>
          <w:p>
            <w:pPr>
              <w:spacing w:after="0"/>
              <w:rPr>
                <w:sz w:val="1"/>
                <w:szCs w:val="1"/>
                <w:color w:val="auto"/>
              </w:rPr>
            </w:pPr>
          </w:p>
        </w:tc>
      </w:tr>
      <w:tr>
        <w:trPr>
          <w:trHeight w:val="176"/>
        </w:trPr>
        <w:tc>
          <w:tcPr>
            <w:tcW w:w="2420" w:type="dxa"/>
            <w:vAlign w:val="bottom"/>
          </w:tcPr>
          <w:p>
            <w:pPr>
              <w:ind w:left="120"/>
              <w:spacing w:after="0"/>
              <w:rPr>
                <w:sz w:val="20"/>
                <w:szCs w:val="20"/>
                <w:color w:val="auto"/>
              </w:rPr>
            </w:pPr>
            <w:r>
              <w:rPr>
                <w:rFonts w:ascii="Arial" w:cs="Arial" w:eastAsia="Arial" w:hAnsi="Arial"/>
                <w:sz w:val="11"/>
                <w:szCs w:val="11"/>
                <w:color w:val="auto"/>
              </w:rPr>
              <w:t>Other comprehensive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1,034</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979</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976</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1"/>
                <w:szCs w:val="11"/>
                <w:color w:val="auto"/>
              </w:rPr>
              <w:t>Contributions from non-controlling interests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(868)</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September 30, 2022</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6,676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2,156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(9,157)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June 30, 2021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6,646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(1,242)</w:t>
            </w:r>
          </w:p>
        </w:tc>
        <w:tc>
          <w:tcPr>
            <w:tcW w:w="12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(67.1)</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(5,152)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674</w:t>
            </w:r>
          </w:p>
        </w:tc>
        <w:tc>
          <w:tcPr>
            <w:tcW w:w="0" w:type="dxa"/>
            <w:vAlign w:val="bottom"/>
          </w:tcPr>
          <w:p>
            <w:pPr>
              <w:spacing w:after="0"/>
              <w:rPr>
                <w:sz w:val="1"/>
                <w:szCs w:val="1"/>
                <w:color w:val="auto"/>
              </w:rPr>
            </w:pPr>
          </w:p>
        </w:tc>
      </w:tr>
      <w:tr>
        <w:trPr>
          <w:trHeight w:val="176"/>
        </w:trPr>
        <w:tc>
          <w:tcPr>
            <w:tcW w:w="2420" w:type="dxa"/>
            <w:vAlign w:val="bottom"/>
          </w:tcPr>
          <w:p>
            <w:pPr>
              <w:ind w:left="120"/>
              <w:spacing w:after="0"/>
              <w:rPr>
                <w:sz w:val="20"/>
                <w:szCs w:val="20"/>
                <w:color w:val="auto"/>
              </w:rPr>
            </w:pPr>
            <w:r>
              <w:rPr>
                <w:rFonts w:ascii="Arial" w:cs="Arial" w:eastAsia="Arial" w:hAnsi="Arial"/>
                <w:sz w:val="11"/>
                <w:szCs w:val="11"/>
                <w:color w:val="auto"/>
              </w:rPr>
              <w:t>Other comprehensive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659</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1"/>
                <w:szCs w:val="11"/>
                <w:color w:val="auto"/>
              </w:rPr>
              <w:t>Contributions from non-controlling interests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(994)</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September 30, 2021</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6,673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(6,142)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Retained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Stockholders’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440" w:type="dxa"/>
            <w:vAlign w:val="bottom"/>
            <w:gridSpan w:val="5"/>
          </w:tcPr>
          <w:p>
            <w:pPr>
              <w:ind w:left="28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rPr>
              <w:t>Earnings</w:t>
            </w: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Accumulated Other</w:t>
            </w:r>
          </w:p>
        </w:tc>
        <w:tc>
          <w:tcPr>
            <w:tcW w:w="1400" w:type="dxa"/>
            <w:vAlign w:val="bottom"/>
            <w:gridSpan w:val="5"/>
          </w:tcPr>
          <w:p>
            <w:pPr>
              <w:ind w:left="260"/>
              <w:spacing w:after="0" w:line="122" w:lineRule="exact"/>
              <w:rPr>
                <w:sz w:val="20"/>
                <w:szCs w:val="20"/>
                <w:color w:val="auto"/>
              </w:rPr>
            </w:pPr>
            <w:r>
              <w:rPr>
                <w:rFonts w:ascii="Arial" w:cs="Arial" w:eastAsia="Arial" w:hAnsi="Arial"/>
                <w:sz w:val="11"/>
                <w:szCs w:val="11"/>
                <w:b w:val="1"/>
                <w:bCs w:val="1"/>
                <w:color w:val="auto"/>
              </w:rPr>
              <w:t>Treasury Stock</w:t>
            </w: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9"/>
              </w:rPr>
              <w:t>Equity Attributable</w:t>
            </w: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9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10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to Avis Budget</w:t>
            </w:r>
          </w:p>
        </w:tc>
        <w:tc>
          <w:tcPr>
            <w:tcW w:w="80" w:type="dxa"/>
            <w:vAlign w:val="bottom"/>
          </w:tcPr>
          <w:p>
            <w:pPr>
              <w:spacing w:after="0"/>
              <w:rPr>
                <w:sz w:val="4"/>
                <w:szCs w:val="4"/>
                <w:color w:val="auto"/>
              </w:rPr>
            </w:pPr>
          </w:p>
        </w:tc>
        <w:tc>
          <w:tcPr>
            <w:tcW w:w="7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4"/>
                <w:szCs w:val="4"/>
                <w:color w:val="auto"/>
              </w:rPr>
            </w:pPr>
          </w:p>
        </w:tc>
        <w:tc>
          <w:tcPr>
            <w:tcW w:w="84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Group, Inc.</w:t>
            </w: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Interests</w:t>
            </w: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December 31, 2021</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6,676</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(6,579)</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2,341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2,341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2,332</w:t>
            </w:r>
          </w:p>
        </w:tc>
        <w:tc>
          <w:tcPr>
            <w:tcW w:w="0" w:type="dxa"/>
            <w:vAlign w:val="bottom"/>
          </w:tcPr>
          <w:p>
            <w:pPr>
              <w:spacing w:after="0"/>
              <w:rPr>
                <w:sz w:val="1"/>
                <w:szCs w:val="1"/>
                <w:color w:val="auto"/>
              </w:rPr>
            </w:pPr>
          </w:p>
        </w:tc>
      </w:tr>
      <w:tr>
        <w:trPr>
          <w:trHeight w:val="175"/>
        </w:trPr>
        <w:tc>
          <w:tcPr>
            <w:tcW w:w="2420" w:type="dxa"/>
            <w:vAlign w:val="bottom"/>
          </w:tcPr>
          <w:p>
            <w:pPr>
              <w:ind w:left="120"/>
              <w:spacing w:after="0"/>
              <w:rPr>
                <w:sz w:val="20"/>
                <w:szCs w:val="20"/>
                <w:color w:val="auto"/>
              </w:rPr>
            </w:pPr>
            <w:r>
              <w:rPr>
                <w:rFonts w:ascii="Arial" w:cs="Arial" w:eastAsia="Arial" w:hAnsi="Arial"/>
                <w:sz w:val="11"/>
                <w:szCs w:val="11"/>
                <w:color w:val="auto"/>
              </w:rPr>
              <w:t>Other comprehensive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2,341</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2,289</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2,280</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1"/>
                <w:szCs w:val="11"/>
                <w:color w:val="auto"/>
              </w:rPr>
              <w:t>Contributions from non-controlling interests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(2,576)</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September 30, 2022</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6,676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2,156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(9,157)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December 31, 2020</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6,668</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(1,470)</w:t>
            </w:r>
          </w:p>
        </w:tc>
        <w:tc>
          <w:tcPr>
            <w:tcW w:w="12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(67.3)</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(5,167)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902</w:t>
            </w:r>
          </w:p>
        </w:tc>
        <w:tc>
          <w:tcPr>
            <w:tcW w:w="0" w:type="dxa"/>
            <w:vAlign w:val="bottom"/>
          </w:tcPr>
          <w:p>
            <w:pPr>
              <w:spacing w:after="0"/>
              <w:rPr>
                <w:sz w:val="1"/>
                <w:szCs w:val="1"/>
                <w:color w:val="auto"/>
              </w:rPr>
            </w:pPr>
          </w:p>
        </w:tc>
      </w:tr>
      <w:tr>
        <w:trPr>
          <w:trHeight w:val="175"/>
        </w:trPr>
        <w:tc>
          <w:tcPr>
            <w:tcW w:w="2420" w:type="dxa"/>
            <w:vAlign w:val="bottom"/>
          </w:tcPr>
          <w:p>
            <w:pPr>
              <w:ind w:left="120"/>
              <w:spacing w:after="0"/>
              <w:rPr>
                <w:sz w:val="20"/>
                <w:szCs w:val="20"/>
                <w:color w:val="auto"/>
              </w:rPr>
            </w:pPr>
            <w:r>
              <w:rPr>
                <w:rFonts w:ascii="Arial" w:cs="Arial" w:eastAsia="Arial" w:hAnsi="Arial"/>
                <w:sz w:val="11"/>
                <w:szCs w:val="11"/>
                <w:color w:val="auto"/>
              </w:rPr>
              <w:t>Other comprehensive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903</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913</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1"/>
                <w:szCs w:val="11"/>
                <w:color w:val="auto"/>
              </w:rPr>
              <w:t>Contributions from non-controlling interests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(1,004)</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September 30, 2021</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6,673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(6,142)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200" w:hanging="482"/>
        <w:spacing w:after="0" w:line="268" w:lineRule="auto"/>
        <w:tabs>
          <w:tab w:leader="none" w:pos="11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certain areas in which we do not operate directly.</w:t>
      </w:r>
    </w:p>
    <w:p>
      <w:pPr>
        <w:spacing w:after="0" w:line="62" w:lineRule="exact"/>
        <w:rPr>
          <w:rFonts w:ascii="Arial" w:cs="Arial" w:eastAsia="Arial" w:hAnsi="Arial"/>
          <w:sz w:val="18"/>
          <w:szCs w:val="18"/>
          <w:color w:val="auto"/>
        </w:rPr>
      </w:pPr>
    </w:p>
    <w:p>
      <w:pPr>
        <w:ind w:left="1200" w:hanging="482"/>
        <w:spacing w:after="0" w:line="287" w:lineRule="auto"/>
        <w:tabs>
          <w:tab w:leader="none" w:pos="11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certain areas in which we do not operate directly.</w:t>
      </w:r>
    </w:p>
    <w:p>
      <w:pPr>
        <w:spacing w:after="0" w:line="180"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our 2021 acquisitions of various licensees were not material.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w:t>
      </w:r>
    </w:p>
    <w:p>
      <w:pPr>
        <w:spacing w:after="0" w:line="206"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2021 Annual Report on Form 10-K (the “2021 Form 10-K”).</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2021 Form 10-K.</w:t>
      </w:r>
    </w:p>
    <w:p>
      <w:pPr>
        <w:spacing w:after="0" w:line="252"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35"/>
        </w:trPr>
        <w:tc>
          <w:tcPr>
            <w:tcW w:w="712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8"/>
                <w:szCs w:val="18"/>
                <w:b w:val="1"/>
                <w:bCs w:val="1"/>
                <w:color w:val="auto"/>
              </w:rPr>
              <w:t>As of September 30,</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120" w:type="dxa"/>
            <w:vAlign w:val="bottom"/>
            <w:vMerge w:val="continue"/>
          </w:tcPr>
          <w:p>
            <w:pPr>
              <w:spacing w:after="0"/>
              <w:rPr>
                <w:sz w:val="18"/>
                <w:szCs w:val="18"/>
                <w:color w:val="auto"/>
              </w:rPr>
            </w:pPr>
          </w:p>
        </w:tc>
        <w:tc>
          <w:tcPr>
            <w:tcW w:w="1000" w:type="dxa"/>
            <w:vAlign w:val="bottom"/>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5"/>
        </w:trPr>
        <w:tc>
          <w:tcPr>
            <w:tcW w:w="7120" w:type="dxa"/>
            <w:vAlign w:val="bottom"/>
          </w:tcPr>
          <w:p>
            <w:pPr>
              <w:spacing w:after="0"/>
              <w:rPr>
                <w:sz w:val="20"/>
                <w:szCs w:val="20"/>
                <w:color w:val="auto"/>
              </w:rPr>
            </w:pPr>
            <w:r>
              <w:rPr>
                <w:rFonts w:ascii="Arial" w:cs="Arial" w:eastAsia="Arial" w:hAnsi="Arial"/>
                <w:sz w:val="16"/>
                <w:szCs w:val="16"/>
                <w:color w:val="auto"/>
              </w:rPr>
              <w:t>Program cash</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8"/>
        </w:trPr>
        <w:tc>
          <w:tcPr>
            <w:tcW w:w="7120" w:type="dxa"/>
            <w:vAlign w:val="bottom"/>
          </w:tcPr>
          <w:p>
            <w:pPr>
              <w:spacing w:after="0" w:line="218"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100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20" w:hanging="326"/>
        <w:spacing w:after="0"/>
        <w:tabs>
          <w:tab w:leader="none" w:pos="720"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931"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February 2022, we completed the sale of our operations in the United States Virgin Islands for $13 million, for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operate the Avis brand. During the nine months ended September 30, 2022, we recorded a gain of $2 million within restructuring and other related charges.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2022, we completed the sale of our operations in the Netherlands for $15 million, subject to working capital adjustments, for the right to operate the Avis and Budget brands. During the nine months ended September 30, 2022, we recorded a loss of $7 million, net of impact of foreign currency adjustments, within restructuring and other related charges.</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Variable Interest Entity (“VIE”). </w:t>
      </w:r>
      <w:r>
        <w:rPr>
          <w:rFonts w:ascii="Arial" w:cs="Arial" w:eastAsia="Arial" w:hAnsi="Arial"/>
          <w:sz w:val="18"/>
          <w:szCs w:val="18"/>
          <w:color w:val="auto"/>
        </w:rPr>
        <w:t>We review our investments to determine if they are VIEs.</w:t>
      </w:r>
      <w:r>
        <w:rPr>
          <w:rFonts w:ascii="Arial" w:cs="Arial" w:eastAsia="Arial" w:hAnsi="Arial"/>
          <w:sz w:val="18"/>
          <w:szCs w:val="18"/>
          <w:i w:val="1"/>
          <w:iCs w:val="1"/>
          <w:color w:val="auto"/>
        </w:rPr>
        <w:t xml:space="preserve"> </w:t>
      </w:r>
      <w:r>
        <w:rPr>
          <w:rFonts w:ascii="Arial" w:cs="Arial" w:eastAsia="Arial" w:hAnsi="Arial"/>
          <w:sz w:val="18"/>
          <w:szCs w:val="18"/>
          <w:color w:val="212529"/>
        </w:rPr>
        <w:t>A VIE is an entity in which either (i) the equity</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w:t>
      </w:r>
      <w:r>
        <w:rPr>
          <w:rFonts w:ascii="Arial" w:cs="Arial" w:eastAsia="Arial" w:hAnsi="Arial"/>
          <w:sz w:val="18"/>
          <w:szCs w:val="18"/>
          <w:color w:val="212529"/>
        </w:rPr>
        <w:t xml:space="preserve"> </w:t>
      </w:r>
      <w:r>
        <w:rPr>
          <w:rFonts w:ascii="Arial" w:cs="Arial" w:eastAsia="Arial" w:hAnsi="Arial"/>
          <w:sz w:val="18"/>
          <w:szCs w:val="18"/>
          <w:color w:val="000000"/>
        </w:rPr>
        <w:t>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14 – Related Party Transactions for our VIE investment in our former subsidiary.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2022 and December 31, 2021, we had equity method investments with a carrying value of $69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$ 72 million, respectively, which are recorded within other non-current assets. Earnings from our equity method investments are reported within operating expenses. For the three months ended September 30, 2022 and 2021, we recorded $7 million and $6 million related to our equity method investments, respectively. For the nine months ended September 30, 2022 and 2021, we recorded $10 million and $8 million related to our equity method investments, respectively. See Note 14 – Related Party Transactions for our equity method investment in our former subsidiary.</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$51 million and $34 million during the three months ended September 30, 2022 and 2021, respectively, and $127 million and $93 million during the nine months ended September 30, 2022 and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4" w:right="339" w:bottom="1440" w:gutter="0" w:footer="0" w:header="0"/>
        </w:sectPr>
      </w:pPr>
    </w:p>
    <w:bookmarkStart w:id="12" w:name="page13"/>
    <w:bookmarkEnd w:id="12"/>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2,703</w:t>
            </w:r>
          </w:p>
        </w:tc>
        <w:tc>
          <w:tcPr>
            <w:tcW w:w="100" w:type="dxa"/>
            <w:vAlign w:val="bottom"/>
          </w:tcPr>
          <w:p>
            <w:pPr>
              <w:spacing w:after="0"/>
              <w:rPr>
                <w:sz w:val="18"/>
                <w:szCs w:val="18"/>
                <w:color w:val="auto"/>
              </w:rPr>
            </w:pPr>
          </w:p>
        </w:tc>
        <w:tc>
          <w:tcPr>
            <w:tcW w:w="900" w:type="dxa"/>
            <w:vAlign w:val="bottom"/>
          </w:tcPr>
          <w:p>
            <w:pPr>
              <w:jc w:val="right"/>
              <w:ind w:right="69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2,403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7,270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5,457</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1,011</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3,547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6,744</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1,958</w:t>
            </w:r>
          </w:p>
        </w:tc>
        <w:tc>
          <w:tcPr>
            <w:tcW w:w="12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1,588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4,992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3,509</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1,371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3,547</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6,744</w:t>
            </w:r>
          </w:p>
        </w:tc>
      </w:tr>
      <w:tr>
        <w:trPr>
          <w:trHeight w:val="21"/>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42"/>
        <w:spacing w:after="0"/>
        <w:rPr>
          <w:sz w:val="20"/>
          <w:szCs w:val="20"/>
          <w:color w:val="auto"/>
        </w:rPr>
      </w:pPr>
      <w:r>
        <w:rPr>
          <w:rFonts w:ascii="Arial" w:cs="Arial" w:eastAsia="Arial" w:hAnsi="Arial"/>
          <w:sz w:val="14"/>
          <w:szCs w:val="14"/>
          <w:color w:val="auto"/>
        </w:rPr>
        <w:t>________</w:t>
      </w:r>
    </w:p>
    <w:p>
      <w:pPr>
        <w:spacing w:after="0" w:line="15" w:lineRule="exact"/>
        <w:rPr>
          <w:sz w:val="20"/>
          <w:szCs w:val="20"/>
          <w:color w:val="auto"/>
        </w:rPr>
      </w:pPr>
    </w:p>
    <w:p>
      <w:pPr>
        <w:ind w:left="442"/>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i w:val="1"/>
          <w:iCs w:val="1"/>
          <w:color w:val="auto"/>
        </w:rPr>
        <w:t>Accounting for Contract Assets and Contract Liabilities from Contracts with Customers</w:t>
      </w:r>
    </w:p>
    <w:p>
      <w:pPr>
        <w:spacing w:after="0" w:line="250"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In October 2021, the Financial Accounting Standards Board (“FASB”) issued Accounting Standard Update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becomes effective for us on January 1, 2023. Early adoption is permitted on a retrospective or prospective basis. The adoption of this accounting pronouncement is not expected to have a material impact on our Consolidated Condensed Financial Statements.</w:t>
      </w:r>
    </w:p>
    <w:p>
      <w:pPr>
        <w:spacing w:after="0" w:line="212" w:lineRule="exact"/>
        <w:rPr>
          <w:sz w:val="20"/>
          <w:szCs w:val="20"/>
          <w:color w:val="auto"/>
        </w:rPr>
      </w:pPr>
    </w:p>
    <w:p>
      <w:pPr>
        <w:ind w:left="442"/>
        <w:spacing w:after="0"/>
        <w:rPr>
          <w:sz w:val="20"/>
          <w:szCs w:val="20"/>
          <w:color w:val="auto"/>
        </w:rPr>
      </w:pPr>
      <w:r>
        <w:rPr>
          <w:rFonts w:ascii="Arial" w:cs="Arial" w:eastAsia="Arial" w:hAnsi="Arial"/>
          <w:sz w:val="18"/>
          <w:szCs w:val="18"/>
          <w:i w:val="1"/>
          <w:iCs w:val="1"/>
          <w:color w:val="auto"/>
        </w:rPr>
        <w:t>Reference Rate Reform</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through December 31, 2022. As of September 30, 2022, this guidance had no impact on our Consolidated Condensed Financial Statements and we will continue to evaluate this guidance.</w:t>
      </w:r>
    </w:p>
    <w:p>
      <w:pPr>
        <w:spacing w:after="0" w:line="206" w:lineRule="exact"/>
        <w:rPr>
          <w:sz w:val="20"/>
          <w:szCs w:val="20"/>
          <w:color w:val="auto"/>
        </w:rPr>
      </w:pPr>
    </w:p>
    <w:p>
      <w:pPr>
        <w:jc w:val="right"/>
        <w:ind w:left="442" w:right="10160" w:hanging="442"/>
        <w:spacing w:after="0" w:line="328" w:lineRule="auto"/>
        <w:tabs>
          <w:tab w:leader="none" w:pos="35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4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32"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577"/>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412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r>
      <w:tr>
        <w:trPr>
          <w:trHeight w:val="208"/>
        </w:trPr>
        <w:tc>
          <w:tcPr>
            <w:tcW w:w="4120" w:type="dxa"/>
            <w:vAlign w:val="bottom"/>
          </w:tcPr>
          <w:p>
            <w:pPr>
              <w:spacing w:after="0"/>
              <w:rPr>
                <w:sz w:val="20"/>
                <w:szCs w:val="20"/>
                <w:color w:val="auto"/>
              </w:rPr>
            </w:pPr>
            <w:r>
              <w:rPr>
                <w:rFonts w:ascii="Arial" w:cs="Arial" w:eastAsia="Arial" w:hAnsi="Arial"/>
                <w:sz w:val="16"/>
                <w:szCs w:val="16"/>
                <w:color w:val="auto"/>
              </w:rPr>
              <w:t>Americas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2,682</w:t>
            </w:r>
          </w:p>
        </w:tc>
        <w:tc>
          <w:tcPr>
            <w:tcW w:w="140" w:type="dxa"/>
            <w:vAlign w:val="bottom"/>
          </w:tcPr>
          <w:p>
            <w:pPr>
              <w:spacing w:after="0"/>
              <w:rPr>
                <w:sz w:val="18"/>
                <w:szCs w:val="18"/>
                <w:color w:val="auto"/>
              </w:rPr>
            </w:pPr>
          </w:p>
        </w:tc>
        <w:tc>
          <w:tcPr>
            <w:tcW w:w="920" w:type="dxa"/>
            <w:vAlign w:val="bottom"/>
          </w:tcPr>
          <w:p>
            <w:pPr>
              <w:jc w:val="right"/>
              <w:ind w:right="716"/>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2,391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7,216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5,417</w:t>
            </w:r>
          </w:p>
        </w:tc>
      </w:tr>
      <w:tr>
        <w:trPr>
          <w:trHeight w:val="215"/>
        </w:trPr>
        <w:tc>
          <w:tcPr>
            <w:tcW w:w="412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654</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968</w:t>
            </w:r>
          </w:p>
        </w:tc>
      </w:tr>
      <w:tr>
        <w:trPr>
          <w:trHeight w:val="217"/>
        </w:trPr>
        <w:tc>
          <w:tcPr>
            <w:tcW w:w="4120" w:type="dxa"/>
            <w:vAlign w:val="bottom"/>
          </w:tcPr>
          <w:p>
            <w:pPr>
              <w:spacing w:after="0"/>
              <w:rPr>
                <w:sz w:val="20"/>
                <w:szCs w:val="20"/>
                <w:color w:val="auto"/>
              </w:rPr>
            </w:pPr>
            <w:r>
              <w:rPr>
                <w:rFonts w:ascii="Arial" w:cs="Arial" w:eastAsia="Arial" w:hAnsi="Arial"/>
                <w:sz w:val="16"/>
                <w:szCs w:val="16"/>
                <w:color w:val="auto"/>
              </w:rPr>
              <w:t>Asia and Australasia</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r>
        <w:trPr>
          <w:trHeight w:val="211"/>
        </w:trPr>
        <w:tc>
          <w:tcPr>
            <w:tcW w:w="4120" w:type="dxa"/>
            <w:vAlign w:val="bottom"/>
          </w:tcPr>
          <w:p>
            <w:pPr>
              <w:spacing w:after="0"/>
              <w:rPr>
                <w:sz w:val="20"/>
                <w:szCs w:val="20"/>
                <w:color w:val="auto"/>
              </w:rPr>
            </w:pPr>
            <w:r>
              <w:rPr>
                <w:rFonts w:ascii="Arial" w:cs="Arial" w:eastAsia="Arial" w:hAnsi="Arial"/>
                <w:sz w:val="16"/>
                <w:szCs w:val="16"/>
                <w:color w:val="auto"/>
              </w:rPr>
              <w:t>Total lease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3,496</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2,967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6,651</w:t>
            </w:r>
          </w:p>
        </w:tc>
      </w:tr>
      <w:tr>
        <w:trPr>
          <w:trHeight w:val="20"/>
        </w:trPr>
        <w:tc>
          <w:tcPr>
            <w:tcW w:w="4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2"/>
          </w:cols>
          <w:pgMar w:left="378" w:top="9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88265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45" w:right="339" w:bottom="1440" w:gutter="0" w:footer="0" w:header="0"/>
          <w:type w:val="continuous"/>
        </w:sectPr>
      </w:pPr>
    </w:p>
    <w:bookmarkStart w:id="13" w:name="page14"/>
    <w:bookmarkEnd w:id="13"/>
    <w:p>
      <w:pPr>
        <w:ind w:left="6"/>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23"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7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120" w:type="dxa"/>
            <w:vAlign w:val="bottom"/>
          </w:tcPr>
          <w:p>
            <w:pPr>
              <w:spacing w:after="0"/>
              <w:rPr>
                <w:sz w:val="21"/>
                <w:szCs w:val="21"/>
                <w:color w:val="auto"/>
              </w:rPr>
            </w:pPr>
          </w:p>
        </w:tc>
        <w:tc>
          <w:tcPr>
            <w:tcW w:w="24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r>
      <w:tr>
        <w:trPr>
          <w:trHeight w:val="208"/>
        </w:trPr>
        <w:tc>
          <w:tcPr>
            <w:tcW w:w="412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1,926</w:t>
            </w:r>
          </w:p>
        </w:tc>
        <w:tc>
          <w:tcPr>
            <w:tcW w:w="140" w:type="dxa"/>
            <w:vAlign w:val="bottom"/>
          </w:tcPr>
          <w:p>
            <w:pPr>
              <w:spacing w:after="0"/>
              <w:rPr>
                <w:sz w:val="18"/>
                <w:szCs w:val="18"/>
                <w:color w:val="auto"/>
              </w:rPr>
            </w:pPr>
          </w:p>
        </w:tc>
        <w:tc>
          <w:tcPr>
            <w:tcW w:w="920" w:type="dxa"/>
            <w:vAlign w:val="bottom"/>
          </w:tcPr>
          <w:p>
            <w:pPr>
              <w:jc w:val="right"/>
              <w:ind w:right="716"/>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1,573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4,915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3,464</w:t>
            </w:r>
          </w:p>
        </w:tc>
      </w:tr>
      <w:tr>
        <w:trPr>
          <w:trHeight w:val="215"/>
        </w:trPr>
        <w:tc>
          <w:tcPr>
            <w:tcW w:w="412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1,356</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2,676</w:t>
            </w:r>
          </w:p>
        </w:tc>
      </w:tr>
      <w:tr>
        <w:trPr>
          <w:trHeight w:val="217"/>
        </w:trPr>
        <w:tc>
          <w:tcPr>
            <w:tcW w:w="4120" w:type="dxa"/>
            <w:vAlign w:val="bottom"/>
          </w:tcPr>
          <w:p>
            <w:pPr>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r>
      <w:tr>
        <w:trPr>
          <w:trHeight w:val="211"/>
        </w:trPr>
        <w:tc>
          <w:tcPr>
            <w:tcW w:w="4120" w:type="dxa"/>
            <w:vAlign w:val="bottom"/>
          </w:tcPr>
          <w:p>
            <w:pPr>
              <w:spacing w:after="0"/>
              <w:rPr>
                <w:sz w:val="20"/>
                <w:szCs w:val="20"/>
                <w:color w:val="auto"/>
              </w:rPr>
            </w:pPr>
            <w:r>
              <w:rPr>
                <w:rFonts w:ascii="Arial" w:cs="Arial" w:eastAsia="Arial" w:hAnsi="Arial"/>
                <w:sz w:val="16"/>
                <w:szCs w:val="16"/>
                <w:color w:val="auto"/>
              </w:rPr>
              <w:t>Total lease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3,496</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2,967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6,651</w:t>
            </w:r>
          </w:p>
        </w:tc>
      </w:tr>
      <w:tr>
        <w:trPr>
          <w:trHeight w:val="20"/>
        </w:trPr>
        <w:tc>
          <w:tcPr>
            <w:tcW w:w="4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86"/>
        <w:spacing w:after="0"/>
        <w:rPr>
          <w:sz w:val="20"/>
          <w:szCs w:val="20"/>
          <w:color w:val="auto"/>
        </w:rPr>
      </w:pPr>
      <w:r>
        <w:rPr>
          <w:rFonts w:ascii="Arial" w:cs="Arial" w:eastAsia="Arial" w:hAnsi="Arial"/>
          <w:sz w:val="14"/>
          <w:szCs w:val="14"/>
          <w:color w:val="auto"/>
        </w:rPr>
        <w:t>_______</w:t>
      </w:r>
    </w:p>
    <w:p>
      <w:pPr>
        <w:spacing w:after="0" w:line="15" w:lineRule="exact"/>
        <w:rPr>
          <w:sz w:val="20"/>
          <w:szCs w:val="20"/>
          <w:color w:val="auto"/>
        </w:rPr>
      </w:pPr>
    </w:p>
    <w:p>
      <w:pPr>
        <w:ind w:left="86"/>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6"/>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ectPr>
          <w:pgSz w:w="11900" w:h="16838" w:orient="portrait"/>
          <w:cols w:equalWidth="0" w:num="1">
            <w:col w:w="10746"/>
          </w:cols>
          <w:pgMar w:left="814" w:top="931" w:right="339" w:bottom="1440" w:gutter="0" w:footer="0" w:header="0"/>
        </w:sectPr>
      </w:pPr>
    </w:p>
    <w:p>
      <w:pPr>
        <w:spacing w:after="0" w:line="210"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 xml:space="preserve">Property leases </w:t>
      </w:r>
      <w:r>
        <w:rPr>
          <w:rFonts w:ascii="Arial" w:cs="Arial" w:eastAsia="Arial" w:hAnsi="Arial"/>
          <w:sz w:val="21"/>
          <w:szCs w:val="21"/>
          <w:b w:val="1"/>
          <w:bCs w:val="1"/>
          <w:color w:val="auto"/>
          <w:vertAlign w:val="superscript"/>
        </w:rPr>
        <w:t>(a)</w:t>
      </w:r>
    </w:p>
    <w:p>
      <w:pPr>
        <w:ind w:left="26"/>
        <w:spacing w:after="0"/>
        <w:rPr>
          <w:sz w:val="20"/>
          <w:szCs w:val="20"/>
          <w:color w:val="auto"/>
        </w:rPr>
      </w:pPr>
      <w:r>
        <w:rPr>
          <w:rFonts w:ascii="Arial" w:cs="Arial" w:eastAsia="Arial" w:hAnsi="Arial"/>
          <w:sz w:val="16"/>
          <w:szCs w:val="16"/>
          <w:color w:val="auto"/>
        </w:rPr>
        <w:t>Operating lease expense</w:t>
      </w:r>
    </w:p>
    <w:p>
      <w:pPr>
        <w:spacing w:after="0" w:line="16" w:lineRule="exact"/>
        <w:rPr>
          <w:sz w:val="20"/>
          <w:szCs w:val="20"/>
          <w:color w:val="auto"/>
        </w:rPr>
      </w:pPr>
    </w:p>
    <w:p>
      <w:pPr>
        <w:ind w:left="26"/>
        <w:spacing w:after="0"/>
        <w:rPr>
          <w:sz w:val="20"/>
          <w:szCs w:val="20"/>
          <w:color w:val="auto"/>
        </w:rPr>
      </w:pPr>
      <w:r>
        <w:rPr>
          <w:rFonts w:ascii="Arial" w:cs="Arial" w:eastAsia="Arial" w:hAnsi="Arial"/>
          <w:sz w:val="16"/>
          <w:szCs w:val="16"/>
          <w:color w:val="auto"/>
        </w:rPr>
        <w:t>Variable lease expense</w:t>
      </w:r>
    </w:p>
    <w:p>
      <w:pPr>
        <w:spacing w:after="0" w:line="73"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Total property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300" w:type="dxa"/>
            <w:vAlign w:val="bottom"/>
          </w:tcPr>
          <w:p>
            <w:pPr>
              <w:spacing w:after="0"/>
              <w:rPr>
                <w:sz w:val="20"/>
                <w:szCs w:val="20"/>
                <w:color w:val="auto"/>
              </w:rPr>
            </w:pPr>
          </w:p>
        </w:tc>
        <w:tc>
          <w:tcPr>
            <w:tcW w:w="26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600" w:type="dxa"/>
            <w:vAlign w:val="bottom"/>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r>
      <w:tr>
        <w:trPr>
          <w:trHeight w:val="410"/>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7"/>
        </w:trPr>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3946" w:space="220"/>
            <w:col w:w="6580"/>
          </w:cols>
          <w:pgMar w:left="814" w:top="931" w:right="339" w:bottom="1440" w:gutter="0" w:footer="0" w:header="0"/>
          <w:type w:val="continuous"/>
        </w:sectPr>
      </w:pPr>
    </w:p>
    <w:p>
      <w:pPr>
        <w:ind w:left="6"/>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6" w:right="240" w:hanging="326"/>
        <w:spacing w:after="0" w:line="273" w:lineRule="auto"/>
        <w:tabs>
          <w:tab w:leader="none" w:pos="276" w:val="left"/>
        </w:tabs>
        <w:numPr>
          <w:ilvl w:val="0"/>
          <w:numId w:val="7"/>
        </w:numPr>
        <w:rPr>
          <w:rFonts w:ascii="Arial" w:cs="Arial" w:eastAsia="Arial" w:hAnsi="Arial"/>
          <w:sz w:val="9"/>
          <w:szCs w:val="9"/>
          <w:color w:val="auto"/>
        </w:rPr>
      </w:pPr>
      <w:r>
        <w:rPr>
          <w:rFonts w:ascii="Arial" w:cs="Arial" w:eastAsia="Arial" w:hAnsi="Arial"/>
          <w:sz w:val="14"/>
          <w:szCs w:val="14"/>
          <w:color w:val="auto"/>
        </w:rPr>
        <w:t>Primarily within operating expense and includes $(4) million for the three months ended September 30, 2021, and $(9) million and $12 million for the nine months ended September 30, 2022 and 2021, respectively, of minimum annual guaranteed rent in excess of concession fees, net, as defined in our rental concession agreements.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3"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As of</w:t>
            </w:r>
          </w:p>
        </w:tc>
        <w:tc>
          <w:tcPr>
            <w:tcW w:w="200" w:type="dxa"/>
            <w:vAlign w:val="bottom"/>
          </w:tcPr>
          <w:p>
            <w:pPr>
              <w:spacing w:after="0"/>
              <w:rPr>
                <w:sz w:val="18"/>
                <w:szCs w:val="18"/>
                <w:color w:val="auto"/>
              </w:rPr>
            </w:pPr>
          </w:p>
        </w:tc>
        <w:tc>
          <w:tcPr>
            <w:tcW w:w="2040" w:type="dxa"/>
            <w:vAlign w:val="bottom"/>
          </w:tcPr>
          <w:p>
            <w:pPr>
              <w:jc w:val="right"/>
              <w:ind w:right="837"/>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September 30, 2022</w:t>
            </w:r>
          </w:p>
        </w:tc>
        <w:tc>
          <w:tcPr>
            <w:tcW w:w="200" w:type="dxa"/>
            <w:vAlign w:val="bottom"/>
          </w:tcPr>
          <w:p>
            <w:pPr>
              <w:spacing w:after="0"/>
              <w:rPr>
                <w:sz w:val="21"/>
                <w:szCs w:val="21"/>
                <w:color w:val="auto"/>
              </w:rPr>
            </w:pPr>
          </w:p>
        </w:tc>
        <w:tc>
          <w:tcPr>
            <w:tcW w:w="2040" w:type="dxa"/>
            <w:vAlign w:val="bottom"/>
          </w:tcPr>
          <w:p>
            <w:pPr>
              <w:jc w:val="right"/>
              <w:ind w:right="237"/>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Property leases</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14"/>
        </w:trPr>
        <w:tc>
          <w:tcPr>
            <w:tcW w:w="5480" w:type="dxa"/>
            <w:vAlign w:val="bottom"/>
          </w:tcPr>
          <w:p>
            <w:pPr>
              <w:ind w:left="200"/>
              <w:spacing w:after="0"/>
              <w:rPr>
                <w:sz w:val="20"/>
                <w:szCs w:val="20"/>
                <w:color w:val="auto"/>
              </w:rPr>
            </w:pPr>
            <w:r>
              <w:rPr>
                <w:rFonts w:ascii="Arial" w:cs="Arial" w:eastAsia="Arial" w:hAnsi="Arial"/>
                <w:sz w:val="16"/>
                <w:szCs w:val="16"/>
                <w:color w:val="auto"/>
              </w:rPr>
              <w:t>Operating lease ROU assets</w:t>
            </w:r>
          </w:p>
        </w:tc>
        <w:tc>
          <w:tcPr>
            <w:tcW w:w="2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480" w:type="dxa"/>
            <w:vAlign w:val="bottom"/>
            <w:vMerge w:val="continue"/>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37"/>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ind w:right="57"/>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10"/>
        </w:trPr>
        <w:tc>
          <w:tcPr>
            <w:tcW w:w="548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5480" w:type="dxa"/>
            <w:vAlign w:val="bottom"/>
          </w:tcPr>
          <w:p>
            <w:pPr>
              <w:ind w:left="200"/>
              <w:spacing w:after="0"/>
              <w:rPr>
                <w:sz w:val="20"/>
                <w:szCs w:val="20"/>
                <w:color w:val="auto"/>
              </w:rPr>
            </w:pPr>
            <w:r>
              <w:rPr>
                <w:rFonts w:ascii="Arial" w:cs="Arial" w:eastAsia="Arial" w:hAnsi="Arial"/>
                <w:sz w:val="16"/>
                <w:szCs w:val="16"/>
                <w:color w:val="auto"/>
              </w:rPr>
              <w:t>Weighted average remaining lease term</w:t>
            </w:r>
          </w:p>
        </w:tc>
        <w:tc>
          <w:tcPr>
            <w:tcW w:w="200" w:type="dxa"/>
            <w:vAlign w:val="bottom"/>
          </w:tcPr>
          <w:p>
            <w:pPr>
              <w:spacing w:after="0"/>
              <w:rPr>
                <w:sz w:val="24"/>
                <w:szCs w:val="24"/>
                <w:color w:val="auto"/>
              </w:rPr>
            </w:pPr>
          </w:p>
        </w:tc>
        <w:tc>
          <w:tcPr>
            <w:tcW w:w="2160" w:type="dxa"/>
            <w:vAlign w:val="bottom"/>
            <w:gridSpan w:val="2"/>
          </w:tcPr>
          <w:p>
            <w:pPr>
              <w:jc w:val="right"/>
              <w:ind w:right="140"/>
              <w:spacing w:after="0"/>
              <w:rPr>
                <w:sz w:val="20"/>
                <w:szCs w:val="20"/>
                <w:color w:val="auto"/>
              </w:rPr>
            </w:pPr>
            <w:r>
              <w:rPr>
                <w:rFonts w:ascii="Arial" w:cs="Arial" w:eastAsia="Arial" w:hAnsi="Arial"/>
                <w:sz w:val="16"/>
                <w:szCs w:val="16"/>
                <w:color w:val="auto"/>
              </w:rPr>
              <w:t>8.5 years</w:t>
            </w:r>
          </w:p>
        </w:tc>
        <w:tc>
          <w:tcPr>
            <w:tcW w:w="2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8.8 years</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Weighted average discount rate</w:t>
            </w:r>
          </w:p>
        </w:tc>
        <w:tc>
          <w:tcPr>
            <w:tcW w:w="2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4.04 %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3.84 %</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w:t>
      </w:r>
    </w:p>
    <w:p>
      <w:pPr>
        <w:ind w:left="266" w:hanging="266"/>
        <w:spacing w:after="0" w:line="229" w:lineRule="auto"/>
        <w:tabs>
          <w:tab w:leader="none" w:pos="266"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type w:val="continuous"/>
        </w:sectPr>
      </w:pPr>
    </w:p>
    <w:bookmarkStart w:id="14" w:name="page15"/>
    <w:bookmarkEnd w:id="14"/>
    <w:p>
      <w:pPr>
        <w:ind w:left="442"/>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6" w:lineRule="exact"/>
        <w:rPr>
          <w:sz w:val="20"/>
          <w:szCs w:val="20"/>
          <w:color w:val="auto"/>
        </w:rPr>
      </w:pPr>
    </w:p>
    <w:p>
      <w:pPr>
        <w:ind w:left="8202"/>
        <w:spacing w:after="0"/>
        <w:rPr>
          <w:sz w:val="20"/>
          <w:szCs w:val="20"/>
          <w:color w:val="auto"/>
        </w:rPr>
      </w:pPr>
      <w:r>
        <w:rPr>
          <w:rFonts w:ascii="Arial" w:cs="Arial" w:eastAsia="Arial" w:hAnsi="Arial"/>
          <w:sz w:val="18"/>
          <w:szCs w:val="18"/>
          <w:b w:val="1"/>
          <w:bCs w:val="1"/>
          <w:color w:val="auto"/>
        </w:rPr>
        <w:t>Nine Months Ended</w:t>
      </w:r>
    </w:p>
    <w:p>
      <w:pPr>
        <w:ind w:left="8442"/>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462" w:type="dxa"/>
        <w:tblCellMar>
          <w:top w:w="0" w:type="dxa"/>
          <w:left w:w="0" w:type="dxa"/>
          <w:bottom w:w="0" w:type="dxa"/>
          <w:right w:w="0" w:type="dxa"/>
        </w:tblCellMar>
      </w:tblPr>
      <w:tr>
        <w:trPr>
          <w:trHeight w:val="225"/>
        </w:trPr>
        <w:tc>
          <w:tcPr>
            <w:tcW w:w="7120" w:type="dxa"/>
            <w:vAlign w:val="bottom"/>
            <w:vMerge w:val="restart"/>
          </w:tcPr>
          <w:p>
            <w:pPr>
              <w:spacing w:after="0"/>
              <w:rPr>
                <w:sz w:val="20"/>
                <w:szCs w:val="20"/>
                <w:color w:val="auto"/>
              </w:rPr>
            </w:pPr>
            <w:r>
              <w:rPr>
                <w:rFonts w:ascii="Arial" w:cs="Arial" w:eastAsia="Arial" w:hAnsi="Arial"/>
                <w:sz w:val="16"/>
                <w:szCs w:val="16"/>
                <w:color w:val="auto"/>
              </w:rPr>
              <w:t>Cash payments for lease liabilities within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4"/>
        </w:trPr>
        <w:tc>
          <w:tcPr>
            <w:tcW w:w="7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6"/>
        </w:trPr>
        <w:tc>
          <w:tcPr>
            <w:tcW w:w="7120" w:type="dxa"/>
            <w:vAlign w:val="bottom"/>
          </w:tcPr>
          <w:p>
            <w:pPr>
              <w:ind w:left="160"/>
              <w:spacing w:after="0"/>
              <w:rPr>
                <w:sz w:val="20"/>
                <w:szCs w:val="20"/>
                <w:color w:val="auto"/>
              </w:rPr>
            </w:pPr>
            <w:r>
              <w:rPr>
                <w:rFonts w:ascii="Arial" w:cs="Arial" w:eastAsia="Arial" w:hAnsi="Arial"/>
                <w:sz w:val="16"/>
                <w:szCs w:val="16"/>
                <w:color w:val="auto"/>
              </w:rPr>
              <w:t>Non-cash activities - increase (decrease) in ROU assets in exchange for lease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42" w:right="7280" w:hanging="442"/>
        <w:spacing w:after="0" w:line="532" w:lineRule="auto"/>
        <w:tabs>
          <w:tab w:leader="none" w:pos="35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jc w:val="both"/>
        <w:ind w:left="442"/>
        <w:spacing w:after="0" w:line="262" w:lineRule="auto"/>
        <w:rPr>
          <w:sz w:val="20"/>
          <w:szCs w:val="20"/>
          <w:color w:val="auto"/>
        </w:rPr>
      </w:pPr>
      <w:r>
        <w:rPr>
          <w:rFonts w:ascii="Arial" w:cs="Arial" w:eastAsia="Arial" w:hAnsi="Arial"/>
          <w:sz w:val="18"/>
          <w:szCs w:val="18"/>
          <w:color w:val="auto"/>
        </w:rPr>
        <w:t>During second quarter 2022, we initiated a restructuring plan to focus on consolidating our global operations by designing new processes and implementing new systems (“Cost Optimization”). During the nine months ended September 30, 2022, we formally communicated the termination of employment to approximately 130 employees, as part of this process, and terminated approximately 120 of these employees. We expect further restructuring expenses of approximately $5 million related to this initiative.</w:t>
      </w:r>
    </w:p>
    <w:p>
      <w:pPr>
        <w:spacing w:after="0" w:line="203"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During first quarter 2021, we initiated a global restructuring plan to focus on cost discipline by reviewing headcounts, facilities and contractor agreements. We are transforming our business as we prepare to exit the COVID-19 crisis by controlling fixed costs and matching variable costs to demand (“T21”). As of September 30, 2022, we terminated the employment of approximately 65 employees. We expect no further restructuring expenses to be incurred related to this initiative.</w:t>
      </w:r>
    </w:p>
    <w:p>
      <w:pPr>
        <w:spacing w:after="0" w:line="203"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During first quarter 2020, we initiated a global restructuring plan to reduce operating costs, such as headcount and facilities, due to declining reservations and revenue resulting from COVID-19 outbreak (“2020 Optimization”). We expect no further restructuring expenses related to this initiative.</w:t>
      </w:r>
    </w:p>
    <w:p>
      <w:pPr>
        <w:spacing w:after="0" w:line="198" w:lineRule="exact"/>
        <w:rPr>
          <w:sz w:val="20"/>
          <w:szCs w:val="20"/>
          <w:color w:val="auto"/>
        </w:rPr>
      </w:pPr>
    </w:p>
    <w:p>
      <w:pPr>
        <w:jc w:val="both"/>
        <w:ind w:left="442" w:right="20"/>
        <w:spacing w:after="0" w:line="287" w:lineRule="auto"/>
        <w:rPr>
          <w:sz w:val="20"/>
          <w:szCs w:val="20"/>
          <w:color w:val="auto"/>
        </w:rPr>
      </w:pPr>
      <w:r>
        <w:rPr>
          <w:rFonts w:ascii="Arial" w:cs="Arial" w:eastAsia="Arial" w:hAnsi="Arial"/>
          <w:sz w:val="18"/>
          <w:szCs w:val="18"/>
          <w:color w:val="auto"/>
        </w:rPr>
        <w:t>During third quarter 2019, we initiated a restructuring plan to exit our operations in Brazil by closing rental facilities, disposing of assets and terminating personnel (“Brazil”). We expect no further restructuring expenses related to this initiative.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5" w:name="page16"/>
    <w:bookmarkEnd w:id="15"/>
    <w:p>
      <w:pPr>
        <w:jc w:val="both"/>
        <w:ind w:right="20"/>
        <w:spacing w:after="0" w:line="287" w:lineRule="auto"/>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our reporting segments for restructuring charges and corresponding payments and utilizations: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vMerge w:val="restart"/>
          </w:tcPr>
          <w:p>
            <w:pPr>
              <w:spacing w:after="0"/>
              <w:rPr>
                <w:sz w:val="20"/>
                <w:szCs w:val="20"/>
                <w:color w:val="auto"/>
              </w:rPr>
            </w:pPr>
            <w:r>
              <w:rPr>
                <w:rFonts w:ascii="Arial" w:cs="Arial" w:eastAsia="Arial" w:hAnsi="Arial"/>
                <w:sz w:val="16"/>
                <w:szCs w:val="16"/>
                <w:color w:val="auto"/>
              </w:rPr>
              <w:t>Balance as of January 1, 2022</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Americas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880" w:type="dxa"/>
            <w:vAlign w:val="bottom"/>
            <w:vMerge w:val="continue"/>
          </w:tcPr>
          <w:p>
            <w:pPr>
              <w:spacing w:after="0"/>
              <w:rPr>
                <w:sz w:val="18"/>
                <w:szCs w:val="18"/>
                <w:color w:val="auto"/>
              </w:rPr>
            </w:pP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5880" w:type="dxa"/>
            <w:vAlign w:val="bottom"/>
          </w:tcPr>
          <w:p>
            <w:pPr>
              <w:ind w:left="180"/>
              <w:spacing w:after="0"/>
              <w:rPr>
                <w:sz w:val="20"/>
                <w:szCs w:val="20"/>
                <w:color w:val="auto"/>
              </w:rPr>
            </w:pPr>
            <w:r>
              <w:rPr>
                <w:rFonts w:ascii="Arial" w:cs="Arial" w:eastAsia="Arial" w:hAnsi="Arial"/>
                <w:sz w:val="16"/>
                <w:szCs w:val="16"/>
                <w:color w:val="auto"/>
              </w:rPr>
              <w:t>Restructuring expense: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6"/>
                <w:szCs w:val="16"/>
                <w:color w:val="auto"/>
              </w:rPr>
              <w:t>Cost Optimization</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6"/>
                <w:szCs w:val="16"/>
                <w:color w:val="auto"/>
              </w:rPr>
              <w:t>T21</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6"/>
                <w:szCs w:val="16"/>
                <w:color w:val="auto"/>
              </w:rPr>
              <w:t>Brazil</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Arial" w:cs="Arial" w:eastAsia="Arial" w:hAnsi="Arial"/>
                <w:sz w:val="16"/>
                <w:szCs w:val="16"/>
                <w:color w:val="auto"/>
              </w:rPr>
              <w:t>Restructuring payment/utilization:</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6"/>
                <w:szCs w:val="16"/>
                <w:color w:val="auto"/>
              </w:rPr>
              <w:t>Cost Optimization</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6"/>
                <w:szCs w:val="16"/>
                <w:color w:val="auto"/>
              </w:rPr>
              <w:t>T21</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5880" w:type="dxa"/>
            <w:vAlign w:val="bottom"/>
          </w:tcPr>
          <w:p>
            <w:pPr>
              <w:ind w:left="300"/>
              <w:spacing w:after="0"/>
              <w:rPr>
                <w:sz w:val="20"/>
                <w:szCs w:val="20"/>
                <w:color w:val="auto"/>
              </w:rPr>
            </w:pPr>
            <w:r>
              <w:rPr>
                <w:rFonts w:ascii="Arial" w:cs="Arial" w:eastAsia="Arial" w:hAnsi="Arial"/>
                <w:sz w:val="16"/>
                <w:szCs w:val="16"/>
                <w:color w:val="auto"/>
              </w:rPr>
              <w:t>2020 Optimization</w:t>
            </w:r>
          </w:p>
        </w:tc>
        <w:tc>
          <w:tcPr>
            <w:tcW w:w="10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880" w:type="dxa"/>
            <w:vAlign w:val="bottom"/>
          </w:tcPr>
          <w:p>
            <w:pPr>
              <w:ind w:left="300"/>
              <w:spacing w:after="0"/>
              <w:rPr>
                <w:sz w:val="20"/>
                <w:szCs w:val="20"/>
                <w:color w:val="auto"/>
              </w:rPr>
            </w:pPr>
            <w:r>
              <w:rPr>
                <w:rFonts w:ascii="Arial" w:cs="Arial" w:eastAsia="Arial" w:hAnsi="Arial"/>
                <w:sz w:val="16"/>
                <w:szCs w:val="16"/>
                <w:color w:val="auto"/>
              </w:rPr>
              <w:t>Brazil</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Arial" w:cs="Arial" w:eastAsia="Arial" w:hAnsi="Arial"/>
                <w:sz w:val="16"/>
                <w:szCs w:val="16"/>
                <w:color w:val="auto"/>
              </w:rPr>
              <w:t>Balance as of September 30, 2022</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Personnel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Facility</w:t>
            </w:r>
          </w:p>
        </w:tc>
        <w:tc>
          <w:tcPr>
            <w:tcW w:w="280" w:type="dxa"/>
            <w:vAlign w:val="bottom"/>
          </w:tcPr>
          <w:p>
            <w:pPr>
              <w:spacing w:after="0"/>
              <w:rPr>
                <w:sz w:val="16"/>
                <w:szCs w:val="1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420" w:type="dxa"/>
            <w:vAlign w:val="bottom"/>
            <w:vMerge w:val="restart"/>
          </w:tcPr>
          <w:p>
            <w:pPr>
              <w:spacing w:after="0"/>
              <w:rPr>
                <w:sz w:val="20"/>
                <w:szCs w:val="20"/>
                <w:color w:val="auto"/>
              </w:rPr>
            </w:pPr>
            <w:r>
              <w:rPr>
                <w:rFonts w:ascii="Arial" w:cs="Arial" w:eastAsia="Arial" w:hAnsi="Arial"/>
                <w:sz w:val="16"/>
                <w:szCs w:val="16"/>
                <w:color w:val="auto"/>
              </w:rPr>
              <w:t>Balance as of January 1, 2022</w:t>
            </w: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Related</w:t>
            </w:r>
          </w:p>
        </w:tc>
        <w:tc>
          <w:tcPr>
            <w:tcW w:w="2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20" w:type="dxa"/>
            <w:vAlign w:val="bottom"/>
            <w:vMerge w:val="continue"/>
          </w:tcPr>
          <w:p>
            <w:pPr>
              <w:spacing w:after="0"/>
              <w:rPr>
                <w:sz w:val="18"/>
                <w:szCs w:val="18"/>
                <w:color w:val="auto"/>
              </w:rPr>
            </w:pP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4420" w:type="dxa"/>
            <w:vAlign w:val="bottom"/>
          </w:tcPr>
          <w:p>
            <w:pPr>
              <w:ind w:left="180"/>
              <w:spacing w:after="0"/>
              <w:rPr>
                <w:sz w:val="20"/>
                <w:szCs w:val="20"/>
                <w:color w:val="auto"/>
              </w:rPr>
            </w:pPr>
            <w:r>
              <w:rPr>
                <w:rFonts w:ascii="Arial" w:cs="Arial" w:eastAsia="Arial" w:hAnsi="Arial"/>
                <w:sz w:val="16"/>
                <w:szCs w:val="16"/>
                <w:color w:val="auto"/>
              </w:rPr>
              <w:t>Restructuring expense: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6"/>
                <w:szCs w:val="16"/>
                <w:color w:val="auto"/>
              </w:rPr>
              <w:t>Cost Optimization</w:t>
            </w:r>
          </w:p>
        </w:tc>
        <w:tc>
          <w:tcPr>
            <w:tcW w:w="1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6"/>
                <w:szCs w:val="16"/>
                <w:color w:val="auto"/>
              </w:rPr>
              <w:t>T21</w:t>
            </w:r>
          </w:p>
        </w:tc>
        <w:tc>
          <w:tcPr>
            <w:tcW w:w="1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6"/>
                <w:szCs w:val="16"/>
                <w:color w:val="auto"/>
              </w:rPr>
              <w:t>Brazil</w:t>
            </w:r>
          </w:p>
        </w:tc>
        <w:tc>
          <w:tcPr>
            <w:tcW w:w="1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6"/>
                <w:szCs w:val="16"/>
                <w:color w:val="auto"/>
              </w:rPr>
              <w:t>Restructuring payment/utilization: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6"/>
                <w:szCs w:val="16"/>
                <w:color w:val="auto"/>
              </w:rPr>
              <w:t>Cost Optimization</w:t>
            </w:r>
          </w:p>
        </w:tc>
        <w:tc>
          <w:tcPr>
            <w:tcW w:w="1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6"/>
                <w:szCs w:val="16"/>
                <w:color w:val="auto"/>
              </w:rPr>
              <w:t>T21</w:t>
            </w:r>
          </w:p>
        </w:tc>
        <w:tc>
          <w:tcPr>
            <w:tcW w:w="1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6"/>
                <w:szCs w:val="16"/>
                <w:color w:val="auto"/>
              </w:rPr>
              <w:t>2020 Optimization</w:t>
            </w:r>
          </w:p>
        </w:tc>
        <w:tc>
          <w:tcPr>
            <w:tcW w:w="1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420" w:type="dxa"/>
            <w:vAlign w:val="bottom"/>
          </w:tcPr>
          <w:p>
            <w:pPr>
              <w:ind w:left="300"/>
              <w:spacing w:after="0"/>
              <w:rPr>
                <w:sz w:val="20"/>
                <w:szCs w:val="20"/>
                <w:color w:val="auto"/>
              </w:rPr>
            </w:pPr>
            <w:r>
              <w:rPr>
                <w:rFonts w:ascii="Arial" w:cs="Arial" w:eastAsia="Arial" w:hAnsi="Arial"/>
                <w:sz w:val="16"/>
                <w:szCs w:val="16"/>
                <w:color w:val="auto"/>
              </w:rPr>
              <w:t>Brazil</w:t>
            </w:r>
          </w:p>
        </w:tc>
        <w:tc>
          <w:tcPr>
            <w:tcW w:w="1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4420" w:type="dxa"/>
            <w:vAlign w:val="bottom"/>
          </w:tcPr>
          <w:p>
            <w:pPr>
              <w:spacing w:after="0"/>
              <w:rPr>
                <w:sz w:val="20"/>
                <w:szCs w:val="20"/>
                <w:color w:val="auto"/>
              </w:rPr>
            </w:pPr>
            <w:r>
              <w:rPr>
                <w:rFonts w:ascii="Arial" w:cs="Arial" w:eastAsia="Arial" w:hAnsi="Arial"/>
                <w:sz w:val="16"/>
                <w:szCs w:val="16"/>
                <w:color w:val="auto"/>
              </w:rPr>
              <w:t>Balance as of September 30, 2022</w:t>
            </w: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April 2022, we announced the departure of Veresh Sita as Executive Vice President and Chief Digital and Innovation Officer effective May 13, 2022. In connection with Mr. Sita’s separation, we recorded other related charges of approximately $1 million, inclusive of accelerated stock-based compensation expense,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31" w:right="339" w:bottom="1440" w:gutter="0" w:footer="0" w:header="0"/>
        </w:sectPr>
      </w:pPr>
    </w:p>
    <w:bookmarkStart w:id="16" w:name="page17"/>
    <w:bookmarkEnd w:id="16"/>
    <w:p>
      <w:pPr>
        <w:ind w:left="342" w:hanging="342"/>
        <w:spacing w:after="0"/>
        <w:tabs>
          <w:tab w:leader="none" w:pos="34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2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2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140" w:type="dxa"/>
            <w:vAlign w:val="bottom"/>
            <w:vMerge w:val="restart"/>
          </w:tcPr>
          <w:p>
            <w:pPr>
              <w:spacing w:after="0"/>
              <w:rPr>
                <w:sz w:val="20"/>
                <w:szCs w:val="20"/>
                <w:color w:val="auto"/>
              </w:rPr>
            </w:pPr>
            <w:r>
              <w:rPr>
                <w:rFonts w:ascii="Arial" w:cs="Arial" w:eastAsia="Arial" w:hAnsi="Arial"/>
                <w:sz w:val="18"/>
                <w:szCs w:val="18"/>
                <w:color w:val="auto"/>
              </w:rPr>
              <w:t>Net income attributable to Avis Budget Group, Inc. for basic and</w:t>
            </w: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55"/>
        </w:trPr>
        <w:tc>
          <w:tcPr>
            <w:tcW w:w="5140" w:type="dxa"/>
            <w:vAlign w:val="bottom"/>
            <w:vMerge w:val="continue"/>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1"/>
        </w:trPr>
        <w:tc>
          <w:tcPr>
            <w:tcW w:w="514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7"/>
        </w:trPr>
        <w:tc>
          <w:tcPr>
            <w:tcW w:w="51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7"/>
        </w:trPr>
        <w:tc>
          <w:tcPr>
            <w:tcW w:w="5140" w:type="dxa"/>
            <w:vAlign w:val="bottom"/>
          </w:tcPr>
          <w:p>
            <w:pPr>
              <w:spacing w:after="0" w:line="237" w:lineRule="exact"/>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5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9"/>
        </w:trPr>
        <w:tc>
          <w:tcPr>
            <w:tcW w:w="5140" w:type="dxa"/>
            <w:vAlign w:val="bottom"/>
          </w:tcPr>
          <w:p>
            <w:pPr>
              <w:ind w:left="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42"/>
        <w:spacing w:after="0"/>
        <w:rPr>
          <w:sz w:val="20"/>
          <w:szCs w:val="20"/>
          <w:color w:val="auto"/>
        </w:rPr>
      </w:pPr>
      <w:r>
        <w:rPr>
          <w:rFonts w:ascii="Arial" w:cs="Arial" w:eastAsia="Arial" w:hAnsi="Arial"/>
          <w:sz w:val="18"/>
          <w:szCs w:val="18"/>
          <w:color w:val="auto"/>
        </w:rPr>
        <w:t>________</w:t>
      </w:r>
    </w:p>
    <w:p>
      <w:pPr>
        <w:spacing w:after="0" w:line="32" w:lineRule="exact"/>
        <w:rPr>
          <w:sz w:val="20"/>
          <w:szCs w:val="20"/>
          <w:color w:val="auto"/>
        </w:rPr>
      </w:pPr>
    </w:p>
    <w:p>
      <w:pPr>
        <w:jc w:val="both"/>
        <w:ind w:left="762" w:right="20" w:hanging="326"/>
        <w:spacing w:after="0" w:line="283" w:lineRule="auto"/>
        <w:tabs>
          <w:tab w:leader="none" w:pos="785" w:val="left"/>
        </w:tabs>
        <w:numPr>
          <w:ilvl w:val="1"/>
          <w:numId w:val="11"/>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2022, 0.1 million non-vested stock awards, in each period, have an anti-dilutive effect and therefore are excluded from the computation of diluted weighted average shares outstanding. For the nine months ended September 30, 2021, 0.4 million non-vested stock awards have an anti-dilutive effect and therefore are excluded from the computation of diluted weighted average shares outstanding.</w:t>
      </w:r>
    </w:p>
    <w:p>
      <w:pPr>
        <w:spacing w:after="0" w:line="217" w:lineRule="exact"/>
        <w:rPr>
          <w:rFonts w:ascii="Arial" w:cs="Arial" w:eastAsia="Arial" w:hAnsi="Arial"/>
          <w:sz w:val="9"/>
          <w:szCs w:val="9"/>
          <w:color w:val="auto"/>
        </w:rPr>
      </w:pPr>
    </w:p>
    <w:p>
      <w:pPr>
        <w:ind w:left="342" w:hanging="342"/>
        <w:spacing w:after="0"/>
        <w:tabs>
          <w:tab w:leader="none" w:pos="34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Other current assets consisted of:</w:t>
      </w:r>
    </w:p>
    <w:p>
      <w:pPr>
        <w:spacing w:after="0" w:line="50"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3240" w:type="dxa"/>
            <w:vAlign w:val="bottom"/>
            <w:vMerge w:val="restart"/>
          </w:tcPr>
          <w:p>
            <w:pPr>
              <w:ind w:left="4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Borders>
              <w:bottom w:val="single" w:sz="8" w:color="auto"/>
            </w:tcBorders>
            <w:gridSpan w:val="7"/>
          </w:tcPr>
          <w:p>
            <w:pPr>
              <w:jc w:val="right"/>
              <w:ind w:right="195"/>
              <w:spacing w:after="0"/>
              <w:rPr>
                <w:sz w:val="20"/>
                <w:szCs w:val="20"/>
                <w:color w:val="auto"/>
              </w:rPr>
            </w:pPr>
            <w:r>
              <w:rPr>
                <w:rFonts w:ascii="Arial" w:cs="Arial" w:eastAsia="Arial" w:hAnsi="Arial"/>
                <w:sz w:val="18"/>
                <w:szCs w:val="18"/>
                <w:b w:val="1"/>
                <w:bCs w:val="1"/>
                <w:color w:val="auto"/>
              </w:rPr>
              <w:t>As of September 30, 2022</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218"/>
        </w:trPr>
        <w:tc>
          <w:tcPr>
            <w:tcW w:w="3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60"/>
              <w:spacing w:after="0"/>
              <w:rPr>
                <w:sz w:val="20"/>
                <w:szCs w:val="20"/>
                <w:color w:val="auto"/>
              </w:rPr>
            </w:pPr>
            <w:r>
              <w:rPr>
                <w:rFonts w:ascii="Arial" w:cs="Arial" w:eastAsia="Arial" w:hAnsi="Arial"/>
                <w:sz w:val="18"/>
                <w:szCs w:val="18"/>
                <w:color w:val="auto"/>
              </w:rPr>
              <w:t>Sales and use taxes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240" w:type="dxa"/>
            <w:vAlign w:val="bottom"/>
          </w:tcPr>
          <w:p>
            <w:pPr>
              <w:ind w:left="4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538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6.  Intangible Assets</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3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40" w:type="dxa"/>
            <w:vAlign w:val="bottom"/>
          </w:tcPr>
          <w:p>
            <w:pPr>
              <w:ind w:left="440"/>
              <w:spacing w:after="0"/>
              <w:rPr>
                <w:sz w:val="20"/>
                <w:szCs w:val="20"/>
                <w:color w:val="auto"/>
              </w:rPr>
            </w:pPr>
            <w:r>
              <w:rPr>
                <w:rFonts w:ascii="Arial" w:cs="Arial" w:eastAsia="Arial" w:hAnsi="Arial"/>
                <w:sz w:val="18"/>
                <w:szCs w:val="18"/>
                <w:color w:val="auto"/>
              </w:rPr>
              <w:t>Intangible assets consisted of:</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As of September 30, 2022</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As of December 31, 2021</w:t>
            </w:r>
          </w:p>
        </w:tc>
        <w:tc>
          <w:tcPr>
            <w:tcW w:w="8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tcPr>
          <w:p>
            <w:pPr>
              <w:jc w:val="center"/>
              <w:ind w:right="50"/>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6"/>
              <w:spacing w:after="0" w:line="155" w:lineRule="exact"/>
              <w:rPr>
                <w:sz w:val="20"/>
                <w:szCs w:val="20"/>
                <w:color w:val="auto"/>
              </w:rPr>
            </w:pPr>
            <w:r>
              <w:rPr>
                <w:rFonts w:ascii="Arial" w:cs="Arial" w:eastAsia="Arial" w:hAnsi="Arial"/>
                <w:sz w:val="16"/>
                <w:szCs w:val="16"/>
                <w:b w:val="1"/>
                <w:bCs w:val="1"/>
                <w:color w:val="auto"/>
              </w:rPr>
              <w:t>Net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gridSpan w:val="4"/>
          </w:tcPr>
          <w:p>
            <w:pPr>
              <w:jc w:val="center"/>
              <w:ind w:right="50"/>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3240" w:type="dxa"/>
            <w:vAlign w:val="bottom"/>
            <w:vMerge w:val="restart"/>
          </w:tcPr>
          <w:p>
            <w:pPr>
              <w:ind w:left="46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gridSpan w:val="4"/>
          </w:tcPr>
          <w:p>
            <w:pPr>
              <w:jc w:val="center"/>
              <w:ind w:right="5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32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97"/>
              </w:rPr>
              <w:t>298</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460"/>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97"/>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4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606</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ind w:left="46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24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4"/>
            <w:vMerge w:val="restart"/>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46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46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For the three months ended September 30, 2022 and 2021, amortization expense related to amortizable intangible assets was approximately $9 million and $13 million, respectively. For the nine months ended September 30, 2022 and 2021, amortization expense related to amortizable intangible assets was approximately $35 million and $45 million, respectively. Based on our amortizable intangible assets at September 30, 2022, we expect amortization expense of approximately $9 million for the remainder of</w:t>
      </w:r>
    </w:p>
    <w:p>
      <w:pPr>
        <w:spacing w:after="0" w:line="200" w:lineRule="exact"/>
        <w:rPr>
          <w:sz w:val="20"/>
          <w:szCs w:val="20"/>
          <w:color w:val="auto"/>
        </w:rPr>
      </w:pPr>
    </w:p>
    <w:p>
      <w:pPr>
        <w:spacing w:after="0" w:line="35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7" w:name="page18"/>
    <w:bookmarkEnd w:id="17"/>
    <w:p>
      <w:pPr>
        <w:ind w:left="442"/>
        <w:spacing w:after="0" w:line="287" w:lineRule="auto"/>
        <w:rPr>
          <w:sz w:val="20"/>
          <w:szCs w:val="20"/>
          <w:color w:val="auto"/>
        </w:rPr>
      </w:pPr>
      <w:r>
        <w:rPr>
          <w:rFonts w:ascii="Arial" w:cs="Arial" w:eastAsia="Arial" w:hAnsi="Arial"/>
          <w:sz w:val="18"/>
          <w:szCs w:val="18"/>
          <w:color w:val="auto"/>
        </w:rPr>
        <w:t>2022, $24 million for 2023, $20 million for 2024, $14 million for 2025, $13 million for 2026 and $10 million for 2027, excluding effects of currency exchange rates.</w:t>
      </w:r>
    </w:p>
    <w:p>
      <w:pPr>
        <w:spacing w:after="0" w:line="180" w:lineRule="exact"/>
        <w:rPr>
          <w:sz w:val="20"/>
          <w:szCs w:val="20"/>
          <w:color w:val="auto"/>
        </w:rPr>
      </w:pPr>
    </w:p>
    <w:p>
      <w:pPr>
        <w:ind w:left="342" w:hanging="342"/>
        <w:spacing w:after="0"/>
        <w:tabs>
          <w:tab w:leader="none" w:pos="34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vehicles, net within assets under vehicle programs were as follows:</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r>
      <w:tr>
        <w:trPr>
          <w:trHeight w:val="208"/>
        </w:trPr>
        <w:tc>
          <w:tcPr>
            <w:tcW w:w="6700" w:type="dxa"/>
            <w:vAlign w:val="bottom"/>
          </w:tcPr>
          <w:p>
            <w:pPr>
              <w:spacing w:after="0"/>
              <w:rPr>
                <w:sz w:val="20"/>
                <w:szCs w:val="20"/>
                <w:color w:val="auto"/>
              </w:rPr>
            </w:pPr>
            <w:r>
              <w:rPr>
                <w:rFonts w:ascii="Arial" w:cs="Arial" w:eastAsia="Arial" w:hAnsi="Arial"/>
                <w:sz w:val="16"/>
                <w:szCs w:val="16"/>
                <w:color w:val="auto"/>
              </w:rPr>
              <w:t>Rental vehicles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17,077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14,612</w:t>
            </w:r>
          </w:p>
        </w:tc>
      </w:tr>
      <w:tr>
        <w:trPr>
          <w:trHeight w:val="216"/>
        </w:trPr>
        <w:tc>
          <w:tcPr>
            <w:tcW w:w="670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r>
      <w:tr>
        <w:trPr>
          <w:trHeight w:val="209"/>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12,701</w:t>
            </w:r>
          </w:p>
        </w:tc>
      </w:tr>
      <w:tr>
        <w:trPr>
          <w:trHeight w:val="215"/>
        </w:trPr>
        <w:tc>
          <w:tcPr>
            <w:tcW w:w="6700" w:type="dxa"/>
            <w:vAlign w:val="bottom"/>
          </w:tcPr>
          <w:p>
            <w:pPr>
              <w:spacing w:after="0"/>
              <w:rPr>
                <w:sz w:val="20"/>
                <w:szCs w:val="20"/>
                <w:color w:val="auto"/>
              </w:rPr>
            </w:pPr>
            <w:r>
              <w:rPr>
                <w:rFonts w:ascii="Arial" w:cs="Arial" w:eastAsia="Arial" w:hAnsi="Arial"/>
                <w:sz w:val="16"/>
                <w:szCs w:val="16"/>
                <w:color w:val="auto"/>
              </w:rPr>
              <w:t>Vehicles held for sale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8"/>
        </w:trPr>
        <w:tc>
          <w:tcPr>
            <w:tcW w:w="6700" w:type="dxa"/>
            <w:vAlign w:val="bottom"/>
          </w:tcPr>
          <w:p>
            <w:pPr>
              <w:spacing w:after="0" w:line="218" w:lineRule="exact"/>
              <w:rPr>
                <w:sz w:val="20"/>
                <w:szCs w:val="20"/>
                <w:color w:val="auto"/>
              </w:rPr>
            </w:pPr>
            <w:r>
              <w:rPr>
                <w:rFonts w:ascii="Arial" w:cs="Arial" w:eastAsia="Arial" w:hAnsi="Arial"/>
                <w:sz w:val="16"/>
                <w:szCs w:val="16"/>
                <w:color w:val="auto"/>
              </w:rPr>
              <w:t xml:space="preserve">Vehicles, net investment in lease </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Pr>
          <w:p>
            <w:pPr>
              <w:spacing w:after="0"/>
              <w:rPr>
                <w:sz w:val="20"/>
                <w:szCs w:val="20"/>
                <w:color w:val="auto"/>
              </w:rPr>
            </w:pPr>
            <w:r>
              <w:rPr>
                <w:rFonts w:ascii="Arial" w:cs="Arial" w:eastAsia="Arial" w:hAnsi="Arial"/>
                <w:sz w:val="16"/>
                <w:szCs w:val="16"/>
                <w:color w:val="auto"/>
              </w:rPr>
              <w:t>Vehicles,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12,866</w:t>
            </w:r>
          </w:p>
        </w:tc>
      </w:tr>
      <w:tr>
        <w:trPr>
          <w:trHeight w:val="21"/>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________</w:t>
      </w:r>
    </w:p>
    <w:p>
      <w:pPr>
        <w:ind w:left="662" w:hanging="226"/>
        <w:spacing w:after="0" w:line="229" w:lineRule="auto"/>
        <w:tabs>
          <w:tab w:leader="none" w:pos="662"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See Note 14 – Related Party Transactions.</w:t>
      </w:r>
    </w:p>
    <w:p>
      <w:pPr>
        <w:spacing w:after="0" w:line="2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5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0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08"/>
        </w:trPr>
        <w:tc>
          <w:tcPr>
            <w:tcW w:w="4000" w:type="dxa"/>
            <w:vAlign w:val="bottom"/>
          </w:tcPr>
          <w:p>
            <w:pPr>
              <w:spacing w:after="0"/>
              <w:rPr>
                <w:sz w:val="20"/>
                <w:szCs w:val="20"/>
                <w:color w:val="auto"/>
              </w:rPr>
            </w:pPr>
            <w:r>
              <w:rPr>
                <w:rFonts w:ascii="Arial" w:cs="Arial" w:eastAsia="Arial" w:hAnsi="Arial"/>
                <w:sz w:val="16"/>
                <w:szCs w:val="16"/>
                <w:color w:val="auto"/>
              </w:rPr>
              <w:t>Depreciation expense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18"/>
                <w:szCs w:val="18"/>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ind w:left="439"/>
              <w:spacing w:after="0"/>
              <w:rPr>
                <w:sz w:val="20"/>
                <w:szCs w:val="20"/>
                <w:color w:val="auto"/>
              </w:rPr>
            </w:pPr>
            <w:r>
              <w:rPr>
                <w:rFonts w:ascii="Arial" w:cs="Arial" w:eastAsia="Arial" w:hAnsi="Arial"/>
                <w:sz w:val="16"/>
                <w:szCs w:val="16"/>
                <w:color w:val="auto"/>
                <w:w w:val="97"/>
              </w:rPr>
              <w:t>981</w:t>
            </w:r>
          </w:p>
        </w:tc>
      </w:tr>
      <w:tr>
        <w:trPr>
          <w:trHeight w:val="215"/>
        </w:trPr>
        <w:tc>
          <w:tcPr>
            <w:tcW w:w="4000" w:type="dxa"/>
            <w:vAlign w:val="bottom"/>
          </w:tcPr>
          <w:p>
            <w:pPr>
              <w:spacing w:after="0"/>
              <w:rPr>
                <w:sz w:val="20"/>
                <w:szCs w:val="20"/>
                <w:color w:val="auto"/>
              </w:rPr>
            </w:pPr>
            <w:r>
              <w:rPr>
                <w:rFonts w:ascii="Arial" w:cs="Arial" w:eastAsia="Arial" w:hAnsi="Arial"/>
                <w:sz w:val="16"/>
                <w:szCs w:val="16"/>
                <w:color w:val="auto"/>
              </w:rPr>
              <w:t>Lease charges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center"/>
              <w:ind w:left="439"/>
              <w:spacing w:after="0"/>
              <w:rPr>
                <w:sz w:val="20"/>
                <w:szCs w:val="20"/>
                <w:color w:val="auto"/>
              </w:rPr>
            </w:pPr>
            <w:r>
              <w:rPr>
                <w:rFonts w:ascii="Arial" w:cs="Arial" w:eastAsia="Arial" w:hAnsi="Arial"/>
                <w:sz w:val="16"/>
                <w:szCs w:val="16"/>
                <w:color w:val="auto"/>
                <w:w w:val="97"/>
              </w:rPr>
              <w:t>129</w:t>
            </w:r>
          </w:p>
        </w:tc>
      </w:tr>
      <w:tr>
        <w:trPr>
          <w:trHeight w:val="217"/>
        </w:trPr>
        <w:tc>
          <w:tcPr>
            <w:tcW w:w="400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(241)</w:t>
            </w:r>
          </w:p>
        </w:tc>
      </w:tr>
      <w:tr>
        <w:trPr>
          <w:trHeight w:val="210"/>
        </w:trPr>
        <w:tc>
          <w:tcPr>
            <w:tcW w:w="400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w w:val="97"/>
              </w:rPr>
              <w:t>869</w:t>
            </w:r>
          </w:p>
        </w:tc>
      </w:tr>
      <w:tr>
        <w:trPr>
          <w:trHeight w:val="20"/>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At September 30, 2022 and 2021, we had payables related to vehicle purchases included in liabilities under vehicle programs - other of $154 million and $167 million, respectively, and receivables related to vehicle sales included in assets under vehicle programs - receivables from vehicle manufacturers and other of $225 million and $145 million, respectively.</w:t>
      </w:r>
    </w:p>
    <w:p>
      <w:pPr>
        <w:spacing w:after="0" w:line="198" w:lineRule="exact"/>
        <w:rPr>
          <w:sz w:val="20"/>
          <w:szCs w:val="20"/>
          <w:color w:val="auto"/>
        </w:rPr>
      </w:pPr>
    </w:p>
    <w:p>
      <w:pPr>
        <w:ind w:left="342" w:hanging="342"/>
        <w:spacing w:after="0"/>
        <w:tabs>
          <w:tab w:leader="none" w:pos="34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Our effective tax rate for the nine months ended September 30, 2022 and 2021 were provisions of 25.3% and 22.6%, respectively. Such rates differed from the Federal Statutory rate of 21.0% primarily due to foreign taxes on our International operations and state taxes.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8" w:name="page19"/>
    <w:bookmarkEnd w:id="18"/>
    <w:tbl>
      <w:tblPr>
        <w:tblLayout w:type="fixed"/>
        <w:tblInd w:w="2" w:type="dxa"/>
        <w:tblCellMar>
          <w:top w:w="0" w:type="dxa"/>
          <w:left w:w="0" w:type="dxa"/>
          <w:bottom w:w="0" w:type="dxa"/>
          <w:right w:w="0" w:type="dxa"/>
        </w:tblCellMar>
      </w:tblPr>
      <w:tr>
        <w:trPr>
          <w:trHeight w:val="247"/>
        </w:trPr>
        <w:tc>
          <w:tcPr>
            <w:tcW w:w="7220" w:type="dxa"/>
            <w:vAlign w:val="bottom"/>
          </w:tcPr>
          <w:p>
            <w:pPr>
              <w:spacing w:after="0"/>
              <w:rPr>
                <w:sz w:val="20"/>
                <w:szCs w:val="20"/>
                <w:color w:val="auto"/>
              </w:rPr>
            </w:pPr>
            <w:r>
              <w:rPr>
                <w:rFonts w:ascii="Arial" w:cs="Arial" w:eastAsia="Arial" w:hAnsi="Arial"/>
                <w:sz w:val="18"/>
                <w:szCs w:val="18"/>
                <w:b w:val="1"/>
                <w:bCs w:val="1"/>
                <w:color w:val="auto"/>
              </w:rPr>
              <w:t>9.  Accounts Payable and Other Current Liabilities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451"/>
        </w:trPr>
        <w:tc>
          <w:tcPr>
            <w:tcW w:w="7220" w:type="dxa"/>
            <w:vAlign w:val="bottom"/>
          </w:tcPr>
          <w:p>
            <w:pPr>
              <w:ind w:left="440"/>
              <w:spacing w:after="0"/>
              <w:rPr>
                <w:sz w:val="20"/>
                <w:szCs w:val="20"/>
                <w:color w:val="auto"/>
              </w:rPr>
            </w:pPr>
            <w:r>
              <w:rPr>
                <w:rFonts w:ascii="Arial" w:cs="Arial" w:eastAsia="Arial" w:hAnsi="Arial"/>
                <w:sz w:val="18"/>
                <w:szCs w:val="18"/>
                <w:color w:val="auto"/>
              </w:rPr>
              <w:t>Accounts payable and other current liabilities consisted of:</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7"/>
        </w:trPr>
        <w:tc>
          <w:tcPr>
            <w:tcW w:w="7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21"/>
                <w:szCs w:val="21"/>
                <w:color w:val="auto"/>
              </w:rPr>
            </w:pPr>
          </w:p>
        </w:tc>
        <w:tc>
          <w:tcPr>
            <w:tcW w:w="1460" w:type="dxa"/>
            <w:vAlign w:val="bottom"/>
          </w:tcPr>
          <w:p>
            <w:pPr>
              <w:jc w:val="center"/>
              <w:ind w:right="97"/>
              <w:spacing w:after="0"/>
              <w:rPr>
                <w:sz w:val="20"/>
                <w:szCs w:val="20"/>
                <w:color w:val="auto"/>
              </w:rPr>
            </w:pPr>
            <w:r>
              <w:rPr>
                <w:rFonts w:ascii="Arial" w:cs="Arial" w:eastAsia="Arial" w:hAnsi="Arial"/>
                <w:sz w:val="18"/>
                <w:szCs w:val="18"/>
                <w:b w:val="1"/>
                <w:bCs w:val="1"/>
                <w:color w:val="auto"/>
                <w:w w:val="97"/>
              </w:rPr>
              <w:t>As of</w:t>
            </w:r>
          </w:p>
        </w:tc>
      </w:tr>
      <w:tr>
        <w:trPr>
          <w:trHeight w:val="229"/>
        </w:trPr>
        <w:tc>
          <w:tcPr>
            <w:tcW w:w="7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460" w:type="dxa"/>
            <w:vAlign w:val="bottom"/>
          </w:tcPr>
          <w:p>
            <w:pPr>
              <w:jc w:val="center"/>
              <w:ind w:right="97"/>
              <w:spacing w:after="0"/>
              <w:rPr>
                <w:sz w:val="20"/>
                <w:szCs w:val="20"/>
                <w:color w:val="auto"/>
              </w:rPr>
            </w:pPr>
            <w:r>
              <w:rPr>
                <w:rFonts w:ascii="Arial" w:cs="Arial" w:eastAsia="Arial" w:hAnsi="Arial"/>
                <w:sz w:val="18"/>
                <w:szCs w:val="18"/>
                <w:b w:val="1"/>
                <w:bCs w:val="1"/>
                <w:color w:val="auto"/>
                <w:w w:val="99"/>
              </w:rPr>
              <w:t>December 31,</w:t>
            </w:r>
          </w:p>
        </w:tc>
      </w:tr>
      <w:tr>
        <w:trPr>
          <w:trHeight w:val="235"/>
        </w:trPr>
        <w:tc>
          <w:tcPr>
            <w:tcW w:w="7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7"/>
              <w:spacing w:after="0"/>
              <w:rPr>
                <w:sz w:val="20"/>
                <w:szCs w:val="20"/>
                <w:color w:val="auto"/>
              </w:rPr>
            </w:pPr>
            <w:r>
              <w:rPr>
                <w:rFonts w:ascii="Arial" w:cs="Arial" w:eastAsia="Arial" w:hAnsi="Arial"/>
                <w:sz w:val="18"/>
                <w:szCs w:val="18"/>
                <w:b w:val="1"/>
                <w:bCs w:val="1"/>
                <w:color w:val="auto"/>
                <w:w w:val="99"/>
              </w:rPr>
              <w:t>2021</w:t>
            </w:r>
          </w:p>
        </w:tc>
      </w:tr>
      <w:tr>
        <w:trPr>
          <w:trHeight w:val="208"/>
        </w:trPr>
        <w:tc>
          <w:tcPr>
            <w:tcW w:w="722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5"/>
        </w:trPr>
        <w:tc>
          <w:tcPr>
            <w:tcW w:w="7220" w:type="dxa"/>
            <w:vAlign w:val="bottom"/>
          </w:tcPr>
          <w:p>
            <w:pPr>
              <w:ind w:left="460"/>
              <w:spacing w:after="0"/>
              <w:rPr>
                <w:sz w:val="20"/>
                <w:szCs w:val="20"/>
                <w:color w:val="auto"/>
              </w:rPr>
            </w:pPr>
            <w:r>
              <w:rPr>
                <w:rFonts w:ascii="Arial" w:cs="Arial" w:eastAsia="Arial" w:hAnsi="Arial"/>
                <w:sz w:val="16"/>
                <w:szCs w:val="16"/>
                <w:color w:val="auto"/>
              </w:rPr>
              <w:t>Short-term operating lease liabilities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16"/>
        </w:trPr>
        <w:tc>
          <w:tcPr>
            <w:tcW w:w="7220" w:type="dxa"/>
            <w:vAlign w:val="bottom"/>
          </w:tcPr>
          <w:p>
            <w:pPr>
              <w:ind w:left="460"/>
              <w:spacing w:after="0"/>
              <w:rPr>
                <w:sz w:val="20"/>
                <w:szCs w:val="20"/>
                <w:color w:val="auto"/>
              </w:rPr>
            </w:pPr>
            <w:r>
              <w:rPr>
                <w:rFonts w:ascii="Arial" w:cs="Arial" w:eastAsia="Arial" w:hAnsi="Arial"/>
                <w:sz w:val="16"/>
                <w:szCs w:val="16"/>
                <w:color w:val="auto"/>
              </w:rPr>
              <w:t>Accrued advertising and marketing</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6"/>
        </w:trPr>
        <w:tc>
          <w:tcPr>
            <w:tcW w:w="7220" w:type="dxa"/>
            <w:vAlign w:val="bottom"/>
          </w:tcPr>
          <w:p>
            <w:pPr>
              <w:ind w:left="460"/>
              <w:spacing w:after="0"/>
              <w:rPr>
                <w:sz w:val="20"/>
                <w:szCs w:val="20"/>
                <w:color w:val="auto"/>
              </w:rPr>
            </w:pPr>
            <w:r>
              <w:rPr>
                <w:rFonts w:ascii="Arial" w:cs="Arial" w:eastAsia="Arial" w:hAnsi="Arial"/>
                <w:sz w:val="16"/>
                <w:szCs w:val="16"/>
                <w:color w:val="auto"/>
              </w:rPr>
              <w:t>Accrued sales and use taxes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16"/>
        </w:trPr>
        <w:tc>
          <w:tcPr>
            <w:tcW w:w="7220" w:type="dxa"/>
            <w:vAlign w:val="bottom"/>
          </w:tcPr>
          <w:p>
            <w:pPr>
              <w:ind w:left="460"/>
              <w:spacing w:after="0"/>
              <w:rPr>
                <w:sz w:val="20"/>
                <w:szCs w:val="20"/>
                <w:color w:val="auto"/>
              </w:rPr>
            </w:pPr>
            <w:r>
              <w:rPr>
                <w:rFonts w:ascii="Arial" w:cs="Arial" w:eastAsia="Arial" w:hAnsi="Arial"/>
                <w:sz w:val="16"/>
                <w:szCs w:val="16"/>
                <w:color w:val="auto"/>
              </w:rPr>
              <w:t>Deferred lease revenues - current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6"/>
        </w:trPr>
        <w:tc>
          <w:tcPr>
            <w:tcW w:w="7220" w:type="dxa"/>
            <w:vAlign w:val="bottom"/>
          </w:tcPr>
          <w:p>
            <w:pPr>
              <w:ind w:left="460"/>
              <w:spacing w:after="0"/>
              <w:rPr>
                <w:sz w:val="20"/>
                <w:szCs w:val="20"/>
                <w:color w:val="auto"/>
              </w:rPr>
            </w:pPr>
            <w:r>
              <w:rPr>
                <w:rFonts w:ascii="Arial" w:cs="Arial" w:eastAsia="Arial" w:hAnsi="Arial"/>
                <w:sz w:val="16"/>
                <w:szCs w:val="16"/>
                <w:color w:val="auto"/>
              </w:rPr>
              <w:t>Accrued payroll and related</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7220" w:type="dxa"/>
            <w:vAlign w:val="bottom"/>
          </w:tcPr>
          <w:p>
            <w:pPr>
              <w:ind w:left="460"/>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7"/>
        </w:trPr>
        <w:tc>
          <w:tcPr>
            <w:tcW w:w="7220" w:type="dxa"/>
            <w:vAlign w:val="bottom"/>
          </w:tcPr>
          <w:p>
            <w:pPr>
              <w:ind w:left="4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r>
      <w:tr>
        <w:trPr>
          <w:trHeight w:val="210"/>
        </w:trPr>
        <w:tc>
          <w:tcPr>
            <w:tcW w:w="7220" w:type="dxa"/>
            <w:vAlign w:val="bottom"/>
          </w:tcPr>
          <w:p>
            <w:pPr>
              <w:ind w:left="460"/>
              <w:spacing w:after="0"/>
              <w:rPr>
                <w:sz w:val="20"/>
                <w:szCs w:val="20"/>
                <w:color w:val="auto"/>
              </w:rPr>
            </w:pPr>
            <w:r>
              <w:rPr>
                <w:rFonts w:ascii="Arial" w:cs="Arial" w:eastAsia="Arial" w:hAnsi="Arial"/>
                <w:sz w:val="16"/>
                <w:szCs w:val="16"/>
                <w:color w:val="auto"/>
              </w:rPr>
              <w:t>Accounts payable and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w:t>
            </w:r>
          </w:p>
        </w:tc>
      </w:tr>
      <w:tr>
        <w:trPr>
          <w:trHeight w:val="21"/>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42" w:right="5300" w:hanging="442"/>
        <w:spacing w:after="0" w:line="417" w:lineRule="auto"/>
        <w:tabs>
          <w:tab w:leader="none" w:pos="43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r>
      <w:tr>
        <w:trPr>
          <w:trHeight w:val="217"/>
        </w:trPr>
        <w:tc>
          <w:tcPr>
            <w:tcW w:w="5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Date</w:t>
            </w:r>
          </w:p>
        </w:tc>
        <w:tc>
          <w:tcPr>
            <w:tcW w:w="18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r>
      <w:tr>
        <w:trPr>
          <w:trHeight w:val="208"/>
        </w:trPr>
        <w:tc>
          <w:tcPr>
            <w:tcW w:w="5080" w:type="dxa"/>
            <w:vAlign w:val="bottom"/>
          </w:tcPr>
          <w:p>
            <w:pPr>
              <w:spacing w:after="0"/>
              <w:rPr>
                <w:sz w:val="20"/>
                <w:szCs w:val="20"/>
                <w:color w:val="auto"/>
              </w:rPr>
            </w:pPr>
            <w:r>
              <w:rPr>
                <w:rFonts w:ascii="Arial" w:cs="Arial" w:eastAsia="Arial" w:hAnsi="Arial"/>
                <w:sz w:val="16"/>
                <w:szCs w:val="16"/>
                <w:color w:val="auto"/>
              </w:rPr>
              <w:t>4.125% euro-denominated Senior Notes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November 2024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4.500%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5.375%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508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Floating Rate Term Loan</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80" w:type="dxa"/>
            <w:vAlign w:val="bottom"/>
          </w:tcPr>
          <w:p>
            <w:pPr>
              <w:spacing w:after="0" w:line="218"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4,009</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508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w:t>
            </w:r>
          </w:p>
        </w:tc>
      </w:tr>
      <w:tr>
        <w:trPr>
          <w:trHeight w:val="21"/>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jc w:val="both"/>
        <w:ind w:left="762" w:hanging="326"/>
        <w:spacing w:after="0" w:line="261" w:lineRule="auto"/>
        <w:tabs>
          <w:tab w:leader="none" w:pos="755" w:val="left"/>
        </w:tabs>
        <w:numPr>
          <w:ilvl w:val="0"/>
          <w:numId w:val="17"/>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September 30, 2022, the floating rate term loan due 2027 bears interest at one-month LIBOR plus 175 basis points, for an aggregate rate of 4.87%. We have entered into a swap to hedge $700 million of its interest rate exposure related to the floating rate term loan at an aggregate rate of 4.75%.</w:t>
      </w:r>
    </w:p>
    <w:p>
      <w:pPr>
        <w:spacing w:after="0" w:line="1" w:lineRule="exact"/>
        <w:rPr>
          <w:rFonts w:ascii="Arial" w:cs="Arial" w:eastAsia="Arial" w:hAnsi="Arial"/>
          <w:sz w:val="9"/>
          <w:szCs w:val="9"/>
          <w:color w:val="auto"/>
        </w:rPr>
      </w:pPr>
    </w:p>
    <w:p>
      <w:pPr>
        <w:ind w:left="762" w:hanging="326"/>
        <w:spacing w:after="0" w:line="193" w:lineRule="auto"/>
        <w:tabs>
          <w:tab w:leader="none" w:pos="762"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6"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In March 2022, we entered into a $750 million Floating Rate Term Loan due March 2029, at a price of 97% of the aggregate principal amount, with interest paid monthly, which is part of our senior credit facilities. The Floating Rate Term Loan due March 2029 bears interest at one-month Secured Overnight Financing Rate (“SOFR”) plus 350 basis points for an aggregate rate of 6.63%.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9" w:name="page20"/>
    <w:bookmarkEnd w:id="19"/>
    <w:p>
      <w:pPr>
        <w:ind w:left="442"/>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As of September 30, 2022, the committed corporate credit facilities available to us and/or our subsidiaries were as follows:</w:t>
      </w:r>
    </w:p>
    <w:p>
      <w:pPr>
        <w:spacing w:after="0" w:line="33"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Capacity</w:t>
            </w:r>
          </w:p>
        </w:tc>
        <w:tc>
          <w:tcPr>
            <w:tcW w:w="180" w:type="dxa"/>
            <w:vAlign w:val="bottom"/>
          </w:tcPr>
          <w:p>
            <w:pPr>
              <w:spacing w:after="0"/>
              <w:rPr>
                <w:sz w:val="18"/>
                <w:szCs w:val="18"/>
                <w:color w:val="auto"/>
              </w:rPr>
            </w:pPr>
          </w:p>
        </w:tc>
        <w:tc>
          <w:tcPr>
            <w:tcW w:w="150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rPr>
              <w:t>Borrowings</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2026 </w:t>
            </w:r>
            <w:r>
              <w:rPr>
                <w:rFonts w:ascii="Arial" w:cs="Arial" w:eastAsia="Arial" w:hAnsi="Arial"/>
                <w:sz w:val="21"/>
                <w:szCs w:val="21"/>
                <w:color w:val="auto"/>
                <w:vertAlign w:val="superscript"/>
              </w:rPr>
              <w:t>(a)</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w:t>
            </w:r>
          </w:p>
        </w:tc>
      </w:tr>
      <w:tr>
        <w:trPr>
          <w:trHeight w:val="238"/>
        </w:trPr>
        <w:tc>
          <w:tcPr>
            <w:tcW w:w="420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jc w:val="both"/>
        <w:ind w:left="762" w:hanging="326"/>
        <w:spacing w:after="0" w:line="207" w:lineRule="auto"/>
        <w:tabs>
          <w:tab w:leader="none" w:pos="755"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175 basis points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spacing w:after="0" w:line="209"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by us and certain of our subsidiaries, acquisitions, mergers, liquidations, and sale and leaseback transactions. Our senior credit facility also contains a maximum leverage ratio requirement. As of September 30, 2022, we were in compliance with the financial covenants governing our indebtedness.</w:t>
      </w:r>
    </w:p>
    <w:p>
      <w:pPr>
        <w:spacing w:after="0" w:line="203" w:lineRule="exact"/>
        <w:rPr>
          <w:sz w:val="20"/>
          <w:szCs w:val="20"/>
          <w:color w:val="auto"/>
        </w:rPr>
      </w:pPr>
    </w:p>
    <w:p>
      <w:pPr>
        <w:ind w:left="442" w:hanging="442"/>
        <w:spacing w:after="0"/>
        <w:tabs>
          <w:tab w:leader="none" w:pos="44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rFonts w:ascii="Arial" w:cs="Arial" w:eastAsia="Arial" w:hAnsi="Arial"/>
          <w:sz w:val="18"/>
          <w:szCs w:val="18"/>
          <w:b w:val="1"/>
          <w:bCs w:val="1"/>
          <w:color w:val="auto"/>
        </w:rPr>
      </w:pPr>
    </w:p>
    <w:p>
      <w:pPr>
        <w:ind w:left="442"/>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2" w:lineRule="exact"/>
        <w:rPr>
          <w:sz w:val="20"/>
          <w:szCs w:val="20"/>
          <w:color w:val="auto"/>
        </w:rPr>
      </w:pPr>
    </w:p>
    <w:tbl>
      <w:tblPr>
        <w:tblLayout w:type="fixed"/>
        <w:tblInd w:w="462"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5"/>
        </w:trPr>
        <w:tc>
          <w:tcPr>
            <w:tcW w:w="6760" w:type="dxa"/>
            <w:vAlign w:val="bottom"/>
            <w:vMerge w:val="restart"/>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67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760" w:type="dxa"/>
            <w:vAlign w:val="bottom"/>
          </w:tcPr>
          <w:p>
            <w:pPr>
              <w:spacing w:after="0" w:line="237"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762" w:hanging="326"/>
        <w:spacing w:after="0" w:line="284" w:lineRule="auto"/>
        <w:tabs>
          <w:tab w:leader="none" w:pos="755" w:val="left"/>
        </w:tabs>
        <w:numPr>
          <w:ilvl w:val="0"/>
          <w:numId w:val="20"/>
        </w:numPr>
        <w:rPr>
          <w:rFonts w:ascii="Arial" w:cs="Arial" w:eastAsia="Arial" w:hAnsi="Arial"/>
          <w:sz w:val="9"/>
          <w:szCs w:val="9"/>
          <w:color w:val="auto"/>
        </w:rPr>
      </w:pPr>
      <w:r>
        <w:rPr>
          <w:rFonts w:ascii="Arial" w:cs="Arial" w:eastAsia="Arial" w:hAnsi="Arial"/>
          <w:sz w:val="14"/>
          <w:szCs w:val="14"/>
          <w:color w:val="auto"/>
        </w:rPr>
        <w:t>Deferred financing fees related to Debt due to Avis Budget Rental Car Funding as of September 30, 2022 and December 31, 2021 were $48 million and $41 million, respectively.</w:t>
      </w:r>
    </w:p>
    <w:p>
      <w:pPr>
        <w:spacing w:after="0" w:line="189"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In April 2022, our Avis Budget Rental Car Funding (AESOP) LLC subsidiary issued $660 million of asset-backed notes to investors with an expected final payment date of August 2027, with a weighted average interest rate of 3.96%.</w:t>
      </w:r>
    </w:p>
    <w:p>
      <w:pPr>
        <w:spacing w:after="0" w:line="180"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In May 2022, our Avis Budget Rental Car Funding (AESOP) LLC subsidiary issued $87 million, $68 million and $55 million of asset-backed notes with expected final payment dates of March 2025, March 2023 and September 2023, respectively, with a weighted average interest rate of 5.10%.</w:t>
      </w:r>
    </w:p>
    <w:p>
      <w:pPr>
        <w:spacing w:after="0" w:line="198"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In June 2022, our Avis Budget Rental Car Funding (AESOP) LLC subsidiary entered into $800 million of variable funding asset-backed notes with an expected final payment date of September 2022.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sectPr>
      </w:pPr>
    </w:p>
    <w:bookmarkStart w:id="20" w:name="page21"/>
    <w:bookmarkEnd w:id="20"/>
    <w:p>
      <w:pPr>
        <w:jc w:val="both"/>
        <w:ind w:left="6"/>
        <w:spacing w:after="0" w:line="268" w:lineRule="auto"/>
        <w:rPr>
          <w:sz w:val="20"/>
          <w:szCs w:val="20"/>
          <w:color w:val="auto"/>
        </w:rPr>
      </w:pPr>
      <w:r>
        <w:rPr>
          <w:rFonts w:ascii="Arial" w:cs="Arial" w:eastAsia="Arial" w:hAnsi="Arial"/>
          <w:sz w:val="18"/>
          <w:szCs w:val="18"/>
          <w:color w:val="auto"/>
        </w:rPr>
        <w:t>In July 2022, our Avis Budget Rental Car Funding (AESOP) LLC subsidiary issued $763 million of asset-backed notes to investors with a weighted average interest rate of 4.90%. Following this issuance, amounts available under our $800 million variable funding asset-backed notes supplement entered into during June 2022 were reduced to zero.</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jc w:val="both"/>
        <w:ind w:left="6" w:right="20"/>
        <w:spacing w:after="0" w:line="273"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September 30, 2022:</w:t>
      </w:r>
    </w:p>
    <w:p>
      <w:pPr>
        <w:jc w:val="center"/>
        <w:ind w:left="8440"/>
        <w:spacing w:after="0" w:line="226" w:lineRule="auto"/>
        <w:rPr>
          <w:sz w:val="20"/>
          <w:szCs w:val="20"/>
          <w:color w:val="auto"/>
        </w:rPr>
      </w:pPr>
      <w:r>
        <w:rPr>
          <w:rFonts w:ascii="Arial" w:cs="Arial" w:eastAsia="Arial" w:hAnsi="Arial"/>
          <w:sz w:val="18"/>
          <w:szCs w:val="18"/>
          <w:b w:val="1"/>
          <w:bCs w:val="1"/>
          <w:color w:val="auto"/>
        </w:rPr>
        <w:t>Debt under</w:t>
      </w:r>
    </w:p>
    <w:p>
      <w:pPr>
        <w:jc w:val="center"/>
        <w:ind w:left="8440"/>
        <w:spacing w:after="0" w:line="200" w:lineRule="auto"/>
        <w:rPr>
          <w:sz w:val="20"/>
          <w:szCs w:val="20"/>
          <w:color w:val="auto"/>
        </w:rPr>
      </w:pPr>
      <w:r>
        <w:rPr>
          <w:rFonts w:ascii="Arial" w:cs="Arial" w:eastAsia="Arial" w:hAnsi="Arial"/>
          <w:sz w:val="13"/>
          <w:szCs w:val="13"/>
          <w:b w:val="1"/>
          <w:bCs w:val="1"/>
          <w:color w:val="auto"/>
        </w:rPr>
        <w:t>Vehicle Programs</w:t>
      </w:r>
    </w:p>
    <w:p>
      <w:pPr>
        <w:ind w:left="9286"/>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48260</wp:posOffset>
            </wp:positionV>
            <wp:extent cx="1036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p>
      <w:pPr>
        <w:spacing w:after="0" w:line="57" w:lineRule="exact"/>
        <w:rPr>
          <w:sz w:val="20"/>
          <w:szCs w:val="20"/>
          <w:color w:val="auto"/>
        </w:rPr>
      </w:pPr>
    </w:p>
    <w:p>
      <w:pPr>
        <w:ind w:left="26"/>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26"/>
        <w:spacing w:after="0" w:line="217"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spacing w:after="0" w:line="1" w:lineRule="exact"/>
        <w:rPr>
          <w:sz w:val="20"/>
          <w:szCs w:val="20"/>
          <w:color w:val="auto"/>
        </w:rPr>
      </w:pPr>
    </w:p>
    <w:p>
      <w:pPr>
        <w:ind w:left="26"/>
        <w:spacing w:after="0"/>
        <w:rPr>
          <w:sz w:val="20"/>
          <w:szCs w:val="20"/>
          <w:color w:val="auto"/>
        </w:rPr>
      </w:pPr>
      <w:r>
        <w:rPr>
          <w:rFonts w:ascii="Arial" w:cs="Arial" w:eastAsia="Arial" w:hAnsi="Arial"/>
          <w:sz w:val="18"/>
          <w:szCs w:val="18"/>
          <w:color w:val="auto"/>
        </w:rPr>
        <w:t>Between 2 and 3 years</w:t>
      </w:r>
    </w:p>
    <w:p>
      <w:pPr>
        <w:spacing w:after="0" w:line="14" w:lineRule="exact"/>
        <w:rPr>
          <w:sz w:val="20"/>
          <w:szCs w:val="20"/>
          <w:color w:val="auto"/>
        </w:rPr>
      </w:pPr>
    </w:p>
    <w:p>
      <w:pPr>
        <w:ind w:left="26"/>
        <w:spacing w:after="0"/>
        <w:rPr>
          <w:sz w:val="20"/>
          <w:szCs w:val="20"/>
          <w:color w:val="auto"/>
        </w:rPr>
      </w:pPr>
      <w:r>
        <w:rPr>
          <w:rFonts w:ascii="Arial" w:cs="Arial" w:eastAsia="Arial" w:hAnsi="Arial"/>
          <w:sz w:val="18"/>
          <w:szCs w:val="18"/>
          <w:color w:val="auto"/>
        </w:rPr>
        <w:t>Between 3 and 4 years</w:t>
      </w:r>
    </w:p>
    <w:p>
      <w:pPr>
        <w:spacing w:after="0" w:line="23" w:lineRule="exact"/>
        <w:rPr>
          <w:sz w:val="20"/>
          <w:szCs w:val="20"/>
          <w:color w:val="auto"/>
        </w:rPr>
      </w:pPr>
    </w:p>
    <w:p>
      <w:pPr>
        <w:ind w:left="26"/>
        <w:spacing w:after="0"/>
        <w:rPr>
          <w:sz w:val="20"/>
          <w:szCs w:val="20"/>
          <w:color w:val="auto"/>
        </w:rPr>
      </w:pPr>
      <w:r>
        <w:rPr>
          <w:rFonts w:ascii="Arial" w:cs="Arial" w:eastAsia="Arial" w:hAnsi="Arial"/>
          <w:sz w:val="18"/>
          <w:szCs w:val="18"/>
          <w:color w:val="auto"/>
        </w:rPr>
        <w:t>Between 4 and 5 years</w:t>
      </w:r>
    </w:p>
    <w:p>
      <w:pPr>
        <w:spacing w:after="0" w:line="23" w:lineRule="exact"/>
        <w:rPr>
          <w:sz w:val="20"/>
          <w:szCs w:val="20"/>
          <w:color w:val="auto"/>
        </w:rPr>
      </w:pPr>
    </w:p>
    <w:p>
      <w:pPr>
        <w:ind w:left="26"/>
        <w:spacing w:after="0"/>
        <w:rPr>
          <w:sz w:val="20"/>
          <w:szCs w:val="20"/>
          <w:color w:val="auto"/>
        </w:rPr>
      </w:pPr>
      <w:r>
        <w:rPr>
          <w:rFonts w:ascii="Arial" w:cs="Arial" w:eastAsia="Arial" w:hAnsi="Arial"/>
          <w:sz w:val="18"/>
          <w:szCs w:val="18"/>
          <w:color w:val="auto"/>
        </w:rPr>
        <w:t>Thereafter</w:t>
      </w:r>
    </w:p>
    <w:p>
      <w:pPr>
        <w:spacing w:after="0" w:line="54" w:lineRule="exact"/>
        <w:rPr>
          <w:sz w:val="20"/>
          <w:szCs w:val="20"/>
          <w:color w:val="auto"/>
        </w:rPr>
      </w:pPr>
    </w:p>
    <w:p>
      <w:pPr>
        <w:ind w:left="26"/>
        <w:spacing w:after="0"/>
        <w:rPr>
          <w:sz w:val="20"/>
          <w:szCs w:val="20"/>
          <w:color w:val="auto"/>
        </w:rPr>
      </w:pPr>
      <w:r>
        <w:rPr>
          <w:rFonts w:ascii="Arial" w:cs="Arial" w:eastAsia="Arial" w:hAnsi="Arial"/>
          <w:sz w:val="18"/>
          <w:szCs w:val="18"/>
          <w:color w:val="auto"/>
        </w:rPr>
        <w:t>Total</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266" w:hanging="266"/>
        <w:spacing w:after="0"/>
        <w:tabs>
          <w:tab w:leader="none" w:pos="266" w:val="left"/>
        </w:tabs>
        <w:numPr>
          <w:ilvl w:val="0"/>
          <w:numId w:val="21"/>
        </w:numPr>
        <w:rPr>
          <w:rFonts w:ascii="Arial" w:cs="Arial" w:eastAsia="Arial" w:hAnsi="Arial"/>
          <w:sz w:val="9"/>
          <w:szCs w:val="9"/>
          <w:color w:val="auto"/>
        </w:rPr>
      </w:pPr>
      <w:r>
        <w:rPr>
          <w:rFonts w:ascii="Arial" w:cs="Arial" w:eastAsia="Arial" w:hAnsi="Arial"/>
          <w:sz w:val="14"/>
          <w:szCs w:val="14"/>
          <w:color w:val="auto"/>
        </w:rPr>
        <w:t>Vehicle-backed debt primarily represents asset-backed securities.</w:t>
      </w:r>
    </w:p>
    <w:p>
      <w:pPr>
        <w:spacing w:after="0" w:line="14" w:lineRule="exact"/>
        <w:rPr>
          <w:rFonts w:ascii="Arial" w:cs="Arial" w:eastAsia="Arial" w:hAnsi="Arial"/>
          <w:sz w:val="9"/>
          <w:szCs w:val="9"/>
          <w:color w:val="auto"/>
        </w:rPr>
      </w:pPr>
    </w:p>
    <w:p>
      <w:pPr>
        <w:ind w:left="266" w:hanging="266"/>
        <w:spacing w:after="0" w:line="192" w:lineRule="auto"/>
        <w:tabs>
          <w:tab w:leader="none" w:pos="266"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$1.0 billion of bank and bank-sponsored facilities.</w:t>
      </w:r>
    </w:p>
    <w:p>
      <w:pPr>
        <w:ind w:left="266" w:hanging="266"/>
        <w:spacing w:after="0" w:line="193" w:lineRule="auto"/>
        <w:tabs>
          <w:tab w:leader="none" w:pos="266"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$3.7 billion of bank and bank-sponsored facilities.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096" w:hanging="1096"/>
        <w:spacing w:after="0"/>
        <w:tabs>
          <w:tab w:leader="none" w:pos="10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2,192</w:t>
      </w:r>
    </w:p>
    <w:p>
      <w:pPr>
        <w:spacing w:after="0" w:line="43"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5,302</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1,908</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1,994</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1,383</w:t>
      </w:r>
    </w:p>
    <w:p>
      <w:pPr>
        <w:spacing w:after="0" w:line="34" w:lineRule="exact"/>
        <w:rPr>
          <w:rFonts w:ascii="Arial" w:cs="Arial" w:eastAsia="Arial" w:hAnsi="Arial"/>
          <w:sz w:val="17"/>
          <w:szCs w:val="17"/>
          <w:color w:val="auto"/>
        </w:rPr>
      </w:pPr>
    </w:p>
    <w:p>
      <w:pPr>
        <w:ind w:left="1236"/>
        <w:spacing w:after="0"/>
        <w:rPr>
          <w:rFonts w:ascii="Arial" w:cs="Arial" w:eastAsia="Arial" w:hAnsi="Arial"/>
          <w:sz w:val="17"/>
          <w:szCs w:val="17"/>
          <w:color w:val="auto"/>
        </w:rPr>
      </w:pPr>
      <w:r>
        <w:rPr>
          <w:rFonts w:ascii="Arial" w:cs="Arial" w:eastAsia="Arial" w:hAnsi="Arial"/>
          <w:sz w:val="17"/>
          <w:szCs w:val="17"/>
          <w:color w:val="auto"/>
        </w:rPr>
        <w:t>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369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8" w:lineRule="exact"/>
        <w:rPr>
          <w:sz w:val="20"/>
          <w:szCs w:val="20"/>
          <w:color w:val="auto"/>
        </w:rPr>
      </w:pPr>
    </w:p>
    <w:p>
      <w:pPr>
        <w:ind w:left="996" w:hanging="996"/>
        <w:spacing w:after="0"/>
        <w:tabs>
          <w:tab w:leader="none" w:pos="9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13,157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36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1036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121" w:lineRule="exact"/>
        <w:rPr>
          <w:sz w:val="20"/>
          <w:szCs w:val="20"/>
          <w:color w:val="auto"/>
        </w:rPr>
      </w:pPr>
    </w:p>
    <w:p>
      <w:pPr>
        <w:sectPr>
          <w:pgSz w:w="11900" w:h="16838" w:orient="portrait"/>
          <w:cols w:equalWidth="0" w:num="2">
            <w:col w:w="7830" w:space="720"/>
            <w:col w:w="2196"/>
          </w:cols>
          <w:pgMar w:left="814" w:top="931" w:right="339" w:bottom="1440" w:gutter="0" w:footer="0" w:header="0"/>
          <w:type w:val="continuous"/>
        </w:sectPr>
      </w:pPr>
    </w:p>
    <w:p>
      <w:pPr>
        <w:spacing w:after="0" w:line="264"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6"/>
        <w:spacing w:after="0" w:line="276" w:lineRule="auto"/>
        <w:rPr>
          <w:sz w:val="20"/>
          <w:szCs w:val="20"/>
          <w:color w:val="auto"/>
        </w:rPr>
      </w:pPr>
      <w:r>
        <w:rPr>
          <w:rFonts w:ascii="Arial" w:cs="Arial" w:eastAsia="Arial" w:hAnsi="Arial"/>
          <w:sz w:val="18"/>
          <w:szCs w:val="18"/>
          <w:color w:val="auto"/>
        </w:rPr>
        <w:t>As of September 30, 2022, available funding under our vehicle programs, including related party debt due to Avis Budget Rental Car Funding, consisted of:</w:t>
      </w:r>
    </w:p>
    <w:tbl>
      <w:tblPr>
        <w:tblLayout w:type="fixed"/>
        <w:tblInd w:w="26" w:type="dxa"/>
        <w:tblCellMar>
          <w:top w:w="0" w:type="dxa"/>
          <w:left w:w="0" w:type="dxa"/>
          <w:bottom w:w="0" w:type="dxa"/>
          <w:right w:w="0" w:type="dxa"/>
        </w:tblCellMar>
      </w:tblPr>
      <w:tr>
        <w:trPr>
          <w:trHeight w:val="164"/>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4" w:lineRule="exact"/>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4" w:lineRule="exact"/>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4"/>
                <w:szCs w:val="14"/>
                <w:color w:val="auto"/>
              </w:rPr>
            </w:pPr>
          </w:p>
        </w:tc>
        <w:tc>
          <w:tcPr>
            <w:tcW w:w="1300" w:type="dxa"/>
            <w:vAlign w:val="bottom"/>
          </w:tcPr>
          <w:p>
            <w:pPr>
              <w:jc w:val="right"/>
              <w:ind w:right="359"/>
              <w:spacing w:after="0" w:line="164" w:lineRule="exact"/>
              <w:rPr>
                <w:sz w:val="20"/>
                <w:szCs w:val="20"/>
                <w:color w:val="auto"/>
              </w:rPr>
            </w:pPr>
            <w:r>
              <w:rPr>
                <w:rFonts w:ascii="Arial" w:cs="Arial" w:eastAsia="Arial" w:hAnsi="Arial"/>
                <w:sz w:val="16"/>
                <w:szCs w:val="16"/>
                <w:b w:val="1"/>
                <w:bCs w:val="1"/>
                <w:color w:val="auto"/>
              </w:rPr>
              <w:t>Available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97"/>
              </w:rPr>
              <w:t xml:space="preserve">Borrowings </w:t>
            </w:r>
            <w:r>
              <w:rPr>
                <w:rFonts w:ascii="Arial" w:cs="Arial" w:eastAsia="Arial" w:hAnsi="Arial"/>
                <w:sz w:val="21"/>
                <w:szCs w:val="21"/>
                <w:color w:val="auto"/>
                <w:w w:val="97"/>
                <w:vertAlign w:val="superscript"/>
              </w:rPr>
              <w:t>(b)</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8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12,049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10,470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1,579</w:t>
            </w:r>
          </w:p>
        </w:tc>
      </w:t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w:t>
            </w: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26" w:hanging="326"/>
        <w:spacing w:after="0" w:line="266" w:lineRule="auto"/>
        <w:tabs>
          <w:tab w:leader="none" w:pos="334" w:val="left"/>
        </w:tabs>
        <w:numPr>
          <w:ilvl w:val="0"/>
          <w:numId w:val="24"/>
        </w:numPr>
        <w:rPr>
          <w:rFonts w:ascii="Arial" w:cs="Arial" w:eastAsia="Arial" w:hAnsi="Arial"/>
          <w:sz w:val="9"/>
          <w:szCs w:val="9"/>
          <w:color w:val="auto"/>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an amendment and renewal of our variable funding asset-backed notes during April 2022.</w:t>
      </w:r>
    </w:p>
    <w:p>
      <w:pPr>
        <w:ind w:left="326" w:right="20" w:hanging="326"/>
        <w:spacing w:after="0" w:line="222" w:lineRule="auto"/>
        <w:tabs>
          <w:tab w:leader="none" w:pos="316"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$12.7 billion for Americas - Debt due to Avis Budget Rental Car Funding; $0.9 billion for Americas - Debt borrowings; $2.6 billion for International - Debt borrowings; and $0.2 billion for International - Finance leases.</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September 30, 2022, we are not aware of any instances of non-compliance with any of the financial covenants contained in the debt agreements under our vehicle-backed funding programs.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type w:val="continuous"/>
        </w:sectPr>
      </w:pPr>
    </w:p>
    <w:bookmarkStart w:id="21" w:name="page22"/>
    <w:bookmarkEnd w:id="21"/>
    <w:p>
      <w:pPr>
        <w:ind w:left="442" w:right="7880" w:hanging="442"/>
        <w:spacing w:after="0" w:line="563" w:lineRule="auto"/>
        <w:tabs>
          <w:tab w:leader="none" w:pos="45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jc w:val="both"/>
        <w:ind w:left="4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We do not believe that the impact of any resolution of pre-existing contingent liabilities in connection with the spin-offs should result in a material liability to us in relation to our consolidated financial position or liquidity, as Realogy and Wyndham each have agreed to assume responsibility for these liabilities. We are also named in litigation that is primarily related to the businesses of our former subsidiaries, including Realogy and Wyndham. We are entitled to indemnification from such entities for any liability resulting from such litigation.</w:t>
      </w:r>
    </w:p>
    <w:p>
      <w:pPr>
        <w:spacing w:after="0" w:line="206" w:lineRule="exact"/>
        <w:rPr>
          <w:rFonts w:ascii="Arial" w:cs="Arial" w:eastAsia="Arial" w:hAnsi="Arial"/>
          <w:sz w:val="18"/>
          <w:szCs w:val="18"/>
          <w:b w:val="1"/>
          <w:bCs w:val="1"/>
          <w:color w:val="auto"/>
        </w:rPr>
      </w:pPr>
    </w:p>
    <w:p>
      <w:pPr>
        <w:jc w:val="both"/>
        <w:ind w:left="44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November 2011, Jose Mendez v. Avis Budget Group Inc., et al. was filed in U.S. District Court for the District of New Jersey. The plaintiff seeks to represent a purported nationwide class and two sub-classes of certain renters of vehicles from our Avis and Budget subsidiaries from April 2007 through December 2015. The plaintiff seeks damages in connection with claims relating to our electronic toll service, including that administrative fees and toll charges were not properly disclosed to customers and/or were excessive. Plaintiff’s motion for class certification was approved by the Court in November 2017. The parties have entered into a settlement agreement and the Court has entered an order preliminarily approving the settlement. We have been named as a defendant in other purported consumer class action lawsuits, including a class action filed against us in Florida seeking damages in connection with a breach of contract claim and two purported class action suits filed against us in New Jersey, one related to fines and fees charged to car renters by us for violations incurred during the course of their rental and another related to ancillary charges at our Payless subsidiary. In the Florida lawsuit, the Court has entered an order preliminarily approving a proposed settlement.</w:t>
      </w:r>
    </w:p>
    <w:p>
      <w:pPr>
        <w:spacing w:after="0" w:line="212"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$35 million in excess of amounts accrued as of September 30, 2022. We do not believe that the impact should result in a material liability to us in relation to our consolidated financial condition or results of operations.</w:t>
      </w:r>
    </w:p>
    <w:p>
      <w:pPr>
        <w:spacing w:after="0" w:line="209"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to Purchase Vehicles</w:t>
      </w:r>
    </w:p>
    <w:p>
      <w:pPr>
        <w:spacing w:after="0" w:line="250"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maintain agreements with vehicle manufacturers under which we have agreed to purchase approximately $4.2 billion of vehicles from manufacturers over the next 12 months, a $1.7 billion decrease compared to December 31, 2021,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5"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Concentrations</w:t>
      </w:r>
    </w:p>
    <w:p>
      <w:pPr>
        <w:spacing w:after="0" w:line="250" w:lineRule="exact"/>
        <w:rPr>
          <w:rFonts w:ascii="Arial" w:cs="Arial" w:eastAsia="Arial" w:hAnsi="Arial"/>
          <w:sz w:val="18"/>
          <w:szCs w:val="18"/>
          <w:b w:val="1"/>
          <w:bCs w:val="1"/>
          <w:color w:val="auto"/>
        </w:rPr>
      </w:pPr>
    </w:p>
    <w:p>
      <w:pPr>
        <w:jc w:val="both"/>
        <w:ind w:left="4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Concentrations of credit risk as of September 30, 2022 include (i) risks related to our repurchase and guaranteed depreciation agreements with domestic and foreign car manufacturers, primarily with respect to receivables for program cars that have been disposed but for which we have not yet received payment from the manufacturers and (ii) risks related to Realogy and Wyndham, including receivables of $26 million and $16 million, respectively, related to certain contingent, income tax and other corporate liabilities assumed by Realogy and Wyndham in connection with their disposition.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2" w:name="page23"/>
    <w:bookmarkEnd w:id="22"/>
    <w:p>
      <w:pPr>
        <w:ind w:left="442" w:right="8940" w:hanging="442"/>
        <w:spacing w:after="0" w:line="532" w:lineRule="auto"/>
        <w:tabs>
          <w:tab w:leader="none" w:pos="45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4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$7.1 billion of our common stock under a plan originally approved in 2013 and subsequently expanded most recently in May 2022 (the “Stock Repurchase Program”). During the nine months ended September 30, 2022, we repurchased approximately 13.2 million shares of common stock at a cost of approximately $2.6 billion under the program. As of September 30, 2022, approximately $1.4 billion of authorization remains available to repurchase common stock under the program.</w:t>
      </w:r>
    </w:p>
    <w:p>
      <w:pPr>
        <w:spacing w:after="0" w:line="208"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50"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and other gains and losses affecting stockholders’ equity that, under GAAP, are excluded from net income.</w:t>
      </w:r>
    </w:p>
    <w:p>
      <w:pPr>
        <w:spacing w:after="0" w:line="179"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(loss) were as follows:</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480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5"/>
        </w:trPr>
        <w:tc>
          <w:tcPr>
            <w:tcW w:w="4800" w:type="dxa"/>
            <w:vAlign w:val="bottom"/>
          </w:tcPr>
          <w:p>
            <w:pPr>
              <w:ind w:left="16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6"/>
                <w:szCs w:val="16"/>
                <w:color w:val="auto"/>
              </w:rPr>
              <w:t>Net income attributable to Avis Budget Group, Inc.</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800" w:type="dxa"/>
            <w:vAlign w:val="bottom"/>
          </w:tcPr>
          <w:p>
            <w:pPr>
              <w:ind w:left="160"/>
              <w:spacing w:after="0" w:line="164" w:lineRule="exact"/>
              <w:rPr>
                <w:sz w:val="20"/>
                <w:szCs w:val="20"/>
                <w:color w:val="auto"/>
              </w:rPr>
            </w:pPr>
            <w:r>
              <w:rPr>
                <w:rFonts w:ascii="Arial" w:cs="Arial" w:eastAsia="Arial" w:hAnsi="Arial"/>
                <w:sz w:val="16"/>
                <w:szCs w:val="16"/>
                <w:color w:val="auto"/>
              </w:rPr>
              <w:t>Currency translation adjustments (net of tax of $(16), $(6), $(33)</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4800" w:type="dxa"/>
            <w:vAlign w:val="bottom"/>
          </w:tcPr>
          <w:p>
            <w:pPr>
              <w:ind w:left="320"/>
              <w:spacing w:after="0"/>
              <w:rPr>
                <w:sz w:val="20"/>
                <w:szCs w:val="20"/>
                <w:color w:val="auto"/>
              </w:rPr>
            </w:pPr>
            <w:r>
              <w:rPr>
                <w:rFonts w:ascii="Arial" w:cs="Arial" w:eastAsia="Arial" w:hAnsi="Arial"/>
                <w:sz w:val="16"/>
                <w:szCs w:val="16"/>
                <w:color w:val="auto"/>
              </w:rPr>
              <w:t>and $(15), respectively)</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0" w:type="dxa"/>
            <w:vAlign w:val="bottom"/>
          </w:tcPr>
          <w:p>
            <w:pPr>
              <w:ind w:left="160"/>
              <w:spacing w:after="0" w:line="164" w:lineRule="exact"/>
              <w:rPr>
                <w:sz w:val="20"/>
                <w:szCs w:val="20"/>
                <w:color w:val="auto"/>
              </w:rPr>
            </w:pPr>
            <w:r>
              <w:rPr>
                <w:rFonts w:ascii="Arial" w:cs="Arial" w:eastAsia="Arial" w:hAnsi="Arial"/>
                <w:sz w:val="16"/>
                <w:szCs w:val="16"/>
                <w:color w:val="auto"/>
              </w:rPr>
              <w:t>Net unrealized gain (loss) on cash flow hedges (net of tax of</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4800" w:type="dxa"/>
            <w:vAlign w:val="bottom"/>
          </w:tcPr>
          <w:p>
            <w:pPr>
              <w:ind w:left="320"/>
              <w:spacing w:after="0"/>
              <w:rPr>
                <w:sz w:val="20"/>
                <w:szCs w:val="20"/>
                <w:color w:val="auto"/>
              </w:rPr>
            </w:pPr>
            <w:r>
              <w:rPr>
                <w:rFonts w:ascii="Arial" w:cs="Arial" w:eastAsia="Arial" w:hAnsi="Arial"/>
                <w:sz w:val="16"/>
                <w:szCs w:val="16"/>
                <w:color w:val="auto"/>
              </w:rPr>
              <w:t>$(8), $(2), $(23) and $(9), respectively)</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0" w:type="dxa"/>
            <w:vAlign w:val="bottom"/>
          </w:tcPr>
          <w:p>
            <w:pPr>
              <w:ind w:left="160"/>
              <w:spacing w:after="0" w:line="164" w:lineRule="exact"/>
              <w:rPr>
                <w:sz w:val="20"/>
                <w:szCs w:val="20"/>
                <w:color w:val="auto"/>
              </w:rPr>
            </w:pPr>
            <w:r>
              <w:rPr>
                <w:rFonts w:ascii="Arial" w:cs="Arial" w:eastAsia="Arial" w:hAnsi="Arial"/>
                <w:sz w:val="16"/>
                <w:szCs w:val="16"/>
                <w:color w:val="auto"/>
              </w:rPr>
              <w:t>Minimum pension liability adjustment (net of tax of $0, $(1), $0</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800" w:type="dxa"/>
            <w:vAlign w:val="bottom"/>
          </w:tcPr>
          <w:p>
            <w:pPr>
              <w:ind w:left="320"/>
              <w:spacing w:after="0"/>
              <w:rPr>
                <w:sz w:val="20"/>
                <w:szCs w:val="20"/>
                <w:color w:val="auto"/>
              </w:rPr>
            </w:pPr>
            <w:r>
              <w:rPr>
                <w:rFonts w:ascii="Arial" w:cs="Arial" w:eastAsia="Arial" w:hAnsi="Arial"/>
                <w:sz w:val="16"/>
                <w:szCs w:val="16"/>
                <w:color w:val="auto"/>
              </w:rPr>
              <w:t>and $(1), respectively)</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6"/>
                <w:szCs w:val="16"/>
                <w:color w:val="auto"/>
              </w:rPr>
              <w:t>Comprehensive income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442"/>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3" w:name="page24"/>
    <w:bookmarkEnd w:id="23"/>
    <w:p>
      <w:pPr>
        <w:ind w:left="442"/>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47" w:lineRule="exact"/>
        <w:rPr>
          <w:sz w:val="20"/>
          <w:szCs w:val="20"/>
          <w:color w:val="auto"/>
        </w:rPr>
      </w:pPr>
    </w:p>
    <w:tbl>
      <w:tblPr>
        <w:tblLayout w:type="fixed"/>
        <w:tblInd w:w="4182" w:type="dxa"/>
        <w:tblCellMar>
          <w:top w:w="0" w:type="dxa"/>
          <w:left w:w="0" w:type="dxa"/>
          <w:bottom w:w="0" w:type="dxa"/>
          <w:right w:w="0" w:type="dxa"/>
        </w:tblCellMar>
      </w:tblPr>
      <w:tr>
        <w:trPr>
          <w:trHeight w:val="161"/>
        </w:trPr>
        <w:tc>
          <w:tcPr>
            <w:tcW w:w="134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Currency</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Net Unrealized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Minimum</w:t>
            </w:r>
          </w:p>
        </w:tc>
        <w:tc>
          <w:tcPr>
            <w:tcW w:w="1420" w:type="dxa"/>
            <w:vAlign w:val="bottom"/>
          </w:tcPr>
          <w:p>
            <w:pPr>
              <w:jc w:val="center"/>
              <w:ind w:left="28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Gains (Losses)</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Pension</w:t>
            </w:r>
          </w:p>
        </w:tc>
        <w:tc>
          <w:tcPr>
            <w:tcW w:w="142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34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rPr>
              <w:t>Translation</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on Cash Flow</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Liability</w:t>
            </w:r>
          </w:p>
        </w:tc>
        <w:tc>
          <w:tcPr>
            <w:tcW w:w="14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1340" w:type="dxa"/>
            <w:vAlign w:val="bottom"/>
          </w:tcPr>
          <w:p>
            <w:pPr>
              <w:jc w:val="center"/>
              <w:ind w:right="268"/>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9"/>
                <w:szCs w:val="9"/>
                <w:b w:val="1"/>
                <w:bCs w:val="1"/>
                <w:color w:val="auto"/>
              </w:rPr>
              <w:t>(a)</w:t>
            </w:r>
          </w:p>
        </w:tc>
        <w:tc>
          <w:tcPr>
            <w:tcW w:w="17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Hedges</w:t>
            </w:r>
            <w:r>
              <w:rPr>
                <w:rFonts w:ascii="Arial" w:cs="Arial" w:eastAsia="Arial" w:hAnsi="Arial"/>
                <w:sz w:val="18"/>
                <w:szCs w:val="18"/>
                <w:b w:val="1"/>
                <w:bCs w:val="1"/>
                <w:color w:val="auto"/>
                <w:w w:val="97"/>
                <w:vertAlign w:val="superscript"/>
              </w:rPr>
              <w:t>(b)</w:t>
            </w:r>
          </w:p>
        </w:tc>
        <w:tc>
          <w:tcPr>
            <w:tcW w:w="16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8"/>
              </w:rPr>
              <w:t>Adjustment</w:t>
            </w:r>
            <w:r>
              <w:rPr>
                <w:rFonts w:ascii="Arial" w:cs="Arial" w:eastAsia="Arial" w:hAnsi="Arial"/>
                <w:sz w:val="18"/>
                <w:szCs w:val="18"/>
                <w:b w:val="1"/>
                <w:bCs w:val="1"/>
                <w:color w:val="auto"/>
                <w:w w:val="98"/>
                <w:vertAlign w:val="superscript"/>
              </w:rPr>
              <w:t>(c)</w:t>
            </w:r>
          </w:p>
        </w:tc>
        <w:tc>
          <w:tcPr>
            <w:tcW w:w="1420" w:type="dxa"/>
            <w:vAlign w:val="bottom"/>
          </w:tcPr>
          <w:p>
            <w:pPr>
              <w:jc w:val="center"/>
              <w:ind w:left="26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0</wp:posOffset>
            </wp:positionV>
            <wp:extent cx="1003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sectPr>
      </w:pPr>
    </w:p>
    <w:p>
      <w:pPr>
        <w:spacing w:after="0" w:line="18" w:lineRule="exact"/>
        <w:rPr>
          <w:sz w:val="20"/>
          <w:szCs w:val="20"/>
          <w:color w:val="auto"/>
        </w:rPr>
      </w:pPr>
    </w:p>
    <w:tbl>
      <w:tblPr>
        <w:tblLayout w:type="fixed"/>
        <w:tblInd w:w="462" w:type="dxa"/>
        <w:tblCellMar>
          <w:top w:w="0" w:type="dxa"/>
          <w:left w:w="0" w:type="dxa"/>
          <w:bottom w:w="0" w:type="dxa"/>
          <w:right w:w="0" w:type="dxa"/>
        </w:tblCellMar>
      </w:tblPr>
      <w:tr>
        <w:trPr>
          <w:trHeight w:val="190"/>
        </w:trPr>
        <w:tc>
          <w:tcPr>
            <w:tcW w:w="3340" w:type="dxa"/>
            <w:vAlign w:val="bottom"/>
          </w:tcPr>
          <w:p>
            <w:pPr>
              <w:spacing w:after="0"/>
              <w:rPr>
                <w:sz w:val="20"/>
                <w:szCs w:val="20"/>
                <w:color w:val="auto"/>
              </w:rPr>
            </w:pPr>
            <w:r>
              <w:rPr>
                <w:rFonts w:ascii="Arial" w:cs="Arial" w:eastAsia="Arial" w:hAnsi="Arial"/>
                <w:sz w:val="14"/>
                <w:szCs w:val="14"/>
                <w:color w:val="auto"/>
              </w:rPr>
              <w:t>Balance, January 1, 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334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180" w:type="dxa"/>
            <w:vAlign w:val="bottom"/>
          </w:tcPr>
          <w:p>
            <w:pPr>
              <w:spacing w:after="0"/>
              <w:rPr>
                <w:sz w:val="13"/>
                <w:szCs w:val="13"/>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r>
      <w:tr>
        <w:trPr>
          <w:trHeight w:val="149"/>
        </w:trPr>
        <w:tc>
          <w:tcPr>
            <w:tcW w:w="3340" w:type="dxa"/>
            <w:vAlign w:val="bottom"/>
          </w:tcPr>
          <w:p>
            <w:pPr>
              <w:ind w:left="360"/>
              <w:spacing w:after="0" w:line="149"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tcPr>
          <w:p>
            <w:pPr>
              <w:spacing w:after="0"/>
              <w:rPr>
                <w:sz w:val="12"/>
                <w:szCs w:val="12"/>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Net current-period other comprehensive income</w:t>
            </w:r>
          </w:p>
        </w:tc>
        <w:tc>
          <w:tcPr>
            <w:tcW w:w="180" w:type="dxa"/>
            <w:vAlign w:val="bottom"/>
          </w:tcPr>
          <w:p>
            <w:pPr>
              <w:spacing w:after="0"/>
              <w:rPr>
                <w:sz w:val="12"/>
                <w:szCs w:val="12"/>
                <w:color w:val="auto"/>
              </w:rPr>
            </w:pPr>
          </w:p>
        </w:tc>
      </w:tr>
      <w:tr>
        <w:trPr>
          <w:trHeight w:val="190"/>
        </w:trPr>
        <w:tc>
          <w:tcPr>
            <w:tcW w:w="3340" w:type="dxa"/>
            <w:vAlign w:val="bottom"/>
          </w:tcPr>
          <w:p>
            <w:pPr>
              <w:ind w:left="16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6"/>
                <w:szCs w:val="16"/>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4"/>
                <w:szCs w:val="14"/>
                <w:color w:val="auto"/>
              </w:rPr>
              <w:t>Balance, September 30, 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70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w:t>
            </w:r>
          </w:p>
        </w:tc>
      </w:tr>
      <w:tr>
        <w:trPr>
          <w:trHeight w:val="335"/>
        </w:trPr>
        <w:tc>
          <w:tcPr>
            <w:tcW w:w="480" w:type="dxa"/>
            <w:vAlign w:val="bottom"/>
          </w:tcPr>
          <w:p>
            <w:pPr>
              <w:jc w:val="right"/>
              <w:ind w:right="68"/>
              <w:spacing w:after="0"/>
              <w:rPr>
                <w:sz w:val="20"/>
                <w:szCs w:val="20"/>
                <w:color w:val="auto"/>
              </w:rPr>
            </w:pPr>
            <w:r>
              <w:rPr>
                <w:rFonts w:ascii="Arial" w:cs="Arial" w:eastAsia="Arial" w:hAnsi="Arial"/>
                <w:sz w:val="14"/>
                <w:szCs w:val="14"/>
                <w:color w:val="auto"/>
                <w:w w:val="97"/>
              </w:rPr>
              <w:t>(121)</w:t>
            </w: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342"/>
        </w:trPr>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r>
      <w:tr>
        <w:trPr>
          <w:trHeight w:val="315"/>
        </w:trPr>
        <w:tc>
          <w:tcPr>
            <w:tcW w:w="480" w:type="dxa"/>
            <w:vAlign w:val="bottom"/>
          </w:tcPr>
          <w:p>
            <w:pPr>
              <w:jc w:val="right"/>
              <w:ind w:right="68"/>
              <w:spacing w:after="0"/>
              <w:rPr>
                <w:sz w:val="20"/>
                <w:szCs w:val="20"/>
                <w:color w:val="auto"/>
              </w:rPr>
            </w:pPr>
            <w:r>
              <w:rPr>
                <w:rFonts w:ascii="Arial" w:cs="Arial" w:eastAsia="Arial" w:hAnsi="Arial"/>
                <w:sz w:val="14"/>
                <w:szCs w:val="14"/>
                <w:color w:val="auto"/>
                <w:w w:val="97"/>
              </w:rPr>
              <w:t>(121)</w:t>
            </w: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198"/>
        </w:trPr>
        <w:tc>
          <w:tcPr>
            <w:tcW w:w="480" w:type="dxa"/>
            <w:vAlign w:val="bottom"/>
          </w:tcPr>
          <w:p>
            <w:pPr>
              <w:jc w:val="right"/>
              <w:ind w:right="68"/>
              <w:spacing w:after="0"/>
              <w:rPr>
                <w:sz w:val="20"/>
                <w:szCs w:val="20"/>
                <w:color w:val="auto"/>
              </w:rPr>
            </w:pPr>
            <w:r>
              <w:rPr>
                <w:rFonts w:ascii="Arial" w:cs="Arial" w:eastAsia="Arial" w:hAnsi="Arial"/>
                <w:sz w:val="14"/>
                <w:szCs w:val="14"/>
                <w:color w:val="auto"/>
                <w:w w:val="97"/>
              </w:rPr>
              <w:t>(105)</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r>
      <w:tr>
        <w:trPr>
          <w:trHeight w:val="24"/>
        </w:trPr>
        <w:tc>
          <w:tcPr>
            <w:tcW w:w="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-33655</wp:posOffset>
            </wp:positionV>
            <wp:extent cx="1003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-7620</wp:posOffset>
            </wp:positionV>
            <wp:extent cx="1003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-170815</wp:posOffset>
            </wp:positionV>
            <wp:extent cx="1003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-384810</wp:posOffset>
            </wp:positionV>
            <wp:extent cx="1003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382" w:space="720"/>
            <w:col w:w="6080"/>
          </w:cols>
          <w:pgMar w:left="378" w:top="933" w:right="339" w:bottom="1440" w:gutter="0" w:footer="0" w:header="0"/>
          <w:type w:val="continuous"/>
        </w:sectPr>
      </w:pPr>
    </w:p>
    <w:tbl>
      <w:tblPr>
        <w:tblLayout w:type="fixed"/>
        <w:tblInd w:w="462" w:type="dxa"/>
        <w:tblCellMar>
          <w:top w:w="0" w:type="dxa"/>
          <w:left w:w="0" w:type="dxa"/>
          <w:bottom w:w="0" w:type="dxa"/>
          <w:right w:w="0" w:type="dxa"/>
        </w:tblCellMar>
      </w:tblPr>
      <w:tr>
        <w:trPr>
          <w:trHeight w:val="190"/>
        </w:trPr>
        <w:tc>
          <w:tcPr>
            <w:tcW w:w="3340" w:type="dxa"/>
            <w:vAlign w:val="bottom"/>
          </w:tcPr>
          <w:p>
            <w:pPr>
              <w:spacing w:after="0"/>
              <w:rPr>
                <w:sz w:val="20"/>
                <w:szCs w:val="20"/>
                <w:color w:val="auto"/>
              </w:rPr>
            </w:pPr>
            <w:r>
              <w:rPr>
                <w:rFonts w:ascii="Arial" w:cs="Arial" w:eastAsia="Arial" w:hAnsi="Arial"/>
                <w:sz w:val="14"/>
                <w:szCs w:val="14"/>
                <w:color w:val="auto"/>
              </w:rPr>
              <w:t>Balance, January 1, 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334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180" w:type="dxa"/>
            <w:vAlign w:val="bottom"/>
          </w:tcPr>
          <w:p>
            <w:pPr>
              <w:spacing w:after="0"/>
              <w:rPr>
                <w:sz w:val="13"/>
                <w:szCs w:val="13"/>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r>
      <w:tr>
        <w:trPr>
          <w:trHeight w:val="148"/>
        </w:trPr>
        <w:tc>
          <w:tcPr>
            <w:tcW w:w="3340" w:type="dxa"/>
            <w:vAlign w:val="bottom"/>
          </w:tcPr>
          <w:p>
            <w:pPr>
              <w:ind w:left="360"/>
              <w:spacing w:after="0" w:line="149"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tcPr>
          <w:p>
            <w:pPr>
              <w:spacing w:after="0"/>
              <w:rPr>
                <w:sz w:val="12"/>
                <w:szCs w:val="12"/>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r>
      <w:tr>
        <w:trPr>
          <w:trHeight w:val="148"/>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Net current-period other comprehensive income</w:t>
            </w:r>
          </w:p>
        </w:tc>
        <w:tc>
          <w:tcPr>
            <w:tcW w:w="180" w:type="dxa"/>
            <w:vAlign w:val="bottom"/>
          </w:tcPr>
          <w:p>
            <w:pPr>
              <w:spacing w:after="0"/>
              <w:rPr>
                <w:sz w:val="12"/>
                <w:szCs w:val="12"/>
                <w:color w:val="auto"/>
              </w:rPr>
            </w:pPr>
          </w:p>
        </w:tc>
      </w:tr>
      <w:tr>
        <w:trPr>
          <w:trHeight w:val="190"/>
        </w:trPr>
        <w:tc>
          <w:tcPr>
            <w:tcW w:w="3340" w:type="dxa"/>
            <w:vAlign w:val="bottom"/>
          </w:tcPr>
          <w:p>
            <w:pPr>
              <w:ind w:left="16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6"/>
                <w:szCs w:val="16"/>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4"/>
                <w:szCs w:val="14"/>
                <w:color w:val="auto"/>
              </w:rPr>
              <w:t>Balance, September 30, 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0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338"/>
        </w:trPr>
        <w:tc>
          <w:tcPr>
            <w:tcW w:w="400" w:type="dxa"/>
            <w:vAlign w:val="bottom"/>
          </w:tcPr>
          <w:p>
            <w:pPr>
              <w:jc w:val="right"/>
              <w:ind w:right="68"/>
              <w:spacing w:after="0"/>
              <w:rPr>
                <w:sz w:val="20"/>
                <w:szCs w:val="20"/>
                <w:color w:val="auto"/>
              </w:rPr>
            </w:pPr>
            <w:r>
              <w:rPr>
                <w:rFonts w:ascii="Arial" w:cs="Arial" w:eastAsia="Arial" w:hAnsi="Arial"/>
                <w:sz w:val="14"/>
                <w:szCs w:val="14"/>
                <w:color w:val="auto"/>
                <w:w w:val="96"/>
              </w:rPr>
              <w:t>(33)</w:t>
            </w:r>
          </w:p>
        </w:tc>
        <w:tc>
          <w:tcPr>
            <w:tcW w:w="700" w:type="dxa"/>
            <w:vAlign w:val="bottom"/>
          </w:tcPr>
          <w:p>
            <w:pPr>
              <w:spacing w:after="0"/>
              <w:rPr>
                <w:sz w:val="24"/>
                <w:szCs w:val="24"/>
                <w:color w:val="auto"/>
              </w:rPr>
            </w:pPr>
          </w:p>
        </w:tc>
        <w:tc>
          <w:tcPr>
            <w:tcW w:w="880" w:type="dxa"/>
            <w:vAlign w:val="bottom"/>
          </w:tcPr>
          <w:p>
            <w:pPr>
              <w:jc w:val="center"/>
              <w:ind w:left="5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41"/>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r>
      <w:tr>
        <w:trPr>
          <w:trHeight w:val="315"/>
        </w:trPr>
        <w:tc>
          <w:tcPr>
            <w:tcW w:w="400" w:type="dxa"/>
            <w:vAlign w:val="bottom"/>
          </w:tcPr>
          <w:p>
            <w:pPr>
              <w:jc w:val="right"/>
              <w:ind w:right="68"/>
              <w:spacing w:after="0"/>
              <w:rPr>
                <w:sz w:val="20"/>
                <w:szCs w:val="20"/>
                <w:color w:val="auto"/>
              </w:rPr>
            </w:pPr>
            <w:r>
              <w:rPr>
                <w:rFonts w:ascii="Arial" w:cs="Arial" w:eastAsia="Arial" w:hAnsi="Arial"/>
                <w:sz w:val="14"/>
                <w:szCs w:val="14"/>
                <w:color w:val="auto"/>
                <w:w w:val="96"/>
              </w:rPr>
              <w:t>(22)</w:t>
            </w: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r>
      <w:tr>
        <w:trPr>
          <w:trHeight w:val="198"/>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r>
      <w:tr>
        <w:trPr>
          <w:trHeight w:val="24"/>
        </w:trPr>
        <w:tc>
          <w:tcPr>
            <w:tcW w:w="4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-33655</wp:posOffset>
            </wp:positionV>
            <wp:extent cx="1003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-7620</wp:posOffset>
            </wp:positionV>
            <wp:extent cx="10033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-170815</wp:posOffset>
            </wp:positionV>
            <wp:extent cx="10033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-385445</wp:posOffset>
            </wp:positionV>
            <wp:extent cx="10033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462" w:space="720"/>
            <w:col w:w="6000"/>
          </w:cols>
          <w:pgMar w:left="378" w:top="933" w:right="339" w:bottom="1440" w:gutter="0" w:footer="0" w:header="0"/>
          <w:type w:val="continuous"/>
        </w:sect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jc w:val="both"/>
        <w:ind w:left="442"/>
        <w:spacing w:after="0" w:line="264"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$174 million gain, net of tax, as of September 30, 2022 related to our hedge of our investment in euro-denominated foreign operations (see Note 16 – Financial Instruments).</w:t>
      </w:r>
    </w:p>
    <w:p>
      <w:pPr>
        <w:spacing w:after="0" w:line="1" w:lineRule="exact"/>
        <w:rPr>
          <w:sz w:val="20"/>
          <w:szCs w:val="20"/>
          <w:color w:val="auto"/>
        </w:rPr>
      </w:pPr>
    </w:p>
    <w:p>
      <w:pPr>
        <w:ind w:left="762" w:hanging="326"/>
        <w:spacing w:after="0" w:line="218" w:lineRule="auto"/>
        <w:tabs>
          <w:tab w:leader="none" w:pos="755" w:val="left"/>
        </w:tabs>
        <w:numPr>
          <w:ilvl w:val="1"/>
          <w:numId w:val="27"/>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2021, the amount was reclassified from accumulated other comprehensive income (loss) into restructuring and other related charges.</w:t>
      </w:r>
    </w:p>
    <w:p>
      <w:pPr>
        <w:spacing w:after="0" w:line="1" w:lineRule="exact"/>
        <w:rPr>
          <w:rFonts w:ascii="Arial" w:cs="Arial" w:eastAsia="Arial" w:hAnsi="Arial"/>
          <w:sz w:val="19"/>
          <w:szCs w:val="19"/>
          <w:color w:val="auto"/>
          <w:vertAlign w:val="superscript"/>
        </w:rPr>
      </w:pPr>
    </w:p>
    <w:p>
      <w:pPr>
        <w:jc w:val="both"/>
        <w:ind w:left="762" w:hanging="326"/>
        <w:spacing w:after="0" w:line="258" w:lineRule="auto"/>
        <w:tabs>
          <w:tab w:leader="none" w:pos="755" w:val="left"/>
        </w:tabs>
        <w:numPr>
          <w:ilvl w:val="1"/>
          <w:numId w:val="27"/>
        </w:numPr>
        <w:rPr>
          <w:rFonts w:ascii="Arial" w:cs="Arial" w:eastAsia="Arial" w:hAnsi="Arial"/>
          <w:sz w:val="9"/>
          <w:szCs w:val="9"/>
          <w:color w:val="auto"/>
        </w:rPr>
      </w:pPr>
      <w:r>
        <w:rPr>
          <w:rFonts w:ascii="Arial" w:cs="Arial" w:eastAsia="Arial" w:hAnsi="Arial"/>
          <w:sz w:val="14"/>
          <w:szCs w:val="14"/>
          <w:color w:val="auto"/>
        </w:rPr>
        <w:t>For the three months ended September 30, 2022 and 2021, the amounts reclassified from accumulated other comprehensive income (loss) into corporate interest expense were $1 million ($1 million, net of tax) and $4 million ($3 million, net of tax), respectively. For the three months ended September 30, 2021, the amounts reclassified from accumulated other comprehensive income (loss) into vehicle interest expense was $1 million ($1 million, net of tax). For the nine months ended September 30, 2022 and 2021, the amounts reclassified from accumulated other comprehensive income (loss) into corporate interest expense was $10 million ($8 million, net of tax) and $12 million ($9 million, net of tax), respectively. For the nine months ended September 30, 2021, the amounts reclassified from accumulated other comprehensive income (loss) into vehicle interest expense was $2 million ($1 million, net of tax).</w:t>
      </w:r>
    </w:p>
    <w:p>
      <w:pPr>
        <w:spacing w:after="0" w:line="1" w:lineRule="exact"/>
        <w:rPr>
          <w:rFonts w:ascii="Arial" w:cs="Arial" w:eastAsia="Arial" w:hAnsi="Arial"/>
          <w:sz w:val="9"/>
          <w:szCs w:val="9"/>
          <w:color w:val="auto"/>
        </w:rPr>
      </w:pPr>
    </w:p>
    <w:p>
      <w:pPr>
        <w:jc w:val="both"/>
        <w:ind w:left="762" w:hanging="326"/>
        <w:spacing w:after="0"/>
        <w:tabs>
          <w:tab w:leader="none" w:pos="749" w:val="left"/>
        </w:tabs>
        <w:numPr>
          <w:ilvl w:val="1"/>
          <w:numId w:val="2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2022 and 2021, amounts reclassified from accumulated other comprehensive income (loss) into selling, general and administrative expenses were $1 million ($1 million, net of tax) and $2 million ($2 million, net of tax), respectively. For the nine months ended September 30, 2022 and 2021, amounts reclassified from accumulated other comprehensive income (loss) into selling, general and administrative expenses were $4 million ($3 million, net of tax) and $7 million ($5 million, net of tax), respectively.</w:t>
      </w:r>
    </w:p>
    <w:p>
      <w:pPr>
        <w:spacing w:after="0" w:line="206" w:lineRule="exact"/>
        <w:rPr>
          <w:rFonts w:ascii="Arial" w:cs="Arial" w:eastAsia="Arial" w:hAnsi="Arial"/>
          <w:sz w:val="19"/>
          <w:szCs w:val="19"/>
          <w:color w:val="auto"/>
          <w:vertAlign w:val="superscript"/>
        </w:rPr>
      </w:pPr>
    </w:p>
    <w:p>
      <w:pPr>
        <w:ind w:left="442" w:hanging="442"/>
        <w:spacing w:after="0"/>
        <w:tabs>
          <w:tab w:leader="none" w:pos="44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2"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179" w:lineRule="exact"/>
        <w:rPr>
          <w:rFonts w:ascii="Arial" w:cs="Arial" w:eastAsia="Arial" w:hAnsi="Arial"/>
          <w:sz w:val="18"/>
          <w:szCs w:val="18"/>
          <w:b w:val="1"/>
          <w:bCs w:val="1"/>
          <w:color w:val="auto"/>
        </w:rPr>
      </w:pPr>
    </w:p>
    <w:p>
      <w:pPr>
        <w:jc w:val="both"/>
        <w:ind w:left="4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September 1, 2022, through the issuance of Class B Preferred Voting Membership Interests, SRS Mobility Ventures, LLC increased their ownership in this subsidiary to 51% at a fair value of $62 million. As a result, we deconsolidated our former subsidiary, Avis Mobility Ventures LLC (“AMV”), from our financial statements and now record our proportional share of the former subsidiary’s income or loss within other (income) expense, net in our Consolidated Condensed Statements of Comprehensive Income as we do not have the ability to direct the significant activities of the former subsidiary and are therefore no longer primary beneficiary of the VIE.</w:t>
      </w:r>
    </w:p>
    <w:p>
      <w:pPr>
        <w:spacing w:after="0" w:line="192" w:lineRule="exact"/>
        <w:rPr>
          <w:rFonts w:ascii="Arial" w:cs="Arial" w:eastAsia="Arial" w:hAnsi="Arial"/>
          <w:sz w:val="18"/>
          <w:szCs w:val="18"/>
          <w:b w:val="1"/>
          <w:bCs w:val="1"/>
          <w:color w:val="auto"/>
        </w:rPr>
      </w:pPr>
    </w:p>
    <w:p>
      <w:pPr>
        <w:jc w:val="both"/>
        <w:ind w:left="442"/>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Upon deconsolidation, our former subsidiary had a net asset carrying amount of $49 million</w:t>
      </w:r>
    </w:p>
    <w:p>
      <w:pPr>
        <w:spacing w:after="0" w:line="200" w:lineRule="exact"/>
        <w:rPr>
          <w:sz w:val="20"/>
          <w:szCs w:val="20"/>
          <w:color w:val="auto"/>
        </w:rPr>
      </w:pPr>
    </w:p>
    <w:p>
      <w:pPr>
        <w:spacing w:after="0" w:line="365"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type w:val="continuous"/>
        </w:sectPr>
      </w:pPr>
    </w:p>
    <w:bookmarkStart w:id="24" w:name="page25"/>
    <w:bookmarkEnd w:id="24"/>
    <w:p>
      <w:pPr>
        <w:jc w:val="both"/>
        <w:ind w:left="442"/>
        <w:spacing w:after="0" w:line="271" w:lineRule="auto"/>
        <w:rPr>
          <w:sz w:val="20"/>
          <w:szCs w:val="20"/>
          <w:color w:val="auto"/>
        </w:rPr>
      </w:pPr>
      <w:r>
        <w:rPr>
          <w:rFonts w:ascii="Arial" w:cs="Arial" w:eastAsia="Arial" w:hAnsi="Arial"/>
          <w:sz w:val="18"/>
          <w:szCs w:val="18"/>
          <w:color w:val="auto"/>
        </w:rPr>
        <w:t>resulting in a gain of $10 million, which is reported within other (income) expense, net during the three and nine months ended September 30, 2022.</w:t>
      </w:r>
    </w:p>
    <w:p>
      <w:pPr>
        <w:spacing w:after="0" w:line="194" w:lineRule="exact"/>
        <w:rPr>
          <w:sz w:val="20"/>
          <w:szCs w:val="20"/>
          <w:color w:val="auto"/>
        </w:rPr>
      </w:pPr>
    </w:p>
    <w:p>
      <w:pPr>
        <w:jc w:val="both"/>
        <w:ind w:left="442"/>
        <w:spacing w:after="0" w:line="245" w:lineRule="auto"/>
        <w:rPr>
          <w:sz w:val="20"/>
          <w:szCs w:val="20"/>
          <w:color w:val="auto"/>
        </w:rPr>
      </w:pPr>
      <w:r>
        <w:rPr>
          <w:rFonts w:ascii="Arial" w:cs="Arial" w:eastAsia="Arial" w:hAnsi="Arial"/>
          <w:sz w:val="18"/>
          <w:szCs w:val="18"/>
          <w:color w:val="auto"/>
        </w:rPr>
        <w:t>We provide vehicles and related fleet services to AMV, as well as certain administrative services to support their operations. During the three and nine months ended September 30, 2022, we recognized $2 million of income related to these services within other (income) expense, net. At September 30, 2022, we had receivables from AMV of $5 million and a net investment in vehicle finance leases of $36 million. The carrying amount of our equity investment was approximately $57 million at September 30, 2022 and is recorded within other non-current assets in our Consolidated Condensed Balance Sheet. For the three and nine months ended September 30, 2022, we recorded losses of $3 million within other (income) expense, net related to our equity investment.</w:t>
      </w:r>
    </w:p>
    <w:p>
      <w:pPr>
        <w:spacing w:after="0" w:line="217" w:lineRule="exact"/>
        <w:rPr>
          <w:sz w:val="20"/>
          <w:szCs w:val="20"/>
          <w:color w:val="auto"/>
        </w:rPr>
      </w:pPr>
    </w:p>
    <w:p>
      <w:pPr>
        <w:ind w:left="442" w:hanging="442"/>
        <w:spacing w:after="0"/>
        <w:tabs>
          <w:tab w:leader="none" w:pos="44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$7 million and $11 million ($5 million and $8 million, net of tax) during the three months ended September 30, 2022 and 2021, respectively, and $19 million and $25 million ($14 million and $19 million, net of tax) during the nine months ended September 30, 2022 and 2021, respectively.</w:t>
      </w:r>
    </w:p>
    <w:p>
      <w:pPr>
        <w:spacing w:after="0" w:line="197"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2020, we granted market-based restricted stock units (“RSUs”) that vest based on absolute stock price attainment. The grant date fair value of this award is estimated using a Monte Carlo simulation model.</w:t>
      </w:r>
    </w:p>
    <w:p>
      <w:pPr>
        <w:spacing w:after="0" w:line="179"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model are as follows:</w:t>
      </w:r>
    </w:p>
    <w:p>
      <w:pPr>
        <w:spacing w:after="0" w:line="297" w:lineRule="exact"/>
        <w:rPr>
          <w:sz w:val="20"/>
          <w:szCs w:val="20"/>
          <w:color w:val="auto"/>
        </w:rPr>
      </w:pPr>
    </w:p>
    <w:tbl>
      <w:tblPr>
        <w:tblLayout w:type="fixed"/>
        <w:tblInd w:w="462" w:type="dxa"/>
        <w:tblCellMar>
          <w:top w:w="0" w:type="dxa"/>
          <w:left w:w="0" w:type="dxa"/>
          <w:bottom w:w="0" w:type="dxa"/>
          <w:right w:w="0" w:type="dxa"/>
        </w:tblCellMar>
      </w:tblPr>
      <w:tr>
        <w:trPr>
          <w:trHeight w:val="215"/>
        </w:trPr>
        <w:tc>
          <w:tcPr>
            <w:tcW w:w="492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3140" w:type="dxa"/>
            <w:vAlign w:val="bottom"/>
          </w:tcPr>
          <w:p>
            <w:pPr>
              <w:jc w:val="center"/>
              <w:ind w:left="2539"/>
              <w:spacing w:after="0"/>
              <w:rPr>
                <w:sz w:val="20"/>
                <w:szCs w:val="20"/>
                <w:color w:val="auto"/>
              </w:rPr>
            </w:pPr>
            <w:r>
              <w:rPr>
                <w:rFonts w:ascii="Arial" w:cs="Arial" w:eastAsia="Arial" w:hAnsi="Arial"/>
                <w:sz w:val="16"/>
                <w:szCs w:val="16"/>
                <w:color w:val="auto"/>
                <w:w w:val="99"/>
              </w:rPr>
              <w:t>91%</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rPr>
              <w:t>0.18%</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Valuation period</w:t>
            </w:r>
          </w:p>
        </w:tc>
        <w:tc>
          <w:tcPr>
            <w:tcW w:w="3140" w:type="dxa"/>
            <w:vAlign w:val="bottom"/>
          </w:tcPr>
          <w:p>
            <w:pPr>
              <w:ind w:left="2620"/>
              <w:spacing w:after="0"/>
              <w:rPr>
                <w:sz w:val="20"/>
                <w:szCs w:val="20"/>
                <w:color w:val="auto"/>
              </w:rPr>
            </w:pPr>
            <w:r>
              <w:rPr>
                <w:rFonts w:ascii="Arial" w:cs="Arial" w:eastAsia="Arial" w:hAnsi="Arial"/>
                <w:sz w:val="16"/>
                <w:szCs w:val="16"/>
                <w:color w:val="auto"/>
                <w:w w:val="95"/>
              </w:rPr>
              <w:t>3 years</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Dividend yield</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w w:val="99"/>
              </w:rPr>
              <w:t>—%</w:t>
            </w:r>
          </w:p>
        </w:tc>
      </w:tr>
    </w:tbl>
    <w:p>
      <w:pPr>
        <w:spacing w:after="0" w:line="307"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47"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4"/>
                <w:szCs w:val="14"/>
                <w:color w:val="auto"/>
              </w:rPr>
            </w:pPr>
          </w:p>
        </w:tc>
        <w:tc>
          <w:tcPr>
            <w:tcW w:w="1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Average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Grant Date</w:t>
            </w:r>
          </w:p>
        </w:tc>
        <w:tc>
          <w:tcPr>
            <w:tcW w:w="1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Contractual Term</w:t>
            </w:r>
          </w:p>
        </w:tc>
        <w:tc>
          <w:tcPr>
            <w:tcW w:w="80" w:type="dxa"/>
            <w:vAlign w:val="bottom"/>
          </w:tcPr>
          <w:p>
            <w:pPr>
              <w:spacing w:after="0"/>
              <w:rPr>
                <w:sz w:val="12"/>
                <w:szCs w:val="12"/>
                <w:color w:val="auto"/>
              </w:rPr>
            </w:pPr>
          </w:p>
        </w:tc>
        <w:tc>
          <w:tcPr>
            <w:tcW w:w="11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680" w:type="dxa"/>
            <w:vAlign w:val="bottom"/>
            <w:vMerge w:val="continue"/>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2022</w:t>
            </w:r>
          </w:p>
        </w:tc>
        <w:tc>
          <w:tcPr>
            <w:tcW w:w="1140" w:type="dxa"/>
            <w:vAlign w:val="bottom"/>
          </w:tcPr>
          <w:p>
            <w:pPr>
              <w:jc w:val="right"/>
              <w:spacing w:after="0"/>
              <w:rPr>
                <w:sz w:val="20"/>
                <w:szCs w:val="20"/>
                <w:color w:val="auto"/>
              </w:rPr>
            </w:pPr>
            <w:r>
              <w:rPr>
                <w:rFonts w:ascii="Arial" w:cs="Arial" w:eastAsia="Arial" w:hAnsi="Arial"/>
                <w:sz w:val="14"/>
                <w:szCs w:val="14"/>
                <w:color w:val="auto"/>
              </w:rPr>
              <w:t>671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39.39</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9"/>
                <w:szCs w:val="9"/>
                <w:color w:val="auto"/>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178.13</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Vested </w:t>
            </w:r>
            <w:r>
              <w:rPr>
                <w:rFonts w:ascii="Arial" w:cs="Arial" w:eastAsia="Arial" w:hAnsi="Arial"/>
                <w:sz w:val="9"/>
                <w:szCs w:val="9"/>
                <w:color w:val="auto"/>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57.90</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80" w:type="dxa"/>
            <w:vAlign w:val="bottom"/>
          </w:tcPr>
          <w:p>
            <w:pPr>
              <w:ind w:left="160"/>
              <w:spacing w:after="0"/>
              <w:rPr>
                <w:sz w:val="20"/>
                <w:szCs w:val="20"/>
                <w:color w:val="auto"/>
              </w:rPr>
            </w:pPr>
            <w:r>
              <w:rPr>
                <w:rFonts w:ascii="Arial" w:cs="Arial" w:eastAsia="Arial" w:hAnsi="Arial"/>
                <w:sz w:val="14"/>
                <w:szCs w:val="14"/>
                <w:color w:val="auto"/>
              </w:rPr>
              <w:t xml:space="preserve">Outstanding and expected to vest at September 30, 2022 </w:t>
            </w:r>
            <w:r>
              <w:rPr>
                <w:rFonts w:ascii="Arial" w:cs="Arial" w:eastAsia="Arial" w:hAnsi="Arial"/>
                <w:sz w:val="9"/>
                <w:szCs w:val="9"/>
                <w:color w:val="auto"/>
              </w:rPr>
              <w:t>(c)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78.02</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2022</w:t>
            </w:r>
          </w:p>
        </w:tc>
        <w:tc>
          <w:tcPr>
            <w:tcW w:w="1140" w:type="dxa"/>
            <w:vAlign w:val="bottom"/>
          </w:tcPr>
          <w:p>
            <w:pPr>
              <w:jc w:val="right"/>
              <w:spacing w:after="0"/>
              <w:rPr>
                <w:sz w:val="20"/>
                <w:szCs w:val="20"/>
                <w:color w:val="auto"/>
              </w:rPr>
            </w:pPr>
            <w:r>
              <w:rPr>
                <w:rFonts w:ascii="Arial" w:cs="Arial" w:eastAsia="Arial" w:hAnsi="Arial"/>
                <w:sz w:val="14"/>
                <w:szCs w:val="14"/>
                <w:color w:val="auto"/>
              </w:rPr>
              <w:t>886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9"/>
                <w:szCs w:val="9"/>
                <w:color w:val="auto"/>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193.48</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Vested </w:t>
            </w:r>
            <w:r>
              <w:rPr>
                <w:rFonts w:ascii="Arial" w:cs="Arial" w:eastAsia="Arial" w:hAnsi="Arial"/>
                <w:sz w:val="9"/>
                <w:szCs w:val="9"/>
                <w:color w:val="auto"/>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34.24</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42.82</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September 30,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160"/>
              <w:spacing w:after="0"/>
              <w:rPr>
                <w:sz w:val="20"/>
                <w:szCs w:val="20"/>
                <w:color w:val="auto"/>
              </w:rPr>
            </w:pPr>
            <w:r>
              <w:rPr>
                <w:rFonts w:ascii="Arial" w:cs="Arial" w:eastAsia="Arial" w:hAnsi="Arial"/>
                <w:sz w:val="14"/>
                <w:szCs w:val="14"/>
                <w:color w:val="auto"/>
              </w:rPr>
              <w:t xml:space="preserve">Outstanding and expected to vest at September 30, 2022 </w:t>
            </w:r>
            <w:r>
              <w:rPr>
                <w:rFonts w:ascii="Arial" w:cs="Arial" w:eastAsia="Arial" w:hAnsi="Arial"/>
                <w:sz w:val="9"/>
                <w:szCs w:val="9"/>
                <w:color w:val="auto"/>
              </w:rPr>
              <w:t>(c)</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56.30</w:t>
            </w:r>
          </w:p>
        </w:tc>
        <w:tc>
          <w:tcPr>
            <w:tcW w:w="10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8"/>
        </w:trPr>
        <w:tc>
          <w:tcPr>
            <w:tcW w:w="4680" w:type="dxa"/>
            <w:vAlign w:val="bottom"/>
            <w:vMerge w:val="continue"/>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686</w:t>
            </w:r>
          </w:p>
        </w:tc>
        <w:tc>
          <w:tcPr>
            <w:tcW w:w="2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31" w:lineRule="exact"/>
        <w:rPr>
          <w:sz w:val="20"/>
          <w:szCs w:val="20"/>
          <w:color w:val="auto"/>
        </w:rPr>
      </w:pPr>
    </w:p>
    <w:p>
      <w:pPr>
        <w:jc w:val="both"/>
        <w:ind w:left="762" w:hanging="326"/>
        <w:spacing w:after="0" w:line="234" w:lineRule="auto"/>
        <w:tabs>
          <w:tab w:leader="none" w:pos="755"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nine months ended September 30, 2021 was $63.12 and $62.27, respectively.</w:t>
      </w:r>
    </w:p>
    <w:p>
      <w:pPr>
        <w:ind w:left="762" w:hanging="326"/>
        <w:spacing w:after="0"/>
        <w:tabs>
          <w:tab w:leader="none" w:pos="762" w:val="left"/>
        </w:tabs>
        <w:numPr>
          <w:ilvl w:val="0"/>
          <w:numId w:val="30"/>
        </w:numPr>
        <w:rPr>
          <w:rFonts w:ascii="Arial" w:cs="Arial" w:eastAsia="Arial" w:hAnsi="Arial"/>
          <w:sz w:val="9"/>
          <w:szCs w:val="9"/>
          <w:color w:val="auto"/>
        </w:rPr>
      </w:pPr>
      <w:r>
        <w:rPr>
          <w:rFonts w:ascii="Arial" w:cs="Arial" w:eastAsia="Arial" w:hAnsi="Arial"/>
          <w:sz w:val="14"/>
          <w:szCs w:val="14"/>
          <w:color w:val="auto"/>
        </w:rPr>
        <w:t>The total fair value of RSUs vested during the nine months ended September 30, 2022 and 2021 was $22 million and $17 million, respectively.</w:t>
      </w:r>
    </w:p>
    <w:p>
      <w:pPr>
        <w:spacing w:after="0" w:line="14" w:lineRule="exact"/>
        <w:rPr>
          <w:rFonts w:ascii="Arial" w:cs="Arial" w:eastAsia="Arial" w:hAnsi="Arial"/>
          <w:sz w:val="9"/>
          <w:szCs w:val="9"/>
          <w:color w:val="auto"/>
        </w:rPr>
      </w:pPr>
    </w:p>
    <w:p>
      <w:pPr>
        <w:ind w:left="762" w:hanging="326"/>
        <w:spacing w:after="0" w:line="222" w:lineRule="auto"/>
        <w:tabs>
          <w:tab w:leader="none" w:pos="749"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$44 million and will be recognized over a weighted average vesting period of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17" w:right="339" w:bottom="1440" w:gutter="0" w:footer="0" w:header="0"/>
        </w:sectPr>
      </w:pPr>
    </w:p>
    <w:bookmarkStart w:id="25" w:name="page26"/>
    <w:bookmarkEnd w:id="25"/>
    <w:p>
      <w:pPr>
        <w:ind w:left="442" w:hanging="442"/>
        <w:spacing w:after="0"/>
        <w:tabs>
          <w:tab w:leader="none" w:pos="4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211"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79"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$9 million of gains currently recorded in accumulated other comprehensive income (loss) will be recognized in earnings over the next 12 months.</w:t>
      </w:r>
    </w:p>
    <w:p>
      <w:pPr>
        <w:spacing w:after="0" w:line="207"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197"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tcPr>
          <w:p>
            <w:pPr>
              <w:jc w:val="right"/>
              <w:ind w:right="939"/>
              <w:spacing w:after="0"/>
              <w:rPr>
                <w:sz w:val="20"/>
                <w:szCs w:val="20"/>
                <w:color w:val="auto"/>
              </w:rPr>
            </w:pPr>
            <w:r>
              <w:rPr>
                <w:rFonts w:ascii="Arial" w:cs="Arial" w:eastAsia="Arial" w:hAnsi="Arial"/>
                <w:sz w:val="16"/>
                <w:szCs w:val="16"/>
                <w:b w:val="1"/>
                <w:bCs w:val="1"/>
                <w:color w:val="auto"/>
              </w:rPr>
              <w:t>As of</w:t>
            </w:r>
          </w:p>
        </w:tc>
      </w:tr>
      <w:tr>
        <w:trPr>
          <w:trHeight w:val="216"/>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September 30, 2022</w:t>
            </w:r>
          </w:p>
        </w:tc>
      </w:tr>
      <w:tr>
        <w:trPr>
          <w:trHeight w:val="208"/>
        </w:trPr>
        <w:tc>
          <w:tcPr>
            <w:tcW w:w="76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1,470</w:t>
            </w:r>
          </w:p>
        </w:tc>
      </w:tr>
      <w:tr>
        <w:trPr>
          <w:trHeight w:val="217"/>
        </w:trPr>
        <w:tc>
          <w:tcPr>
            <w:tcW w:w="762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13,960</w:t>
            </w: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1,450</w:t>
            </w:r>
          </w:p>
        </w:tc>
      </w:tr>
    </w:tbl>
    <w:p>
      <w:pPr>
        <w:spacing w:after="0" w:line="96"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37" w:lineRule="exact"/>
        <w:rPr>
          <w:sz w:val="20"/>
          <w:szCs w:val="20"/>
          <w:color w:val="auto"/>
        </w:rPr>
      </w:pPr>
    </w:p>
    <w:p>
      <w:pPr>
        <w:ind w:left="762" w:hanging="326"/>
        <w:spacing w:after="0" w:line="231" w:lineRule="auto"/>
        <w:tabs>
          <w:tab w:leader="none" w:pos="755"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Represents $9.9 billion of interest rate caps sold, partially offset by approximately $4.1 billion of interest rate caps purchased. These amounts exclude $6.2 billion of interest rate caps purchased by our Avis Budget Rental Car Funding subsidiary as it is not consolidated by us.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6" w:name="page27"/>
    <w:bookmarkEnd w:id="26"/>
    <w:p>
      <w:pPr>
        <w:ind w:left="6"/>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54"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ind w:left="280"/>
              <w:spacing w:after="0"/>
              <w:rPr>
                <w:sz w:val="20"/>
                <w:szCs w:val="20"/>
                <w:color w:val="auto"/>
              </w:rPr>
            </w:pPr>
            <w:r>
              <w:rPr>
                <w:rFonts w:ascii="Arial" w:cs="Arial" w:eastAsia="Arial" w:hAnsi="Arial"/>
                <w:sz w:val="16"/>
                <w:szCs w:val="16"/>
                <w:b w:val="1"/>
                <w:bCs w:val="1"/>
                <w:color w:val="auto"/>
              </w:rPr>
              <w:t>As of September 30, 2022</w:t>
            </w:r>
          </w:p>
        </w:tc>
        <w:tc>
          <w:tcPr>
            <w:tcW w:w="200" w:type="dxa"/>
            <w:vAlign w:val="bottom"/>
          </w:tcPr>
          <w:p>
            <w:pPr>
              <w:spacing w:after="0"/>
              <w:rPr>
                <w:sz w:val="18"/>
                <w:szCs w:val="18"/>
                <w:color w:val="auto"/>
              </w:rPr>
            </w:pPr>
          </w:p>
        </w:tc>
        <w:tc>
          <w:tcPr>
            <w:tcW w:w="27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98"/>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9"/>
              </w:rPr>
              <w:t>Derivative</w:t>
            </w: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Assets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20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4200" w:type="dxa"/>
            <w:vAlign w:val="bottom"/>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6"/>
        <w:spacing w:after="0" w:line="25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13 – Stockholders' Equity.</w:t>
      </w:r>
    </w:p>
    <w:p>
      <w:pPr>
        <w:ind w:left="326" w:hanging="326"/>
        <w:spacing w:after="0" w:line="202" w:lineRule="auto"/>
        <w:tabs>
          <w:tab w:leader="none" w:pos="326"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326" w:hanging="326"/>
        <w:spacing w:after="0" w:line="192" w:lineRule="auto"/>
        <w:tabs>
          <w:tab w:leader="none" w:pos="326"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306" w:hanging="306"/>
        <w:spacing w:after="0" w:line="193" w:lineRule="auto"/>
        <w:tabs>
          <w:tab w:leader="none" w:pos="306"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effects of derivatives recognized in our Consolidated Condensed Financial Statements were as follows:</w:t>
      </w:r>
    </w:p>
    <w:p>
      <w:pPr>
        <w:spacing w:after="0" w:line="276"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50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43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9"/>
        </w:trPr>
        <w:tc>
          <w:tcPr>
            <w:tcW w:w="4180" w:type="dxa"/>
            <w:vAlign w:val="bottom"/>
          </w:tcPr>
          <w:p>
            <w:pPr>
              <w:ind w:left="160"/>
              <w:spacing w:after="0" w:line="229"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ind w:left="26"/>
        <w:spacing w:after="0" w:line="214" w:lineRule="auto"/>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bl>
      <w:tblPr>
        <w:tblLayout w:type="fixed"/>
        <w:tblInd w:w="186" w:type="dxa"/>
        <w:tblCellMar>
          <w:top w:w="0" w:type="dxa"/>
          <w:left w:w="0" w:type="dxa"/>
          <w:bottom w:w="0" w:type="dxa"/>
          <w:right w:w="0" w:type="dxa"/>
        </w:tblCellMar>
      </w:tblPr>
      <w:tr>
        <w:trPr>
          <w:trHeight w:val="203"/>
        </w:trPr>
        <w:tc>
          <w:tcPr>
            <w:tcW w:w="4020" w:type="dxa"/>
            <w:vAlign w:val="bottom"/>
          </w:tcPr>
          <w:p>
            <w:pPr>
              <w:spacing w:after="0" w:line="204"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6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402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4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326" w:hanging="326"/>
        <w:spacing w:after="0"/>
        <w:tabs>
          <w:tab w:leader="none" w:pos="326" w:val="left"/>
        </w:tabs>
        <w:numPr>
          <w:ilvl w:val="0"/>
          <w:numId w:val="34"/>
        </w:numPr>
        <w:rPr>
          <w:rFonts w:ascii="Arial" w:cs="Arial" w:eastAsia="Arial" w:hAnsi="Arial"/>
          <w:sz w:val="9"/>
          <w:szCs w:val="9"/>
          <w:color w:val="auto"/>
        </w:rPr>
      </w:pPr>
      <w:r>
        <w:rPr>
          <w:rFonts w:ascii="Arial" w:cs="Arial" w:eastAsia="Arial" w:hAnsi="Arial"/>
          <w:sz w:val="14"/>
          <w:szCs w:val="14"/>
          <w:color w:val="auto"/>
        </w:rPr>
        <w:t>Recognized, net of tax, as a component of other comprehensive income (loss) within stockholders’ equity.</w:t>
      </w:r>
    </w:p>
    <w:p>
      <w:pPr>
        <w:spacing w:after="0" w:line="41" w:lineRule="exact"/>
        <w:rPr>
          <w:rFonts w:ascii="Arial" w:cs="Arial" w:eastAsia="Arial" w:hAnsi="Arial"/>
          <w:sz w:val="9"/>
          <w:szCs w:val="9"/>
          <w:color w:val="auto"/>
        </w:rPr>
      </w:pPr>
    </w:p>
    <w:p>
      <w:pPr>
        <w:ind w:left="326" w:hanging="326"/>
        <w:spacing w:after="0" w:line="222" w:lineRule="auto"/>
        <w:tabs>
          <w:tab w:leader="none" w:pos="319"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 – Stockholders' Equity for amounts reclassified from accumulated other comprehensive income into earnings.</w:t>
      </w:r>
    </w:p>
    <w:p>
      <w:pPr>
        <w:ind w:left="306" w:hanging="306"/>
        <w:spacing w:after="0" w:line="192" w:lineRule="auto"/>
        <w:tabs>
          <w:tab w:leader="none" w:pos="306"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326" w:hanging="326"/>
        <w:spacing w:after="0" w:line="192" w:lineRule="auto"/>
        <w:tabs>
          <w:tab w:leader="none" w:pos="326"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326" w:hanging="326"/>
        <w:spacing w:after="0" w:line="235" w:lineRule="auto"/>
        <w:tabs>
          <w:tab w:leader="none" w:pos="319"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2022, included a $25 million gain in interest expense and a $2 million gain in operating expense and for the nine months ended September 30, 2022, included a $65 million gain in interest expense and a $5 million gain in operating expense. For the three months ended September 30, 2021, included a $7 million gain in interest expense and a $1 million loss in operating expense and for the nine months ended September 30, 2021, included a $2 million gain in interest expense and a $1 million loss in operating expense.</w:t>
      </w:r>
    </w:p>
    <w:p>
      <w:pPr>
        <w:spacing w:after="0" w:line="1" w:lineRule="exact"/>
        <w:rPr>
          <w:rFonts w:ascii="Arial" w:cs="Arial" w:eastAsia="Arial" w:hAnsi="Arial"/>
          <w:sz w:val="19"/>
          <w:szCs w:val="19"/>
          <w:color w:val="auto"/>
          <w:vertAlign w:val="superscript"/>
        </w:rPr>
      </w:pPr>
    </w:p>
    <w:p>
      <w:pPr>
        <w:ind w:left="326" w:hanging="326"/>
        <w:spacing w:after="0" w:line="193" w:lineRule="auto"/>
        <w:tabs>
          <w:tab w:leader="none" w:pos="326"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Included primarily in vehicle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7" w:name="page28"/>
    <w:bookmarkEnd w:id="27"/>
    <w:p>
      <w:pPr>
        <w:ind w:left="442"/>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97" w:lineRule="exact"/>
        <w:rPr>
          <w:sz w:val="20"/>
          <w:szCs w:val="20"/>
          <w:color w:val="auto"/>
        </w:rPr>
      </w:pPr>
    </w:p>
    <w:tbl>
      <w:tblPr>
        <w:tblLayout w:type="fixed"/>
        <w:tblInd w:w="462"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240"/>
              <w:spacing w:after="0"/>
              <w:rPr>
                <w:sz w:val="20"/>
                <w:szCs w:val="20"/>
                <w:color w:val="auto"/>
              </w:rPr>
            </w:pPr>
            <w:r>
              <w:rPr>
                <w:rFonts w:ascii="Arial" w:cs="Arial" w:eastAsia="Arial" w:hAnsi="Arial"/>
                <w:sz w:val="16"/>
                <w:szCs w:val="16"/>
                <w:b w:val="1"/>
                <w:bCs w:val="1"/>
                <w:color w:val="auto"/>
              </w:rPr>
              <w:t>As of September 30, 2022</w:t>
            </w:r>
          </w:p>
        </w:tc>
        <w:tc>
          <w:tcPr>
            <w:tcW w:w="24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4,153</w:t>
            </w:r>
          </w:p>
        </w:tc>
        <w:tc>
          <w:tcPr>
            <w:tcW w:w="0" w:type="dxa"/>
            <w:vAlign w:val="bottom"/>
          </w:tcPr>
          <w:p>
            <w:pPr>
              <w:spacing w:after="0"/>
              <w:rPr>
                <w:sz w:val="1"/>
                <w:szCs w:val="1"/>
                <w:color w:val="auto"/>
              </w:rPr>
            </w:pPr>
          </w:p>
        </w:tc>
      </w:tr>
      <w:tr>
        <w:trPr>
          <w:trHeight w:val="433"/>
        </w:trPr>
        <w:tc>
          <w:tcPr>
            <w:tcW w:w="41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40" w:type="dxa"/>
            <w:vAlign w:val="bottom"/>
          </w:tcPr>
          <w:p>
            <w:pPr>
              <w:ind w:left="2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10,422</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9,948</w:t>
            </w:r>
          </w:p>
        </w:tc>
        <w:tc>
          <w:tcPr>
            <w:tcW w:w="100" w:type="dxa"/>
            <w:vAlign w:val="bottom"/>
          </w:tcPr>
          <w:p>
            <w:pPr>
              <w:spacing w:after="0"/>
              <w:rPr>
                <w:sz w:val="14"/>
                <w:szCs w:val="1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8,848</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9,009</w:t>
            </w:r>
          </w:p>
        </w:tc>
        <w:tc>
          <w:tcPr>
            <w:tcW w:w="0" w:type="dxa"/>
            <w:vAlign w:val="bottom"/>
          </w:tcPr>
          <w:p>
            <w:pPr>
              <w:spacing w:after="0"/>
              <w:rPr>
                <w:sz w:val="1"/>
                <w:szCs w:val="1"/>
                <w:color w:val="auto"/>
              </w:rPr>
            </w:pPr>
          </w:p>
        </w:tc>
      </w:tr>
      <w:tr>
        <w:trPr>
          <w:trHeight w:val="215"/>
        </w:trPr>
        <w:tc>
          <w:tcPr>
            <w:tcW w:w="4140" w:type="dxa"/>
            <w:vAlign w:val="bottom"/>
          </w:tcPr>
          <w:p>
            <w:pPr>
              <w:ind w:left="380"/>
              <w:spacing w:after="0"/>
              <w:rPr>
                <w:sz w:val="20"/>
                <w:szCs w:val="20"/>
                <w:color w:val="auto"/>
              </w:rPr>
            </w:pPr>
            <w:r>
              <w:rPr>
                <w:rFonts w:ascii="Arial" w:cs="Arial" w:eastAsia="Arial" w:hAnsi="Arial"/>
                <w:sz w:val="16"/>
                <w:szCs w:val="16"/>
                <w:color w:val="auto"/>
              </w:rPr>
              <w:t>Funding</w:t>
            </w:r>
          </w:p>
        </w:tc>
        <w:tc>
          <w:tcPr>
            <w:tcW w:w="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87"/>
        </w:trPr>
        <w:tc>
          <w:tcPr>
            <w:tcW w:w="414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662" w:hanging="226"/>
        <w:spacing w:after="0"/>
        <w:tabs>
          <w:tab w:leader="none" w:pos="662" w:val="left"/>
        </w:tabs>
        <w:numPr>
          <w:ilvl w:val="1"/>
          <w:numId w:val="35"/>
        </w:numPr>
        <w:rPr>
          <w:rFonts w:ascii="Arial" w:cs="Arial" w:eastAsia="Arial" w:hAnsi="Arial"/>
          <w:sz w:val="9"/>
          <w:szCs w:val="9"/>
          <w:color w:val="auto"/>
        </w:rPr>
      </w:pPr>
      <w:r>
        <w:rPr>
          <w:rFonts w:ascii="Arial" w:cs="Arial" w:eastAsia="Arial" w:hAnsi="Arial"/>
          <w:sz w:val="14"/>
          <w:szCs w:val="14"/>
          <w:color w:val="auto"/>
        </w:rPr>
        <w:t>Derivatives in a liability position.</w:t>
      </w:r>
    </w:p>
    <w:p>
      <w:pPr>
        <w:spacing w:after="0" w:line="247" w:lineRule="exact"/>
        <w:rPr>
          <w:rFonts w:ascii="Arial" w:cs="Arial" w:eastAsia="Arial" w:hAnsi="Arial"/>
          <w:sz w:val="9"/>
          <w:szCs w:val="9"/>
          <w:color w:val="auto"/>
        </w:rPr>
      </w:pPr>
    </w:p>
    <w:p>
      <w:pPr>
        <w:ind w:left="442" w:hanging="442"/>
        <w:spacing w:after="0"/>
        <w:tabs>
          <w:tab w:leader="none" w:pos="44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from each of our operating segments. In identifying our reportable segments, we considered the nature of services provided, the geographical areas in which the segments operated and other relevant factors. We aggregate certain of our operating segments into our reportable segments.</w:t>
      </w:r>
    </w:p>
    <w:p>
      <w:pPr>
        <w:spacing w:after="0" w:line="203" w:lineRule="exact"/>
        <w:rPr>
          <w:rFonts w:ascii="Arial" w:cs="Arial" w:eastAsia="Arial" w:hAnsi="Arial"/>
          <w:sz w:val="18"/>
          <w:szCs w:val="18"/>
          <w:b w:val="1"/>
          <w:bCs w:val="1"/>
          <w:color w:val="auto"/>
        </w:rPr>
      </w:pPr>
    </w:p>
    <w:p>
      <w:pPr>
        <w:jc w:val="both"/>
        <w:ind w:left="44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service fees, COVID-19 charges, other (income) expense, net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We revised our definition of Adjusted EBITDA to exclude other (income) expense, net. We did not revise prior years’ Adjusted EBITDA because there were no other charges similar in nature. Our presentation of Adjusted EBITDA may not be comparable to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sectPr>
      </w:pPr>
    </w:p>
    <w:bookmarkStart w:id="28" w:name="page29"/>
    <w:bookmarkEnd w:id="28"/>
    <w:tbl>
      <w:tblPr>
        <w:tblLayout w:type="fixed"/>
        <w:tblInd w:w="26"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30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EBITDA</w:t>
            </w: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430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0746"/>
          </w:cols>
          <w:pgMar w:left="814" w:top="971" w:right="339" w:bottom="1440" w:gutter="0" w:footer="0" w:header="0"/>
        </w:sectPr>
      </w:pPr>
    </w:p>
    <w:p>
      <w:pPr>
        <w:ind w:left="26"/>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26"/>
        <w:spacing w:after="0"/>
        <w:rPr>
          <w:sz w:val="20"/>
          <w:szCs w:val="20"/>
          <w:color w:val="auto"/>
        </w:rPr>
      </w:pPr>
      <w:r>
        <w:rPr>
          <w:rFonts w:ascii="Arial" w:cs="Arial" w:eastAsia="Arial" w:hAnsi="Arial"/>
          <w:sz w:val="18"/>
          <w:szCs w:val="18"/>
          <w:color w:val="auto"/>
        </w:rPr>
        <w:t>Adjusted EBITDA</w:t>
      </w:r>
    </w:p>
    <w:p>
      <w:pPr>
        <w:spacing w:after="0" w:line="6" w:lineRule="exact"/>
        <w:rPr>
          <w:sz w:val="20"/>
          <w:szCs w:val="20"/>
          <w:color w:val="auto"/>
        </w:rPr>
      </w:pPr>
    </w:p>
    <w:p>
      <w:pPr>
        <w:ind w:left="26"/>
        <w:spacing w:after="0"/>
        <w:tabs>
          <w:tab w:leader="none" w:pos="686" w:val="left"/>
        </w:tabs>
        <w:rPr>
          <w:sz w:val="20"/>
          <w:szCs w:val="20"/>
          <w:color w:val="auto"/>
        </w:rPr>
      </w:pPr>
      <w:r>
        <w:rPr>
          <w:rFonts w:ascii="Arial" w:cs="Arial" w:eastAsia="Arial" w:hAnsi="Arial"/>
          <w:sz w:val="18"/>
          <w:szCs w:val="18"/>
          <w:color w:val="auto"/>
        </w:rPr>
        <w:t>Less:</w:t>
        <w:tab/>
        <w:t xml:space="preserve">Non-vehicle related depreciation and amortization </w:t>
      </w:r>
      <w:r>
        <w:rPr>
          <w:rFonts w:ascii="Arial" w:cs="Arial" w:eastAsia="Arial" w:hAnsi="Arial"/>
          <w:sz w:val="23"/>
          <w:szCs w:val="23"/>
          <w:color w:val="auto"/>
          <w:vertAlign w:val="superscript"/>
        </w:rPr>
        <w:t>(b)</w:t>
      </w:r>
    </w:p>
    <w:p>
      <w:pPr>
        <w:ind w:left="706"/>
        <w:spacing w:after="0"/>
        <w:rPr>
          <w:sz w:val="20"/>
          <w:szCs w:val="20"/>
          <w:color w:val="auto"/>
        </w:rPr>
      </w:pPr>
      <w:r>
        <w:rPr>
          <w:rFonts w:ascii="Arial" w:cs="Arial" w:eastAsia="Arial" w:hAnsi="Arial"/>
          <w:sz w:val="18"/>
          <w:szCs w:val="18"/>
          <w:color w:val="auto"/>
        </w:rPr>
        <w:t>Interest expense related to corporate debt, net:</w:t>
      </w:r>
    </w:p>
    <w:p>
      <w:pPr>
        <w:spacing w:after="0" w:line="14" w:lineRule="exact"/>
        <w:rPr>
          <w:sz w:val="20"/>
          <w:szCs w:val="20"/>
          <w:color w:val="auto"/>
        </w:rPr>
      </w:pPr>
    </w:p>
    <w:p>
      <w:pPr>
        <w:ind w:left="826"/>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706" w:right="1460" w:firstLine="122"/>
        <w:spacing w:after="0" w:line="266" w:lineRule="auto"/>
        <w:rPr>
          <w:sz w:val="20"/>
          <w:szCs w:val="20"/>
          <w:color w:val="auto"/>
        </w:rPr>
      </w:pPr>
      <w:r>
        <w:rPr>
          <w:rFonts w:ascii="Arial" w:cs="Arial" w:eastAsia="Arial" w:hAnsi="Arial"/>
          <w:sz w:val="18"/>
          <w:szCs w:val="18"/>
          <w:color w:val="auto"/>
        </w:rPr>
        <w:t>Early extinguishment of debt Restructuring and other related charges</w:t>
      </w:r>
    </w:p>
    <w:p>
      <w:pPr>
        <w:ind w:left="866" w:right="940" w:hanging="149"/>
        <w:spacing w:after="0" w:line="217" w:lineRule="auto"/>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23"/>
          <w:szCs w:val="23"/>
          <w:color w:val="auto"/>
          <w:vertAlign w:val="superscript"/>
        </w:rPr>
        <w:t>(c)</w:t>
      </w:r>
    </w:p>
    <w:p>
      <w:pPr>
        <w:spacing w:after="0" w:line="1" w:lineRule="exact"/>
        <w:rPr>
          <w:sz w:val="20"/>
          <w:szCs w:val="20"/>
          <w:color w:val="auto"/>
        </w:rPr>
      </w:pPr>
    </w:p>
    <w:p>
      <w:pPr>
        <w:ind w:left="706"/>
        <w:spacing w:after="0"/>
        <w:rPr>
          <w:sz w:val="20"/>
          <w:szCs w:val="20"/>
          <w:color w:val="auto"/>
        </w:rPr>
      </w:pPr>
      <w:r>
        <w:rPr>
          <w:rFonts w:ascii="Arial" w:cs="Arial" w:eastAsia="Arial" w:hAnsi="Arial"/>
          <w:sz w:val="18"/>
          <w:szCs w:val="18"/>
          <w:color w:val="auto"/>
        </w:rPr>
        <w:t>Transaction-related costs, net</w:t>
      </w:r>
    </w:p>
    <w:p>
      <w:pPr>
        <w:ind w:left="706"/>
        <w:spacing w:after="0" w:line="219" w:lineRule="auto"/>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(d)</w:t>
      </w:r>
    </w:p>
    <w:p>
      <w:pPr>
        <w:ind w:left="706"/>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(e)</w:t>
      </w:r>
    </w:p>
    <w:p>
      <w:pPr>
        <w:spacing w:after="0" w:line="16" w:lineRule="exact"/>
        <w:rPr>
          <w:sz w:val="20"/>
          <w:szCs w:val="20"/>
          <w:color w:val="auto"/>
        </w:rPr>
      </w:pPr>
    </w:p>
    <w:p>
      <w:pPr>
        <w:ind w:left="26"/>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18"/>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1,460</w:t>
            </w:r>
          </w:p>
        </w:tc>
        <w:tc>
          <w:tcPr>
            <w:tcW w:w="16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39"/>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50"/>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300" w:type="dxa"/>
            <w:vAlign w:val="bottom"/>
          </w:tcPr>
          <w:p>
            <w:pPr>
              <w:spacing w:after="0"/>
              <w:rPr>
                <w:sz w:val="19"/>
                <w:szCs w:val="19"/>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9"/>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9"/>
        </w:trPr>
        <w:tc>
          <w:tcPr>
            <w:tcW w:w="300" w:type="dxa"/>
            <w:vAlign w:val="bottom"/>
          </w:tcPr>
          <w:p>
            <w:pPr>
              <w:spacing w:after="0"/>
              <w:rPr>
                <w:sz w:val="24"/>
                <w:szCs w:val="24"/>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00" w:type="dxa"/>
            <w:vAlign w:val="bottom"/>
          </w:tcPr>
          <w:p>
            <w:pPr>
              <w:spacing w:after="0"/>
              <w:rPr>
                <w:sz w:val="19"/>
                <w:szCs w:val="19"/>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00" w:type="dxa"/>
            <w:vAlign w:val="bottom"/>
          </w:tcPr>
          <w:p>
            <w:pPr>
              <w:spacing w:after="0"/>
              <w:rPr>
                <w:sz w:val="19"/>
                <w:szCs w:val="19"/>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5"/>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2">
            <w:col w:w="5346" w:space="500"/>
            <w:col w:w="4900"/>
          </w:cols>
          <w:pgMar w:left="814" w:top="971" w:right="3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w:t>
      </w:r>
    </w:p>
    <w:p>
      <w:pPr>
        <w:ind w:left="326" w:hanging="326"/>
        <w:spacing w:after="0" w:line="224" w:lineRule="auto"/>
        <w:tabs>
          <w:tab w:leader="none" w:pos="326"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26" w:hanging="326"/>
        <w:spacing w:after="0" w:line="213" w:lineRule="auto"/>
        <w:tabs>
          <w:tab w:leader="none" w:pos="319"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2022, includes operating expenses in our Consolidated Condensed Statements of Comprehensive Income related to cloud computing costs of $2 million.</w:t>
      </w:r>
    </w:p>
    <w:p>
      <w:pPr>
        <w:ind w:left="306" w:hanging="306"/>
        <w:spacing w:after="0" w:line="192" w:lineRule="auto"/>
        <w:tabs>
          <w:tab w:leader="none" w:pos="306"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ind w:left="326" w:hanging="326"/>
        <w:spacing w:after="0" w:line="193" w:lineRule="auto"/>
        <w:tabs>
          <w:tab w:leader="none" w:pos="326"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40" w:lineRule="exact"/>
        <w:rPr>
          <w:sz w:val="20"/>
          <w:szCs w:val="20"/>
          <w:color w:val="auto"/>
        </w:rPr>
      </w:pPr>
    </w:p>
    <w:tbl>
      <w:tblPr>
        <w:tblLayout w:type="fixed"/>
        <w:tblInd w:w="346"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8"/>
        </w:trPr>
        <w:tc>
          <w:tcPr>
            <w:tcW w:w="5300" w:type="dxa"/>
            <w:vAlign w:val="bottom"/>
          </w:tcPr>
          <w:p>
            <w:pPr>
              <w:ind w:left="22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748"/>
              <w:spacing w:after="0"/>
              <w:rPr>
                <w:sz w:val="20"/>
                <w:szCs w:val="20"/>
                <w:color w:val="auto"/>
              </w:rPr>
            </w:pPr>
            <w:r>
              <w:rPr>
                <w:rFonts w:ascii="Arial" w:cs="Arial" w:eastAsia="Arial" w:hAnsi="Arial"/>
                <w:sz w:val="14"/>
                <w:szCs w:val="14"/>
                <w:color w:val="auto"/>
                <w:w w:val="93"/>
              </w:rPr>
              <w:t>(4)</w:t>
            </w:r>
          </w:p>
        </w:tc>
      </w:tr>
      <w:tr>
        <w:trPr>
          <w:trHeight w:val="203"/>
        </w:trPr>
        <w:tc>
          <w:tcPr>
            <w:tcW w:w="5300" w:type="dxa"/>
            <w:vAlign w:val="bottom"/>
          </w:tcPr>
          <w:p>
            <w:pPr>
              <w:ind w:left="22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0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center"/>
              <w:ind w:left="748"/>
              <w:spacing w:after="0"/>
              <w:rPr>
                <w:sz w:val="20"/>
                <w:szCs w:val="20"/>
                <w:color w:val="auto"/>
              </w:rPr>
            </w:pPr>
            <w:r>
              <w:rPr>
                <w:rFonts w:ascii="Arial" w:cs="Arial" w:eastAsia="Arial" w:hAnsi="Arial"/>
                <w:sz w:val="14"/>
                <w:szCs w:val="14"/>
                <w:color w:val="auto"/>
                <w:w w:val="93"/>
              </w:rPr>
              <w:t>(3)</w:t>
            </w:r>
          </w:p>
        </w:tc>
      </w:tr>
      <w:tr>
        <w:trPr>
          <w:trHeight w:val="204"/>
        </w:trPr>
        <w:tc>
          <w:tcPr>
            <w:tcW w:w="5300" w:type="dxa"/>
            <w:vAlign w:val="bottom"/>
          </w:tcPr>
          <w:p>
            <w:pPr>
              <w:ind w:left="220"/>
              <w:spacing w:after="0"/>
              <w:rPr>
                <w:sz w:val="20"/>
                <w:szCs w:val="20"/>
                <w:color w:val="auto"/>
              </w:rPr>
            </w:pPr>
            <w:r>
              <w:rPr>
                <w:rFonts w:ascii="Arial" w:cs="Arial" w:eastAsia="Arial" w:hAnsi="Arial"/>
                <w:sz w:val="14"/>
                <w:szCs w:val="14"/>
                <w:color w:val="auto"/>
              </w:rPr>
              <w:t>Other charges</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color w:val="auto"/>
              </w:rPr>
              <w:t>1</w:t>
            </w:r>
          </w:p>
        </w:tc>
      </w:tr>
      <w:tr>
        <w:trPr>
          <w:trHeight w:val="198"/>
        </w:trPr>
        <w:tc>
          <w:tcPr>
            <w:tcW w:w="5300" w:type="dxa"/>
            <w:vAlign w:val="bottom"/>
          </w:tcPr>
          <w:p>
            <w:pPr>
              <w:spacing w:after="0"/>
              <w:rPr>
                <w:sz w:val="20"/>
                <w:szCs w:val="20"/>
                <w:color w:val="auto"/>
              </w:rPr>
            </w:pPr>
            <w:r>
              <w:rPr>
                <w:rFonts w:ascii="Arial" w:cs="Arial" w:eastAsia="Arial" w:hAnsi="Arial"/>
                <w:sz w:val="14"/>
                <w:szCs w:val="14"/>
                <w:color w:val="auto"/>
              </w:rPr>
              <w:t>Operating expenses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color w:val="auto"/>
                <w:w w:val="93"/>
              </w:rPr>
              <w:t>(6)</w:t>
            </w:r>
          </w:p>
        </w:tc>
      </w:tr>
      <w:tr>
        <w:trPr>
          <w:trHeight w:val="200"/>
        </w:trPr>
        <w:tc>
          <w:tcPr>
            <w:tcW w:w="5300" w:type="dxa"/>
            <w:vAlign w:val="bottom"/>
          </w:tcPr>
          <w:p>
            <w:pPr>
              <w:spacing w:after="0"/>
              <w:rPr>
                <w:sz w:val="20"/>
                <w:szCs w:val="20"/>
                <w:color w:val="auto"/>
              </w:rPr>
            </w:pPr>
            <w:r>
              <w:rPr>
                <w:rFonts w:ascii="Arial" w:cs="Arial" w:eastAsia="Arial" w:hAnsi="Arial"/>
                <w:sz w:val="14"/>
                <w:szCs w:val="14"/>
                <w:color w:val="auto"/>
              </w:rPr>
              <w:t>COVID-19 charges, net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748"/>
              <w:spacing w:after="0"/>
              <w:rPr>
                <w:sz w:val="20"/>
                <w:szCs w:val="20"/>
                <w:color w:val="auto"/>
              </w:rPr>
            </w:pPr>
            <w:r>
              <w:rPr>
                <w:rFonts w:ascii="Arial" w:cs="Arial" w:eastAsia="Arial" w:hAnsi="Arial"/>
                <w:sz w:val="14"/>
                <w:szCs w:val="14"/>
                <w:color w:val="auto"/>
                <w:w w:val="93"/>
              </w:rPr>
              <w:t>(6)</w:t>
            </w:r>
          </w:p>
        </w:tc>
      </w:tr>
      <w:tr>
        <w:trPr>
          <w:trHeight w:val="21"/>
        </w:trPr>
        <w:tc>
          <w:tcPr>
            <w:tcW w:w="5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9"/>
          <w:szCs w:val="9"/>
          <w:color w:val="auto"/>
        </w:rPr>
        <w:t>(e)</w:t>
      </w:r>
      <w:r>
        <w:rPr>
          <w:sz w:val="20"/>
          <w:szCs w:val="20"/>
          <w:color w:val="auto"/>
        </w:rPr>
        <w:tab/>
      </w:r>
      <w:r>
        <w:rPr>
          <w:rFonts w:ascii="Arial" w:cs="Arial" w:eastAsia="Arial" w:hAnsi="Arial"/>
          <w:sz w:val="14"/>
          <w:szCs w:val="14"/>
          <w:color w:val="auto"/>
        </w:rPr>
        <w:t>Primarily relates to a gain upon deconsolidation of a former subsidiary.</w:t>
      </w:r>
    </w:p>
    <w:p>
      <w:pPr>
        <w:spacing w:after="0" w:line="200" w:lineRule="exact"/>
        <w:rPr>
          <w:sz w:val="20"/>
          <w:szCs w:val="20"/>
          <w:color w:val="auto"/>
        </w:rPr>
      </w:pPr>
    </w:p>
    <w:p>
      <w:pPr>
        <w:spacing w:after="0" w:line="399"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71" w:right="339" w:bottom="1440" w:gutter="0" w:footer="0" w:header="0"/>
          <w:type w:val="continuous"/>
        </w:sectPr>
      </w:pPr>
    </w:p>
    <w:bookmarkStart w:id="29" w:name="page30"/>
    <w:bookmarkEnd w:id="29"/>
    <w:tbl>
      <w:tblPr>
        <w:tblLayout w:type="fixed"/>
        <w:tblInd w:w="462"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4"/>
                <w:szCs w:val="14"/>
                <w:color w:val="auto"/>
              </w:rPr>
            </w:pPr>
          </w:p>
        </w:tc>
        <w:tc>
          <w:tcPr>
            <w:tcW w:w="1240" w:type="dxa"/>
            <w:vAlign w:val="bottom"/>
          </w:tcPr>
          <w:p>
            <w:pPr>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16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41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416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182"/>
          </w:cols>
          <w:pgMar w:left="378" w:top="971" w:right="339" w:bottom="1440" w:gutter="0" w:footer="0" w:header="0"/>
        </w:sectPr>
      </w:pPr>
    </w:p>
    <w:p>
      <w:pPr>
        <w:ind w:left="462"/>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462"/>
        <w:spacing w:after="0"/>
        <w:rPr>
          <w:sz w:val="20"/>
          <w:szCs w:val="20"/>
          <w:color w:val="auto"/>
        </w:rPr>
      </w:pPr>
      <w:r>
        <w:rPr>
          <w:rFonts w:ascii="Arial" w:cs="Arial" w:eastAsia="Arial" w:hAnsi="Arial"/>
          <w:sz w:val="18"/>
          <w:szCs w:val="18"/>
          <w:color w:val="auto"/>
        </w:rPr>
        <w:t>Adjusted EBITDA</w:t>
      </w:r>
    </w:p>
    <w:p>
      <w:pPr>
        <w:spacing w:after="0" w:line="6" w:lineRule="exact"/>
        <w:rPr>
          <w:sz w:val="20"/>
          <w:szCs w:val="20"/>
          <w:color w:val="auto"/>
        </w:rPr>
      </w:pPr>
    </w:p>
    <w:p>
      <w:pPr>
        <w:ind w:left="462"/>
        <w:spacing w:after="0"/>
        <w:tabs>
          <w:tab w:leader="none" w:pos="1102" w:val="left"/>
        </w:tabs>
        <w:rPr>
          <w:sz w:val="20"/>
          <w:szCs w:val="20"/>
          <w:color w:val="auto"/>
        </w:rPr>
      </w:pPr>
      <w:r>
        <w:rPr>
          <w:rFonts w:ascii="Arial" w:cs="Arial" w:eastAsia="Arial" w:hAnsi="Arial"/>
          <w:sz w:val="18"/>
          <w:szCs w:val="18"/>
          <w:color w:val="auto"/>
        </w:rPr>
        <w:t>Less:</w:t>
        <w:tab/>
        <w:t xml:space="preserve">Non-vehicle related depreciation and amortization </w:t>
      </w:r>
      <w:r>
        <w:rPr>
          <w:rFonts w:ascii="Arial" w:cs="Arial" w:eastAsia="Arial" w:hAnsi="Arial"/>
          <w:sz w:val="23"/>
          <w:szCs w:val="23"/>
          <w:color w:val="auto"/>
          <w:vertAlign w:val="superscript"/>
        </w:rPr>
        <w:t>(b)</w:t>
      </w:r>
    </w:p>
    <w:p>
      <w:pPr>
        <w:ind w:left="1122"/>
        <w:spacing w:after="0"/>
        <w:rPr>
          <w:sz w:val="20"/>
          <w:szCs w:val="20"/>
          <w:color w:val="auto"/>
        </w:rPr>
      </w:pPr>
      <w:r>
        <w:rPr>
          <w:rFonts w:ascii="Arial" w:cs="Arial" w:eastAsia="Arial" w:hAnsi="Arial"/>
          <w:sz w:val="18"/>
          <w:szCs w:val="18"/>
          <w:color w:val="auto"/>
        </w:rPr>
        <w:t>Interest expense related to corporate debt, net:</w:t>
      </w:r>
    </w:p>
    <w:p>
      <w:pPr>
        <w:spacing w:after="0" w:line="14" w:lineRule="exact"/>
        <w:rPr>
          <w:sz w:val="20"/>
          <w:szCs w:val="20"/>
          <w:color w:val="auto"/>
        </w:rPr>
      </w:pPr>
    </w:p>
    <w:p>
      <w:pPr>
        <w:ind w:left="1242"/>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122" w:right="1480" w:firstLine="121"/>
        <w:spacing w:after="0" w:line="266" w:lineRule="auto"/>
        <w:rPr>
          <w:sz w:val="20"/>
          <w:szCs w:val="20"/>
          <w:color w:val="auto"/>
        </w:rPr>
      </w:pPr>
      <w:r>
        <w:rPr>
          <w:rFonts w:ascii="Arial" w:cs="Arial" w:eastAsia="Arial" w:hAnsi="Arial"/>
          <w:sz w:val="18"/>
          <w:szCs w:val="18"/>
          <w:color w:val="auto"/>
        </w:rPr>
        <w:t>Early extinguishment of debt Restructuring and other related charges</w:t>
      </w:r>
    </w:p>
    <w:p>
      <w:pPr>
        <w:ind w:left="1282" w:right="960" w:hanging="149"/>
        <w:spacing w:after="0" w:line="217" w:lineRule="auto"/>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23"/>
          <w:szCs w:val="23"/>
          <w:color w:val="auto"/>
          <w:vertAlign w:val="superscript"/>
        </w:rPr>
        <w:t>(c)</w:t>
      </w:r>
    </w:p>
    <w:p>
      <w:pPr>
        <w:spacing w:after="0" w:line="1" w:lineRule="exact"/>
        <w:rPr>
          <w:sz w:val="20"/>
          <w:szCs w:val="20"/>
          <w:color w:val="auto"/>
        </w:rPr>
      </w:pPr>
    </w:p>
    <w:p>
      <w:pPr>
        <w:ind w:left="1122"/>
        <w:spacing w:after="0"/>
        <w:rPr>
          <w:sz w:val="20"/>
          <w:szCs w:val="20"/>
          <w:color w:val="auto"/>
        </w:rPr>
      </w:pPr>
      <w:r>
        <w:rPr>
          <w:rFonts w:ascii="Arial" w:cs="Arial" w:eastAsia="Arial" w:hAnsi="Arial"/>
          <w:sz w:val="18"/>
          <w:szCs w:val="18"/>
          <w:color w:val="auto"/>
        </w:rPr>
        <w:t>Transaction-related costs, net</w:t>
      </w:r>
    </w:p>
    <w:p>
      <w:pPr>
        <w:ind w:left="1122"/>
        <w:spacing w:after="0" w:line="219" w:lineRule="auto"/>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(d)</w:t>
      </w:r>
    </w:p>
    <w:p>
      <w:pPr>
        <w:ind w:left="1122"/>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(e)</w:t>
      </w:r>
    </w:p>
    <w:p>
      <w:pPr>
        <w:spacing w:after="0" w:line="16" w:lineRule="exact"/>
        <w:rPr>
          <w:sz w:val="20"/>
          <w:szCs w:val="20"/>
          <w:color w:val="auto"/>
        </w:rPr>
      </w:pPr>
    </w:p>
    <w:p>
      <w:pPr>
        <w:ind w:left="462"/>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5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1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3,475</w:t>
            </w:r>
          </w:p>
        </w:tc>
        <w:tc>
          <w:tcPr>
            <w:tcW w:w="158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39"/>
        </w:trPr>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450"/>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280" w:type="dxa"/>
            <w:vAlign w:val="bottom"/>
          </w:tcPr>
          <w:p>
            <w:pPr>
              <w:spacing w:after="0"/>
              <w:rPr>
                <w:sz w:val="19"/>
                <w:szCs w:val="19"/>
                <w:color w:val="auto"/>
              </w:rPr>
            </w:pPr>
          </w:p>
        </w:tc>
        <w:tc>
          <w:tcPr>
            <w:tcW w:w="2640" w:type="dxa"/>
            <w:vAlign w:val="bottom"/>
            <w:gridSpan w:val="2"/>
          </w:tcPr>
          <w:p>
            <w:pPr>
              <w:jc w:val="right"/>
              <w:ind w:right="1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9"/>
        </w:trPr>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09"/>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5"/>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15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2">
            <w:col w:w="5782" w:space="320"/>
            <w:col w:w="5080"/>
          </w:cols>
          <w:pgMar w:left="378" w:top="971" w:right="339" w:bottom="1440" w:gutter="0" w:footer="0" w:header="0"/>
          <w:type w:val="continuous"/>
        </w:sectPr>
      </w:pPr>
    </w:p>
    <w:p>
      <w:pPr>
        <w:ind w:left="442"/>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762" w:hanging="326"/>
        <w:spacing w:after="0"/>
        <w:tabs>
          <w:tab w:leader="none" w:pos="762" w:val="left"/>
        </w:tabs>
        <w:numPr>
          <w:ilvl w:val="0"/>
          <w:numId w:val="38"/>
        </w:numPr>
        <w:rPr>
          <w:rFonts w:ascii="Arial" w:cs="Arial" w:eastAsia="Arial" w:hAnsi="Arial"/>
          <w:sz w:val="9"/>
          <w:szCs w:val="9"/>
          <w:color w:val="auto"/>
        </w:rPr>
      </w:pPr>
      <w:r>
        <w:rPr>
          <w:rFonts w:ascii="Arial" w:cs="Arial" w:eastAsia="Arial" w:hAnsi="Arial"/>
          <w:sz w:val="14"/>
          <w:szCs w:val="14"/>
          <w:color w:val="auto"/>
        </w:rPr>
        <w:t>Includes unallocated corporate overhead which is not attributable to a particular segment.</w:t>
      </w:r>
    </w:p>
    <w:p>
      <w:pPr>
        <w:spacing w:after="0" w:line="14" w:lineRule="exact"/>
        <w:rPr>
          <w:rFonts w:ascii="Arial" w:cs="Arial" w:eastAsia="Arial" w:hAnsi="Arial"/>
          <w:sz w:val="9"/>
          <w:szCs w:val="9"/>
          <w:color w:val="auto"/>
        </w:rPr>
      </w:pPr>
    </w:p>
    <w:p>
      <w:pPr>
        <w:ind w:left="762" w:hanging="326"/>
        <w:spacing w:after="0" w:line="261" w:lineRule="auto"/>
        <w:tabs>
          <w:tab w:leader="none" w:pos="755" w:val="left"/>
        </w:tabs>
        <w:numPr>
          <w:ilvl w:val="0"/>
          <w:numId w:val="38"/>
        </w:numPr>
        <w:rPr>
          <w:rFonts w:ascii="Arial" w:cs="Arial" w:eastAsia="Arial" w:hAnsi="Arial"/>
          <w:sz w:val="9"/>
          <w:szCs w:val="9"/>
          <w:color w:val="auto"/>
        </w:rPr>
      </w:pPr>
      <w:r>
        <w:rPr>
          <w:rFonts w:ascii="Arial" w:cs="Arial" w:eastAsia="Arial" w:hAnsi="Arial"/>
          <w:sz w:val="14"/>
          <w:szCs w:val="14"/>
          <w:color w:val="auto"/>
        </w:rPr>
        <w:t>For the nine months ended September 30, 2022 and 2021, includes operating expenses in our Consolidated Condensed Statements of Operations related to cloud computing costs of $6 million and $5 million, respectively.</w:t>
      </w:r>
    </w:p>
    <w:p>
      <w:pPr>
        <w:ind w:left="742" w:hanging="306"/>
        <w:spacing w:after="0" w:line="192" w:lineRule="auto"/>
        <w:tabs>
          <w:tab w:leader="none" w:pos="742"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ind w:left="762" w:hanging="326"/>
        <w:spacing w:after="0" w:line="193" w:lineRule="auto"/>
        <w:tabs>
          <w:tab w:leader="none" w:pos="762"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256" w:lineRule="exact"/>
        <w:rPr>
          <w:sz w:val="20"/>
          <w:szCs w:val="20"/>
          <w:color w:val="auto"/>
        </w:rPr>
      </w:pPr>
    </w:p>
    <w:tbl>
      <w:tblPr>
        <w:tblLayout w:type="fixed"/>
        <w:tblInd w:w="782" w:type="dxa"/>
        <w:tblCellMar>
          <w:top w:w="0" w:type="dxa"/>
          <w:left w:w="0" w:type="dxa"/>
          <w:bottom w:w="0" w:type="dxa"/>
          <w:right w:w="0" w:type="dxa"/>
        </w:tblCellMar>
      </w:tblPr>
      <w:tr>
        <w:trPr>
          <w:trHeight w:val="196"/>
        </w:trPr>
        <w:tc>
          <w:tcPr>
            <w:tcW w:w="5300" w:type="dxa"/>
            <w:vAlign w:val="bottom"/>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90"/>
        </w:trPr>
        <w:tc>
          <w:tcPr>
            <w:tcW w:w="5300" w:type="dxa"/>
            <w:vAlign w:val="bottom"/>
          </w:tcPr>
          <w:p>
            <w:pPr>
              <w:ind w:left="22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(9)</w:t>
            </w:r>
          </w:p>
        </w:tc>
        <w:tc>
          <w:tcPr>
            <w:tcW w:w="14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203"/>
        </w:trPr>
        <w:tc>
          <w:tcPr>
            <w:tcW w:w="5300" w:type="dxa"/>
            <w:vAlign w:val="bottom"/>
          </w:tcPr>
          <w:p>
            <w:pPr>
              <w:ind w:left="22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0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4"/>
        </w:trPr>
        <w:tc>
          <w:tcPr>
            <w:tcW w:w="5300" w:type="dxa"/>
            <w:vAlign w:val="bottom"/>
          </w:tcPr>
          <w:p>
            <w:pPr>
              <w:ind w:left="220"/>
              <w:spacing w:after="0"/>
              <w:rPr>
                <w:sz w:val="20"/>
                <w:szCs w:val="20"/>
                <w:color w:val="auto"/>
              </w:rPr>
            </w:pPr>
            <w:r>
              <w:rPr>
                <w:rFonts w:ascii="Arial" w:cs="Arial" w:eastAsia="Arial" w:hAnsi="Arial"/>
                <w:sz w:val="14"/>
                <w:szCs w:val="14"/>
                <w:color w:val="auto"/>
              </w:rPr>
              <w:t>Other charges</w:t>
            </w:r>
          </w:p>
        </w:tc>
        <w:tc>
          <w:tcPr>
            <w:tcW w:w="100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195"/>
        </w:trPr>
        <w:tc>
          <w:tcPr>
            <w:tcW w:w="5300" w:type="dxa"/>
            <w:vAlign w:val="bottom"/>
          </w:tcPr>
          <w:p>
            <w:pPr>
              <w:spacing w:after="0"/>
              <w:rPr>
                <w:sz w:val="20"/>
                <w:szCs w:val="20"/>
                <w:color w:val="auto"/>
              </w:rPr>
            </w:pPr>
            <w:r>
              <w:rPr>
                <w:rFonts w:ascii="Arial" w:cs="Arial" w:eastAsia="Arial" w:hAnsi="Arial"/>
                <w:sz w:val="14"/>
                <w:szCs w:val="14"/>
                <w:color w:val="auto"/>
              </w:rPr>
              <w:t>Operating expenses</w:t>
            </w:r>
          </w:p>
        </w:tc>
        <w:tc>
          <w:tcPr>
            <w:tcW w:w="10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(9)</w:t>
            </w:r>
          </w:p>
        </w:tc>
        <w:tc>
          <w:tcPr>
            <w:tcW w:w="14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r>
      <w:tr>
        <w:trPr>
          <w:trHeight w:val="206"/>
        </w:trPr>
        <w:tc>
          <w:tcPr>
            <w:tcW w:w="53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00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00"/>
        </w:trPr>
        <w:tc>
          <w:tcPr>
            <w:tcW w:w="5300" w:type="dxa"/>
            <w:vAlign w:val="bottom"/>
          </w:tcPr>
          <w:p>
            <w:pPr>
              <w:spacing w:after="0"/>
              <w:rPr>
                <w:sz w:val="20"/>
                <w:szCs w:val="20"/>
                <w:color w:val="auto"/>
              </w:rPr>
            </w:pPr>
            <w:r>
              <w:rPr>
                <w:rFonts w:ascii="Arial" w:cs="Arial" w:eastAsia="Arial" w:hAnsi="Arial"/>
                <w:sz w:val="14"/>
                <w:szCs w:val="14"/>
                <w:color w:val="auto"/>
              </w:rPr>
              <w:t>COVID-19 charges, net</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(9)</w:t>
            </w:r>
          </w:p>
        </w:tc>
        <w:tc>
          <w:tcPr>
            <w:tcW w:w="14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0"/>
        </w:trPr>
        <w:tc>
          <w:tcPr>
            <w:tcW w:w="5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tbl>
      <w:tblPr>
        <w:tblLayout w:type="fixed"/>
        <w:tblInd w:w="442" w:type="dxa"/>
        <w:tblCellMar>
          <w:top w:w="0" w:type="dxa"/>
          <w:left w:w="0" w:type="dxa"/>
          <w:bottom w:w="0" w:type="dxa"/>
          <w:right w:w="0" w:type="dxa"/>
        </w:tblCellMar>
      </w:tblPr>
      <w:tr>
        <w:trPr>
          <w:trHeight w:val="123"/>
        </w:trPr>
        <w:tc>
          <w:tcPr>
            <w:tcW w:w="200" w:type="dxa"/>
            <w:vAlign w:val="bottom"/>
          </w:tcPr>
          <w:p>
            <w:pPr>
              <w:spacing w:after="0"/>
              <w:rPr>
                <w:sz w:val="20"/>
                <w:szCs w:val="20"/>
                <w:color w:val="auto"/>
              </w:rPr>
            </w:pPr>
            <w:r>
              <w:rPr>
                <w:rFonts w:ascii="Arial" w:cs="Arial" w:eastAsia="Arial" w:hAnsi="Arial"/>
                <w:sz w:val="9"/>
                <w:szCs w:val="9"/>
                <w:color w:val="auto"/>
              </w:rPr>
              <w:t>(e)</w:t>
            </w:r>
          </w:p>
        </w:tc>
        <w:tc>
          <w:tcPr>
            <w:tcW w:w="4580" w:type="dxa"/>
            <w:vAlign w:val="bottom"/>
            <w:vMerge w:val="restart"/>
          </w:tcPr>
          <w:p>
            <w:pPr>
              <w:ind w:left="120"/>
              <w:spacing w:after="0"/>
              <w:rPr>
                <w:sz w:val="20"/>
                <w:szCs w:val="20"/>
                <w:color w:val="auto"/>
              </w:rPr>
            </w:pPr>
            <w:r>
              <w:rPr>
                <w:rFonts w:ascii="Arial" w:cs="Arial" w:eastAsia="Arial" w:hAnsi="Arial"/>
                <w:sz w:val="14"/>
                <w:szCs w:val="14"/>
                <w:color w:val="auto"/>
              </w:rPr>
              <w:t>Primarily relates to a gain upon deconsolidation of a former subsidiary.</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4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Since December 31, 2021, there have been no significant changes in segment assets exclusive of assets under vehicle programs. As of September 30, 2022 and December 31, 2021, Americas’ segment assets under vehicle programs were approximately $13.8 billion and $ 11.4 billion, respectively. The change in assets under vehicle programs is primarily due to the increase in the size of our vehicle rental fleet to meet the increase in rental demand.</w:t>
      </w:r>
    </w:p>
    <w:p>
      <w:pPr>
        <w:spacing w:after="0" w:line="203" w:lineRule="exact"/>
        <w:rPr>
          <w:sz w:val="20"/>
          <w:szCs w:val="20"/>
          <w:color w:val="auto"/>
        </w:rPr>
      </w:pPr>
    </w:p>
    <w:p>
      <w:pPr>
        <w:ind w:left="442" w:hanging="442"/>
        <w:spacing w:after="0"/>
        <w:tabs>
          <w:tab w:leader="none" w:pos="44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2"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October 2022, we repurchased approximately 1.5 million shares of our common stock at a cost of approximately $259 million under our Stock Repurchase Program.</w:t>
      </w:r>
    </w:p>
    <w:p>
      <w:pPr>
        <w:spacing w:after="0" w:line="185" w:lineRule="exact"/>
        <w:rPr>
          <w:rFonts w:ascii="Arial" w:cs="Arial" w:eastAsia="Arial" w:hAnsi="Arial"/>
          <w:sz w:val="18"/>
          <w:szCs w:val="18"/>
          <w:b w:val="1"/>
          <w:bCs w:val="1"/>
          <w:color w:val="auto"/>
        </w:rPr>
      </w:pPr>
    </w:p>
    <w:p>
      <w:pPr>
        <w:ind w:left="5302"/>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92"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71" w:right="339" w:bottom="1440" w:gutter="0" w:footer="0" w:header="0"/>
          <w:type w:val="continuous"/>
        </w:sectPr>
      </w:pPr>
    </w:p>
    <w:bookmarkStart w:id="30" w:name="page31"/>
    <w:bookmarkEnd w:id="30"/>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2021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707,000 vehicles in third quarter 2022.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certain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certain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year, we have seen a number of encouraging developments, such as increased global travel demand, which generated an increase in demand for rental vehicles, and improved pricing across the industry. Our strategy continues to focus on cost optimization, core revenue growth and capital investments aimed at allowing us to maximize our infrastructure to capitalize on what we believe will be continued strong travel demand through the remainder of 2022. During the quarter ended September 30, 2022, we generated revenues of $3.5 billion, net income of $1.0 billion and Adjusted EBITDA of $1.5 billion. These results were driven by increased demand for rental vehicles, improved pricing across the industry, disciplined cost management and continued fleet management.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full extent of the ongoing impact of the COVID-19 pandemic on our long-term operational and financial performance will depend on future developments, including those outside of our control, such as the spread of new variants of the virus and the implementation of new or continued travel restrictions, and the overall economic environment. This could cause prolonged impacts on the economy, our industry and on us, including with respect to staffing, inflation and interest expense, among other impacts. We will continue to monitor these and other factors and take necessary action by leveraging our technology and evaluating cost mitigation actions, among other actions. Significant events affecting travel have historically had an impact on vehicle rental volumes, with the full extent of the impact generally determined by the length of time the event influences travel decisions. As a consequence, we cannot estimate the impact on our business or financial condition, or forecast financial or operational results with reasonable certainty.</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Supply chain issues, including the global semiconductor shortage, are impacting fleet supply, resulting in tighter fleets throughout the industry and causing us to hold cars longer compared to periods prior to the COVID-19 pandemic. While the impacts of the COVID-19 pandemic across the economy have been unprecedented in their scope, we have historically navigated through significant vehicle recalls and worked with our vehicle manufacturers, and believe we have the logistics in place to effectively manage our fleet during this disruption in supply. We continue to purchase vehicles and believe we can increase our fleet utilization efficiency to capture increased demand.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COVID-19 charges, net, other (income) expense, net and income taxes. Net charges for unprecedented personal-injury and other legal matters are recorded within operating expenses in our consolidated results of operations. Non-operational charges related to shareholder activist activity include third party advisory, legal and other professional service fees and are recorded within selling, general and administrative expenses in our consolidated results of operations.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other charges, and losses associated with vehicles damaged in overflow parking lots, net of insurance proceeds, and are primarily recorded within operating expenses in our consolidated results of operations. We revised our definition of Adjusted EBITDA to exclude other (income) expense, net. We did not revise prior years’ Adjusted EBITDA because there were no other charges similar in nature.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2022:</w:t>
      </w:r>
    </w:p>
    <w:p>
      <w:pPr>
        <w:spacing w:after="0" w:line="252" w:lineRule="exact"/>
        <w:rPr>
          <w:sz w:val="20"/>
          <w:szCs w:val="20"/>
          <w:color w:val="auto"/>
        </w:rPr>
      </w:pPr>
    </w:p>
    <w:p>
      <w:pPr>
        <w:jc w:val="both"/>
        <w:ind w:left="660" w:hanging="328"/>
        <w:spacing w:after="0" w:line="262"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revenues totaled $9.2 billion, an increase of 37% compared to the similar period in 2021, primarily due to increased demand for rental vehicles and a significant increase in pricing. The significant increase in revenues was a direct result of the global effort to combat the incidence and spread of the COVID-19 virus, which led to a significant increase in global travel demand, suggesting a steady return to historic travel levels.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net income was $2.3 billion, representing a significant increase of $1.4 billion year-over-year, primarily due to significantly higher revenues, as described above, in addition to disciplined cost management.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Adjusted EBITDA was $3.5 billion, representing a significant increase of $1.7 billion year-over-year, primarily due to significantly higher revenues and disciplined cost management.</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repurchased approximately $2.6 billion of our common stock, reducing our shares outstanding by approximately 13.2 million shares.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Three Months Ended September 30, 2022 vs. Three Months Ended September 30,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of the following:</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200" w:type="dxa"/>
            <w:vAlign w:val="bottom"/>
            <w:tcBorders>
              <w:bottom w:val="single" w:sz="8" w:color="auto"/>
            </w:tcBorders>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303"/>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5"/>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325"/>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1"/>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$546 million, or 18%, during the three months ended September 30, 2022 compared to the similar period in 2021, primarily due to a 17% increase in volume as the mobility industry recovers from the pandemic and a 4% increase in revenue per day, excluding exchange rate effects, partially offset by a $133 million negative impact from currency exchange rate movements. Total expenses increased 6% during the three months ended September 30, 2022, compared to the similar period in 2021, primarily due to increased demand, partially offset by cost discipline as volume returned. Our effective tax rates were a provision of 23.2% and 27.4% for the three months ended September 30, 2022 and 2021, respectively. As a result of these items, our net income increased by $357 million compared to the similar period in 2021. For the three months ended September 30, 2022 and 2021, we reported earnings per diluted share of $21.67 and $10.45,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41.3% of revenue during the three months ended September 30, 2022 compared to 40.9% during the similar period in 2021, primarily due to increased demand, partially offset by cost discipline as volume returned. Vehicle depreciation and lease charges decreased to 3.8% of revenue during the three months ended September 30, 2022 compared to 9.2% during the similar period in 2021, primarily due to increased revenues and a 53% lower per unit fleet cost, excluding exchange rate effects, driven by the continued favorable trend in the used-vehicle market. Selling, general and administrative costs decreased to 10.8% of revenue during the three months ended September 30, 2022 compared to 12.0% during the similar period in 2021, primarily due to increased revenues and cost discipline as volume returned. Vehicle interest costs were 3.0% of revenue during the three months ended September 30, 2022, which is consistent with 2.7% during the similar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4" w:right="339" w:bottom="1440" w:gutter="0" w:footer="0" w:header="0"/>
        </w:sectPr>
      </w:pPr>
    </w:p>
    <w:bookmarkStart w:id="33" w:name="page34"/>
    <w:bookmarkEnd w:id="33"/>
    <w:p>
      <w:pPr>
        <w:ind w:right="20"/>
        <w:spacing w:after="0" w:line="276"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8"/>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952</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8"/>
        </w:trPr>
        <w:tc>
          <w:tcPr>
            <w:tcW w:w="504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3,001</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1,057</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09"/>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8"/>
        </w:trPr>
        <w:tc>
          <w:tcPr>
            <w:tcW w:w="81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5"/>
        </w:trPr>
        <w:tc>
          <w:tcPr>
            <w:tcW w:w="8160" w:type="dxa"/>
            <w:vAlign w:val="bottom"/>
            <w:gridSpan w:val="3"/>
          </w:tcPr>
          <w:p>
            <w:pPr>
              <w:ind w:left="12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r>
      <w:tr>
        <w:trPr>
          <w:trHeight w:val="210"/>
        </w:trPr>
        <w:tc>
          <w:tcPr>
            <w:tcW w:w="8160" w:type="dxa"/>
            <w:vAlign w:val="bottom"/>
            <w:gridSpan w:val="3"/>
          </w:tcPr>
          <w:p>
            <w:pPr>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929</w:t>
            </w:r>
          </w:p>
        </w:tc>
      </w:tr>
      <w:tr>
        <w:trPr>
          <w:trHeight w:val="31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 xml:space="preserve">Non-vehicle related depreciation and amortization </w:t>
            </w:r>
            <w:r>
              <w:rPr>
                <w:rFonts w:ascii="Arial" w:cs="Arial" w:eastAsia="Arial" w:hAnsi="Arial"/>
                <w:sz w:val="21"/>
                <w:szCs w:val="21"/>
                <w:color w:val="auto"/>
                <w:vertAlign w:val="superscript"/>
              </w:rPr>
              <w:t>(b)</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Early extinguishment of debt</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(c)</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 net</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(d)</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7"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(e)</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r>
      <w:tr>
        <w:trPr>
          <w:trHeight w:val="20"/>
        </w:trPr>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2"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2022, includes operating expenses related to cloud computing costs of $2 million.</w:t>
      </w:r>
    </w:p>
    <w:p>
      <w:pPr>
        <w:spacing w:after="0" w:line="13"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13"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center"/>
              <w:ind w:left="7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center"/>
              <w:ind w:left="7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Other charges</w:t>
            </w: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7640" w:type="dxa"/>
            <w:vAlign w:val="bottom"/>
          </w:tcPr>
          <w:p>
            <w:pPr>
              <w:ind w:left="14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7640" w:type="dxa"/>
            <w:vAlign w:val="bottom"/>
          </w:tcPr>
          <w:p>
            <w:pPr>
              <w:ind w:left="140"/>
              <w:spacing w:after="0"/>
              <w:rPr>
                <w:sz w:val="20"/>
                <w:szCs w:val="20"/>
                <w:color w:val="auto"/>
              </w:rPr>
            </w:pPr>
            <w:r>
              <w:rPr>
                <w:rFonts w:ascii="Arial" w:cs="Arial" w:eastAsia="Arial" w:hAnsi="Arial"/>
                <w:sz w:val="14"/>
                <w:szCs w:val="14"/>
                <w:color w:val="auto"/>
              </w:rPr>
              <w:t>COVID-19 charges,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center"/>
              <w:ind w:left="78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9"/>
                <w:szCs w:val="9"/>
                <w:color w:val="auto"/>
              </w:rPr>
              <w:t>(e)</w:t>
            </w:r>
          </w:p>
        </w:tc>
        <w:tc>
          <w:tcPr>
            <w:tcW w:w="7640" w:type="dxa"/>
            <w:vAlign w:val="bottom"/>
            <w:vMerge w:val="restart"/>
          </w:tcPr>
          <w:p>
            <w:pPr>
              <w:ind w:left="100"/>
              <w:spacing w:after="0"/>
              <w:rPr>
                <w:sz w:val="20"/>
                <w:szCs w:val="20"/>
                <w:color w:val="auto"/>
              </w:rPr>
            </w:pPr>
            <w:r>
              <w:rPr>
                <w:rFonts w:ascii="Arial" w:cs="Arial" w:eastAsia="Arial" w:hAnsi="Arial"/>
                <w:sz w:val="14"/>
                <w:szCs w:val="14"/>
                <w:color w:val="auto"/>
              </w:rPr>
              <w:t>Primarily relates to a gain upon deconsolidation of a former subsidiary.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2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76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increased 12% during the three months ended September 30, 2022 compared to the similar period in 2021, primarily due to a 16% increase in volume, partially offset by a 3% decrease in revenue per day.</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to 42.7% of revenue during the three months ended September 30, 2022 compared to 39.7% during the similar period in 2021, primarily due to increased demand, partially offset by cost discipline as volume returned. Vehicle depreciation and lease charges decreased to 0.5% of revenue during the three months ended September 30, 2022 compared to 7.8% during the similar period in 2021, primarily due to increased revenues and a 93% decrease in per-unit fleet costs, excluding exchange rate effects, driven by the continued favorable trend in the used-vehicle market. Selling, general and administrative costs decreased to 9.5% of revenue during the three months ended September 30, 2022 compared to 10.3% during the similar period in 2021, primarily due to increased revenues and cost discipline as volume returned. Vehicle interest costs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4" w:name="page35"/>
    <w:bookmarkEnd w:id="34"/>
    <w:p>
      <w:pPr>
        <w:jc w:val="both"/>
        <w:ind w:right="20"/>
        <w:spacing w:after="0" w:line="287" w:lineRule="auto"/>
        <w:rPr>
          <w:sz w:val="20"/>
          <w:szCs w:val="20"/>
          <w:color w:val="auto"/>
        </w:rPr>
      </w:pPr>
      <w:r>
        <w:rPr>
          <w:rFonts w:ascii="Arial" w:cs="Arial" w:eastAsia="Arial" w:hAnsi="Arial"/>
          <w:sz w:val="18"/>
          <w:szCs w:val="18"/>
          <w:color w:val="auto"/>
        </w:rPr>
        <w:t>increased to 3.5% of revenue during the three months ended September 30, 2022 compared to 2.7% during the similar period in 2021, primarily due to higher interest rates.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was $233 million higher during the three months ended September 30, 2022 compared to the similar period in 2021, primarily due to increased revenues, lower per-unit fleet costs and cost discipline as volume returned.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402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127 %</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41% during the three months ended September 30, 2022, compared to the similar period in 2021, primarily due to 33% increase in revenue per day, excluding exchange rate effects and a 22% increase in volume, partially offset by an $127 million negative impact from currency exchange rate movements.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36.4% of revenue during the three months ended September 30, 2022 compared to 44.7% during the similar period in 2021, primarily due to increased revenues and cost discipline as volume returned. Vehicle depreciation and lease charges decreased to 14.2% of revenue during the three months ended September 30, 2022 compared to 15.1% during the similar period in 2021, primarily due to increased revenues and improved utilization, partially offset by a 28% increase in per-unit fleet costs, excluding exchange rate effects. Selling, general and administrative costs decreased to 13.2% of revenue during the three months ended September 30, 2022 compared to 15.9% during the similar period in 2021, primarily due to increased revenues and cost discipline as volume returned. Vehicle interest costs decreased to 1.6% of revenue during the three months ended September 30, 2022 compared to 2.4% during the similar period in 2021, primarily due to increased revenues.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was $163 million higher in third quarter 2022 compared to the similar period in 2021, primarily due to increased revenues and cost discipline as volume returned, partially offset by an increase in per-unit fleet costs and a $39 million negative impact from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Nine Months Ended September 30, 2022 vs. Nine Months Ended September 30,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220" w:type="dxa"/>
            <w:vAlign w:val="bottom"/>
            <w:tcBorders>
              <w:bottom w:val="single" w:sz="8" w:color="auto"/>
            </w:tcBorders>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37 %</w:t>
            </w:r>
          </w:p>
        </w:tc>
      </w:tr>
      <w:tr>
        <w:trPr>
          <w:trHeight w:val="303"/>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5"/>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(67 %)</w:t>
            </w:r>
          </w:p>
        </w:tc>
      </w:tr>
      <w:tr>
        <w:trPr>
          <w:trHeight w:val="217"/>
        </w:trPr>
        <w:tc>
          <w:tcPr>
            <w:tcW w:w="582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452"/>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6,103</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5,579</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325"/>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$2.5 billion, or 37%, during the nine months ended September 30, 2022 compared to the similar period in 2021, primarily due to a 28% increase in volume as the mobility industry recovers from the pandemic and a 9% increase in revenue per day, excluding exchange rate effects, partially offset by a $248 million negative impact from currency exchange rate movements. Total expenses increased 9% during the nine months ended September 30, 2022, compared to the similar period in 2021, primarily due to increased demand, partially offset by cost discipline as volume returned. Our effective tax rates were a provision of 25.3% and 22.6% for the nine months ended September 30, 2022 and 2021, respectively. As a result of these items, our net income increased by $1.4 billion compared to the similar period in 2021. For the nine months ended September 30, 2022 and 2021, we reported earnings per diluted share of $46.32 and $13.16,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42.9% of revenue during the nine months ended September 30, 2022 compared to 45.8% during the similar period in 2021, primarily due to the increased revenues and cost discipline as volume returned. Vehicle depreciation and lease charges decreased to 5.2% of revenue during the nine months ended September 30, 2022 compared to 12.9% during the similar period in 2021, primarily due to increased revenues and a 54% lower per unit fleet cost, excluding exchange rate effects, driven by the continued favorable trend in the used-vehicle market. Selling, general and administrative costs decreased to 11.1% of revenue during the nine months ended September 30, 2022 compared to 12.4% during the similar period in 2021, primarily due to increased revenues and cost discipline as volume returned. Vehicle interest costs decreased to 3.0% of revenue during the nine months ended September 30, 2022 compared to 3.4% during the similar period in 2021, primarily due to increased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6" w:name="page37"/>
    <w:bookmarkEnd w:id="36"/>
    <w:p>
      <w:pPr>
        <w:ind w:right="20"/>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8"/>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1,694</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8"/>
        </w:trPr>
        <w:tc>
          <w:tcPr>
            <w:tcW w:w="504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6,744</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1,728</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09"/>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8"/>
        </w:trPr>
        <w:tc>
          <w:tcPr>
            <w:tcW w:w="81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2,332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15"/>
        </w:trPr>
        <w:tc>
          <w:tcPr>
            <w:tcW w:w="8160" w:type="dxa"/>
            <w:vAlign w:val="bottom"/>
            <w:gridSpan w:val="3"/>
          </w:tcPr>
          <w:p>
            <w:pPr>
              <w:ind w:left="12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0"/>
        </w:trPr>
        <w:tc>
          <w:tcPr>
            <w:tcW w:w="8160" w:type="dxa"/>
            <w:vAlign w:val="bottom"/>
            <w:gridSpan w:val="3"/>
          </w:tcPr>
          <w:p>
            <w:pPr>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1,165</w:t>
            </w:r>
          </w:p>
        </w:tc>
      </w:tr>
      <w:tr>
        <w:trPr>
          <w:trHeight w:val="31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 xml:space="preserve">Non-vehicle related depreciation and amortization </w:t>
            </w:r>
            <w:r>
              <w:rPr>
                <w:rFonts w:ascii="Arial" w:cs="Arial" w:eastAsia="Arial" w:hAnsi="Arial"/>
                <w:sz w:val="21"/>
                <w:szCs w:val="21"/>
                <w:color w:val="auto"/>
                <w:vertAlign w:val="superscript"/>
              </w:rPr>
              <w:t>(b)</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Early extinguishment of debt</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(c)</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(d)</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7" w:lineRule="exact"/>
              <w:rPr>
                <w:sz w:val="20"/>
                <w:szCs w:val="20"/>
                <w:color w:val="auto"/>
              </w:rPr>
            </w:pPr>
            <w:r>
              <w:rPr>
                <w:rFonts w:ascii="Arial" w:cs="Arial" w:eastAsia="Arial" w:hAnsi="Arial"/>
                <w:sz w:val="16"/>
                <w:szCs w:val="16"/>
                <w:color w:val="auto"/>
              </w:rPr>
              <w:t xml:space="preserve">Other (expense) income, net </w:t>
            </w:r>
            <w:r>
              <w:rPr>
                <w:rFonts w:ascii="Arial" w:cs="Arial" w:eastAsia="Arial" w:hAnsi="Arial"/>
                <w:sz w:val="21"/>
                <w:szCs w:val="21"/>
                <w:color w:val="auto"/>
                <w:vertAlign w:val="superscript"/>
              </w:rPr>
              <w:t>(e)</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6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w:t>
            </w:r>
          </w:p>
        </w:tc>
      </w:tr>
      <w:tr>
        <w:trPr>
          <w:trHeight w:val="21"/>
        </w:trPr>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20" w:hanging="312"/>
        <w:spacing w:after="0"/>
        <w:tabs>
          <w:tab w:leader="none" w:pos="320" w:val="left"/>
        </w:tabs>
        <w:numPr>
          <w:ilvl w:val="0"/>
          <w:numId w:val="42"/>
        </w:numPr>
        <w:rPr>
          <w:rFonts w:ascii="Arial" w:cs="Arial" w:eastAsia="Arial" w:hAnsi="Arial"/>
          <w:sz w:val="9"/>
          <w:szCs w:val="9"/>
          <w:color w:val="auto"/>
        </w:rPr>
      </w:pPr>
      <w:r>
        <w:rPr>
          <w:rFonts w:ascii="Arial" w:cs="Arial" w:eastAsia="Arial" w:hAnsi="Arial"/>
          <w:sz w:val="14"/>
          <w:szCs w:val="14"/>
          <w:color w:val="auto"/>
        </w:rPr>
        <w:t>For the nine months ended September 30, 2022 and 2021, includes operating expenses related to cloud computing costs of $6 million and $5 million, respectively.</w:t>
      </w:r>
    </w:p>
    <w:p>
      <w:pPr>
        <w:spacing w:after="0" w:line="15" w:lineRule="exact"/>
        <w:rPr>
          <w:rFonts w:ascii="Arial" w:cs="Arial" w:eastAsia="Arial" w:hAnsi="Arial"/>
          <w:sz w:val="9"/>
          <w:szCs w:val="9"/>
          <w:color w:val="auto"/>
        </w:rPr>
      </w:pPr>
    </w:p>
    <w:p>
      <w:pPr>
        <w:ind w:left="320" w:hanging="312"/>
        <w:spacing w:after="0" w:line="222" w:lineRule="auto"/>
        <w:tabs>
          <w:tab w:leader="none" w:pos="3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13"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Other charges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7640" w:type="dxa"/>
            <w:vAlign w:val="bottom"/>
          </w:tcPr>
          <w:p>
            <w:pPr>
              <w:ind w:left="140"/>
              <w:spacing w:after="0"/>
              <w:rPr>
                <w:sz w:val="20"/>
                <w:szCs w:val="20"/>
                <w:color w:val="auto"/>
              </w:rPr>
            </w:pPr>
            <w:r>
              <w:rPr>
                <w:rFonts w:ascii="Arial" w:cs="Arial" w:eastAsia="Arial" w:hAnsi="Arial"/>
                <w:sz w:val="14"/>
                <w:szCs w:val="14"/>
                <w:color w:val="auto"/>
              </w:rPr>
              <w:t>Operating expenses</w:t>
            </w:r>
          </w:p>
        </w:tc>
        <w:tc>
          <w:tcPr>
            <w:tcW w:w="10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76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7640" w:type="dxa"/>
            <w:vAlign w:val="bottom"/>
          </w:tcPr>
          <w:p>
            <w:pPr>
              <w:ind w:left="140"/>
              <w:spacing w:after="0"/>
              <w:rPr>
                <w:sz w:val="20"/>
                <w:szCs w:val="20"/>
                <w:color w:val="auto"/>
              </w:rPr>
            </w:pPr>
            <w:r>
              <w:rPr>
                <w:rFonts w:ascii="Arial" w:cs="Arial" w:eastAsia="Arial" w:hAnsi="Arial"/>
                <w:sz w:val="14"/>
                <w:szCs w:val="14"/>
                <w:color w:val="auto"/>
              </w:rPr>
              <w:t>COVID-19 charges, net</w:t>
            </w: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9"/>
                <w:szCs w:val="9"/>
                <w:color w:val="auto"/>
              </w:rPr>
              <w:t>(e)</w:t>
            </w:r>
          </w:p>
        </w:tc>
        <w:tc>
          <w:tcPr>
            <w:tcW w:w="7640" w:type="dxa"/>
            <w:vAlign w:val="bottom"/>
            <w:vMerge w:val="restart"/>
          </w:tcPr>
          <w:p>
            <w:pPr>
              <w:ind w:left="100"/>
              <w:spacing w:after="0"/>
              <w:rPr>
                <w:sz w:val="20"/>
                <w:szCs w:val="20"/>
                <w:color w:val="auto"/>
              </w:rPr>
            </w:pPr>
            <w:r>
              <w:rPr>
                <w:rFonts w:ascii="Arial" w:cs="Arial" w:eastAsia="Arial" w:hAnsi="Arial"/>
                <w:sz w:val="14"/>
                <w:szCs w:val="14"/>
                <w:color w:val="auto"/>
              </w:rPr>
              <w:t>Primarily relates to a gain upon deconsolidation of a former subsidiary.</w:t>
            </w: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20" w:type="dxa"/>
            <w:vAlign w:val="bottom"/>
            <w:vMerge w:val="continue"/>
          </w:tcPr>
          <w:p>
            <w:pPr>
              <w:spacing w:after="0"/>
              <w:rPr>
                <w:sz w:val="18"/>
                <w:szCs w:val="18"/>
                <w:color w:val="auto"/>
              </w:rPr>
            </w:pPr>
          </w:p>
        </w:tc>
        <w:tc>
          <w:tcPr>
            <w:tcW w:w="76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76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59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7,270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increased 33% during the nine months ended September 30, 2022 compared to the similar period in 2021, primarily due to a 29% increase in volume and an 3% increase in revenue per day.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expenses decreased to 42.9% of revenue during the nine months ended September 30, 2022 compared to 43.7% during the similar period in 2021, primarily due to increased revenues and cost discipline as volume returned. Vehicle depreciation and lease charges decreased to 2.3% of revenue during the nine months ended September 30, 2022 compared to 11.5% during the similar period in 2021, primarily due to increased revenues and a 79% decrease in per-unit fleet costs, driven by the continued favorable trend in the used-vehicle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7" w:name="page38"/>
    <w:bookmarkEnd w:id="37"/>
    <w:p>
      <w:pPr>
        <w:jc w:val="both"/>
        <w:spacing w:after="0" w:line="262" w:lineRule="auto"/>
        <w:rPr>
          <w:sz w:val="20"/>
          <w:szCs w:val="20"/>
          <w:color w:val="auto"/>
        </w:rPr>
      </w:pPr>
      <w:r>
        <w:rPr>
          <w:rFonts w:ascii="Arial" w:cs="Arial" w:eastAsia="Arial" w:hAnsi="Arial"/>
          <w:sz w:val="18"/>
          <w:szCs w:val="18"/>
          <w:color w:val="auto"/>
        </w:rPr>
        <w:t>market. Selling, general and administrative costs decreased to 9.6% of revenue during the nine months ended September 30, 2022 compared to 10.3% during the similar period in 2021, primarily due to increased revenues and cost discipline as volume returned. Vehicle interest costs were 3.4% of revenue during the nine months ended September 30, 2022, which is consistent with 3.5% during the similar period in 2021.</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was $1.3 billion higher during the nine months ended September 30, 2022 compared to the similar period in 2021, primarily due to increased revenues, lower per-unit fleet costs and cost discipline as volume returned.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59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478 %</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52% during the nine months ended September 30, 2022, compared to the similar period in 2021, primarily due to a 35% increase in revenue per day, excluding exchange rate effects and a 26% increase in volume, partially offset by a $237 million negative impact from currency exchange rate movements.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42.5% of revenue during the nine months ended September 30, 2022 compared to 54.3% during the similar period in 2021, primarily due to increased revenues and cost discipline as volume returned. Vehicle depreciation and lease charges decreased to 15.9% of revenue during the nine months ended September 30, 2022 compared to 18.6% during the similar period in 2021, primarily due to increased revenues and improved utilization, partially offset by a 17% increase in per-unit fleet costs, excluding exchange rate effects. Selling, general and administrative costs decreased to 14.4% of revenue during the nine months ended September 30, 2022 compared to 17.6% during the similar period in 2021, primarily due to increased revenues and cost discipline as volume returned. Vehicle interest costs decreased to 1.9% of revenue during the nine months ended September 30, 2022 compared to 3.1% during the similar period in 2021, primarily due to increased revenues.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was $411 million higher during the nine months ended September 30, 2022 compared to the similar period in 2021, primarily due to increased revenues and cost discipline as volume returned, offset by higher per-unit fleet costs and a $63 million negative impact from currency exchange rate movements.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6"/>
                <w:szCs w:val="16"/>
                <w:color w:val="auto"/>
              </w:rPr>
            </w:pPr>
          </w:p>
        </w:tc>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8,581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8,933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13,876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increase in liabilities exclusive of liabilities under vehicle programs is principally related to the increase in corporate indebtedness from the issuance of Floating Rate Term Loan due March 2029. See “Liquidity and Capital Resources” and Note 10 to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jc w:val="both"/>
        <w:spacing w:after="0" w:line="287"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increase in the size of our vehicle rental fleet to meet increased rental demand.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stockholders’ equity is primarily due to our share repurchases, partially offset by comprehensive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2022, we entered into a $750 million Floating Rate Term Loan due March 2029, at a price of 97% of the aggregate principal amount, with interest paid monthly, which is part of our senior credit facilities. The Floating Rate Term Loan due March 2029 bears interest at one-month SOFR plus 350 basis points for an aggregate rate of 6.63%.</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second quarter 2022, our Avis Budget Rental Car Funding (AESOP) LLC subsidiary issued an aggregate of approximately $870 million of asset-backed notes. We used the proceeds from these borrowings to fund the repayment of maturing vehicle-backed debt and the acquisition of rental cars in the United States. Borrowings under the Avis Budget Rental Car Funding program primarily represent fixed rate notes. Our Avis Budget Rental Car Funding (AESOP) LLC subsidiary also entered into $800 million of variable funding asset-backed notes.</w:t>
      </w: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2022, our Avis Budget Rental Car Funding (AESOP) LLC subsidiary issued $763 million of asset-backed notes to investors. Following this issuance, amounts available under our $800 million variable funding asset-backed notes supplement entered into during June 2022 were reduced to zero.</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 xml:space="preserve">Our Board of Directors has authorized the repurchase of up to </w:t>
      </w:r>
      <w:r>
        <w:rPr>
          <w:rFonts w:ascii="Arial" w:cs="Arial" w:eastAsia="Arial" w:hAnsi="Arial"/>
          <w:sz w:val="18"/>
          <w:szCs w:val="18"/>
          <w:color w:val="000000"/>
        </w:rPr>
        <w:t>$7.1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May 2022.</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D</w:t>
      </w:r>
      <w:r>
        <w:rPr>
          <w:rFonts w:ascii="Arial" w:cs="Arial" w:eastAsia="Arial" w:hAnsi="Arial"/>
          <w:sz w:val="18"/>
          <w:szCs w:val="18"/>
          <w:color w:val="000000"/>
        </w:rPr>
        <w:t>uring the nine months ended September 30, 2022, we repurchased approximately 13.2</w:t>
      </w:r>
      <w:r>
        <w:rPr>
          <w:rFonts w:ascii="Arial" w:cs="Arial" w:eastAsia="Arial" w:hAnsi="Arial"/>
          <w:sz w:val="18"/>
          <w:szCs w:val="18"/>
          <w:color w:val="262626"/>
        </w:rPr>
        <w:t xml:space="preserve"> </w:t>
      </w:r>
      <w:r>
        <w:rPr>
          <w:rFonts w:ascii="Arial" w:cs="Arial" w:eastAsia="Arial" w:hAnsi="Arial"/>
          <w:sz w:val="18"/>
          <w:szCs w:val="18"/>
          <w:color w:val="000000"/>
        </w:rPr>
        <w:t>million shares of common stock at a cost of approximately $2.6 billion under the program. As of September 30, 2022, approximately $1.4 billion of authorization remained available to repurchase common stock under the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7"/>
          </w:tcPr>
          <w:p>
            <w:pPr>
              <w:jc w:val="right"/>
              <w:ind w:right="7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696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4"/>
        </w:trPr>
        <w:tc>
          <w:tcPr>
            <w:tcW w:w="6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3,862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6"/>
                <w:szCs w:val="16"/>
                <w:color w:val="auto"/>
              </w:rPr>
              <w:t>Net increase in cash and cash equivalents, program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1"/>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cash provided by operating activities during the nine months ended September 30, 2022 compared with the same period in 2021 is primarily due to the increase in our net income.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8"/>
          <w:szCs w:val="18"/>
          <w:color w:val="auto"/>
        </w:rPr>
        <w:t>The decrease in cash used in investing activities during the nine months ended September 30, 2022 compared with the same period in 2021 is primarily due to the increase in proceeds received on vehicle sales.</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decrease in cash provided by financing activities during the nine months ended September 30, 2022 compared with the same period in 2021 is primarily due to the increase in repurchases of common stock and payments on vehicle borrowings, offset by a decrease in net payments on corporate borrowings.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30, 2022, we had approximately $17.7 billion of indebtedness, including corporate indebtedness of approximately $4.6 billion and debt under vehicle programs of approximately $13.1 billion. For information regarding our debt and borrowing arrangements, see Notes 1, 10 and 11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liquidity position was impacted by COVID-19 as a result of significant volume declines. However, since 2021, travel advisories and restrictions were eased, which led to a significant increase in global travel demand, resulting in increased demand for rental vehicles and improved pricing across the industry. However, the full extent of the ongoing impact of this virus on our long-term operational performance and liquidity will depend on future developments, including those outside of our control, such as the spread of new variants of the virus, which may be resistant to currently approved vaccines and the implementation of new or continued travel restrictions.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could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w:t>
      </w:r>
    </w:p>
    <w:p>
      <w:pPr>
        <w:spacing w:after="0" w:line="3" w:lineRule="exact"/>
        <w:rPr>
          <w:sz w:val="20"/>
          <w:szCs w:val="20"/>
          <w:color w:val="auto"/>
        </w:rPr>
      </w:pPr>
    </w:p>
    <w:p>
      <w:pPr>
        <w:jc w:val="both"/>
        <w:ind w:firstLine="8"/>
        <w:spacing w:after="0" w:line="257"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2022, we had $ 0.6 billion of available cash and cash equivalents and access to available borrowings under our revolving credit facility of approximately $1.1 billion, providing us with approximately $1.7 billion of total liquidity.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September 30, 2022, we were in compliance with the financial covenants governing our indebtedness. For additional information regarding our liquidity risks, see Part I, Item 1A, “Risk Factors” of our 2021 Form 10-K, as well as the “Risk Factors” section in this quarterly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2021 Form 10-K with the exception of our commitment to purchase vehicles, which decreased by approximately $1.7 billion from December 31, 2021, to approximately $4.2 billion as of September 30, 2022 due to seasonality.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ACCOUNTING POLICIES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2021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2022 reported results. There have been no significant changes to those accounting policies or our assessment of which accounting policies we would consider to be critical accounting policies.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 frequently if events or circumstances indicate that the carrying amount of goodwill and other indefinite-lived intangible assets may be impaired. For our Europe, Middle East and Africa (“EMEA”) reporting unit, the percentage by which the estimated fair value exceeded the carrying value as of October 1, 2021 was 10% and the amount of goodwill allocated to our reporting unit was $488 million.</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evaluated qualitative factors and determined that an interim impairment test was not required this quarter as we believe it is more likely than not that the fair value of our goodwill and other indefinite-lived intangible assets exceeds the carrying value.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discount rate and market multiples. In the future, failure to achieve our business plans, a deterioration of the general 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of our reporting units or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2022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2022. For additional information regarding our long-term borrowings and financial instruments, see Notes 10, 11 and 16 to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2022.</w:t>
      </w:r>
    </w:p>
    <w:p>
      <w:pPr>
        <w:spacing w:after="0" w:line="206"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12 – Commitments and Contingencies to our Consolidated Condensed Financial Statements and refer to our 2021 Form 10-K.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risk factors are provided to update the risk factors previously disclosed in our periodic reports filed with the SEC, including our 2021 Form 10-K.</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ongoing military conflict between Russia and Ukraine and the related sanctions are causing uncertainty that may have an adverse impact on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world economy and markets are experiencing volatility and disruption from the ongoing military conflict between Russia and Ukraine, the length and impact of which are highly unpredictable. This conflict has led to, and could in the future lead to, significant increases in our costs, including gas and fleet costs, including as a result of sanctions or any embargos on oil sales imposed on or by the Russian government; could further impact fleet availability; and could impact demand for travel as a result of weakness in economic conditions, increased inflation or increases in the cost of gas. In addition, as a result of the conflict, governmental and non-governmental entities have issued alerts noting the potential for increased cyber-attacks. Such risks and disruptions could adversely impact our business, results of operations and financial condition.</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Average Price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 Purchased as</w:t>
            </w:r>
          </w:p>
        </w:tc>
        <w:tc>
          <w:tcPr>
            <w:tcW w:w="14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 or</w:t>
            </w:r>
          </w:p>
        </w:tc>
        <w:tc>
          <w:tcPr>
            <w:tcW w:w="140" w:type="dxa"/>
            <w:vAlign w:val="bottom"/>
          </w:tcPr>
          <w:p>
            <w:pPr>
              <w:spacing w:after="0"/>
              <w:rPr>
                <w:sz w:val="14"/>
                <w:szCs w:val="14"/>
                <w:color w:val="auto"/>
              </w:rPr>
            </w:pPr>
          </w:p>
        </w:tc>
        <w:tc>
          <w:tcPr>
            <w:tcW w:w="3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(in millions) </w:t>
            </w:r>
            <w:r>
              <w:rPr>
                <w:rFonts w:ascii="Arial" w:cs="Arial" w:eastAsia="Arial" w:hAnsi="Arial"/>
                <w:sz w:val="21"/>
                <w:szCs w:val="21"/>
                <w:b w:val="1"/>
                <w:bCs w:val="1"/>
                <w:color w:val="auto"/>
                <w:w w:val="96"/>
                <w:vertAlign w:val="superscript"/>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Paid per Share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Programs (in millions)</w:t>
            </w:r>
          </w:p>
        </w:tc>
        <w:tc>
          <w:tcPr>
            <w:tcW w:w="1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rPr>
              <w:t>Plans or Programs ($ in millions)</w:t>
            </w:r>
          </w:p>
        </w:tc>
        <w:tc>
          <w:tcPr>
            <w:tcW w:w="0" w:type="dxa"/>
            <w:vAlign w:val="bottom"/>
          </w:tcPr>
          <w:p>
            <w:pPr>
              <w:spacing w:after="0"/>
              <w:rPr>
                <w:sz w:val="1"/>
                <w:szCs w:val="1"/>
                <w:color w:val="auto"/>
              </w:rPr>
            </w:pPr>
          </w:p>
        </w:tc>
      </w:tr>
      <w:tr>
        <w:trPr>
          <w:trHeight w:val="208"/>
        </w:trPr>
        <w:tc>
          <w:tcPr>
            <w:tcW w:w="1200" w:type="dxa"/>
            <w:vAlign w:val="bottom"/>
          </w:tcPr>
          <w:p>
            <w:pPr>
              <w:jc w:val="right"/>
              <w:spacing w:after="0"/>
              <w:rPr>
                <w:sz w:val="20"/>
                <w:szCs w:val="20"/>
                <w:color w:val="auto"/>
              </w:rPr>
            </w:pPr>
            <w:r>
              <w:rPr>
                <w:rFonts w:ascii="Arial" w:cs="Arial" w:eastAsia="Arial" w:hAnsi="Arial"/>
                <w:sz w:val="16"/>
                <w:szCs w:val="16"/>
                <w:color w:val="auto"/>
              </w:rPr>
              <w:t>July 2022</w:t>
            </w:r>
          </w:p>
        </w:tc>
        <w:tc>
          <w:tcPr>
            <w:tcW w:w="16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148.29</w:t>
            </w:r>
          </w:p>
        </w:tc>
        <w:tc>
          <w:tcPr>
            <w:tcW w:w="140" w:type="dxa"/>
            <w:vAlign w:val="bottom"/>
          </w:tcPr>
          <w:p>
            <w:pPr>
              <w:spacing w:after="0"/>
              <w:rPr>
                <w:sz w:val="18"/>
                <w:szCs w:val="18"/>
                <w:color w:val="auto"/>
              </w:rPr>
            </w:pP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$2,222</w:t>
            </w:r>
          </w:p>
        </w:tc>
        <w:tc>
          <w:tcPr>
            <w:tcW w:w="0" w:type="dxa"/>
            <w:vAlign w:val="bottom"/>
          </w:tcPr>
          <w:p>
            <w:pPr>
              <w:spacing w:after="0"/>
              <w:rPr>
                <w:sz w:val="1"/>
                <w:szCs w:val="1"/>
                <w:color w:val="auto"/>
              </w:rPr>
            </w:pPr>
          </w:p>
        </w:tc>
      </w:tr>
      <w:tr>
        <w:trPr>
          <w:trHeight w:val="215"/>
        </w:trPr>
        <w:tc>
          <w:tcPr>
            <w:tcW w:w="1200" w:type="dxa"/>
            <w:vAlign w:val="bottom"/>
          </w:tcPr>
          <w:p>
            <w:pPr>
              <w:jc w:val="right"/>
              <w:spacing w:after="0"/>
              <w:rPr>
                <w:sz w:val="20"/>
                <w:szCs w:val="20"/>
                <w:color w:val="auto"/>
              </w:rPr>
            </w:pPr>
            <w:r>
              <w:rPr>
                <w:rFonts w:ascii="Arial" w:cs="Arial" w:eastAsia="Arial" w:hAnsi="Arial"/>
                <w:sz w:val="16"/>
                <w:szCs w:val="16"/>
                <w:color w:val="auto"/>
              </w:rPr>
              <w:t>August 2022</w:t>
            </w:r>
          </w:p>
        </w:tc>
        <w:tc>
          <w:tcPr>
            <w:tcW w:w="1660" w:type="dxa"/>
            <w:vAlign w:val="bottom"/>
          </w:tcPr>
          <w:p>
            <w:pPr>
              <w:jc w:val="right"/>
              <w:ind w:right="379"/>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171.27</w:t>
            </w:r>
          </w:p>
        </w:tc>
        <w:tc>
          <w:tcPr>
            <w:tcW w:w="14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rPr>
              <w:t>3.3</w:t>
            </w:r>
          </w:p>
        </w:tc>
        <w:tc>
          <w:tcPr>
            <w:tcW w:w="3240" w:type="dxa"/>
            <w:vAlign w:val="bottom"/>
            <w:gridSpan w:val="2"/>
          </w:tcPr>
          <w:p>
            <w:pPr>
              <w:jc w:val="center"/>
              <w:ind w:left="59"/>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17"/>
        </w:trPr>
        <w:tc>
          <w:tcPr>
            <w:tcW w:w="1200" w:type="dxa"/>
            <w:vAlign w:val="bottom"/>
          </w:tcPr>
          <w:p>
            <w:pPr>
              <w:jc w:val="right"/>
              <w:spacing w:after="0"/>
              <w:rPr>
                <w:sz w:val="20"/>
                <w:szCs w:val="20"/>
                <w:color w:val="auto"/>
              </w:rPr>
            </w:pPr>
            <w:r>
              <w:rPr>
                <w:rFonts w:ascii="Arial" w:cs="Arial" w:eastAsia="Arial" w:hAnsi="Arial"/>
                <w:sz w:val="16"/>
                <w:szCs w:val="16"/>
                <w:color w:val="auto"/>
                <w:w w:val="99"/>
              </w:rPr>
              <w:t>September 2022</w:t>
            </w: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147.63</w:t>
            </w:r>
          </w:p>
        </w:tc>
        <w:tc>
          <w:tcPr>
            <w:tcW w:w="14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w:t>
            </w:r>
          </w:p>
        </w:tc>
        <w:tc>
          <w:tcPr>
            <w:tcW w:w="3240" w:type="dxa"/>
            <w:vAlign w:val="bottom"/>
            <w:gridSpan w:val="2"/>
          </w:tcPr>
          <w:p>
            <w:pPr>
              <w:jc w:val="center"/>
              <w:ind w:left="59"/>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5.3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162.43</w:t>
            </w:r>
          </w:p>
        </w:tc>
        <w:tc>
          <w:tcPr>
            <w:tcW w:w="14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5.3</w:t>
            </w:r>
          </w:p>
        </w:tc>
        <w:tc>
          <w:tcPr>
            <w:tcW w:w="3240" w:type="dxa"/>
            <w:vAlign w:val="bottom"/>
            <w:gridSpan w:val="2"/>
          </w:tcPr>
          <w:p>
            <w:pPr>
              <w:jc w:val="center"/>
              <w:ind w:left="59"/>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7"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Excludes shares which were withheld by us to satisfy employees’ income tax liabilities attributable to the vesting of restricted stock unit awards.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62626"/>
        </w:rPr>
        <w:t xml:space="preserve">Our Board of Directors has authorized the repurchase of up to </w:t>
      </w:r>
      <w:r>
        <w:rPr>
          <w:rFonts w:ascii="Arial" w:cs="Arial" w:eastAsia="Arial" w:hAnsi="Arial"/>
          <w:sz w:val="18"/>
          <w:szCs w:val="18"/>
          <w:color w:val="000000"/>
        </w:rPr>
        <w:t>$7.1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May 2022</w:t>
      </w:r>
      <w:r>
        <w:rPr>
          <w:rFonts w:ascii="Arial" w:cs="Arial" w:eastAsia="Arial" w:hAnsi="Arial"/>
          <w:sz w:val="18"/>
          <w:szCs w:val="18"/>
          <w:color w:val="262626"/>
        </w:rPr>
        <w:t>. Under our stock repurchase program, we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our management based on our evaluation of market conditions, our share price, legal requirements, restricted payment capacity under our debt instruments and other factors. The stock repurchase program may be suspended, modified or discontinued at any time without prior notice.</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1, 2022</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42</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940" w:type="dxa"/>
            <w:vAlign w:val="bottom"/>
            <w:gridSpan w:val="24"/>
          </w:tcPr>
          <w:p>
            <w:pPr>
              <w:ind w:left="820"/>
              <w:spacing w:after="0"/>
              <w:rPr>
                <w:sz w:val="20"/>
                <w:szCs w:val="20"/>
                <w:color w:val="auto"/>
              </w:rPr>
            </w:pPr>
            <w:r>
              <w:rPr>
                <w:rFonts w:ascii="Arial" w:cs="Arial" w:eastAsia="Arial" w:hAnsi="Arial"/>
                <w:sz w:val="16"/>
                <w:szCs w:val="16"/>
                <w:b w:val="1"/>
                <w:bCs w:val="1"/>
                <w:color w:val="auto"/>
              </w:rPr>
              <w:t>Exhibit Index</w:t>
            </w:r>
          </w:p>
        </w:tc>
      </w:tr>
      <w:tr>
        <w:trPr>
          <w:trHeight w:val="426"/>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9"/>
              </w:rPr>
              <w:t>Description</w:t>
            </w:r>
          </w:p>
        </w:tc>
        <w:tc>
          <w:tcPr>
            <w:tcW w:w="4520" w:type="dxa"/>
            <w:vAlign w:val="bottom"/>
            <w:gridSpan w:val="19"/>
          </w:tcPr>
          <w:p>
            <w:pPr>
              <w:spacing w:after="0"/>
              <w:rPr>
                <w:sz w:val="24"/>
                <w:szCs w:val="24"/>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1">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Current Report on Form 8-K dated September 5, 2006).</w:t>
              </w:r>
            </w:hyperlink>
          </w:p>
        </w:tc>
        <w:tc>
          <w:tcPr>
            <w:tcW w:w="582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2">
              <w:r>
                <w:rPr>
                  <w:rFonts w:ascii="Arial" w:cs="Arial" w:eastAsia="Arial" w:hAnsi="Arial"/>
                  <w:sz w:val="16"/>
                  <w:szCs w:val="16"/>
                  <w:color w:val="0000FF"/>
                </w:rPr>
                <w:t>Amended and Restated Bylaws of Avis Budget Group, Inc., dated as of August 10, 2020 (incorporated by reference to Exhibit 3.2 to the</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Company’s Current Report on Form 8-K dated August 13, 2020).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17"/>
                <w:szCs w:val="17"/>
                <w:color w:val="auto"/>
              </w:rPr>
            </w:pPr>
          </w:p>
        </w:tc>
        <w:tc>
          <w:tcPr>
            <w:tcW w:w="9940" w:type="dxa"/>
            <w:vAlign w:val="bottom"/>
            <w:gridSpan w:val="27"/>
          </w:tcPr>
          <w:p>
            <w:pPr>
              <w:spacing w:after="0"/>
              <w:rPr>
                <w:sz w:val="20"/>
                <w:szCs w:val="20"/>
                <w:color w:val="auto"/>
              </w:rPr>
            </w:pPr>
            <w:r>
              <w:rPr>
                <w:rFonts w:ascii="Arial" w:cs="Arial" w:eastAsia="Arial" w:hAnsi="Arial"/>
                <w:sz w:val="16"/>
                <w:szCs w:val="16"/>
                <w:color w:val="0000FF"/>
              </w:rPr>
              <w:t>Third Amendment, dated as of July 28, 2022, to the Sixth Amended and Restated Credit Agreement, dated as of July 9, 2021, among Avis</w:t>
            </w:r>
          </w:p>
        </w:tc>
      </w:tr>
      <w:tr>
        <w:trPr>
          <w:trHeight w:val="169"/>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900" w:type="dxa"/>
            <w:vAlign w:val="bottom"/>
            <w:tcBorders>
              <w:top w:val="single" w:sz="8" w:color="0000FF"/>
            </w:tcBorders>
            <w:gridSpan w:val="25"/>
          </w:tcPr>
          <w:p>
            <w:pPr>
              <w:spacing w:after="0" w:line="169" w:lineRule="exact"/>
              <w:rPr>
                <w:sz w:val="20"/>
                <w:szCs w:val="20"/>
                <w:color w:val="auto"/>
              </w:rPr>
            </w:pPr>
            <w:r>
              <w:rPr>
                <w:rFonts w:ascii="Arial" w:cs="Arial" w:eastAsia="Arial" w:hAnsi="Arial"/>
                <w:sz w:val="16"/>
                <w:szCs w:val="16"/>
                <w:color w:val="0000FF"/>
              </w:rPr>
              <w:t>Budget Holdings, LLC, Avis Budget Car Rental, LLC, as borrower, Avis Budget Group, Inc., the subsidiary borrowers from time to time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0" w:type="dxa"/>
            <w:vAlign w:val="bottom"/>
            <w:tcBorders>
              <w:top w:val="single" w:sz="8" w:color="0000FF"/>
            </w:tcBorders>
            <w:gridSpan w:val="16"/>
          </w:tcPr>
          <w:p>
            <w:pPr>
              <w:spacing w:after="0" w:line="155" w:lineRule="exact"/>
              <w:rPr>
                <w:sz w:val="20"/>
                <w:szCs w:val="20"/>
                <w:color w:val="auto"/>
              </w:rPr>
            </w:pPr>
            <w:r>
              <w:rPr>
                <w:rFonts w:ascii="Arial" w:cs="Arial" w:eastAsia="Arial" w:hAnsi="Arial"/>
                <w:sz w:val="16"/>
                <w:szCs w:val="16"/>
                <w:color w:val="0000FF"/>
              </w:rPr>
              <w:t xml:space="preserve">party thereto, the lenders from time to time party thereto, </w:t>
            </w:r>
            <w:r>
              <w:rPr>
                <w:rFonts w:ascii="Arial" w:cs="Arial" w:eastAsia="Arial" w:hAnsi="Arial"/>
                <w:sz w:val="16"/>
                <w:szCs w:val="16"/>
                <w:color w:val="0000FF"/>
                <w:highlight w:val="white"/>
              </w:rPr>
              <w:t>JPMorgan Chase Bank, N.A., as Administrative Agent, and the other parties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9"/>
              </w:rPr>
              <w:t>thereto.</w:t>
            </w:r>
          </w:p>
        </w:tc>
        <w:tc>
          <w:tcPr>
            <w:tcW w:w="898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18"/>
                <w:szCs w:val="18"/>
                <w:color w:val="auto"/>
              </w:rPr>
            </w:pPr>
          </w:p>
        </w:tc>
        <w:tc>
          <w:tcPr>
            <w:tcW w:w="95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Fourth Amendment, dated as of July 28, 2022, among AESOP Leasing L.P., as Borrower, PV Holding Corp., as a Permitted Nominee,</w:t>
            </w:r>
          </w:p>
        </w:tc>
        <w:tc>
          <w:tcPr>
            <w:tcW w:w="360" w:type="dxa"/>
            <w:vAlign w:val="bottom"/>
            <w:gridSpan w:val="12"/>
          </w:tcPr>
          <w:p>
            <w:pPr>
              <w:spacing w:after="0"/>
              <w:rPr>
                <w:sz w:val="18"/>
                <w:szCs w:val="18"/>
                <w:color w:val="auto"/>
              </w:rPr>
            </w:pPr>
          </w:p>
        </w:tc>
      </w:tr>
      <w:tr>
        <w:trPr>
          <w:trHeight w:val="169"/>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940" w:type="dxa"/>
            <w:vAlign w:val="bottom"/>
            <w:gridSpan w:val="27"/>
          </w:tcPr>
          <w:p>
            <w:pPr>
              <w:spacing w:after="0" w:line="169" w:lineRule="exact"/>
              <w:rPr>
                <w:sz w:val="20"/>
                <w:szCs w:val="20"/>
                <w:color w:val="auto"/>
              </w:rPr>
            </w:pPr>
            <w:r>
              <w:rPr>
                <w:rFonts w:ascii="Arial" w:cs="Arial" w:eastAsia="Arial" w:hAnsi="Arial"/>
                <w:sz w:val="16"/>
                <w:szCs w:val="16"/>
                <w:color w:val="0000FF"/>
              </w:rPr>
              <w:t>Quartx Fleet Management, Inc., as a Permitted Nominee, and Avis Budget Rental Car Funding (AESOP) LLC, as Lender, to the Second</w:t>
            </w: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5" w:lineRule="exact"/>
              <w:rPr>
                <w:sz w:val="20"/>
                <w:szCs w:val="20"/>
                <w:color w:val="auto"/>
              </w:rPr>
            </w:pPr>
            <w:r>
              <w:rPr>
                <w:rFonts w:ascii="Arial" w:cs="Arial" w:eastAsia="Arial" w:hAnsi="Arial"/>
                <w:sz w:val="16"/>
                <w:szCs w:val="16"/>
                <w:color w:val="0000FF"/>
              </w:rPr>
              <w:t>Amended and Restated Loan Agreement, dated as of June 3, 2004.</w:t>
            </w: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10.3</w:t>
            </w:r>
          </w:p>
        </w:tc>
        <w:tc>
          <w:tcPr>
            <w:tcW w:w="400" w:type="dxa"/>
            <w:vAlign w:val="bottom"/>
          </w:tcPr>
          <w:p>
            <w:pPr>
              <w:spacing w:after="0"/>
              <w:rPr>
                <w:sz w:val="18"/>
                <w:szCs w:val="18"/>
                <w:color w:val="auto"/>
              </w:rPr>
            </w:pPr>
          </w:p>
        </w:tc>
        <w:tc>
          <w:tcPr>
            <w:tcW w:w="9940" w:type="dxa"/>
            <w:vAlign w:val="bottom"/>
            <w:gridSpan w:val="27"/>
          </w:tcPr>
          <w:p>
            <w:pPr>
              <w:spacing w:after="0"/>
              <w:rPr>
                <w:sz w:val="20"/>
                <w:szCs w:val="20"/>
                <w:color w:val="auto"/>
              </w:rPr>
            </w:pPr>
            <w:r>
              <w:rPr>
                <w:rFonts w:ascii="Arial" w:cs="Arial" w:eastAsia="Arial" w:hAnsi="Arial"/>
                <w:sz w:val="16"/>
                <w:szCs w:val="16"/>
                <w:color w:val="0000FF"/>
              </w:rPr>
              <w:t>Fifth Amendment, dated as of July 28, 2022, among AESOP Leasing L.P., as Lessor and Avis Budget Car Rental, LLC, as Lessee and as</w:t>
            </w:r>
          </w:p>
        </w:tc>
      </w:tr>
      <w:tr>
        <w:trPr>
          <w:trHeight w:val="169"/>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6"/>
                <w:szCs w:val="16"/>
                <w:color w:val="0000FF"/>
              </w:rPr>
              <w:t>the Administrator, to the Second Amended and Restated Master Motor Vehicle Operating Lease Agreement, dated as of June 3, 2004.</w:t>
            </w:r>
          </w:p>
        </w:tc>
        <w:tc>
          <w:tcPr>
            <w:tcW w:w="220" w:type="dxa"/>
            <w:vAlign w:val="bottom"/>
            <w:tcBorders>
              <w:top w:val="single" w:sz="8" w:color="0000FF"/>
            </w:tcBorders>
            <w:gridSpan w:val="7"/>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10.4</w:t>
            </w:r>
          </w:p>
        </w:tc>
        <w:tc>
          <w:tcPr>
            <w:tcW w:w="400" w:type="dxa"/>
            <w:vAlign w:val="bottom"/>
          </w:tcPr>
          <w:p>
            <w:pPr>
              <w:spacing w:after="0"/>
              <w:rPr>
                <w:sz w:val="18"/>
                <w:szCs w:val="18"/>
                <w:color w:val="auto"/>
              </w:rPr>
            </w:pPr>
          </w:p>
        </w:tc>
        <w:tc>
          <w:tcPr>
            <w:tcW w:w="92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Fifth Amendment, dated as of July 28, 2022, among AESOP Leasing L.P., as Lessor, Avis Budget Car Rental, LLC, as Lessee, as</w:t>
            </w:r>
          </w:p>
        </w:tc>
        <w:tc>
          <w:tcPr>
            <w:tcW w:w="660" w:type="dxa"/>
            <w:vAlign w:val="bottom"/>
            <w:gridSpan w:val="16"/>
          </w:tcPr>
          <w:p>
            <w:pPr>
              <w:spacing w:after="0"/>
              <w:rPr>
                <w:sz w:val="18"/>
                <w:szCs w:val="18"/>
                <w:color w:val="auto"/>
              </w:rPr>
            </w:pPr>
          </w:p>
        </w:tc>
      </w:tr>
      <w:tr>
        <w:trPr>
          <w:trHeight w:val="169"/>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940" w:type="dxa"/>
            <w:vAlign w:val="bottom"/>
            <w:gridSpan w:val="27"/>
          </w:tcPr>
          <w:p>
            <w:pPr>
              <w:spacing w:after="0" w:line="169" w:lineRule="exact"/>
              <w:rPr>
                <w:sz w:val="20"/>
                <w:szCs w:val="20"/>
                <w:color w:val="auto"/>
              </w:rPr>
            </w:pPr>
            <w:r>
              <w:rPr>
                <w:rFonts w:ascii="Arial" w:cs="Arial" w:eastAsia="Arial" w:hAnsi="Arial"/>
                <w:sz w:val="16"/>
                <w:szCs w:val="16"/>
                <w:color w:val="0000FF"/>
              </w:rPr>
              <w:t>Administrator and as Finance Lease Guarantor, Avis Rent A Car System, LLC, as Lessee, and Budget Rent A Car System, Inc., as</w:t>
            </w: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0"/>
          </w:tcPr>
          <w:p>
            <w:pPr>
              <w:spacing w:after="0" w:line="155" w:lineRule="exact"/>
              <w:rPr>
                <w:sz w:val="20"/>
                <w:szCs w:val="20"/>
                <w:color w:val="auto"/>
              </w:rPr>
            </w:pPr>
            <w:r>
              <w:rPr>
                <w:rFonts w:ascii="Arial" w:cs="Arial" w:eastAsia="Arial" w:hAnsi="Arial"/>
                <w:sz w:val="16"/>
                <w:szCs w:val="16"/>
                <w:color w:val="0000FF"/>
              </w:rPr>
              <w:t>Lessee, to the Amended and Restated Master Motor Vehicle Finance Lease Agreement, dated as of June 3, 2004.</w:t>
            </w:r>
          </w:p>
        </w:tc>
        <w:tc>
          <w:tcPr>
            <w:tcW w:w="1160" w:type="dxa"/>
            <w:vAlign w:val="bottom"/>
            <w:tcBorders>
              <w:top w:val="single" w:sz="8" w:color="0000FF"/>
            </w:tcBorders>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10.5</w:t>
            </w:r>
          </w:p>
        </w:tc>
        <w:tc>
          <w:tcPr>
            <w:tcW w:w="400" w:type="dxa"/>
            <w:vAlign w:val="bottom"/>
          </w:tcPr>
          <w:p>
            <w:pPr>
              <w:spacing w:after="0"/>
              <w:rPr>
                <w:sz w:val="18"/>
                <w:szCs w:val="18"/>
                <w:color w:val="auto"/>
              </w:rPr>
            </w:pPr>
          </w:p>
        </w:tc>
        <w:tc>
          <w:tcPr>
            <w:tcW w:w="994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rPr>
              <w:t>Fourth Amendment, dated as of July 28, 2022, between AESOP Leasing L.P., as Borrower, and Avis Budget Rental Car Funding (AESOP)</w:t>
            </w:r>
          </w:p>
        </w:tc>
      </w:tr>
      <w:tr>
        <w:trPr>
          <w:trHeight w:val="169"/>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940" w:type="dxa"/>
            <w:vAlign w:val="bottom"/>
            <w:gridSpan w:val="27"/>
          </w:tcPr>
          <w:p>
            <w:pPr>
              <w:spacing w:after="0" w:line="169" w:lineRule="exact"/>
              <w:rPr>
                <w:sz w:val="20"/>
                <w:szCs w:val="20"/>
                <w:color w:val="auto"/>
              </w:rPr>
            </w:pPr>
            <w:r>
              <w:rPr>
                <w:rFonts w:ascii="Arial" w:cs="Arial" w:eastAsia="Arial" w:hAnsi="Arial"/>
                <w:sz w:val="16"/>
                <w:szCs w:val="16"/>
                <w:color w:val="0000FF"/>
              </w:rPr>
              <w:t>LLC, as Lender, to the Amended and Restated Loan Agreement, dated as of June 3, 2004.</w:t>
            </w: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500" w:type="dxa"/>
            <w:vAlign w:val="bottom"/>
            <w:gridSpan w:val="6"/>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10.6</w:t>
            </w:r>
          </w:p>
        </w:tc>
        <w:tc>
          <w:tcPr>
            <w:tcW w:w="400" w:type="dxa"/>
            <w:vAlign w:val="bottom"/>
          </w:tcPr>
          <w:p>
            <w:pPr>
              <w:spacing w:after="0"/>
              <w:rPr>
                <w:sz w:val="18"/>
                <w:szCs w:val="18"/>
                <w:color w:val="auto"/>
              </w:rPr>
            </w:pPr>
          </w:p>
        </w:tc>
        <w:tc>
          <w:tcPr>
            <w:tcW w:w="9940" w:type="dxa"/>
            <w:vAlign w:val="bottom"/>
            <w:gridSpan w:val="27"/>
          </w:tcPr>
          <w:p>
            <w:pPr>
              <w:spacing w:after="0"/>
              <w:rPr>
                <w:rFonts w:ascii="Arial" w:cs="Arial" w:eastAsia="Arial" w:hAnsi="Arial"/>
                <w:sz w:val="16"/>
                <w:szCs w:val="16"/>
                <w:color w:val="0000FF"/>
              </w:rPr>
            </w:pPr>
            <w:hyperlink r:id="rId73">
              <w:r>
                <w:rPr>
                  <w:rFonts w:ascii="Arial" w:cs="Arial" w:eastAsia="Arial" w:hAnsi="Arial"/>
                  <w:sz w:val="16"/>
                  <w:szCs w:val="16"/>
                  <w:color w:val="0000FF"/>
                </w:rPr>
                <w:t>Series 2022-3 Supplement, dated as of July 21, 2022, between Avis Budget Rental Car Funding (AESOP) LLC and The Bank of New York</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9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Mellon Trust Company, N.A., as trustee and as Series 2022-3 Agent (incorporated by reference to Exhibit 10.1 to the Company’s Current</w:t>
              </w:r>
            </w:hyperlink>
          </w:p>
        </w:tc>
        <w:tc>
          <w:tcPr>
            <w:tcW w:w="2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Report on Form 8-K dated July 22, 2022).</w:t>
              </w:r>
            </w:hyperlink>
          </w:p>
        </w:tc>
        <w:tc>
          <w:tcPr>
            <w:tcW w:w="6780" w:type="dxa"/>
            <w:vAlign w:val="bottom"/>
            <w:tcBorders>
              <w:top w:val="single" w:sz="8" w:color="0000FF"/>
            </w:tcBorders>
            <w:gridSpan w:val="19"/>
          </w:tcPr>
          <w:p>
            <w:pPr>
              <w:spacing w:after="0"/>
              <w:rPr>
                <w:sz w:val="12"/>
                <w:szCs w:val="12"/>
                <w:color w:val="auto"/>
              </w:rPr>
            </w:pPr>
          </w:p>
        </w:tc>
        <w:tc>
          <w:tcPr>
            <w:tcW w:w="160" w:type="dxa"/>
            <w:vAlign w:val="bottom"/>
            <w:gridSpan w:val="5"/>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10.7</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4">
              <w:r>
                <w:rPr>
                  <w:rFonts w:ascii="Arial" w:cs="Arial" w:eastAsia="Arial" w:hAnsi="Arial"/>
                  <w:sz w:val="16"/>
                  <w:szCs w:val="16"/>
                  <w:color w:val="0000FF"/>
                </w:rPr>
                <w:t>Series 2022-4 Supplement, dated as of July 21, 2022, between Avis Budget Rental Car Funding (AESOP) LLC and The Bank of New York</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9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Mellon Trust Company, N.A., as trustee and Series 2022-4 Agent (incorporated by reference to Exhibit 10.2 to the Company’s Current</w:t>
              </w:r>
            </w:hyperlink>
          </w:p>
        </w:tc>
        <w:tc>
          <w:tcPr>
            <w:tcW w:w="2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Report on Form 8-K dated July 22, 2022).</w:t>
              </w:r>
            </w:hyperlink>
          </w:p>
        </w:tc>
        <w:tc>
          <w:tcPr>
            <w:tcW w:w="6560" w:type="dxa"/>
            <w:vAlign w:val="bottom"/>
            <w:tcBorders>
              <w:top w:val="single" w:sz="8" w:color="0000FF"/>
            </w:tcBorders>
            <w:gridSpan w:val="11"/>
          </w:tcPr>
          <w:p>
            <w:pPr>
              <w:spacing w:after="0"/>
              <w:rPr>
                <w:sz w:val="12"/>
                <w:szCs w:val="12"/>
                <w:color w:val="auto"/>
              </w:rPr>
            </w:pPr>
          </w:p>
        </w:tc>
        <w:tc>
          <w:tcPr>
            <w:tcW w:w="10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220" w:type="dxa"/>
            <w:vAlign w:val="bottom"/>
            <w:gridSpan w:val="7"/>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400" w:type="dxa"/>
            <w:vAlign w:val="bottom"/>
          </w:tcPr>
          <w:p>
            <w:pPr>
              <w:spacing w:after="0"/>
              <w:rPr>
                <w:sz w:val="17"/>
                <w:szCs w:val="17"/>
                <w:color w:val="auto"/>
              </w:rPr>
            </w:pPr>
          </w:p>
        </w:tc>
        <w:tc>
          <w:tcPr>
            <w:tcW w:w="9940" w:type="dxa"/>
            <w:vAlign w:val="bottom"/>
            <w:gridSpan w:val="27"/>
          </w:tcPr>
          <w:p>
            <w:pPr>
              <w:spacing w:after="0"/>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72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1934, as amended.</w:t>
            </w:r>
          </w:p>
        </w:tc>
        <w:tc>
          <w:tcPr>
            <w:tcW w:w="220" w:type="dxa"/>
            <w:vAlign w:val="bottom"/>
            <w:gridSpan w:val="7"/>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280" w:type="dxa"/>
            <w:vAlign w:val="bottom"/>
            <w:gridSpan w:val="16"/>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400" w:type="dxa"/>
            <w:vAlign w:val="bottom"/>
          </w:tcPr>
          <w:p>
            <w:pPr>
              <w:spacing w:after="0"/>
              <w:rPr>
                <w:sz w:val="17"/>
                <w:szCs w:val="17"/>
                <w:color w:val="auto"/>
              </w:rPr>
            </w:pPr>
          </w:p>
        </w:tc>
        <w:tc>
          <w:tcPr>
            <w:tcW w:w="9940" w:type="dxa"/>
            <w:vAlign w:val="bottom"/>
            <w:gridSpan w:val="27"/>
          </w:tcPr>
          <w:p>
            <w:pPr>
              <w:spacing w:after="0"/>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6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1934, as amended.</w:t>
            </w:r>
          </w:p>
        </w:tc>
        <w:tc>
          <w:tcPr>
            <w:tcW w:w="280" w:type="dxa"/>
            <w:vAlign w:val="bottom"/>
            <w:gridSpan w:val="9"/>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260" w:hanging="1254"/>
        <w:spacing w:after="0"/>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0000FF"/>
        </w:rPr>
        <w:t>Certification pursuant to 18 U.S.C. Section 1350, as adopted pursuant to Section 906 of the Sarbanes-Oxley Act of 2002.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101.INS</w:t>
            </w:r>
          </w:p>
        </w:tc>
        <w:tc>
          <w:tcPr>
            <w:tcW w:w="9860" w:type="dxa"/>
            <w:vAlign w:val="bottom"/>
          </w:tcPr>
          <w:p>
            <w:pPr>
              <w:ind w:left="30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960" w:type="dxa"/>
            <w:vAlign w:val="bottom"/>
          </w:tcPr>
          <w:p>
            <w:pPr>
              <w:spacing w:after="0"/>
              <w:rPr>
                <w:sz w:val="18"/>
                <w:szCs w:val="18"/>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within the Inline XBRL document.</w:t>
            </w:r>
          </w:p>
        </w:tc>
      </w:tr>
      <w:tr>
        <w:trPr>
          <w:trHeight w:val="215"/>
        </w:trPr>
        <w:tc>
          <w:tcPr>
            <w:tcW w:w="960" w:type="dxa"/>
            <w:vAlign w:val="bottom"/>
          </w:tcPr>
          <w:p>
            <w:pPr>
              <w:spacing w:after="0"/>
              <w:rPr>
                <w:sz w:val="20"/>
                <w:szCs w:val="20"/>
                <w:color w:val="auto"/>
              </w:rPr>
            </w:pPr>
            <w:r>
              <w:rPr>
                <w:rFonts w:ascii="Arial" w:cs="Arial" w:eastAsia="Arial" w:hAnsi="Arial"/>
                <w:sz w:val="16"/>
                <w:szCs w:val="16"/>
                <w:color w:val="auto"/>
              </w:rPr>
              <w:t>101.SCH</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Schema.</w:t>
            </w: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101.CAL</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Calculation Linkbase.</w:t>
            </w: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101.DEF</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Definition Linkbase.</w:t>
            </w: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101.LAB</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Label Linkbase.</w:t>
            </w: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101.PRE</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 w:lineRule="exact"/>
        <w:rPr>
          <w:sz w:val="20"/>
          <w:szCs w:val="20"/>
          <w:color w:val="auto"/>
        </w:rPr>
      </w:pPr>
    </w:p>
    <w:p>
      <w:pPr>
        <w:ind w:left="1260" w:hanging="1254"/>
        <w:spacing w:after="0"/>
        <w:tabs>
          <w:tab w:leader="none" w:pos="1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5"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43</w:t>
      </w:r>
    </w:p>
    <w:p>
      <w:pPr>
        <w:sectPr>
          <w:pgSz w:w="11900" w:h="16838" w:orient="portrait"/>
          <w:cols w:equalWidth="0" w:num="1">
            <w:col w:w="11160"/>
          </w:cols>
          <w:pgMar w:left="340" w:top="935" w:right="3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416560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THIRD AMENDMENT</w:t>
      </w:r>
    </w:p>
    <w:p>
      <w:pPr>
        <w:spacing w:after="0" w:line="20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Dated as of July 28, 2022</w:t>
      </w: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to the</w:t>
      </w: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SIXTH AMENDED AND RESTATED CREDIT AGREEMENT</w:t>
      </w:r>
    </w:p>
    <w:p>
      <w:pPr>
        <w:spacing w:after="0" w:line="2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AVIS BUDGET HOLDINGS, LLC,</w:t>
      </w:r>
    </w:p>
    <w:p>
      <w:pPr>
        <w:spacing w:after="0" w:line="19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AVIS BUDGET CAR RENTAL, LLC,</w:t>
      </w:r>
    </w:p>
    <w:p>
      <w:pPr>
        <w:jc w:val="center"/>
        <w:ind w:right="160"/>
        <w:spacing w:after="0"/>
        <w:rPr>
          <w:sz w:val="20"/>
          <w:szCs w:val="20"/>
          <w:color w:val="auto"/>
        </w:rPr>
      </w:pPr>
      <w:r>
        <w:rPr>
          <w:rFonts w:ascii="Times New Roman" w:cs="Times New Roman" w:eastAsia="Times New Roman" w:hAnsi="Times New Roman"/>
          <w:sz w:val="20"/>
          <w:szCs w:val="20"/>
          <w:color w:val="auto"/>
        </w:rPr>
        <w:t>as Borrower,</w:t>
      </w:r>
    </w:p>
    <w:p>
      <w:pPr>
        <w:spacing w:after="0" w:line="1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AVIS BUDGET GROUP, INC.,</w:t>
      </w:r>
    </w:p>
    <w:p>
      <w:pPr>
        <w:spacing w:after="0" w:line="35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The Subsidiary Borrowers from Time to Time Parties Thereto,</w:t>
      </w:r>
    </w:p>
    <w:p>
      <w:pPr>
        <w:spacing w:after="0" w:line="22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The Several Lenders from Time to Time Parties Thereto,</w:t>
      </w:r>
    </w:p>
    <w:p>
      <w:pPr>
        <w:spacing w:after="0" w:line="7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JPMORGAN CHASE BANK, N.A.,</w:t>
      </w:r>
    </w:p>
    <w:p>
      <w:pPr>
        <w:jc w:val="center"/>
        <w:ind w:right="16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and the Other Parties Thereto</w:t>
      </w: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Dated as of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168275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JPMORGAN CHASE BANK, N.A., CITIGROUP GLOBAL MARKETS INC., DEUTSCHE BANK SECURITIES INC. and MERRILL LYNCH, PIERCE, FENNER &amp; SMITH INCORPORATED</w:t>
      </w:r>
    </w:p>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ectPr>
          <w:pgSz w:w="11900" w:h="16838" w:orient="portrait"/>
          <w:cols w:equalWidth="0" w:num="1">
            <w:col w:w="11060"/>
          </w:cols>
          <w:pgMar w:left="500" w:top="9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color w:val="auto"/>
        </w:rPr>
        <w:t>THIRD AMENDMENT</w:t>
      </w:r>
    </w:p>
    <w:p>
      <w:pPr>
        <w:spacing w:after="0" w:line="200" w:lineRule="exact"/>
        <w:rPr>
          <w:sz w:val="20"/>
          <w:szCs w:val="20"/>
          <w:color w:val="auto"/>
        </w:rPr>
      </w:pPr>
    </w:p>
    <w:p>
      <w:pPr>
        <w:spacing w:after="0" w:line="25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THIRD AMENDMENT, dated as of July 28, 2022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AVIS BUDGET HOLDINGS, LLC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AVIS BUDGET CAR RENTAL, LLC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Third Amendment Incremental Revolving Lender (as defined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and JPMORGAN CHASE BANK, N.A. (“</w:t>
      </w:r>
      <w:r>
        <w:rPr>
          <w:rFonts w:ascii="Times New Roman" w:cs="Times New Roman" w:eastAsia="Times New Roman" w:hAnsi="Times New Roman"/>
          <w:sz w:val="20"/>
          <w:szCs w:val="20"/>
          <w:u w:val="single" w:color="auto"/>
          <w:color w:val="auto"/>
        </w:rPr>
        <w:t>JPMorgan</w:t>
      </w:r>
      <w:r>
        <w:rPr>
          <w:rFonts w:ascii="Times New Roman" w:cs="Times New Roman" w:eastAsia="Times New Roman" w:hAnsi="Times New Roman"/>
          <w:sz w:val="20"/>
          <w:szCs w:val="20"/>
          <w:color w:val="auto"/>
        </w:rPr>
        <w:t>”),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WHEREAS, reference is hereby made to the Sixth Amended and Restated Credit Agreement dated as of July 9, 2021 (as heretofore amended, supplemented or otherwise modified from time to time,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Amendment and as further amended,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others, Holdings, the Borrower, Avis Budget Group, Inc., the subsidiary borrowers from time to time parties thereto, the several lenders from time to</w:t>
      </w:r>
    </w:p>
    <w:p>
      <w:pPr>
        <w:spacing w:after="0"/>
        <w:rPr>
          <w:sz w:val="20"/>
          <w:szCs w:val="20"/>
          <w:color w:val="auto"/>
        </w:rPr>
      </w:pPr>
      <w:r>
        <w:rPr>
          <w:rFonts w:ascii="Times New Roman" w:cs="Times New Roman" w:eastAsia="Times New Roman" w:hAnsi="Times New Roman"/>
          <w:sz w:val="20"/>
          <w:szCs w:val="20"/>
          <w:color w:val="auto"/>
        </w:rPr>
        <w:t>time parties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and</w:t>
      </w:r>
    </w:p>
    <w:p>
      <w:pPr>
        <w:spacing w:after="0" w:line="194"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WHEREAS, pursuant to Section 2.23 of the Existing Credit Agreement, the Borrower has requested that increases in the Revolving Commitment in the amount of $50,000,000 be made available to the Borrower, and the Administrative Agent and the Third</w:t>
      </w:r>
    </w:p>
    <w:p>
      <w:pPr>
        <w:spacing w:after="0" w:line="224" w:lineRule="auto"/>
        <w:rPr>
          <w:sz w:val="20"/>
          <w:szCs w:val="20"/>
          <w:color w:val="auto"/>
        </w:rPr>
      </w:pPr>
      <w:r>
        <w:rPr>
          <w:rFonts w:ascii="Times New Roman" w:cs="Times New Roman" w:eastAsia="Times New Roman" w:hAnsi="Times New Roman"/>
          <w:sz w:val="19"/>
          <w:szCs w:val="19"/>
          <w:color w:val="auto"/>
        </w:rPr>
        <w:t>Amendment Incremental Revolving Lender (as defined below) have agreed, upon the terms and subject to the conditions set forth herein, that</w:t>
      </w:r>
    </w:p>
    <w:p>
      <w:pPr>
        <w:spacing w:after="0" w:line="215" w:lineRule="auto"/>
        <w:rPr>
          <w:sz w:val="20"/>
          <w:szCs w:val="20"/>
          <w:color w:val="auto"/>
        </w:rPr>
      </w:pPr>
      <w:r>
        <w:rPr>
          <w:rFonts w:ascii="Times New Roman" w:cs="Times New Roman" w:eastAsia="Times New Roman" w:hAnsi="Times New Roman"/>
          <w:sz w:val="19"/>
          <w:szCs w:val="19"/>
          <w:color w:val="auto"/>
        </w:rPr>
        <w:t>Wells Fargo Bank, National Association (the “</w:t>
      </w:r>
      <w:r>
        <w:rPr>
          <w:rFonts w:ascii="Times New Roman" w:cs="Times New Roman" w:eastAsia="Times New Roman" w:hAnsi="Times New Roman"/>
          <w:sz w:val="19"/>
          <w:szCs w:val="19"/>
          <w:u w:val="single" w:color="auto"/>
          <w:color w:val="auto"/>
        </w:rPr>
        <w:t>Third Amendment Incremental Revolving Lender</w:t>
      </w:r>
      <w:r>
        <w:rPr>
          <w:rFonts w:ascii="Times New Roman" w:cs="Times New Roman" w:eastAsia="Times New Roman" w:hAnsi="Times New Roman"/>
          <w:sz w:val="19"/>
          <w:szCs w:val="19"/>
          <w:color w:val="auto"/>
        </w:rPr>
        <w:t>”) will provide the Third Amendment Increased Revolving Commitment (as defined below), and as permitted by Section 2.23 of the Existing Credit Agreement, the Existing Credit</w:t>
      </w:r>
    </w:p>
    <w:p>
      <w:pPr>
        <w:spacing w:after="0"/>
        <w:rPr>
          <w:sz w:val="20"/>
          <w:szCs w:val="20"/>
          <w:color w:val="auto"/>
        </w:rPr>
      </w:pPr>
      <w:r>
        <w:rPr>
          <w:rFonts w:ascii="Times New Roman" w:cs="Times New Roman" w:eastAsia="Times New Roman" w:hAnsi="Times New Roman"/>
          <w:sz w:val="20"/>
          <w:szCs w:val="20"/>
          <w:color w:val="auto"/>
        </w:rPr>
        <w:t>Agreement will be amended as set forth herein without additional consent or approval of the other Lenders;</w:t>
      </w:r>
    </w:p>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NOW, THEREFORE, in consideration of the premises contained herein, the parties hereto agree as follows:</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Unless otherwise defined herein, capitalized terms are used herein as defined in the Credit Agreement as amended hereby.</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Third Amendment Increased Revolving Commitment</w:t>
      </w:r>
      <w:r>
        <w:rPr>
          <w:rFonts w:ascii="Times New Roman" w:cs="Times New Roman" w:eastAsia="Times New Roman" w:hAnsi="Times New Roman"/>
          <w:sz w:val="20"/>
          <w:szCs w:val="20"/>
          <w:color w:val="auto"/>
        </w:rPr>
        <w:t>. Subject to the terms and conditions set forth herein, the Third Amendment Incremental Revolving Lender agrees to provide a revolving commitment in an amount equal to the amount set forth under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heading “Increased Revolving Commitment” opposite the Third Amendment Incremental Revolving Lender’s name on Exhibit A hereto (such commitment, the “</w:t>
      </w:r>
      <w:r>
        <w:rPr>
          <w:rFonts w:ascii="Times New Roman" w:cs="Times New Roman" w:eastAsia="Times New Roman" w:hAnsi="Times New Roman"/>
          <w:sz w:val="20"/>
          <w:szCs w:val="20"/>
          <w:u w:val="single" w:color="auto"/>
          <w:color w:val="auto"/>
        </w:rPr>
        <w:t>Third Amendment Increased Revolving Commitment</w:t>
      </w:r>
      <w:r>
        <w:rPr>
          <w:rFonts w:ascii="Times New Roman" w:cs="Times New Roman" w:eastAsia="Times New Roman" w:hAnsi="Times New Roman"/>
          <w:sz w:val="20"/>
          <w:szCs w:val="20"/>
          <w:color w:val="auto"/>
        </w:rPr>
        <w:t>”), such that its total Revolving Commitment on the Third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Amendment Effective Date (as defined below) shall be the amount set forth under the heading “Total Revolving Commitment” opposite such Lender’s name on Exhibit A hereto.</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9"/>
          <w:szCs w:val="19"/>
          <w:u w:val="single" w:color="auto"/>
          <w:color w:val="auto"/>
        </w:rPr>
        <w:t>Joinder and Amendment of the Credit Agreement</w:t>
      </w:r>
      <w:r>
        <w:rPr>
          <w:rFonts w:ascii="Times New Roman" w:cs="Times New Roman" w:eastAsia="Times New Roman" w:hAnsi="Times New Roman"/>
          <w:sz w:val="19"/>
          <w:szCs w:val="19"/>
          <w:color w:val="auto"/>
        </w:rPr>
        <w:t>. Subject to the terms and conditions set forth herein, on the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Amendment Effective Date: (a) The Third Amendment Increased Revolving Commitment shall be deemed to be an Incremental Revolving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Commitment (as defined in the Credit Agreement), the Third Amendment Incremental Revolving Lender shall be deemed to be an Incremental Revolving Lender (as defined in the Credit Agreement) and this Agreement shall be deemed to be an Incremental Commitment</w:t>
      </w:r>
    </w:p>
    <w:p>
      <w:pPr>
        <w:spacing w:after="0" w:line="211" w:lineRule="auto"/>
        <w:rPr>
          <w:sz w:val="20"/>
          <w:szCs w:val="20"/>
          <w:color w:val="auto"/>
        </w:rPr>
      </w:pPr>
      <w:r>
        <w:rPr>
          <w:rFonts w:ascii="Times New Roman" w:cs="Times New Roman" w:eastAsia="Times New Roman" w:hAnsi="Times New Roman"/>
          <w:sz w:val="20"/>
          <w:szCs w:val="20"/>
          <w:color w:val="auto"/>
        </w:rPr>
        <w:t>Agreement (as defined in the Credit Agreement), in each case, for all purposes of the Credit Agreement and the other Loan Documents and</w:t>
      </w:r>
    </w:p>
    <w:p>
      <w:pPr>
        <w:spacing w:after="0" w:line="1" w:lineRule="exact"/>
        <w:rPr>
          <w:sz w:val="20"/>
          <w:szCs w:val="20"/>
          <w:color w:val="auto"/>
        </w:rPr>
      </w:pPr>
    </w:p>
    <w:p>
      <w:pPr>
        <w:ind w:firstLine="8"/>
        <w:spacing w:after="0" w:line="221" w:lineRule="auto"/>
        <w:tabs>
          <w:tab w:leader="none" w:pos="32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1.1A (Commitments) to the Credit Agreement is hereby amended by supplementing such schedule with the information contained in Exhibit A hereto.</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On and as of the date hereof, the Borrower hereby confirms, reaffirms and restates</w:t>
      </w:r>
    </w:p>
    <w:p>
      <w:pPr>
        <w:spacing w:after="0" w:line="215" w:lineRule="auto"/>
        <w:rPr>
          <w:sz w:val="20"/>
          <w:szCs w:val="20"/>
          <w:color w:val="auto"/>
        </w:rPr>
      </w:pPr>
      <w:r>
        <w:rPr>
          <w:rFonts w:ascii="Times New Roman" w:cs="Times New Roman" w:eastAsia="Times New Roman" w:hAnsi="Times New Roman"/>
          <w:sz w:val="19"/>
          <w:szCs w:val="19"/>
          <w:color w:val="auto"/>
        </w:rPr>
        <w:t>that each of the representations and warranties set forth in Section 4 of the Credit Agreement are, after giving effect to this Amendment, true and correct in all material respects except to the extent that such representations and warranties expressly relate solely to a specific earlier</w:t>
      </w:r>
    </w:p>
    <w:p>
      <w:pPr>
        <w:spacing w:after="0"/>
        <w:rPr>
          <w:sz w:val="20"/>
          <w:szCs w:val="20"/>
          <w:color w:val="auto"/>
        </w:rPr>
      </w:pPr>
      <w:r>
        <w:rPr>
          <w:rFonts w:ascii="Times New Roman" w:cs="Times New Roman" w:eastAsia="Times New Roman" w:hAnsi="Times New Roman"/>
          <w:sz w:val="20"/>
          <w:szCs w:val="20"/>
          <w:color w:val="auto"/>
        </w:rPr>
        <w:t>date, and except for any representation and warranty that is qualified as to “materiality,” “Material</w:t>
      </w:r>
    </w:p>
    <w:p>
      <w:pPr>
        <w:sectPr>
          <w:pgSz w:w="11900" w:h="16838" w:orient="portrait"/>
          <w:cols w:equalWidth="0" w:num="1">
            <w:col w:w="11240"/>
          </w:cols>
          <w:pgMar w:left="320" w:top="139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Adverse Effect,” or similar language, in which case the Borrower hereby confirms, reaffirms and restates that such representations and warranties are true and correct in all respects.</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The effectiveness of this Amendment is subject to the satisfaction of each of the following conditions (the date on which such conditions are satisfied, the “</w:t>
      </w:r>
      <w:r>
        <w:rPr>
          <w:rFonts w:ascii="Times New Roman" w:cs="Times New Roman" w:eastAsia="Times New Roman" w:hAnsi="Times New Roman"/>
          <w:sz w:val="20"/>
          <w:szCs w:val="20"/>
          <w:u w:val="single" w:color="auto"/>
          <w:color w:val="auto"/>
        </w:rPr>
        <w:t>Third Amendment Effective Date</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right="20" w:firstLine="644"/>
        <w:spacing w:after="0" w:line="233" w:lineRule="auto"/>
        <w:tabs>
          <w:tab w:leader="none" w:pos="194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executed and delivered by a duly authorized officer of Holdings, the Borrower, the Administrative Agent and the Third Amendment Incremental Revolving Lender;</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a Guarantee and Collateral Acknowledgement substantially in the form attached hereto as Exhibit B, executed and delivered by each Loan Party (other than ABG) and (ii) a Guarantee Acknowledgement substantially in the form attached hereto as Exhibit C, executed and delivered by ABG.</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Borrower shall have delivered all documentation and information as is reasonably requested in writing by the Third Amendment Incremental Revolving Lender at least three days prior to the anticipated Third Amendment Effective Date required by U.S. regulatory authorities under applicable “know your customer” and anti-money laundering rules and regulations, including without limitation the PATRIOT Act and (y) to the extent the Borrower qualifies as a “legal entity customer” under 31 C.F.R. § 1010.230 (the “</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at least five days prior to the Third Amendment Effective Date, any Lender that has requested, in a written notice to the Borrower at least ten days prior to the Third Amendment Effective Date, a certification regarding beneficial ownership or control as required by the Beneficial Ownership Regulation (a “</w:t>
      </w:r>
      <w:r>
        <w:rPr>
          <w:rFonts w:ascii="Times New Roman" w:cs="Times New Roman" w:eastAsia="Times New Roman" w:hAnsi="Times New Roman"/>
          <w:sz w:val="20"/>
          <w:szCs w:val="20"/>
          <w:u w:val="single" w:color="auto"/>
          <w:color w:val="auto"/>
        </w:rPr>
        <w:t>Beneficial Ownership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Certification</w:t>
      </w:r>
      <w:r>
        <w:rPr>
          <w:rFonts w:ascii="Times New Roman" w:cs="Times New Roman" w:eastAsia="Times New Roman" w:hAnsi="Times New Roman"/>
          <w:sz w:val="20"/>
          <w:szCs w:val="20"/>
          <w:color w:val="auto"/>
        </w:rPr>
        <w:t>”) in relation to the Borrower shall have received such Beneficial Ownership Certification.</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required to be paid to the Administrative Agent, the Joint Lead Arrangers and the Third Amendment Incremental Revolving Lender in connection herewith, accrued reasonable and documented out-of-pocket costs and expenses (including, to the extent invoiced in advance, reasonable legal fees and out-of-pocket expenses of one firm of counsel) and other compensation due and payable to the Administrative Agent, the Joint Lead Arrangers and the Third Amendment Incremental Revolving Lender on or prior to the Third Amendment Effective Date.</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202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a certificate of each Loan Party, dated the Third Amendment Effective Date, substantially in the form of Exhibit C to the Credit Agreement, with appropriate insertions and attachments and (ii) a good standing certificate for each Loan Party from its jurisdiction of organization.</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an executed legal opinion of Kirkland &amp; Ellis LLP, counsel to the Borrower and its subsidiaries, substantially in the form of Exhibit E to the Credit Agreement, addressed to the Administrative Agent and the Third Amendment Incremental Revolving Lender as of the Third Amendment Effective Date.</w:t>
      </w:r>
    </w:p>
    <w:p>
      <w:pPr>
        <w:spacing w:after="0" w:line="175" w:lineRule="exact"/>
        <w:rPr>
          <w:rFonts w:ascii="Times New Roman" w:cs="Times New Roman" w:eastAsia="Times New Roman" w:hAnsi="Times New Roman"/>
          <w:sz w:val="20"/>
          <w:szCs w:val="20"/>
          <w:color w:val="auto"/>
        </w:rPr>
      </w:pPr>
    </w:p>
    <w:p>
      <w:pPr>
        <w:jc w:val="both"/>
        <w:ind w:left="660" w:right="20" w:firstLine="644"/>
        <w:spacing w:after="0" w:line="230" w:lineRule="auto"/>
        <w:tabs>
          <w:tab w:leader="none" w:pos="19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solvency certificate in form and substance reasonably satisfactory to it from a Responsible Officer of the Borrower that shall document the solvency of the Borrower and its Subsidiaries after giving effect to the Third Amendment Increased Revolving Commitment and the application of the proceeds thereof.</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or would immediately result from the Third Amendment Increased Revolving Commitment.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203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set forth in Section 4 of the Credit Agreement (as amended by this Amendment) shall be true and correct in all material respects (and in all respects if any such representation and warranty is qualified by materiality) on and as of the Third Amendment Effective Date as if made on such date, except to the extent that such</w:t>
      </w:r>
    </w:p>
    <w:p>
      <w:pPr>
        <w:sectPr>
          <w:pgSz w:w="11900" w:h="16838" w:orient="portrait"/>
          <w:cols w:equalWidth="0" w:num="1">
            <w:col w:w="11240"/>
          </w:cols>
          <w:pgMar w:left="320" w:top="1399"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9"/>
          <w:szCs w:val="19"/>
          <w:color w:val="auto"/>
        </w:rPr>
        <w:t>representations and warranties expressly relate solely to a specific earlier date (in which case such representations and warranties are</w:t>
      </w:r>
    </w:p>
    <w:p>
      <w:pPr>
        <w:spacing w:after="0" w:line="6"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true and correct in all material respects as of such earlier date and in all respects if any such representation and warranty is qualified by materiality).</w:t>
      </w:r>
    </w:p>
    <w:p>
      <w:pPr>
        <w:spacing w:after="0" w:line="189" w:lineRule="exact"/>
        <w:rPr>
          <w:sz w:val="20"/>
          <w:szCs w:val="20"/>
          <w:color w:val="auto"/>
        </w:rPr>
      </w:pPr>
    </w:p>
    <w:p>
      <w:pPr>
        <w:ind w:left="660" w:firstLine="644"/>
        <w:spacing w:after="0"/>
        <w:tabs>
          <w:tab w:leader="none" w:pos="195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from a Responsible Officer of the Borrower stating the Borrower’s compliance with the conditions set forth in clauses (h) and (i) above of this Section 5.</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u w:val="single" w:color="auto"/>
          <w:color w:val="auto"/>
        </w:rPr>
        <w:t>Continuing Effect; No Other Amendments or Consents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3" w:lineRule="auto"/>
        <w:tabs>
          <w:tab w:leader="none" w:pos="180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all of the terms and provisions of the Existing Credit Agreement are and shall remain in full force and effect. The amendments provided for herein are limited to the specific subsections of the Existing Credit Agreement specified herein and shall not constitute a consent, waiver or amendment of, or an indication of the Administrative Agent’s or the Lenders’ willingness to consent to any action requiring consent under any other provisions of the Existing Credit Agreement or the same subsection for any other date or time period. Upon the effectiveness of the amendments set forth herein, on and after the Third Amendment Effective Date, each reference in the Credit Agreement to “this Agreement,” “the Agreement,” “hereunder,” “hereof” or words of like import referring to the Credit Agreement, and each reference in the other Loan Documents to “Credit Agreement,” “thereunder,” “thereof” or words of like import referring to the Credit Agreement, shall mean and be a reference to the Credit Agreement as amended hereby.</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2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not extinguish the obligations for the payment of money outstanding under the Credit Agreement or any other Loan Document or discharge or release the Lien or priority of any Security Document or any other security therefor. Nothing herein contained shall be construed as a substitution or novation of the obligations outstanding under the Credit Agreement, the Security Documents or the other Loan Documents or a novation of the Credit Agreement or any other Loan Document. The obligations outstanding under or of the Credit Agreement and instruments securing the same shall remain in full force and effect, except to any extent expressly modified hereby. Nothing implied in this Amendment or in any other document contemplated hereby shall be construed as a release or other discharge of any of the Loan Parties under any Loan Document from any of its obligations and liabilities as a borrower, guarantor, grantor or pledgor under any of the Loan Documents.</w:t>
      </w:r>
    </w:p>
    <w:p>
      <w:pPr>
        <w:spacing w:after="0" w:line="189" w:lineRule="exact"/>
        <w:rPr>
          <w:rFonts w:ascii="Times New Roman" w:cs="Times New Roman" w:eastAsia="Times New Roman" w:hAnsi="Times New Roman"/>
          <w:sz w:val="20"/>
          <w:szCs w:val="20"/>
          <w:color w:val="auto"/>
        </w:rPr>
      </w:pPr>
    </w:p>
    <w:p>
      <w:pPr>
        <w:ind w:left="660" w:right="20" w:firstLine="644"/>
        <w:spacing w:after="0"/>
        <w:tabs>
          <w:tab w:leader="none" w:pos="187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other parties hereto acknowledge and agree that this Amendment shall constitute a Loan Document and an Incremental Commitment Agreement.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agrees to pay and reimburse the Administrative Agent for all its reasonable out-of-pocket costs and expenses incurred in connection with the preparation and delivery of this Amendment, and any other documents prepared in</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connection herewith and the transactions contemplated hereby, including, without limitation, the reasonable fees and disbursements of one firm of counsel to the Administrative Agent in accordance with the terms in the Credit Agreement.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by the parties hereto (including by</w:t>
      </w:r>
    </w:p>
    <w:p>
      <w:pPr>
        <w:spacing w:after="0" w:line="204" w:lineRule="auto"/>
        <w:rPr>
          <w:sz w:val="20"/>
          <w:szCs w:val="20"/>
          <w:color w:val="auto"/>
        </w:rPr>
      </w:pPr>
      <w:r>
        <w:rPr>
          <w:rFonts w:ascii="Times New Roman" w:cs="Times New Roman" w:eastAsia="Times New Roman" w:hAnsi="Times New Roman"/>
          <w:sz w:val="20"/>
          <w:szCs w:val="20"/>
          <w:color w:val="auto"/>
        </w:rPr>
        <w:t>facsimile and electronic (e.g. “.pdf”, or “.tif”) transmission), each of which counterparts when so executed shall be an original, but all the counterparts shall together constitute one and the same instrument. The words “execution,” “signed,” “signature,” “delivery,” and words of</w:t>
      </w:r>
    </w:p>
    <w:p>
      <w:pPr>
        <w:spacing w:after="0" w:line="211" w:lineRule="auto"/>
        <w:rPr>
          <w:sz w:val="20"/>
          <w:szCs w:val="20"/>
          <w:color w:val="auto"/>
        </w:rPr>
      </w:pPr>
      <w:r>
        <w:rPr>
          <w:rFonts w:ascii="Times New Roman" w:cs="Times New Roman" w:eastAsia="Times New Roman" w:hAnsi="Times New Roman"/>
          <w:sz w:val="20"/>
          <w:szCs w:val="20"/>
          <w:color w:val="auto"/>
        </w:rPr>
        <w:t>like import in or relating to this Amendment or any document to be signed in connection with this Amendment and the transactions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w:t>
      </w:r>
    </w:p>
    <w:p>
      <w:pPr>
        <w:spacing w:after="0" w:line="211" w:lineRule="auto"/>
        <w:rPr>
          <w:sz w:val="20"/>
          <w:szCs w:val="20"/>
          <w:color w:val="auto"/>
        </w:rPr>
      </w:pPr>
      <w:r>
        <w:rPr>
          <w:rFonts w:ascii="Times New Roman" w:cs="Times New Roman" w:eastAsia="Times New Roman" w:hAnsi="Times New Roman"/>
          <w:sz w:val="20"/>
          <w:szCs w:val="20"/>
          <w:color w:val="auto"/>
        </w:rPr>
        <w:t>based recordkeeping system, as the case may be, to the extent and as provided for in any applicable law, including the Federal Electronic</w:t>
      </w:r>
    </w:p>
    <w:p>
      <w:pPr>
        <w:spacing w:after="0" w:line="215" w:lineRule="auto"/>
        <w:rPr>
          <w:sz w:val="20"/>
          <w:szCs w:val="20"/>
          <w:color w:val="auto"/>
        </w:rPr>
      </w:pPr>
      <w:r>
        <w:rPr>
          <w:rFonts w:ascii="Times New Roman" w:cs="Times New Roman" w:eastAsia="Times New Roman" w:hAnsi="Times New Roman"/>
          <w:sz w:val="19"/>
          <w:szCs w:val="19"/>
          <w:color w:val="auto"/>
        </w:rPr>
        <w:t>Signatures in Global and National Commerce Act, the New York State Electronic Signatures and Records Act, or any other similar state laws based on the Uniform Electronic Transactions Act; provided that nothing herein shall require the Administrative Agent to accept electronic</w:t>
      </w:r>
    </w:p>
    <w:p>
      <w:pPr>
        <w:spacing w:after="0"/>
        <w:rPr>
          <w:sz w:val="20"/>
          <w:szCs w:val="20"/>
          <w:color w:val="auto"/>
        </w:rPr>
      </w:pPr>
      <w:r>
        <w:rPr>
          <w:rFonts w:ascii="Times New Roman" w:cs="Times New Roman" w:eastAsia="Times New Roman" w:hAnsi="Times New Roman"/>
          <w:sz w:val="20"/>
          <w:szCs w:val="20"/>
          <w:color w:val="auto"/>
        </w:rPr>
        <w:t>signatures in any form or format without its prior written consent. As used herein, “</w:t>
      </w:r>
      <w:r>
        <w:rPr>
          <w:rFonts w:ascii="Times New Roman" w:cs="Times New Roman" w:eastAsia="Times New Roman" w:hAnsi="Times New Roman"/>
          <w:sz w:val="20"/>
          <w:szCs w:val="20"/>
          <w:u w:val="single" w:color="auto"/>
          <w:color w:val="auto"/>
        </w:rPr>
        <w:t>Electronic</w:t>
      </w:r>
    </w:p>
    <w:p>
      <w:pPr>
        <w:sectPr>
          <w:pgSz w:w="11900" w:h="16838" w:orient="portrait"/>
          <w:cols w:equalWidth="0" w:num="1">
            <w:col w:w="11240"/>
          </w:cols>
          <w:pgMar w:left="320" w:top="1399" w:right="339" w:bottom="1440" w:gutter="0" w:footer="0" w:header="0"/>
        </w:sectPr>
      </w:pPr>
    </w:p>
    <w:bookmarkStart w:id="49" w:name="page50"/>
    <w:bookmarkEnd w:id="49"/>
    <w:p>
      <w:pPr>
        <w:jc w:val="both"/>
        <w:ind w:right="20"/>
        <w:spacing w:after="0"/>
        <w:rPr>
          <w:sz w:val="20"/>
          <w:szCs w:val="20"/>
          <w:color w:val="auto"/>
        </w:rPr>
      </w:pPr>
      <w:r>
        <w:rPr>
          <w:rFonts w:ascii="Times New Roman" w:cs="Times New Roman" w:eastAsia="Times New Roman" w:hAnsi="Times New Roman"/>
          <w:sz w:val="20"/>
          <w:szCs w:val="20"/>
          <w:u w:val="single" w:color="auto"/>
          <w:color w:val="auto"/>
        </w:rPr>
        <w:t>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THE RIGHTS AND OBLIGATIONS OF THE PARTIES HEREUNDER SHALL BE GOVERNED BY, AND CONSTRUED AND INTERPRETED IN ACCORDANCE WITH, THE LAW OF THE STATE OF NEW YORK.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1240"/>
          </w:cols>
          <w:pgMar w:left="320" w:top="1399" w:right="339" w:bottom="1440" w:gutter="0" w:footer="0" w:header="0"/>
        </w:sectPr>
      </w:pPr>
    </w:p>
    <w:bookmarkStart w:id="50" w:name="page51"/>
    <w:bookmarkEnd w:id="50"/>
    <w:p>
      <w:pPr>
        <w:ind w:firstLine="1296"/>
        <w:spacing w:after="0"/>
        <w:rPr>
          <w:sz w:val="20"/>
          <w:szCs w:val="20"/>
          <w:color w:val="auto"/>
        </w:rPr>
      </w:pPr>
      <w:r>
        <w:rPr>
          <w:rFonts w:ascii="Times New Roman" w:cs="Times New Roman" w:eastAsia="Times New Roman" w:hAnsi="Times New Roman"/>
          <w:sz w:val="20"/>
          <w:szCs w:val="20"/>
          <w:color w:val="auto"/>
        </w:rPr>
        <w:t>IN WITNESS WHEREOF, the parties have caused this Amendment to be duly executed and delivered by their proper and duly authorized officers as of the day and year first above written.</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AVIS BUDGET HOLDINGS, LLC</w:t>
      </w:r>
    </w:p>
    <w:p>
      <w:pPr>
        <w:spacing w:after="0" w:line="183"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-7620</wp:posOffset>
            </wp:positionV>
            <wp:extent cx="14211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4160"/>
        <w:spacing w:after="0" w:line="197" w:lineRule="auto"/>
        <w:rPr>
          <w:sz w:val="20"/>
          <w:szCs w:val="20"/>
          <w:color w:val="auto"/>
        </w:rPr>
      </w:pPr>
      <w:r>
        <w:rPr>
          <w:rFonts w:ascii="Times New Roman" w:cs="Times New Roman" w:eastAsia="Times New Roman" w:hAnsi="Times New Roman"/>
          <w:sz w:val="20"/>
          <w:szCs w:val="20"/>
          <w:color w:val="auto"/>
        </w:rPr>
        <w:t>Name: David T. Calabria</w:t>
      </w:r>
    </w:p>
    <w:p>
      <w:pPr>
        <w:ind w:left="416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3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AVIS BUDGET CAR RENTAL, LLC</w:t>
      </w:r>
    </w:p>
    <w:p>
      <w:pPr>
        <w:spacing w:after="0" w:line="170"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T. Calabria</w:t>
      </w:r>
    </w:p>
    <w:p>
      <w:pPr>
        <w:ind w:left="4160"/>
        <w:spacing w:after="0" w:line="211" w:lineRule="auto"/>
        <w:rPr>
          <w:sz w:val="20"/>
          <w:szCs w:val="20"/>
          <w:color w:val="auto"/>
        </w:rPr>
      </w:pPr>
      <w:r>
        <w:rPr>
          <w:rFonts w:ascii="Times New Roman" w:cs="Times New Roman" w:eastAsia="Times New Roman" w:hAnsi="Times New Roman"/>
          <w:sz w:val="20"/>
          <w:szCs w:val="20"/>
          <w:color w:val="auto"/>
        </w:rPr>
        <w:t>Name: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-127000</wp:posOffset>
            </wp:positionV>
            <wp:extent cx="14211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416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Third Amendment</w:t>
      </w:r>
    </w:p>
    <w:p>
      <w:pPr>
        <w:sectPr>
          <w:pgSz w:w="11900" w:h="16838" w:orient="portrait"/>
          <w:cols w:equalWidth="0" w:num="1">
            <w:col w:w="10980"/>
          </w:cols>
          <w:pgMar w:left="320" w:top="1399" w:right="599" w:bottom="1440" w:gutter="0" w:footer="0" w:header="0"/>
        </w:sectPr>
      </w:pPr>
    </w:p>
    <w:bookmarkStart w:id="51" w:name="page52"/>
    <w:bookmarkEnd w:id="51"/>
    <w:p>
      <w:pPr>
        <w:ind w:left="2780"/>
        <w:spacing w:after="0"/>
        <w:rPr>
          <w:sz w:val="20"/>
          <w:szCs w:val="20"/>
          <w:color w:val="auto"/>
        </w:rPr>
      </w:pPr>
      <w:r>
        <w:rPr>
          <w:rFonts w:ascii="Times New Roman" w:cs="Times New Roman" w:eastAsia="Times New Roman" w:hAnsi="Times New Roman"/>
          <w:sz w:val="19"/>
          <w:szCs w:val="19"/>
          <w:color w:val="auto"/>
        </w:rPr>
        <w:t>JPMORGAN CHASE BANK, N.A., as Administrative Agent</w:t>
      </w:r>
    </w:p>
    <w:p>
      <w:pPr>
        <w:spacing w:after="0" w:line="181"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Robert P. Kellas</w:t>
      </w:r>
    </w:p>
    <w:p>
      <w:pPr>
        <w:ind w:left="3040"/>
        <w:spacing w:after="0" w:line="211" w:lineRule="auto"/>
        <w:rPr>
          <w:sz w:val="20"/>
          <w:szCs w:val="20"/>
          <w:color w:val="auto"/>
        </w:rPr>
      </w:pPr>
      <w:r>
        <w:rPr>
          <w:rFonts w:ascii="Times New Roman" w:cs="Times New Roman" w:eastAsia="Times New Roman" w:hAnsi="Times New Roman"/>
          <w:sz w:val="20"/>
          <w:szCs w:val="20"/>
          <w:color w:val="auto"/>
        </w:rPr>
        <w:t>Name: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-127000</wp:posOffset>
            </wp:positionV>
            <wp:extent cx="1465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ind w:left="304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w:t>
      </w:r>
    </w:p>
    <w:p>
      <w:pPr>
        <w:sectPr>
          <w:pgSz w:w="11900" w:h="16838" w:orient="portrait"/>
          <w:cols w:equalWidth="0" w:num="1">
            <w:col w:w="9019"/>
          </w:cols>
          <w:pgMar w:left="1440" w:top="1399" w:right="1440" w:bottom="1440" w:gutter="0" w:footer="0" w:header="0"/>
        </w:sectPr>
      </w:pPr>
    </w:p>
    <w:bookmarkStart w:id="52" w:name="page53"/>
    <w:bookmarkEnd w:id="52"/>
    <w:p>
      <w:pPr>
        <w:ind w:left="2780"/>
        <w:spacing w:after="0"/>
        <w:rPr>
          <w:sz w:val="20"/>
          <w:szCs w:val="20"/>
          <w:color w:val="auto"/>
        </w:rPr>
      </w:pPr>
      <w:r>
        <w:rPr>
          <w:rFonts w:ascii="Times New Roman" w:cs="Times New Roman" w:eastAsia="Times New Roman" w:hAnsi="Times New Roman"/>
          <w:sz w:val="20"/>
          <w:szCs w:val="20"/>
          <w:color w:val="auto"/>
        </w:rPr>
        <w:t>WELLS FARGO BANK, NATIONAL ASSOCIATION, as Third Amendment Incremental Revolving Lender</w:t>
      </w:r>
    </w:p>
    <w:p>
      <w:pPr>
        <w:spacing w:after="0" w:line="14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Jonathan D.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-7620</wp:posOffset>
            </wp:positionV>
            <wp:extent cx="1542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ind w:left="3040"/>
        <w:spacing w:after="0" w:line="211" w:lineRule="auto"/>
        <w:rPr>
          <w:sz w:val="20"/>
          <w:szCs w:val="20"/>
          <w:color w:val="auto"/>
        </w:rPr>
      </w:pPr>
      <w:r>
        <w:rPr>
          <w:rFonts w:ascii="Times New Roman" w:cs="Times New Roman" w:eastAsia="Times New Roman" w:hAnsi="Times New Roman"/>
          <w:sz w:val="20"/>
          <w:szCs w:val="20"/>
          <w:color w:val="auto"/>
        </w:rPr>
        <w:t>Name: Jonathan D. Beck</w:t>
      </w:r>
    </w:p>
    <w:p>
      <w:pPr>
        <w:ind w:left="3040"/>
        <w:spacing w:after="0"/>
        <w:tabs>
          <w:tab w:leader="none" w:pos="368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Signature Page to Third Amendment</w:t>
      </w:r>
    </w:p>
    <w:p>
      <w:pPr>
        <w:sectPr>
          <w:pgSz w:w="11900" w:h="16838" w:orient="portrait"/>
          <w:cols w:equalWidth="0" w:num="1">
            <w:col w:w="9980"/>
          </w:cols>
          <w:pgMar w:left="1440" w:top="1399" w:right="479" w:bottom="1440" w:gutter="0" w:footer="0" w:header="0"/>
        </w:sectPr>
      </w:pPr>
    </w:p>
    <w:bookmarkStart w:id="53" w:name="page54"/>
    <w:bookmarkEnd w:id="53"/>
    <w:p>
      <w:pPr>
        <w:ind w:left="102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40" w:type="dxa"/>
            <w:vAlign w:val="bottom"/>
            <w:tcBorders>
              <w:top w:val="single" w:sz="8" w:color="auto"/>
              <w:left w:val="single" w:sz="8" w:color="auto"/>
            </w:tcBorders>
          </w:tcPr>
          <w:p>
            <w:pPr>
              <w:spacing w:after="0"/>
              <w:rPr>
                <w:sz w:val="18"/>
                <w:szCs w:val="18"/>
                <w:color w:val="auto"/>
              </w:rPr>
            </w:pPr>
          </w:p>
        </w:tc>
        <w:tc>
          <w:tcPr>
            <w:tcW w:w="2100" w:type="dxa"/>
            <w:vAlign w:val="bottom"/>
            <w:tcBorders>
              <w:top w:val="single" w:sz="8" w:color="auto"/>
              <w:right w:val="single" w:sz="8" w:color="auto"/>
            </w:tcBorders>
            <w:gridSpan w:val="2"/>
          </w:tcPr>
          <w:p>
            <w:pPr>
              <w:jc w:val="center"/>
              <w:ind w:right="740"/>
              <w:spacing w:after="0" w:line="216" w:lineRule="exact"/>
              <w:rPr>
                <w:sz w:val="20"/>
                <w:szCs w:val="20"/>
                <w:color w:val="auto"/>
              </w:rPr>
            </w:pPr>
            <w:r>
              <w:rPr>
                <w:rFonts w:ascii="Times New Roman" w:cs="Times New Roman" w:eastAsia="Times New Roman" w:hAnsi="Times New Roman"/>
                <w:sz w:val="20"/>
                <w:szCs w:val="20"/>
                <w:b w:val="1"/>
                <w:bCs w:val="1"/>
                <w:color w:val="auto"/>
                <w:w w:val="97"/>
              </w:rPr>
              <w:t>Name of Lender</w:t>
            </w:r>
          </w:p>
        </w:tc>
        <w:tc>
          <w:tcPr>
            <w:tcW w:w="2800" w:type="dxa"/>
            <w:vAlign w:val="bottom"/>
            <w:tcBorders>
              <w:top w:val="single" w:sz="8" w:color="auto"/>
              <w:right w:val="single" w:sz="8" w:color="auto"/>
            </w:tcBorders>
            <w:gridSpan w:val="2"/>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Current Revolving Commitment</w:t>
            </w:r>
          </w:p>
        </w:tc>
        <w:tc>
          <w:tcPr>
            <w:tcW w:w="2820" w:type="dxa"/>
            <w:vAlign w:val="bottom"/>
            <w:tcBorders>
              <w:top w:val="single" w:sz="8" w:color="auto"/>
              <w:right w:val="single" w:sz="8" w:color="auto"/>
            </w:tcBorders>
            <w:gridSpan w:val="5"/>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Increased Revolving</w:t>
            </w:r>
          </w:p>
        </w:tc>
        <w:tc>
          <w:tcPr>
            <w:tcW w:w="140" w:type="dxa"/>
            <w:vAlign w:val="bottom"/>
            <w:tcBorders>
              <w:top w:val="single" w:sz="8" w:color="auto"/>
            </w:tcBorders>
          </w:tcPr>
          <w:p>
            <w:pPr>
              <w:spacing w:after="0"/>
              <w:rPr>
                <w:sz w:val="18"/>
                <w:szCs w:val="18"/>
                <w:color w:val="auto"/>
              </w:rPr>
            </w:pPr>
          </w:p>
        </w:tc>
        <w:tc>
          <w:tcPr>
            <w:tcW w:w="2660" w:type="dxa"/>
            <w:vAlign w:val="bottom"/>
            <w:tcBorders>
              <w:top w:val="single" w:sz="8" w:color="auto"/>
              <w:right w:val="single" w:sz="8" w:color="auto"/>
            </w:tcBorders>
            <w:gridSpan w:val="2"/>
          </w:tcPr>
          <w:p>
            <w:pPr>
              <w:jc w:val="center"/>
              <w:ind w:right="160"/>
              <w:spacing w:after="0" w:line="216" w:lineRule="exact"/>
              <w:rPr>
                <w:sz w:val="20"/>
                <w:szCs w:val="20"/>
                <w:color w:val="auto"/>
              </w:rPr>
            </w:pPr>
            <w:r>
              <w:rPr>
                <w:rFonts w:ascii="Times New Roman" w:cs="Times New Roman" w:eastAsia="Times New Roman" w:hAnsi="Times New Roman"/>
                <w:sz w:val="20"/>
                <w:szCs w:val="20"/>
                <w:b w:val="1"/>
                <w:bCs w:val="1"/>
                <w:color w:val="auto"/>
                <w:w w:val="98"/>
              </w:rPr>
              <w:t>Total Revolving Commitment</w:t>
            </w:r>
          </w:p>
        </w:tc>
      </w:tr>
      <w:tr>
        <w:trPr>
          <w:trHeight w:val="169"/>
        </w:trPr>
        <w:tc>
          <w:tcPr>
            <w:tcW w:w="740" w:type="dxa"/>
            <w:vAlign w:val="bottom"/>
            <w:tcBorders>
              <w:left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2760" w:type="dxa"/>
            <w:vAlign w:val="bottom"/>
            <w:tcBorders>
              <w:top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9"/>
                <w:szCs w:val="19"/>
                <w:b w:val="1"/>
                <w:bCs w:val="1"/>
                <w:color w:val="auto"/>
              </w:rPr>
              <w:t>Commitment</w:t>
            </w:r>
          </w:p>
        </w:tc>
        <w:tc>
          <w:tcPr>
            <w:tcW w:w="5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r>
      <w:tr>
        <w:trPr>
          <w:trHeight w:val="34"/>
        </w:trPr>
        <w:tc>
          <w:tcPr>
            <w:tcW w:w="74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183"/>
        </w:trPr>
        <w:tc>
          <w:tcPr>
            <w:tcW w:w="2840" w:type="dxa"/>
            <w:vAlign w:val="bottom"/>
            <w:tcBorders>
              <w:left w:val="single" w:sz="8" w:color="auto"/>
              <w:right w:val="single" w:sz="8" w:color="auto"/>
            </w:tcBorders>
            <w:gridSpan w:val="3"/>
          </w:tcPr>
          <w:p>
            <w:pPr>
              <w:jc w:val="center"/>
              <w:spacing w:after="0" w:line="183" w:lineRule="exact"/>
              <w:rPr>
                <w:sz w:val="20"/>
                <w:szCs w:val="20"/>
                <w:color w:val="auto"/>
              </w:rPr>
            </w:pPr>
            <w:r>
              <w:rPr>
                <w:rFonts w:ascii="Times New Roman" w:cs="Times New Roman" w:eastAsia="Times New Roman" w:hAnsi="Times New Roman"/>
                <w:sz w:val="20"/>
                <w:szCs w:val="20"/>
                <w:color w:val="auto"/>
                <w:w w:val="98"/>
              </w:rPr>
              <w:t>Wells Fargo Bank, National</w:t>
            </w:r>
          </w:p>
        </w:tc>
        <w:tc>
          <w:tcPr>
            <w:tcW w:w="2760" w:type="dxa"/>
            <w:vAlign w:val="bottom"/>
          </w:tcPr>
          <w:p>
            <w:pPr>
              <w:jc w:val="right"/>
              <w:ind w:right="1061"/>
              <w:spacing w:after="0" w:line="183" w:lineRule="exact"/>
              <w:rPr>
                <w:sz w:val="20"/>
                <w:szCs w:val="20"/>
                <w:color w:val="auto"/>
              </w:rPr>
            </w:pPr>
            <w:r>
              <w:rPr>
                <w:rFonts w:ascii="Times New Roman" w:cs="Times New Roman" w:eastAsia="Times New Roman" w:hAnsi="Times New Roman"/>
                <w:sz w:val="20"/>
                <w:szCs w:val="20"/>
                <w:color w:val="auto"/>
              </w:rPr>
              <w:t>$0.00</w:t>
            </w:r>
          </w:p>
        </w:tc>
        <w:tc>
          <w:tcPr>
            <w:tcW w:w="40" w:type="dxa"/>
            <w:vAlign w:val="bottom"/>
            <w:tcBorders>
              <w:right w:val="single" w:sz="8" w:color="auto"/>
            </w:tcBorders>
          </w:tcPr>
          <w:p>
            <w:pPr>
              <w:spacing w:after="0"/>
              <w:rPr>
                <w:sz w:val="15"/>
                <w:szCs w:val="15"/>
                <w:color w:val="auto"/>
              </w:rPr>
            </w:pPr>
          </w:p>
        </w:tc>
        <w:tc>
          <w:tcPr>
            <w:tcW w:w="2260" w:type="dxa"/>
            <w:vAlign w:val="bottom"/>
            <w:gridSpan w:val="4"/>
          </w:tcPr>
          <w:p>
            <w:pPr>
              <w:jc w:val="center"/>
              <w:ind w:left="441"/>
              <w:spacing w:after="0" w:line="183" w:lineRule="exact"/>
              <w:rPr>
                <w:sz w:val="20"/>
                <w:szCs w:val="20"/>
                <w:color w:val="auto"/>
              </w:rPr>
            </w:pPr>
            <w:r>
              <w:rPr>
                <w:rFonts w:ascii="Times New Roman" w:cs="Times New Roman" w:eastAsia="Times New Roman" w:hAnsi="Times New Roman"/>
                <w:sz w:val="20"/>
                <w:szCs w:val="20"/>
                <w:color w:val="auto"/>
                <w:w w:val="99"/>
              </w:rPr>
              <w:t>$50,000,000.00</w:t>
            </w:r>
          </w:p>
        </w:tc>
        <w:tc>
          <w:tcPr>
            <w:tcW w:w="560" w:type="dxa"/>
            <w:vAlign w:val="bottom"/>
            <w:tcBorders>
              <w:right w:val="single" w:sz="8" w:color="auto"/>
            </w:tcBorders>
          </w:tcPr>
          <w:p>
            <w:pPr>
              <w:spacing w:after="0"/>
              <w:rPr>
                <w:sz w:val="15"/>
                <w:szCs w:val="15"/>
                <w:color w:val="auto"/>
              </w:rPr>
            </w:pPr>
          </w:p>
        </w:tc>
        <w:tc>
          <w:tcPr>
            <w:tcW w:w="2640" w:type="dxa"/>
            <w:vAlign w:val="bottom"/>
            <w:gridSpan w:val="2"/>
          </w:tcPr>
          <w:p>
            <w:pPr>
              <w:jc w:val="right"/>
              <w:ind w:right="541"/>
              <w:spacing w:after="0" w:line="183" w:lineRule="exact"/>
              <w:rPr>
                <w:sz w:val="20"/>
                <w:szCs w:val="20"/>
                <w:color w:val="auto"/>
              </w:rPr>
            </w:pPr>
            <w:r>
              <w:rPr>
                <w:rFonts w:ascii="Times New Roman" w:cs="Times New Roman" w:eastAsia="Times New Roman" w:hAnsi="Times New Roman"/>
                <w:sz w:val="20"/>
                <w:szCs w:val="20"/>
                <w:color w:val="auto"/>
              </w:rPr>
              <w:t>$50,000,000.00</w:t>
            </w:r>
          </w:p>
        </w:tc>
        <w:tc>
          <w:tcPr>
            <w:tcW w:w="160" w:type="dxa"/>
            <w:vAlign w:val="bottom"/>
            <w:tcBorders>
              <w:right w:val="single" w:sz="8" w:color="auto"/>
            </w:tcBorders>
          </w:tcPr>
          <w:p>
            <w:pPr>
              <w:spacing w:after="0"/>
              <w:rPr>
                <w:sz w:val="15"/>
                <w:szCs w:val="15"/>
                <w:color w:val="auto"/>
              </w:rPr>
            </w:pPr>
          </w:p>
        </w:tc>
      </w:tr>
      <w:tr>
        <w:trPr>
          <w:trHeight w:val="256"/>
        </w:trPr>
        <w:tc>
          <w:tcPr>
            <w:tcW w:w="740" w:type="dxa"/>
            <w:vAlign w:val="bottom"/>
            <w:tcBorders>
              <w:left w:val="single" w:sz="8" w:color="auto"/>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20"/>
                <w:szCs w:val="20"/>
                <w:color w:val="auto"/>
                <w:w w:val="97"/>
              </w:rPr>
              <w:t>Association</w:t>
            </w:r>
          </w:p>
        </w:tc>
        <w:tc>
          <w:tcPr>
            <w:tcW w:w="276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395"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Guarantee and Collateral Acknowledgement</w:t>
      </w:r>
    </w:p>
    <w:p>
      <w:pPr>
        <w:spacing w:after="0" w:line="39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July 28, 2022</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Reference is made to the Sixth Amended and Restated Credit Agreement dated as of July 9, 2021 (as amended from time to</w:t>
      </w:r>
    </w:p>
    <w:p>
      <w:pPr>
        <w:spacing w:after="0" w:line="233" w:lineRule="auto"/>
        <w:rPr>
          <w:sz w:val="20"/>
          <w:szCs w:val="20"/>
          <w:color w:val="auto"/>
        </w:rPr>
      </w:pPr>
      <w:r>
        <w:rPr>
          <w:rFonts w:ascii="Times New Roman" w:cs="Times New Roman" w:eastAsia="Times New Roman" w:hAnsi="Times New Roman"/>
          <w:sz w:val="19"/>
          <w:szCs w:val="19"/>
          <w:color w:val="auto"/>
        </w:rPr>
        <w:t>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Avis Budget Car Rental, LLC, the Lenders and other parties thereto and JPMorgan Chase Bank, N.A., as administrative agent. Capitalized terms used but not defined herein are used with the meanings assigned to them in the Credit Agreement.</w:t>
      </w:r>
    </w:p>
    <w:p>
      <w:pPr>
        <w:spacing w:after="0" w:line="188"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Each of the parties hereto hereby acknowledges and consents to the Third Amendment, dated as of July 28, 2022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to the Credit Agreement and agrees with respect to each Loan Document to which it is a party:</w:t>
      </w:r>
    </w:p>
    <w:p>
      <w:pPr>
        <w:spacing w:after="0" w:line="148" w:lineRule="exact"/>
        <w:rPr>
          <w:sz w:val="20"/>
          <w:szCs w:val="20"/>
          <w:color w:val="auto"/>
        </w:rPr>
      </w:pPr>
    </w:p>
    <w:p>
      <w:pPr>
        <w:jc w:val="both"/>
        <w:ind w:firstLine="1304"/>
        <w:spacing w:after="0" w:line="220" w:lineRule="auto"/>
        <w:tabs>
          <w:tab w:leader="none" w:pos="175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its obligations, liabilities and indebtedness under such Loan Document shall remain in full force and effect on a continuous basis after giving effect to the Amendment and its guarantee, if any, of the obligations, liabilities and indebtedness of the other Loan Parties under the Credit Agreement shall extend to and cover the Third Amendment Increased Revolving Commitment provided pursuant to the Amendment and interest thereon and fees and expenses and other obligations in respect thereof and in respect of commitments related thereto;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72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Liens and security interests created and arising under such Loan Document remain in full force and effect on a continuous basis, and the perfected status and priority of each such Lien and security interest continues in full force and effect on a continuous basis, unimpaired, uninterrupted and undischarged, after giving effect to the Amendment, as collateral security for its obligations, liabilities and indebtedness under the Credit Agreement and under its guarantees, if any, in the Loan Documents, including, without limitation, the obligations under the Amendment.</w:t>
      </w:r>
    </w:p>
    <w:p>
      <w:pPr>
        <w:spacing w:after="0" w:line="162"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IN WITNESS WHEREOF, the parties hereto have caused this Guarantee and Collateral Acknowledgement to be duly executed and delivered by their respective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20" w:hanging="1309"/>
        <w:spacing w:after="0"/>
        <w:tabs>
          <w:tab w:leader="none" w:pos="53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4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w:t>
      </w:r>
    </w:p>
    <w:p>
      <w:pPr>
        <w:spacing w:after="0" w:line="38" w:lineRule="exact"/>
        <w:rPr>
          <w:rFonts w:ascii="Times New Roman" w:cs="Times New Roman" w:eastAsia="Times New Roman" w:hAnsi="Times New Roman"/>
          <w:sz w:val="20"/>
          <w:szCs w:val="20"/>
          <w:color w:val="auto"/>
        </w:rPr>
      </w:pPr>
    </w:p>
    <w:p>
      <w:pPr>
        <w:ind w:left="4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w:t>
      </w:r>
    </w:p>
    <w:p>
      <w:pPr>
        <w:spacing w:after="0" w:line="28" w:lineRule="exact"/>
        <w:rPr>
          <w:rFonts w:ascii="Times New Roman" w:cs="Times New Roman" w:eastAsia="Times New Roman" w:hAnsi="Times New Roman"/>
          <w:sz w:val="20"/>
          <w:szCs w:val="20"/>
          <w:color w:val="auto"/>
        </w:rPr>
      </w:pPr>
    </w:p>
    <w:p>
      <w:pPr>
        <w:ind w:left="4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-311785</wp:posOffset>
            </wp:positionV>
            <wp:extent cx="18599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Guarantee Acknowledgement</w:t>
      </w:r>
    </w:p>
    <w:p>
      <w:pPr>
        <w:spacing w:after="0" w:line="39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July 28, 2022</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Reference is made to the Sixth Amended and Restated Credit Agreement dated as of July 9, 2021 (as amended from time to</w:t>
      </w:r>
    </w:p>
    <w:p>
      <w:pPr>
        <w:spacing w:after="0" w:line="233" w:lineRule="auto"/>
        <w:rPr>
          <w:sz w:val="20"/>
          <w:szCs w:val="20"/>
          <w:color w:val="auto"/>
        </w:rPr>
      </w:pPr>
      <w:r>
        <w:rPr>
          <w:rFonts w:ascii="Times New Roman" w:cs="Times New Roman" w:eastAsia="Times New Roman" w:hAnsi="Times New Roman"/>
          <w:sz w:val="19"/>
          <w:szCs w:val="19"/>
          <w:color w:val="auto"/>
        </w:rPr>
        <w:t>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Avis Budget Car Rental, LLC, the Lenders and other parties thereto and JPMorgan Chase Bank, N.A., as administrative agent. Capitalized terms used but not defined herein are used with the meanings assigned to them in the Credit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Parent hereby acknowledges and consents to the Third Amendment, dated as of July 28, 2022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to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Credit Agreement and agrees with respect to each Loan Document to which it is a party that all of its obligations, liabilities and indebtedness under such Loan Document shall remain in full force and effect on a continuous basis after giving effect to the Amendment and its guarantee</w:t>
      </w:r>
    </w:p>
    <w:p>
      <w:pPr>
        <w:spacing w:after="0" w:line="211" w:lineRule="auto"/>
        <w:rPr>
          <w:sz w:val="20"/>
          <w:szCs w:val="20"/>
          <w:color w:val="auto"/>
        </w:rPr>
      </w:pPr>
      <w:r>
        <w:rPr>
          <w:rFonts w:ascii="Times New Roman" w:cs="Times New Roman" w:eastAsia="Times New Roman" w:hAnsi="Times New Roman"/>
          <w:sz w:val="20"/>
          <w:szCs w:val="20"/>
          <w:color w:val="auto"/>
        </w:rPr>
        <w:t>of the obligations, liabilities and indebtedness of the other Loan Parties under the Credit Agreement shall extend to and cover the Third</w:t>
      </w:r>
    </w:p>
    <w:p>
      <w:pPr>
        <w:spacing w:after="0" w:line="221" w:lineRule="auto"/>
        <w:rPr>
          <w:sz w:val="20"/>
          <w:szCs w:val="20"/>
          <w:color w:val="auto"/>
        </w:rPr>
      </w:pPr>
      <w:r>
        <w:rPr>
          <w:rFonts w:ascii="Times New Roman" w:cs="Times New Roman" w:eastAsia="Times New Roman" w:hAnsi="Times New Roman"/>
          <w:sz w:val="20"/>
          <w:szCs w:val="20"/>
          <w:color w:val="auto"/>
        </w:rPr>
        <w:t>Amendment Increased Revolving Commitment provided pursuant to the Amendment and interest thereon and fees and expenses and other obligations in respect thereof and in respect of commitments related thereto.</w:t>
      </w:r>
    </w:p>
    <w:p>
      <w:pPr>
        <w:spacing w:after="0" w:line="162"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IN WITNESS WHEREOF, the undersigned has caused this Guarantee Acknowledgement to be duly executed and delivered by its respective proper and duly authorized officers as of the day and year first above written.</w:t>
      </w: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AVIS BUDGET GROUP, INC.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_______________________________</w:t>
      </w:r>
    </w:p>
    <w:p>
      <w:pPr>
        <w:ind w:left="4940"/>
        <w:spacing w:after="0" w:line="197" w:lineRule="auto"/>
        <w:rPr>
          <w:sz w:val="20"/>
          <w:szCs w:val="20"/>
          <w:color w:val="auto"/>
        </w:rPr>
      </w:pPr>
      <w:r>
        <w:rPr>
          <w:rFonts w:ascii="Times New Roman" w:cs="Times New Roman" w:eastAsia="Times New Roman" w:hAnsi="Times New Roman"/>
          <w:sz w:val="20"/>
          <w:szCs w:val="20"/>
          <w:color w:val="auto"/>
        </w:rPr>
        <w:t>Name:</w:t>
      </w:r>
    </w:p>
    <w:p>
      <w:pPr>
        <w:ind w:left="49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39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FOURTH AMENDMENT TO SECOND AMENDED AND RESTATED LOAN AGREEMENT</w:t>
      </w:r>
    </w:p>
    <w:p>
      <w:pPr>
        <w:spacing w:after="0" w:line="179" w:lineRule="exact"/>
        <w:rPr>
          <w:sz w:val="20"/>
          <w:szCs w:val="20"/>
          <w:color w:val="auto"/>
        </w:rPr>
      </w:pPr>
    </w:p>
    <w:p>
      <w:pPr>
        <w:jc w:val="both"/>
        <w:ind w:firstLine="280"/>
        <w:spacing w:after="0" w:line="210" w:lineRule="auto"/>
        <w:rPr>
          <w:sz w:val="20"/>
          <w:szCs w:val="20"/>
          <w:color w:val="auto"/>
        </w:rPr>
      </w:pPr>
      <w:r>
        <w:rPr>
          <w:rFonts w:ascii="Times New Roman" w:cs="Times New Roman" w:eastAsia="Times New Roman" w:hAnsi="Times New Roman"/>
          <w:sz w:val="22"/>
          <w:szCs w:val="22"/>
          <w:color w:val="auto"/>
        </w:rPr>
        <w:t>This FOURTH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July 28, 2022, amends the Second Amended and Restated Loan Agreement, dated as of June 3, 2004 (as amended to date, the “</w:t>
      </w:r>
      <w:r>
        <w:rPr>
          <w:rFonts w:ascii="Times New Roman" w:cs="Times New Roman" w:eastAsia="Times New Roman" w:hAnsi="Times New Roman"/>
          <w:sz w:val="22"/>
          <w:szCs w:val="22"/>
          <w:u w:val="single" w:color="auto"/>
          <w:color w:val="auto"/>
        </w:rPr>
        <w:t>AESOP I Operating Lease Loan Agreement</w:t>
      </w:r>
      <w:r>
        <w:rPr>
          <w:rFonts w:ascii="Times New Roman" w:cs="Times New Roman" w:eastAsia="Times New Roman" w:hAnsi="Times New Roman"/>
          <w:sz w:val="22"/>
          <w:szCs w:val="22"/>
          <w:color w:val="auto"/>
        </w:rPr>
        <w:t>”), among AESOP LEASING L.P., a Delaware limited partnership (“</w:t>
      </w:r>
      <w:r>
        <w:rPr>
          <w:rFonts w:ascii="Times New Roman" w:cs="Times New Roman" w:eastAsia="Times New Roman" w:hAnsi="Times New Roman"/>
          <w:sz w:val="22"/>
          <w:szCs w:val="22"/>
          <w:u w:val="single" w:color="auto"/>
          <w:color w:val="auto"/>
        </w:rPr>
        <w:t>AESOP Leasing</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PV HOLDING CORP., a Delaware corporation (“</w:t>
      </w:r>
      <w:r>
        <w:rPr>
          <w:rFonts w:ascii="Times New Roman" w:cs="Times New Roman" w:eastAsia="Times New Roman" w:hAnsi="Times New Roman"/>
          <w:sz w:val="22"/>
          <w:szCs w:val="22"/>
          <w:u w:val="single" w:color="auto"/>
          <w:color w:val="auto"/>
        </w:rPr>
        <w:t>PVHC</w:t>
      </w:r>
      <w:r>
        <w:rPr>
          <w:rFonts w:ascii="Times New Roman" w:cs="Times New Roman" w:eastAsia="Times New Roman" w:hAnsi="Times New Roman"/>
          <w:sz w:val="22"/>
          <w:szCs w:val="22"/>
          <w:color w:val="auto"/>
        </w:rPr>
        <w:t>”), as a Permitted Nominee of the Borrower, QUARTX FLEET MANAGEMENT, INC., a Delaware corporation (“</w:t>
      </w:r>
      <w:r>
        <w:rPr>
          <w:rFonts w:ascii="Times New Roman" w:cs="Times New Roman" w:eastAsia="Times New Roman" w:hAnsi="Times New Roman"/>
          <w:sz w:val="22"/>
          <w:szCs w:val="22"/>
          <w:u w:val="single" w:color="auto"/>
          <w:color w:val="auto"/>
        </w:rPr>
        <w:t>Quartx</w:t>
      </w:r>
      <w:r>
        <w:rPr>
          <w:rFonts w:ascii="Times New Roman" w:cs="Times New Roman" w:eastAsia="Times New Roman" w:hAnsi="Times New Roman"/>
          <w:sz w:val="22"/>
          <w:szCs w:val="22"/>
          <w:color w:val="auto"/>
        </w:rPr>
        <w:t>”), as a Permitted Nominee of the Borrower, and AVIS BUDGET RENTAL CAR FUNDING (AESOP) LLC (formerly known as Cendant Rental Car Funding (AESOP) LLC), a Delaware limited liability company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xml:space="preserve"> ” or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Unless otherwise specified herein, capitalized terms used herein shall have the meanings ascribed to such terms in (i) the Definitions List attached as Schedule I to the Second Amended and Restated Base Indenture, dated as of June 3, 2004 (as amended to date,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ABRCF,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as such Definitions List may from time to time be amended in accordance with the terms of the Base Indenture, or (ii) the AESOP I Operating Lease Loan Agreement, as applicable.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pursuant to Section 13.1 of the AESOP I Operating Lease Loan Agreement, the AESOP I Operating Lease Loan Agreement may be amended with an agreement in writing signed by the Lender, AESOP Leasing, PVHC and Quartx and consented to in writing by the Trustee;</w:t>
      </w:r>
    </w:p>
    <w:p>
      <w:pPr>
        <w:spacing w:after="0" w:line="15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WHEREAS, pursuant to Section 12.2 of the Base Indenture, the AESOP I Operating Lease Loan Agreement may be amended with the written consent of ABRCF, the Trustee, any applicable Enhancement Provider, and the Requisite Investors;</w:t>
      </w:r>
    </w:p>
    <w:p>
      <w:pPr>
        <w:spacing w:after="0" w:line="135" w:lineRule="exact"/>
        <w:rPr>
          <w:sz w:val="20"/>
          <w:szCs w:val="20"/>
          <w:color w:val="auto"/>
        </w:rPr>
      </w:pPr>
    </w:p>
    <w:p>
      <w:pPr>
        <w:jc w:val="both"/>
        <w:ind w:firstLine="482"/>
        <w:spacing w:after="0" w:line="236" w:lineRule="auto"/>
        <w:rPr>
          <w:sz w:val="20"/>
          <w:szCs w:val="20"/>
          <w:color w:val="auto"/>
        </w:rPr>
      </w:pPr>
      <w:r>
        <w:rPr>
          <w:rFonts w:ascii="Times New Roman" w:cs="Times New Roman" w:eastAsia="Times New Roman" w:hAnsi="Times New Roman"/>
          <w:sz w:val="22"/>
          <w:szCs w:val="22"/>
          <w:color w:val="auto"/>
        </w:rPr>
        <w:t>WHEREAS, the parties desire to amend the AESOP I Operating Lease Loan Agreement to reflect the allowance for Third-Party Permitted Sublessees in the Related Documents; and</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ABRCF has requested the Trustee, each applicable Enhancement Provider and the Requisite Investors to consent, and the Trustee, each applicable Enhancement Provider and the Requisite Investors have consented, to the amendment of certain provisions of the AESOP I Operating Lease Loan Agreement as set forth herein.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179" w:lineRule="exact"/>
        <w:rPr>
          <w:sz w:val="20"/>
          <w:szCs w:val="20"/>
          <w:color w:val="auto"/>
        </w:rPr>
      </w:pPr>
    </w:p>
    <w:p>
      <w:pPr>
        <w:ind w:firstLine="1304"/>
        <w:spacing w:after="0" w:line="236"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10.14 of the AESOP I Operating Lease Loan Agreement shall hereby be amended by deleting the text “thirty-six (36) months” and inserting the text “forty-eight (48) months” in lieu thereof.</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AESOP I Operating Lease Loan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on which each of the following has occurred: (i) each of the parties hereto shall have executed and delivered this Amendment to the Trustee, (ii) the Rating Agency Consent Condition shall have been satisfied with respect to this Amendment and (iii) the Requisite</w:t>
      </w:r>
    </w:p>
    <w:p>
      <w:pPr>
        <w:sectPr>
          <w:pgSz w:w="11900" w:h="16838" w:orient="portrait"/>
          <w:cols w:equalWidth="0" w:num="1">
            <w:col w:w="11240"/>
          </w:cols>
          <w:pgMar w:left="320" w:top="9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Investors, the Trustee, the Lender and, for any applicable Series of Notes, each applicable Enhancement Provider, shall have consented hereto.</w:t>
      </w:r>
    </w:p>
    <w:p>
      <w:pPr>
        <w:spacing w:after="0" w:line="150" w:lineRule="exact"/>
        <w:rPr>
          <w:sz w:val="20"/>
          <w:szCs w:val="20"/>
          <w:color w:val="auto"/>
        </w:rPr>
      </w:pPr>
    </w:p>
    <w:p>
      <w:pPr>
        <w:ind w:right="20" w:firstLine="1304"/>
        <w:spacing w:after="0" w:line="236" w:lineRule="auto"/>
        <w:tabs>
          <w:tab w:leader="none" w:pos="19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Amendment Effective Date, all references to the AESOP I Operating Lease Loan Agreement shall be deemed to be references to the AESOP I Operating Lease Loan Agreement as amended hereby.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separate counterparts by the parties hereto, each of which when so executed and delivered shall be an original but all of which shall together constitute one and the same instrument.</w:t>
      </w:r>
    </w:p>
    <w:p>
      <w:pPr>
        <w:spacing w:after="0" w:line="150" w:lineRule="exact"/>
        <w:rPr>
          <w:rFonts w:ascii="Times New Roman" w:cs="Times New Roman" w:eastAsia="Times New Roman" w:hAnsi="Times New Roman"/>
          <w:sz w:val="22"/>
          <w:szCs w:val="22"/>
          <w:color w:val="auto"/>
        </w:rPr>
      </w:pPr>
    </w:p>
    <w:p>
      <w:pPr>
        <w:ind w:firstLine="1304"/>
        <w:spacing w:after="0" w:line="255" w:lineRule="auto"/>
        <w:tabs>
          <w:tab w:leader="none" w:pos="194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ectPr>
          <w:pgSz w:w="11900" w:h="16838" w:orient="portrait"/>
          <w:cols w:equalWidth="0" w:num="1">
            <w:col w:w="11240"/>
          </w:cols>
          <w:pgMar w:left="320" w:top="100" w:right="339" w:bottom="1440" w:gutter="0" w:footer="0" w:header="0"/>
        </w:sectPr>
      </w:pPr>
    </w:p>
    <w:bookmarkStart w:id="58" w:name="page59"/>
    <w:bookmarkEnd w:id="58"/>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duly authorized officers as of the date above first written.</w:t>
      </w:r>
    </w:p>
    <w:p>
      <w:pPr>
        <w:spacing w:after="0" w:line="1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AESOP LEASING L.P.</w:t>
      </w:r>
    </w:p>
    <w:p>
      <w:pPr>
        <w:spacing w:after="0" w:line="16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AESOP LEASING CORP.,</w:t>
      </w: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4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PV HOLDING CORP.</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Jean M. Sera</w:t>
      </w:r>
      <w:r>
        <w:rPr>
          <w:rFonts w:ascii="Times New Roman" w:cs="Times New Roman" w:eastAsia="Times New Roman" w:hAnsi="Times New Roman"/>
          <w:sz w:val="22"/>
          <w:szCs w:val="22"/>
          <w:color w:val="auto"/>
        </w:rPr>
        <w:t>_____________________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Jean M. Sera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General Counsel and Secretary</w:t>
      </w: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QUARTX FLEET MANAGEMENT, INC.</w:t>
      </w:r>
    </w:p>
    <w:p>
      <w:pPr>
        <w:spacing w:after="0" w:line="38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Jean M. Sera</w:t>
      </w:r>
      <w:r>
        <w:rPr>
          <w:rFonts w:ascii="Times New Roman" w:cs="Times New Roman" w:eastAsia="Times New Roman" w:hAnsi="Times New Roman"/>
          <w:sz w:val="22"/>
          <w:szCs w:val="22"/>
          <w:color w:val="auto"/>
        </w:rPr>
        <w:t>_____________________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Jean M. Sera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General Counsel and Secretary</w:t>
      </w: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16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ectPr>
          <w:pgSz w:w="11900" w:h="16838" w:orient="portrait"/>
          <w:cols w:equalWidth="0" w:num="1">
            <w:col w:w="11180"/>
          </w:cols>
          <w:pgMar w:left="320" w:top="1395" w:right="399" w:bottom="1440" w:gutter="0" w:footer="0" w:header="0"/>
        </w:sectPr>
      </w:pPr>
    </w:p>
    <w:bookmarkStart w:id="59" w:name="page60"/>
    <w:bookmarkEnd w:id="59"/>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Consented 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BANK OF NEW YORK TRUST COMPANY, N.A.,</w:t>
      </w:r>
    </w:p>
    <w:p>
      <w:pPr>
        <w:ind w:left="340"/>
        <w:spacing w:after="0"/>
        <w:rPr>
          <w:sz w:val="20"/>
          <w:szCs w:val="20"/>
          <w:color w:val="auto"/>
        </w:rPr>
      </w:pPr>
      <w:r>
        <w:rPr>
          <w:rFonts w:ascii="Times New Roman" w:cs="Times New Roman" w:eastAsia="Times New Roman" w:hAnsi="Times New Roman"/>
          <w:sz w:val="22"/>
          <w:szCs w:val="22"/>
          <w:color w:val="auto"/>
        </w:rPr>
        <w:t>as Trustee</w:t>
      </w:r>
    </w:p>
    <w:p>
      <w:pPr>
        <w:spacing w:after="0" w:line="25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Vassilena Ouzounova</w:t>
      </w:r>
      <w:r>
        <w:rPr>
          <w:rFonts w:ascii="Times New Roman" w:cs="Times New Roman" w:eastAsia="Times New Roman" w:hAnsi="Times New Roman"/>
          <w:sz w:val="21"/>
          <w:szCs w:val="21"/>
          <w:color w:val="auto"/>
        </w:rPr>
        <w:t>______________</w:t>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Vassilena Ouzounova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39"/>
          </w:cols>
          <w:pgMar w:left="320" w:top="1440"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36" w:lineRule="auto"/>
        <w:rPr>
          <w:sz w:val="20"/>
          <w:szCs w:val="20"/>
          <w:color w:val="auto"/>
        </w:rPr>
      </w:pPr>
      <w:r>
        <w:rPr>
          <w:rFonts w:ascii="Times New Roman" w:cs="Times New Roman" w:eastAsia="Times New Roman" w:hAnsi="Times New Roman"/>
          <w:sz w:val="22"/>
          <w:szCs w:val="22"/>
          <w:color w:val="auto"/>
        </w:rPr>
        <w:t>FIFTH AMENDMENT TO SECOND AMENDED AND RESTATED MASTER MOTOR VEHICLE OPERATING LEASE AGREEMENT</w:t>
      </w:r>
    </w:p>
    <w:p>
      <w:pPr>
        <w:spacing w:after="0" w:line="150" w:lineRule="exact"/>
        <w:rPr>
          <w:sz w:val="20"/>
          <w:szCs w:val="20"/>
          <w:color w:val="auto"/>
        </w:rPr>
      </w:pPr>
    </w:p>
    <w:p>
      <w:pPr>
        <w:jc w:val="both"/>
        <w:ind w:firstLine="327"/>
        <w:spacing w:after="0" w:line="210" w:lineRule="auto"/>
        <w:rPr>
          <w:sz w:val="20"/>
          <w:szCs w:val="20"/>
          <w:color w:val="auto"/>
        </w:rPr>
      </w:pPr>
      <w:r>
        <w:rPr>
          <w:rFonts w:ascii="Times New Roman" w:cs="Times New Roman" w:eastAsia="Times New Roman" w:hAnsi="Times New Roman"/>
          <w:sz w:val="22"/>
          <w:szCs w:val="22"/>
          <w:color w:val="auto"/>
        </w:rPr>
        <w:t>This FIFTH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July 28, 2022, amends the Second Amended and Restated Master Motor Vehicle Operating Lease Agreement, dated as of June 3, 2004 (as amended to date, the “</w:t>
      </w:r>
      <w:r>
        <w:rPr>
          <w:rFonts w:ascii="Times New Roman" w:cs="Times New Roman" w:eastAsia="Times New Roman" w:hAnsi="Times New Roman"/>
          <w:sz w:val="22"/>
          <w:szCs w:val="22"/>
          <w:u w:val="single" w:color="auto"/>
          <w:color w:val="auto"/>
        </w:rPr>
        <w:t>AESOP I Operating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by and among AESOP LEASING L.P., a Delaware limited partnership, as lessor (the “</w:t>
      </w:r>
      <w:r>
        <w:rPr>
          <w:rFonts w:ascii="Times New Roman" w:cs="Times New Roman" w:eastAsia="Times New Roman" w:hAnsi="Times New Roman"/>
          <w:sz w:val="22"/>
          <w:szCs w:val="22"/>
          <w:u w:val="single" w:color="auto"/>
          <w:color w:val="auto"/>
        </w:rPr>
        <w:t>Lessor</w:t>
      </w:r>
      <w:r>
        <w:rPr>
          <w:rFonts w:ascii="Times New Roman" w:cs="Times New Roman" w:eastAsia="Times New Roman" w:hAnsi="Times New Roman"/>
          <w:sz w:val="22"/>
          <w:szCs w:val="22"/>
          <w:color w:val="auto"/>
        </w:rPr>
        <w:t xml:space="preserve"> ”) and AVIS BUDGET CAR RENTAL, LLC (formerly known as Cendant Car Rental Group, LLC), a Delaware limited liability company (“</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as lessee (in such capacity, the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and as administrator (in such capacity,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Unless otherwise specified herein, capitalized terms used herein shall have the meanings ascribed to such terms in (i) the Definitions List attached as Schedule I to the Second Amended and Restated Base Indenture, dated as of June 3, 2004 (as amended to date,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Avis Budget Rental Car Funding (AESOP) LLC (formerly known as Cendant Rental Car Funding (AESOP) LLC)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as such Definitions List may from time to time be amended in accordance with the terms of the Base Indenture, or (ii) the AESOP I Operating Lease, as applicable.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pursuant to Section 29 of the AESOP I Operating Lease, the AESOP I Operating Lease may be amended with an agreement in writing signed by the Lessor and the Lessee and consented to in writing by ABRCF, as lender (in such capacity,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the Trustee;</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pursuant to Section 8.24 of the Base Indenture, ABRCF is prohibited, subject to certain exceptions, from giving any approval or consent or permission provided for in any Related Document;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pursuant to Section 12.2 of the Base Indenture the provisions of the Base Indenture may be waived with the written consent of ABRCF, the Trustee, any applicable Enhancement Provider and the Requisite Investors;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ABRCF has requested the Trustee, each applicable Enhancement Provider and the Requisite Investors to consent, and the Trustee, each applicable Enhancement Provider and the Requisite Investors have consented, to the amendment of certain provisions of the AESOP I Operating Lease as set forth herein;</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the parties desire to amend the AESOP I Operating Lease, subject to certain restrictions, to permit U.S. licensees of ARAC and BRAC to sublease vehicles from the Lessee as Permitted Sublessees; and</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the Lessor has requested the Trustee and the Lender to, and, upon this Amendment becoming effective, the Lessor, the Lender and the Trustee have agreed to, amend certain provisions of the AESOP I Operating Lease as set forth herein.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179" w:lineRule="exact"/>
        <w:rPr>
          <w:sz w:val="20"/>
          <w:szCs w:val="20"/>
          <w:color w:val="auto"/>
        </w:rPr>
      </w:pPr>
    </w:p>
    <w:p>
      <w:pPr>
        <w:ind w:firstLine="1304"/>
        <w:spacing w:after="0" w:line="236"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 xml:space="preserve"> of the AESOP I Operating Lease is hereby amended by deleting the text “thirty-six (36) months” and inserting the text “forty-eight (48) months” in lieu thereof.</w:t>
      </w:r>
    </w:p>
    <w:p>
      <w:pPr>
        <w:sectPr>
          <w:pgSz w:w="11900" w:h="16838" w:orient="portrait"/>
          <w:cols w:equalWidth="0" w:num="1">
            <w:col w:w="11240"/>
          </w:cols>
          <w:pgMar w:left="320" w:top="94" w:right="339" w:bottom="1440" w:gutter="0" w:footer="0" w:header="0"/>
        </w:sectPr>
      </w:pPr>
    </w:p>
    <w:bookmarkStart w:id="61" w:name="page62"/>
    <w:bookmarkEnd w:id="61"/>
    <w:p>
      <w:pPr>
        <w:ind w:left="-1120" w:firstLine="1304"/>
        <w:spacing w:after="0" w:line="236" w:lineRule="auto"/>
        <w:tabs>
          <w:tab w:leader="none" w:pos="8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 xml:space="preserve"> of the AESOP I Operating Lease is hereby amended by deleting the text “thirty-six (36) months” and inserting the text “forty-eight (48) months” in lieu thereof.</w:t>
      </w:r>
    </w:p>
    <w:p>
      <w:pPr>
        <w:spacing w:after="0" w:line="150" w:lineRule="exact"/>
        <w:rPr>
          <w:rFonts w:ascii="Times New Roman" w:cs="Times New Roman" w:eastAsia="Times New Roman" w:hAnsi="Times New Roman"/>
          <w:sz w:val="22"/>
          <w:szCs w:val="22"/>
          <w:color w:val="auto"/>
        </w:rPr>
      </w:pPr>
    </w:p>
    <w:p>
      <w:pPr>
        <w:ind w:left="-1120" w:firstLine="1304"/>
        <w:spacing w:after="0" w:line="236" w:lineRule="auto"/>
        <w:tabs>
          <w:tab w:leader="none" w:pos="8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of the AESOP I Operating Lease is hereby amended by deleting the text “thirty-six (36) months” and inserting the text “forty-eight (48) months” in lieu thereof.</w:t>
      </w:r>
    </w:p>
    <w:p>
      <w:pPr>
        <w:spacing w:after="0" w:line="150" w:lineRule="exact"/>
        <w:rPr>
          <w:rFonts w:ascii="Times New Roman" w:cs="Times New Roman" w:eastAsia="Times New Roman" w:hAnsi="Times New Roman"/>
          <w:sz w:val="22"/>
          <w:szCs w:val="22"/>
          <w:color w:val="auto"/>
        </w:rPr>
      </w:pPr>
    </w:p>
    <w:p>
      <w:pPr>
        <w:ind w:left="-1120" w:firstLine="1304"/>
        <w:spacing w:after="0" w:line="236" w:lineRule="auto"/>
        <w:tabs>
          <w:tab w:leader="none" w:pos="8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AESOP I Operating Lease.</w:t>
      </w:r>
    </w:p>
    <w:p>
      <w:pPr>
        <w:spacing w:after="0" w:line="150" w:lineRule="exact"/>
        <w:rPr>
          <w:rFonts w:ascii="Times New Roman" w:cs="Times New Roman" w:eastAsia="Times New Roman" w:hAnsi="Times New Roman"/>
          <w:sz w:val="22"/>
          <w:szCs w:val="22"/>
          <w:color w:val="auto"/>
        </w:rPr>
      </w:pPr>
    </w:p>
    <w:p>
      <w:pPr>
        <w:jc w:val="both"/>
        <w:ind w:left="-1120" w:firstLine="1304"/>
        <w:spacing w:after="0" w:line="217" w:lineRule="auto"/>
        <w:tabs>
          <w:tab w:leader="none" w:pos="8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on which each of the following has occurred: (i) each of the parties hereto shall have executed and delivered this Amendment to the Trustee, (ii) the Rating Agency Consent Condition shall have been satisfied with respect to this Amendment and (iii) the Requisite Investors, the Trustee, the Lender and, for any applicable Series of Notes, each applicable Enhancement Provider, shall have consented hereto.</w:t>
      </w:r>
    </w:p>
    <w:p>
      <w:pPr>
        <w:spacing w:after="0" w:line="152" w:lineRule="exact"/>
        <w:rPr>
          <w:rFonts w:ascii="Times New Roman" w:cs="Times New Roman" w:eastAsia="Times New Roman" w:hAnsi="Times New Roman"/>
          <w:sz w:val="22"/>
          <w:szCs w:val="22"/>
          <w:color w:val="auto"/>
        </w:rPr>
      </w:pPr>
    </w:p>
    <w:p>
      <w:pPr>
        <w:ind w:left="-1120" w:firstLine="1304"/>
        <w:spacing w:after="0" w:line="236" w:lineRule="auto"/>
        <w:tabs>
          <w:tab w:leader="none" w:pos="8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Amendment Effective Date, all references to the AESOP I Operating Lease shall be deemed to be references to the AESOP I Operating Lease as amended hereby.</w:t>
      </w:r>
    </w:p>
    <w:p>
      <w:pPr>
        <w:spacing w:after="0" w:line="150" w:lineRule="exact"/>
        <w:rPr>
          <w:rFonts w:ascii="Times New Roman" w:cs="Times New Roman" w:eastAsia="Times New Roman" w:hAnsi="Times New Roman"/>
          <w:sz w:val="22"/>
          <w:szCs w:val="22"/>
          <w:color w:val="auto"/>
        </w:rPr>
      </w:pPr>
    </w:p>
    <w:p>
      <w:pPr>
        <w:ind w:left="-1120" w:firstLine="1304"/>
        <w:spacing w:after="0" w:line="236" w:lineRule="auto"/>
        <w:tabs>
          <w:tab w:leader="none" w:pos="8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separate counterparts by the parties hereto, each of which when so executed and delivered shall be an original but all of which shall together constitute one and the same instrument.</w:t>
      </w:r>
    </w:p>
    <w:p>
      <w:pPr>
        <w:spacing w:after="0" w:line="150" w:lineRule="exact"/>
        <w:rPr>
          <w:rFonts w:ascii="Times New Roman" w:cs="Times New Roman" w:eastAsia="Times New Roman" w:hAnsi="Times New Roman"/>
          <w:sz w:val="22"/>
          <w:szCs w:val="22"/>
          <w:color w:val="auto"/>
        </w:rPr>
      </w:pPr>
    </w:p>
    <w:p>
      <w:pPr>
        <w:ind w:left="-1120" w:firstLine="1304"/>
        <w:spacing w:after="0" w:line="255" w:lineRule="auto"/>
        <w:tabs>
          <w:tab w:leader="none" w:pos="82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ectPr>
          <w:pgSz w:w="11900" w:h="16838" w:orient="portrait"/>
          <w:cols w:equalWidth="0" w:num="1">
            <w:col w:w="10120"/>
          </w:cols>
          <w:pgMar w:left="1440" w:top="1395" w:right="339" w:bottom="1440" w:gutter="0" w:footer="0" w:header="0"/>
        </w:sectPr>
      </w:pPr>
    </w:p>
    <w:bookmarkStart w:id="62" w:name="page63"/>
    <w:bookmarkEnd w:id="62"/>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duly authorized officers as of the date above first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AESOP LEASING L.P., as Lessor</w:t>
      </w:r>
    </w:p>
    <w:p>
      <w:pPr>
        <w:spacing w:after="0" w:line="382" w:lineRule="exact"/>
        <w:rPr>
          <w:sz w:val="20"/>
          <w:szCs w:val="20"/>
          <w:color w:val="auto"/>
        </w:rPr>
      </w:pPr>
    </w:p>
    <w:p>
      <w:pPr>
        <w:jc w:val="center"/>
        <w:ind w:right="56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AESOP LEASING CORP.,</w:t>
      </w:r>
    </w:p>
    <w:p>
      <w:pPr>
        <w:jc w:val="center"/>
        <w:ind w:right="6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AVIS BUDGET CAR RENTAL, LLC, as Lessee and Administrator</w:t>
      </w:r>
    </w:p>
    <w:p>
      <w:pPr>
        <w:spacing w:after="0" w:line="16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Fifth Amendment to AESOP I Operating Lease</w:t>
      </w:r>
    </w:p>
    <w:p>
      <w:pPr>
        <w:sectPr>
          <w:pgSz w:w="11900" w:h="16838" w:orient="portrait"/>
          <w:cols w:equalWidth="0" w:num="1">
            <w:col w:w="11240"/>
          </w:cols>
          <w:pgMar w:left="320" w:top="139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u w:val="single" w:color="auto"/>
          <w:color w:val="auto"/>
        </w:rPr>
        <w:t>Acknowledged and Consented To</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 FUNDING (AESOP) LLC, as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TRUST COMPANY, N.A., as Trustee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Vassilena Ouzounova</w:t>
      </w:r>
      <w:r>
        <w:rPr>
          <w:rFonts w:ascii="Times New Roman" w:cs="Times New Roman" w:eastAsia="Times New Roman" w:hAnsi="Times New Roman"/>
          <w:sz w:val="21"/>
          <w:szCs w:val="21"/>
          <w:color w:val="auto"/>
        </w:rPr>
        <w:t>______________</w:t>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Vassilena Ouzounova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4"/>
          <w:szCs w:val="14"/>
          <w:i w:val="1"/>
          <w:iCs w:val="1"/>
          <w:color w:val="auto"/>
        </w:rPr>
        <w:t>Signature Page to Fifth Amendment to AESOP I Operating Lease</w:t>
      </w:r>
    </w:p>
    <w:p>
      <w:pPr>
        <w:sectPr>
          <w:pgSz w:w="11900" w:h="16838" w:orient="portrait"/>
          <w:cols w:equalWidth="0" w:num="1">
            <w:col w:w="10139"/>
          </w:cols>
          <w:pgMar w:left="320" w:top="1395"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FIFTH AMENDMENT TO AMENDED AND RESTATED MASTER MOTOR VEHICLE FINANCE LEASE AGREEMENT</w:t>
      </w:r>
    </w:p>
    <w:p>
      <w:pPr>
        <w:spacing w:after="0" w:line="191" w:lineRule="exact"/>
        <w:rPr>
          <w:sz w:val="20"/>
          <w:szCs w:val="20"/>
          <w:color w:val="auto"/>
        </w:rPr>
      </w:pPr>
    </w:p>
    <w:p>
      <w:pPr>
        <w:jc w:val="both"/>
        <w:ind w:firstLine="219"/>
        <w:spacing w:after="0" w:line="209" w:lineRule="auto"/>
        <w:rPr>
          <w:sz w:val="20"/>
          <w:szCs w:val="20"/>
          <w:color w:val="auto"/>
        </w:rPr>
      </w:pPr>
      <w:r>
        <w:rPr>
          <w:rFonts w:ascii="Times New Roman" w:cs="Times New Roman" w:eastAsia="Times New Roman" w:hAnsi="Times New Roman"/>
          <w:sz w:val="22"/>
          <w:szCs w:val="22"/>
          <w:color w:val="auto"/>
        </w:rPr>
        <w:t>This FIFTH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July 28, 2022, amends the Amended and Restated Master Motor Vehicle Finance Lease Agreement, dated as of June 3, 2004 (as amended to date, the “</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by and among AESOP LEASING L.P., a Delaware limited partnership, as lessor (the “</w:t>
      </w:r>
      <w:r>
        <w:rPr>
          <w:rFonts w:ascii="Times New Roman" w:cs="Times New Roman" w:eastAsia="Times New Roman" w:hAnsi="Times New Roman"/>
          <w:sz w:val="22"/>
          <w:szCs w:val="22"/>
          <w:u w:val="single" w:color="auto"/>
          <w:color w:val="auto"/>
        </w:rPr>
        <w:t>Lessor</w:t>
      </w:r>
      <w:r>
        <w:rPr>
          <w:rFonts w:ascii="Times New Roman" w:cs="Times New Roman" w:eastAsia="Times New Roman" w:hAnsi="Times New Roman"/>
          <w:sz w:val="22"/>
          <w:szCs w:val="22"/>
          <w:color w:val="auto"/>
        </w:rPr>
        <w:t>”), AVIS BUDGET CAR RENTAL, LLC (formerly known as Cendant Car Rental Group, LLC), a Delaware limited liability company (“</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as a lessee (in such capacity, a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as administrator (in such capacity,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and as guarantor (in such capacity, the “</w:t>
      </w:r>
      <w:r>
        <w:rPr>
          <w:rFonts w:ascii="Times New Roman" w:cs="Times New Roman" w:eastAsia="Times New Roman" w:hAnsi="Times New Roman"/>
          <w:sz w:val="22"/>
          <w:szCs w:val="22"/>
          <w:u w:val="single" w:color="auto"/>
          <w:color w:val="auto"/>
        </w:rPr>
        <w:t>Finance Lease Guarantor</w:t>
      </w:r>
      <w:r>
        <w:rPr>
          <w:rFonts w:ascii="Times New Roman" w:cs="Times New Roman" w:eastAsia="Times New Roman" w:hAnsi="Times New Roman"/>
          <w:sz w:val="22"/>
          <w:szCs w:val="22"/>
          <w:color w:val="auto"/>
        </w:rPr>
        <w:t>”), AVIS RENT A CAR SYSTEM, LLC (formerly known as Avis Rent A Car System, Inc.), a Delaware limited liability company (“</w:t>
      </w:r>
      <w:r>
        <w:rPr>
          <w:rFonts w:ascii="Times New Roman" w:cs="Times New Roman" w:eastAsia="Times New Roman" w:hAnsi="Times New Roman"/>
          <w:sz w:val="22"/>
          <w:szCs w:val="22"/>
          <w:u w:val="single" w:color="auto"/>
          <w:color w:val="auto"/>
        </w:rPr>
        <w:t>ARAC</w:t>
      </w:r>
      <w:r>
        <w:rPr>
          <w:rFonts w:ascii="Times New Roman" w:cs="Times New Roman" w:eastAsia="Times New Roman" w:hAnsi="Times New Roman"/>
          <w:sz w:val="22"/>
          <w:szCs w:val="22"/>
          <w:color w:val="auto"/>
        </w:rPr>
        <w:t>”), as a lessee (in such capacity, a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and BUDGET RENT A CAR SYSTEM, INC., a Delaware corporation (“</w:t>
      </w:r>
      <w:r>
        <w:rPr>
          <w:rFonts w:ascii="Times New Roman" w:cs="Times New Roman" w:eastAsia="Times New Roman" w:hAnsi="Times New Roman"/>
          <w:sz w:val="22"/>
          <w:szCs w:val="22"/>
          <w:u w:val="single" w:color="auto"/>
          <w:color w:val="auto"/>
        </w:rPr>
        <w:t>BRAC</w:t>
      </w:r>
      <w:r>
        <w:rPr>
          <w:rFonts w:ascii="Times New Roman" w:cs="Times New Roman" w:eastAsia="Times New Roman" w:hAnsi="Times New Roman"/>
          <w:sz w:val="22"/>
          <w:szCs w:val="22"/>
          <w:color w:val="auto"/>
        </w:rPr>
        <w:t>”), as a lessee (in such capacity, a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and together, with ABCR and ARAC, in their capacities as lessees, the “</w:t>
      </w:r>
      <w:r>
        <w:rPr>
          <w:rFonts w:ascii="Times New Roman" w:cs="Times New Roman" w:eastAsia="Times New Roman" w:hAnsi="Times New Roman"/>
          <w:sz w:val="22"/>
          <w:szCs w:val="22"/>
          <w:u w:val="single" w:color="auto"/>
          <w:color w:val="auto"/>
        </w:rPr>
        <w:t>Lessees</w:t>
      </w:r>
      <w:r>
        <w:rPr>
          <w:rFonts w:ascii="Times New Roman" w:cs="Times New Roman" w:eastAsia="Times New Roman" w:hAnsi="Times New Roman"/>
          <w:sz w:val="22"/>
          <w:szCs w:val="22"/>
          <w:color w:val="auto"/>
        </w:rPr>
        <w:t>”). Unless otherwise specified herein, capitalized terms used herein shall have the meanings ascribed to such terms in (i) the Definitions List attached as Schedule I to the Second Amended and Restated Base Indenture, dated as of June 3, 2004 (as amended to date,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Avis Budget Rental Car Funding (AESOP) LLC (formerly known as Cendant Rental Car Funding (AESOP) LLC)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as such Definitions List may from time to time be amended in accordance with the terms of the Base Indenture, or (ii) the Finance Lease, as applicable.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pursuant to Section 29 of the Finance Lease, the Finance Lease may be amended with an agreement in writing signed by the Lessor, the Finance Lease Guarantor and each Lessee and consented to in writing by ABRCF, as lender (in such capacity,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the Trustee;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pursuant to Section 8.24 of the Base Indenture, ABRCF is prohibited, subject to certain exceptions, from giving any approval or consent or permission provided for in any Related Document;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pursuant to Section 12.2 of the Base Indenture the provisions of the Base Indenture may be waived with the written consent of ABRCF, the Trustee, any applicable Enhancement Provider and the Requisite Investors;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ABRCF has requested the Trustee, each applicable Enhancement Provider and the Requisite Investors to consent, and the Trustee, each applicable Enhancement Provider and the Requisite Investors have consented, to the amendment of certain provisions of the Finance Lease as set forth herein;</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WHEREAS, the parties desire to amend the Finance Lease, subject to certain restrictions, to permit U.S. licensees of ARAC and BRAC to sublease vehicles from any Lessee as Permitted Sublessees; and</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the Lessor has requested the Trustee and the Lender to, and, upon this Amendment becoming effective, the Lessor, the Lender and the Trustee have agreed to, amend certain provisions of the Finance Lease as set forth herein.</w:t>
      </w:r>
    </w:p>
    <w:p>
      <w:pPr>
        <w:sectPr>
          <w:pgSz w:w="11900" w:h="16838" w:orient="portrait"/>
          <w:cols w:equalWidth="0" w:num="1">
            <w:col w:w="11240"/>
          </w:cols>
          <w:pgMar w:left="320" w:top="9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179" w:lineRule="exact"/>
        <w:rPr>
          <w:sz w:val="20"/>
          <w:szCs w:val="20"/>
          <w:color w:val="auto"/>
        </w:rPr>
      </w:pPr>
    </w:p>
    <w:p>
      <w:pPr>
        <w:ind w:firstLine="1304"/>
        <w:spacing w:after="0" w:line="23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 xml:space="preserve"> of the Finance Lease is hereby amended by deleting the text “thirty-six (36) months” and inserting the text “forty-eight (48) months” in lieu thereof.</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 xml:space="preserve"> of the Finance Lease is hereby amended by deleting the text “thirty-six (36) months” and inserting the text “forty-eight (48) months” in lieu thereof.</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of the Finance Lease is hereby amended by deleting the text “thirty-six (36) months” and inserting the text “forty-eight (48) months” in lieu thereof.</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Finance Lease.</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on which each of the following has occurred: (i) each of the parties hereto shall have executed and delivered this Amendment to the Trustee, (ii) the Rating Agency Consent Condition shall have been satisfied with respect to this Amendment and (iii) the Requisite Investors, the Trustee, the Lender and, for any applicable Series of Notes, each applicable Enhancement Provider, shall have consented hereto.</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Amendment Effective Date, all references to the Finance Lease shall be deemed to be references to the Finance Lease as amended hereby.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separate counterparts by the parties hereto, each of which when so executed and delivered shall be an original but all of which shall together constitute one and the same instrument.</w:t>
      </w:r>
    </w:p>
    <w:p>
      <w:pPr>
        <w:spacing w:after="0" w:line="150" w:lineRule="exact"/>
        <w:rPr>
          <w:rFonts w:ascii="Times New Roman" w:cs="Times New Roman" w:eastAsia="Times New Roman" w:hAnsi="Times New Roman"/>
          <w:sz w:val="22"/>
          <w:szCs w:val="22"/>
          <w:color w:val="auto"/>
        </w:rPr>
      </w:pPr>
    </w:p>
    <w:p>
      <w:pPr>
        <w:ind w:firstLine="1304"/>
        <w:spacing w:after="0" w:line="255" w:lineRule="auto"/>
        <w:tabs>
          <w:tab w:leader="none" w:pos="194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ectPr>
          <w:pgSz w:w="11900" w:h="16838" w:orient="portrait"/>
          <w:cols w:equalWidth="0" w:num="1">
            <w:col w:w="11240"/>
          </w:cols>
          <w:pgMar w:left="320" w:top="98" w:right="339" w:bottom="1440" w:gutter="0" w:footer="0" w:header="0"/>
        </w:sectPr>
      </w:pPr>
    </w:p>
    <w:bookmarkStart w:id="66" w:name="page67"/>
    <w:bookmarkEnd w:id="66"/>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duly authorized officers as of the date above first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AESOP LEASING L.P., as Lessor</w:t>
      </w:r>
    </w:p>
    <w:p>
      <w:pPr>
        <w:spacing w:after="0" w:line="382" w:lineRule="exact"/>
        <w:rPr>
          <w:sz w:val="20"/>
          <w:szCs w:val="20"/>
          <w:color w:val="auto"/>
        </w:rPr>
      </w:pPr>
    </w:p>
    <w:p>
      <w:pPr>
        <w:jc w:val="center"/>
        <w:ind w:right="56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AESOP LEASING CORP.,</w:t>
      </w:r>
    </w:p>
    <w:p>
      <w:pPr>
        <w:jc w:val="center"/>
        <w:ind w:right="6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3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AVIS BUDGET CAR RENTAL, LLC, as Lessee, Administrator and Finance Lease</w:t>
      </w:r>
    </w:p>
    <w:p>
      <w:pPr>
        <w:ind w:left="4220"/>
        <w:spacing w:after="0"/>
        <w:rPr>
          <w:sz w:val="20"/>
          <w:szCs w:val="20"/>
          <w:color w:val="auto"/>
        </w:rPr>
      </w:pPr>
      <w:r>
        <w:rPr>
          <w:rFonts w:ascii="Times New Roman" w:cs="Times New Roman" w:eastAsia="Times New Roman" w:hAnsi="Times New Roman"/>
          <w:sz w:val="22"/>
          <w:szCs w:val="22"/>
          <w:color w:val="auto"/>
        </w:rPr>
        <w:t>Guarantor</w:t>
      </w:r>
    </w:p>
    <w:p>
      <w:pPr>
        <w:spacing w:after="0" w:line="14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AVIS RENT A CAR SYSTEM, LLC, as Lessee</w:t>
      </w:r>
    </w:p>
    <w:p>
      <w:pPr>
        <w:spacing w:after="0" w:line="38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3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BUDGET RENT A CAR SYSTEM, INC.,</w:t>
      </w:r>
    </w:p>
    <w:p>
      <w:pPr>
        <w:ind w:left="4220"/>
        <w:spacing w:after="0"/>
        <w:rPr>
          <w:sz w:val="20"/>
          <w:szCs w:val="20"/>
          <w:color w:val="auto"/>
        </w:rPr>
      </w:pPr>
      <w:r>
        <w:rPr>
          <w:rFonts w:ascii="Times New Roman" w:cs="Times New Roman" w:eastAsia="Times New Roman" w:hAnsi="Times New Roman"/>
          <w:sz w:val="22"/>
          <w:szCs w:val="22"/>
          <w:color w:val="auto"/>
        </w:rPr>
        <w:t>as Lessee</w:t>
      </w:r>
    </w:p>
    <w:p>
      <w:pPr>
        <w:spacing w:after="0" w:line="35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Acknowledged and Consented To</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 FUNDING (AESOP) LLC, as Lender</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to Fifth Amendment to AESOP I Finance Lease</w:t>
      </w:r>
    </w:p>
    <w:p>
      <w:pPr>
        <w:sectPr>
          <w:pgSz w:w="11900" w:h="16838" w:orient="portrait"/>
          <w:cols w:equalWidth="0" w:num="1">
            <w:col w:w="11240"/>
          </w:cols>
          <w:pgMar w:left="320" w:top="1395" w:right="339" w:bottom="1440" w:gutter="0" w:footer="0" w:header="0"/>
          <w:type w:val="continuous"/>
        </w:sectPr>
      </w:pPr>
    </w:p>
    <w:bookmarkStart w:id="67" w:name="page68"/>
    <w:bookmarkEnd w:id="67"/>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TRUST COMPANY, N.A., as Trustee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Vassilena Ouzounova</w:t>
      </w:r>
      <w:r>
        <w:rPr>
          <w:rFonts w:ascii="Times New Roman" w:cs="Times New Roman" w:eastAsia="Times New Roman" w:hAnsi="Times New Roman"/>
          <w:sz w:val="21"/>
          <w:szCs w:val="21"/>
          <w:color w:val="auto"/>
        </w:rPr>
        <w:t>______________</w:t>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Vassilena Ouzounova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459"/>
        <w:spacing w:after="0"/>
        <w:rPr>
          <w:sz w:val="20"/>
          <w:szCs w:val="20"/>
          <w:color w:val="auto"/>
        </w:rPr>
      </w:pPr>
      <w:r>
        <w:rPr>
          <w:rFonts w:ascii="Times New Roman" w:cs="Times New Roman" w:eastAsia="Times New Roman" w:hAnsi="Times New Roman"/>
          <w:sz w:val="16"/>
          <w:szCs w:val="16"/>
          <w:i w:val="1"/>
          <w:iCs w:val="1"/>
          <w:color w:val="auto"/>
        </w:rPr>
        <w:t>Signature Page to Fifth Amendment to AESOP I Finance Lease</w:t>
      </w:r>
    </w:p>
    <w:p>
      <w:pPr>
        <w:sectPr>
          <w:pgSz w:w="11900" w:h="16838" w:orient="portrait"/>
          <w:cols w:equalWidth="0" w:num="1">
            <w:col w:w="10139"/>
          </w:cols>
          <w:pgMar w:left="320" w:top="1382"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FOURTH AMENDMENT TO AMENDED AND RESTATED LOAN AGREEMENT</w:t>
      </w:r>
    </w:p>
    <w:p>
      <w:pPr>
        <w:spacing w:after="0" w:line="179" w:lineRule="exact"/>
        <w:rPr>
          <w:sz w:val="20"/>
          <w:szCs w:val="20"/>
          <w:color w:val="auto"/>
        </w:rPr>
      </w:pPr>
    </w:p>
    <w:p>
      <w:pPr>
        <w:jc w:val="both"/>
        <w:ind w:firstLine="320"/>
        <w:spacing w:after="0" w:line="211" w:lineRule="auto"/>
        <w:rPr>
          <w:sz w:val="20"/>
          <w:szCs w:val="20"/>
          <w:color w:val="auto"/>
        </w:rPr>
      </w:pPr>
      <w:r>
        <w:rPr>
          <w:rFonts w:ascii="Times New Roman" w:cs="Times New Roman" w:eastAsia="Times New Roman" w:hAnsi="Times New Roman"/>
          <w:sz w:val="22"/>
          <w:szCs w:val="22"/>
          <w:color w:val="auto"/>
        </w:rPr>
        <w:t>This FOURTH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July 28, 2022, amends the Amended and Restated Loan Agreement, dated as of June 3, 2004 (as amended to date, the “</w:t>
      </w:r>
      <w:r>
        <w:rPr>
          <w:rFonts w:ascii="Times New Roman" w:cs="Times New Roman" w:eastAsia="Times New Roman" w:hAnsi="Times New Roman"/>
          <w:sz w:val="22"/>
          <w:szCs w:val="22"/>
          <w:u w:val="single" w:color="auto"/>
          <w:color w:val="auto"/>
        </w:rPr>
        <w:t>AESOP I Finance Lease Loan Agreement</w:t>
      </w:r>
      <w:r>
        <w:rPr>
          <w:rFonts w:ascii="Times New Roman" w:cs="Times New Roman" w:eastAsia="Times New Roman" w:hAnsi="Times New Roman"/>
          <w:sz w:val="22"/>
          <w:szCs w:val="22"/>
          <w:color w:val="auto"/>
        </w:rPr>
        <w:t>”), between AESOP LEASING L.P., a Delaware limited partnership (“</w:t>
      </w:r>
      <w:r>
        <w:rPr>
          <w:rFonts w:ascii="Times New Roman" w:cs="Times New Roman" w:eastAsia="Times New Roman" w:hAnsi="Times New Roman"/>
          <w:sz w:val="22"/>
          <w:szCs w:val="22"/>
          <w:u w:val="single" w:color="auto"/>
          <w:color w:val="auto"/>
        </w:rPr>
        <w:t>AESOP Leasing</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AVIS BUDGET RENTAL CAR FUNDING (AESOP) LLC (formerly known as Cendant Rental Car Funding (AESOP) LLC), a Delaware limited liability company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Unless otherwise specified herein, capitalized terms used herein shall have the meanings ascribed to such terms in (i) the Definitions List attached as Schedule I to the Second Amended and Restated Base Indenture, dated as of June 3, 2004 (as amended to date,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ABRCF,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as such Definitions List may from time to time be amended in accordance with the terms of the Base Indenture, or (ii) the AESOP I Finance Lease Loan Agreement, as applicable.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pursuant to Section 13.1 of the AESOP I Finance Lease Loan Agreement, the AESOP I Finance Lease Loan Agreement may be amended with an agreement in writing signed by the Lender and AESOP Leasing and consented to in writing by the Trustee;</w:t>
      </w:r>
    </w:p>
    <w:p>
      <w:pPr>
        <w:spacing w:after="0" w:line="15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WHEREAS, pursuant to Section 12.2 of the Base Indenture, the AESOP I Finance Lease Loan Agreement may be amended with the written consent of ABRCF, the Trustee, any applicable Enhancement Provider, and the Requisite Investors;</w:t>
      </w:r>
    </w:p>
    <w:p>
      <w:pPr>
        <w:spacing w:after="0" w:line="135" w:lineRule="exact"/>
        <w:rPr>
          <w:sz w:val="20"/>
          <w:szCs w:val="20"/>
          <w:color w:val="auto"/>
        </w:rPr>
      </w:pPr>
    </w:p>
    <w:p>
      <w:pPr>
        <w:jc w:val="both"/>
        <w:ind w:right="20" w:firstLine="536"/>
        <w:spacing w:after="0" w:line="236" w:lineRule="auto"/>
        <w:rPr>
          <w:sz w:val="20"/>
          <w:szCs w:val="20"/>
          <w:color w:val="auto"/>
        </w:rPr>
      </w:pPr>
      <w:r>
        <w:rPr>
          <w:rFonts w:ascii="Times New Roman" w:cs="Times New Roman" w:eastAsia="Times New Roman" w:hAnsi="Times New Roman"/>
          <w:sz w:val="22"/>
          <w:szCs w:val="22"/>
          <w:color w:val="auto"/>
        </w:rPr>
        <w:t>WHEREAS, the parties desire to amend the AESOP I Finance Lease Loan Agreement to reflect the allowance for Third-Party Permitted Sublessees in the Related Documents; and</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ABRCF has requested the Trustee, each applicable Enhancement Provider and the Requisite Investors to consent, and the Trustee, each applicable Enhancement Provider and the Requisite Investors have consented, to the amendment of certain provisions of the AESOP I Finance Lease Loan Agreement as set forth herein.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179" w:lineRule="exact"/>
        <w:rPr>
          <w:sz w:val="20"/>
          <w:szCs w:val="20"/>
          <w:color w:val="auto"/>
        </w:rPr>
      </w:pPr>
    </w:p>
    <w:p>
      <w:pPr>
        <w:ind w:firstLine="1304"/>
        <w:spacing w:after="0" w:line="236"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10.14 of the AESOP I Finance Lease Loan Agreement is hereby amended by deleting the text “thirty-six (36) months” and inserting the text “forty-eight (48) months” in lieu thereof.</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AESOP I Finance Lease Loan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on which each of the following has occurred: (i) each of the parties hereto shall have executed and delivered this Amendment to the Trustee, (ii) the Rating Agency Consent Condition shall have been satisfied with respect to this Amendment and (iii) the Requisite Investors, the Trustee, the Lender and, for any applicable Series of Notes, each applicable Enhancement Provider, shall have consented hereto.</w:t>
      </w:r>
    </w:p>
    <w:p>
      <w:pPr>
        <w:sectPr>
          <w:pgSz w:w="11900" w:h="16838" w:orient="portrait"/>
          <w:cols w:equalWidth="0" w:num="1">
            <w:col w:w="11240"/>
          </w:cols>
          <w:pgMar w:left="320" w:top="9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1304"/>
        <w:spacing w:after="0" w:line="236"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Amendment Effective Date, all references to the AESOP I Finance Lease Loan Agreement shall be deemed to be references to the AESOP I Finance Lease Loan Agreement as amended hereby.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separate counterparts by the parties hereto, each of which when so executed and delivered shall be an original but all of which shall together constitute one and the same instrument.</w:t>
      </w:r>
    </w:p>
    <w:p>
      <w:pPr>
        <w:spacing w:after="0" w:line="150" w:lineRule="exact"/>
        <w:rPr>
          <w:rFonts w:ascii="Times New Roman" w:cs="Times New Roman" w:eastAsia="Times New Roman" w:hAnsi="Times New Roman"/>
          <w:sz w:val="22"/>
          <w:szCs w:val="22"/>
          <w:color w:val="auto"/>
        </w:rPr>
      </w:pPr>
    </w:p>
    <w:p>
      <w:pPr>
        <w:ind w:firstLine="1304"/>
        <w:spacing w:after="0" w:line="255" w:lineRule="auto"/>
        <w:tabs>
          <w:tab w:leader="none" w:pos="194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ectPr>
          <w:pgSz w:w="11900" w:h="16838" w:orient="portrait"/>
          <w:cols w:equalWidth="0" w:num="1">
            <w:col w:w="11240"/>
          </w:cols>
          <w:pgMar w:left="320" w:top="98" w:right="339" w:bottom="1440" w:gutter="0" w:footer="0" w:header="0"/>
        </w:sectPr>
      </w:pPr>
    </w:p>
    <w:bookmarkStart w:id="70" w:name="page71"/>
    <w:bookmarkEnd w:id="70"/>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duly authorized officers as of the date above first written.</w:t>
      </w:r>
    </w:p>
    <w:p>
      <w:pPr>
        <w:spacing w:after="0" w:line="1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AESOP LEASING L.P.</w:t>
      </w:r>
    </w:p>
    <w:p>
      <w:pPr>
        <w:spacing w:after="0" w:line="16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AESOP LEASING CORP.,</w:t>
      </w: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4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16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Calabria</w:t>
      </w:r>
      <w:r>
        <w:rPr>
          <w:rFonts w:ascii="Times New Roman" w:cs="Times New Roman" w:eastAsia="Times New Roman" w:hAnsi="Times New Roman"/>
          <w:sz w:val="21"/>
          <w:szCs w:val="21"/>
          <w:color w:val="auto"/>
        </w:rPr>
        <w:t>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David Calabria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Signature Page to ASEOP I Finance Lease Loan Agreement</w:t>
      </w:r>
    </w:p>
    <w:p>
      <w:pPr>
        <w:sectPr>
          <w:pgSz w:w="11900" w:h="16838" w:orient="portrait"/>
          <w:cols w:equalWidth="0" w:num="1">
            <w:col w:w="11180"/>
          </w:cols>
          <w:pgMar w:left="320" w:top="1395"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Acknowledged and Consented To: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TRUST COMPANY, N.A.,</w:t>
      </w:r>
    </w:p>
    <w:p>
      <w:pPr>
        <w:ind w:left="340"/>
        <w:spacing w:after="0"/>
        <w:rPr>
          <w:sz w:val="20"/>
          <w:szCs w:val="20"/>
          <w:color w:val="auto"/>
        </w:rPr>
      </w:pPr>
      <w:r>
        <w:rPr>
          <w:rFonts w:ascii="Times New Roman" w:cs="Times New Roman" w:eastAsia="Times New Roman" w:hAnsi="Times New Roman"/>
          <w:sz w:val="22"/>
          <w:szCs w:val="22"/>
          <w:color w:val="auto"/>
        </w:rPr>
        <w:t>as Trustee</w:t>
      </w:r>
    </w:p>
    <w:p>
      <w:pPr>
        <w:spacing w:after="0" w:line="25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Vassilena Ouzounova</w:t>
      </w:r>
      <w:r>
        <w:rPr>
          <w:rFonts w:ascii="Times New Roman" w:cs="Times New Roman" w:eastAsia="Times New Roman" w:hAnsi="Times New Roman"/>
          <w:sz w:val="21"/>
          <w:szCs w:val="21"/>
          <w:color w:val="auto"/>
        </w:rPr>
        <w:t>______________</w:t>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Vassilena Ouzounova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6"/>
          <w:szCs w:val="16"/>
          <w:i w:val="1"/>
          <w:iCs w:val="1"/>
          <w:color w:val="auto"/>
        </w:rPr>
        <w:t>Signature Page to ASEOP I Finance Lease Loan Agreement</w:t>
      </w:r>
    </w:p>
    <w:p>
      <w:pPr>
        <w:sectPr>
          <w:pgSz w:w="11900" w:h="16838" w:orient="portrait"/>
          <w:cols w:equalWidth="0" w:num="1">
            <w:col w:w="10139"/>
          </w:cols>
          <w:pgMar w:left="320" w:top="1395"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66"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2022,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decimal"/>
      <w:start w:val="2"/>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decimal"/>
      <w:start w:val="3"/>
    </w:lvl>
  </w:abstractNum>
  <w:abstractNum w:abstractNumId="9">
    <w:nsid w:val="3804823E"/>
    <w:multiLevelType w:val="hybridMultilevel"/>
    <w:lvl w:ilvl="0">
      <w:lvlJc w:val="left"/>
      <w:lvlText w:val="%1."/>
      <w:numFmt w:val="decimal"/>
      <w:start w:val="4"/>
    </w:lvl>
  </w:abstractNum>
  <w:abstractNum w:abstractNumId="10">
    <w:nsid w:val="77465F01"/>
    <w:multiLevelType w:val="hybridMultilevel"/>
    <w:lvl w:ilvl="0">
      <w:lvlJc w:val="left"/>
      <w:lvlText w:val="%1"/>
      <w:numFmt w:val="decimal"/>
      <w:start w:val="1"/>
    </w:lvl>
    <w:lvl w:ilvl="1">
      <w:lvlJc w:val="left"/>
      <w:lvlText w:val="(%2)"/>
      <w:numFmt w:val="lowerLetter"/>
      <w:start w:val="1"/>
    </w:lvl>
  </w:abstractNum>
  <w:abstractNum w:abstractNumId="11">
    <w:nsid w:val="7724C67E"/>
    <w:multiLevelType w:val="hybridMultilevel"/>
    <w:lvl w:ilvl="0">
      <w:lvlJc w:val="left"/>
      <w:lvlText w:val="%1."/>
      <w:numFmt w:val="decimal"/>
      <w:start w:val="5"/>
    </w:lvl>
    <w:lvl w:ilvl="1">
      <w:lvlJc w:val="left"/>
      <w:lvlText w:val="%2"/>
      <w:numFmt w:val="lowerLetter"/>
      <w:start w:val="1"/>
    </w:lvl>
  </w:abstractNum>
  <w:abstractNum w:abstractNumId="12">
    <w:nsid w:val="5C482A97"/>
    <w:multiLevelType w:val="hybridMultilevel"/>
    <w:lvl w:ilvl="0">
      <w:lvlJc w:val="left"/>
      <w:lvlText w:val="%1."/>
      <w:numFmt w:val="decimal"/>
      <w:start w:val="7"/>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decimal"/>
      <w:start w:val="8"/>
    </w:lvl>
  </w:abstractNum>
  <w:abstractNum w:abstractNumId="15">
    <w:nsid w:val="51EAD36B"/>
    <w:multiLevelType w:val="hybridMultilevel"/>
    <w:lvl w:ilvl="0">
      <w:lvlJc w:val="left"/>
      <w:lvlText w:val="%1."/>
      <w:numFmt w:val="decimal"/>
      <w:start w:val="10"/>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decimal"/>
      <w:start w:val="1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decimal"/>
      <w:start w:val="12"/>
    </w:lvl>
  </w:abstractNum>
  <w:abstractNum w:abstractNumId="25">
    <w:nsid w:val="2CD89A32"/>
    <w:multiLevelType w:val="hybridMultilevel"/>
    <w:lvl w:ilvl="0">
      <w:lvlJc w:val="left"/>
      <w:lvlText w:val="%1."/>
      <w:numFmt w:val="decimal"/>
      <w:start w:val="13"/>
    </w:lvl>
  </w:abstractNum>
  <w:abstractNum w:abstractNumId="26">
    <w:nsid w:val="57E4CCAF"/>
    <w:multiLevelType w:val="hybridMultilevel"/>
    <w:lvl w:ilvl="0">
      <w:lvlJc w:val="left"/>
      <w:lvlText w:val="%1"/>
      <w:numFmt w:val="decimal"/>
      <w:start w:val="1"/>
    </w:lvl>
    <w:lvl w:ilvl="1">
      <w:lvlJc w:val="left"/>
      <w:lvlText w:val="(%2)"/>
      <w:numFmt w:val="lowerLetter"/>
      <w:start w:val="1"/>
    </w:lvl>
  </w:abstractNum>
  <w:abstractNum w:abstractNumId="27">
    <w:nsid w:val="7A6D8D3C"/>
    <w:multiLevelType w:val="hybridMultilevel"/>
    <w:lvl w:ilvl="0">
      <w:lvlJc w:val="left"/>
      <w:lvlText w:val="%1."/>
      <w:numFmt w:val="decimal"/>
      <w:start w:val="14"/>
    </w:lvl>
    <w:lvl w:ilvl="1">
      <w:lvlJc w:val="left"/>
      <w:lvlText w:val="%2"/>
      <w:numFmt w:val="lowerLetter"/>
      <w:start w:val="1"/>
    </w:lvl>
  </w:abstractNum>
  <w:abstractNum w:abstractNumId="28">
    <w:nsid w:val="4B588F54"/>
    <w:multiLevelType w:val="hybridMultilevel"/>
    <w:lvl w:ilvl="0">
      <w:lvlJc w:val="left"/>
      <w:lvlText w:val="%1."/>
      <w:numFmt w:val="decimal"/>
      <w:start w:val="15"/>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decimal"/>
      <w:start w:val="16"/>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decimal"/>
      <w:start w:val="1"/>
    </w:lvl>
    <w:lvl w:ilvl="1">
      <w:lvlJc w:val="left"/>
      <w:lvlText w:val="(%2)"/>
      <w:numFmt w:val="lowerLetter"/>
      <w:start w:val="1"/>
    </w:lvl>
  </w:abstractNum>
  <w:abstractNum w:abstractNumId="35">
    <w:nsid w:val="579478FE"/>
    <w:multiLevelType w:val="hybridMultilevel"/>
    <w:lvl w:ilvl="0">
      <w:lvlJc w:val="left"/>
      <w:lvlText w:val="%1."/>
      <w:numFmt w:val="decimal"/>
      <w:start w:val="17"/>
    </w:lvl>
    <w:lvl w:ilvl="1">
      <w:lvlJc w:val="left"/>
      <w:lvlText w:val="%2"/>
      <w:numFmt w:val="lowerLetter"/>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decimal"/>
      <w:start w:val="18"/>
    </w:lvl>
    <w:lvl w:ilvl="1">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Roman"/>
      <w:start w:val="2"/>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decimal"/>
      <w:start w:val="32"/>
    </w:lvl>
  </w:abstractNum>
  <w:abstractNum w:abstractNumId="46">
    <w:nsid w:val="23F9C13C"/>
    <w:multiLevelType w:val="hybridMultilevel"/>
    <w:lvl w:ilvl="0">
      <w:lvlJc w:val="left"/>
      <w:lvlText w:val="%1"/>
      <w:numFmt w:val="decimal"/>
      <w:start w:val="104"/>
    </w:lvl>
  </w:abstractNum>
  <w:abstractNum w:abstractNumId="47">
    <w:nsid w:val="649BB77C"/>
    <w:multiLevelType w:val="hybridMultilevel"/>
    <w:lvl w:ilvl="0">
      <w:lvlJc w:val="left"/>
      <w:lvlText w:val="(%1)"/>
      <w:numFmt w:val="lowerLetter"/>
      <w:start w:val="2"/>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lowerLetter"/>
      <w:start w:val="10"/>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4"/>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2"/>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4"/>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71" Type="http://schemas.openxmlformats.org/officeDocument/2006/relationships/hyperlink" Target="http://www.sec.gov/Archives/edgar/data/723612/000072361206000058/articles.htm" TargetMode="External"/><Relationship Id="rId72" Type="http://schemas.openxmlformats.org/officeDocument/2006/relationships/hyperlink" Target="http://www.sec.gov/Archives/edgar/data/723612/000119312520218349/d84038dex32.htm" TargetMode="External"/><Relationship Id="rId73" Type="http://schemas.openxmlformats.org/officeDocument/2006/relationships/hyperlink" Target="http://www.sec.gov/Archives/edgar/data/723612/000095014222002300/eh220272511_ex1001.htm" TargetMode="External"/><Relationship Id="rId74" Type="http://schemas.openxmlformats.org/officeDocument/2006/relationships/hyperlink" Target="http://www.sec.gov/Archives/edgar/data/723612/000095014222002300/eh220272511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2022-11-01T08:29:57Z</dcterms:created>
  <dcterms:modified xsi:type="dcterms:W3CDTF">2022-11-01T08:29:57Z</dcterms:modified>
</cp:coreProperties>
</file>