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16.png" ContentType="image/pn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WASHINGTON, D.C. 20549</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0" w:after="0"/>
        <w:jc w:val="center"/>
        <w:rPr/>
      </w:pPr>
      <w:r>
        <w:rPr>
          <w:color w:val="000000"/>
        </w:rPr>
        <w:t> </w:t>
      </w:r>
      <w:r>
        <w:rPr>
          <w:rFonts w:ascii="Arial;sans-serif" w:hAnsi="Arial;sans-serif"/>
          <w:b/>
          <w:color w:val="000000"/>
          <w:sz w:val="24"/>
        </w:rPr>
        <w:t xml:space="preserve">FORM 10-K </w:t>
      </w:r>
    </w:p>
    <w:tbl>
      <w:tblPr>
        <w:tblW w:w="8609" w:type="dxa"/>
        <w:jc w:val="center"/>
        <w:tblInd w:w="0" w:type="dxa"/>
        <w:tblLayout w:type="fixed"/>
        <w:tblCellMar>
          <w:top w:w="28" w:type="dxa"/>
          <w:left w:w="28" w:type="dxa"/>
          <w:bottom w:w="28" w:type="dxa"/>
          <w:right w:w="28" w:type="dxa"/>
        </w:tblCellMar>
      </w:tblPr>
      <w:tblGrid>
        <w:gridCol w:w="2754"/>
        <w:gridCol w:w="2422"/>
        <w:gridCol w:w="3433"/>
      </w:tblGrid>
      <w:tr>
        <w:trPr/>
        <w:tc>
          <w:tcPr>
            <w:tcW w:w="2754"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8609"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6"/>
              </w:rPr>
              <w:t>ANNUAL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 the fiscal year ended December 31, 2024</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OR</w:t>
      </w:r>
    </w:p>
    <w:tbl>
      <w:tblPr>
        <w:tblW w:w="8924" w:type="dxa"/>
        <w:jc w:val="center"/>
        <w:tblInd w:w="0" w:type="dxa"/>
        <w:tblLayout w:type="fixed"/>
        <w:tblCellMar>
          <w:top w:w="28" w:type="dxa"/>
          <w:left w:w="28" w:type="dxa"/>
          <w:bottom w:w="28" w:type="dxa"/>
          <w:right w:w="28" w:type="dxa"/>
        </w:tblCellMar>
      </w:tblPr>
      <w:tblGrid>
        <w:gridCol w:w="2859"/>
        <w:gridCol w:w="2513"/>
        <w:gridCol w:w="3552"/>
      </w:tblGrid>
      <w:tr>
        <w:trPr/>
        <w:tc>
          <w:tcPr>
            <w:tcW w:w="2859" w:type="dxa"/>
            <w:tcBorders/>
            <w:vAlign w:val="center"/>
          </w:tcPr>
          <w:p>
            <w:pPr>
              <w:pStyle w:val="TableContents"/>
              <w:bidi w:val="0"/>
              <w:spacing w:before="0" w:after="283"/>
              <w:jc w:val="left"/>
              <w:rPr>
                <w:sz w:val="4"/>
                <w:szCs w:val="4"/>
              </w:rPr>
            </w:pPr>
            <w:r>
              <w:rPr>
                <w:sz w:val="4"/>
                <w:szCs w:val="4"/>
              </w:rPr>
            </w:r>
          </w:p>
        </w:tc>
        <w:tc>
          <w:tcPr>
            <w:tcW w:w="2513" w:type="dxa"/>
            <w:tcBorders/>
            <w:vAlign w:val="center"/>
          </w:tcPr>
          <w:p>
            <w:pPr>
              <w:pStyle w:val="TableContents"/>
              <w:bidi w:val="0"/>
              <w:spacing w:before="0" w:after="283"/>
              <w:jc w:val="left"/>
              <w:rPr>
                <w:sz w:val="4"/>
                <w:szCs w:val="4"/>
              </w:rPr>
            </w:pPr>
            <w:r>
              <w:rPr>
                <w:sz w:val="4"/>
                <w:szCs w:val="4"/>
              </w:rPr>
            </w:r>
          </w:p>
        </w:tc>
        <w:tc>
          <w:tcPr>
            <w:tcW w:w="3552" w:type="dxa"/>
            <w:tcBorders/>
            <w:vAlign w:val="center"/>
          </w:tcPr>
          <w:p>
            <w:pPr>
              <w:pStyle w:val="TableContents"/>
              <w:bidi w:val="0"/>
              <w:spacing w:before="0" w:after="283"/>
              <w:jc w:val="left"/>
              <w:rPr>
                <w:sz w:val="4"/>
                <w:szCs w:val="4"/>
              </w:rPr>
            </w:pPr>
            <w:r>
              <w:rPr>
                <w:sz w:val="4"/>
                <w:szCs w:val="4"/>
              </w:rPr>
            </w:r>
          </w:p>
        </w:tc>
      </w:tr>
      <w:tr>
        <w:trPr/>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xml:space="preserve">☐ </w:t>
            </w:r>
            <w:r>
              <w:rPr>
                <w:rFonts w:ascii="Arial;sans-serif" w:hAnsi="Arial;sans-serif"/>
                <w:b/>
                <w:color w:val="000000"/>
                <w:sz w:val="16"/>
              </w:rPr>
              <w:t>TRANSITION REPORT PURSUANT TO SECTION 13 OR 15(d) OF THE SECURITIES EXCHANGE ACT OF 1934</w:t>
            </w:r>
          </w:p>
        </w:tc>
      </w:tr>
    </w:tbl>
    <w:p>
      <w:pPr>
        <w:pStyle w:val="TextBody"/>
        <w:bidi w:val="0"/>
        <w:spacing w:lineRule="auto" w:line="417" w:before="0" w:after="0"/>
        <w:jc w:val="center"/>
        <w:rPr/>
      </w:pPr>
      <w:r>
        <w:rPr>
          <w:rFonts w:ascii="Arial;sans-serif" w:hAnsi="Arial;sans-serif"/>
          <w:b/>
          <w:color w:val="000000"/>
          <w:sz w:val="16"/>
        </w:rPr>
        <w:t xml:space="preserve">For the transition period from </w:t>
      </w:r>
      <w:r>
        <w:rPr>
          <w:color w:val="000000"/>
          <w:u w:val="single"/>
        </w:rPr>
        <w:t>            </w:t>
      </w:r>
      <w:r>
        <w:rPr>
          <w:color w:val="000000"/>
        </w:rPr>
        <w:t xml:space="preserve"> </w:t>
      </w:r>
      <w:r>
        <w:rPr>
          <w:rFonts w:ascii="Arial;sans-serif" w:hAnsi="Arial;sans-serif"/>
          <w:b/>
          <w:color w:val="000000"/>
          <w:sz w:val="16"/>
        </w:rPr>
        <w:t xml:space="preserve">to </w:t>
      </w:r>
      <w:r>
        <w:rPr>
          <w:color w:val="000000"/>
          <w:u w:val="single"/>
        </w:rPr>
        <w:t>            </w:t>
      </w:r>
    </w:p>
    <w:p>
      <w:pPr>
        <w:pStyle w:val="TextBody"/>
        <w:bidi w:val="0"/>
        <w:spacing w:lineRule="auto" w:line="417" w:before="0" w:after="0"/>
        <w:jc w:val="center"/>
        <w:rPr>
          <w:rFonts w:ascii="Arial;sans-serif" w:hAnsi="Arial;sans-serif"/>
          <w:b/>
          <w:color w:val="000000"/>
          <w:sz w:val="16"/>
        </w:rPr>
      </w:pPr>
      <w:r>
        <w:rPr>
          <w:rFonts w:ascii="Arial;sans-serif" w:hAnsi="Arial;sans-serif"/>
          <w:b/>
          <w:color w:val="000000"/>
          <w:sz w:val="16"/>
        </w:rPr>
        <w:t xml:space="preserve">Commission File No. 001-10308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88" w:before="80" w:after="283"/>
        <w:jc w:val="center"/>
        <w:rPr>
          <w:rFonts w:ascii="Arial;sans-serif" w:hAnsi="Arial;sans-serif"/>
          <w:b/>
          <w:color w:val="000000"/>
          <w:sz w:val="28"/>
        </w:rPr>
      </w:pPr>
      <w:r>
        <w:rPr>
          <w:rFonts w:ascii="Arial;sans-serif" w:hAnsi="Arial;sans-serif"/>
          <w:b/>
          <w:color w:val="000000"/>
          <w:sz w:val="28"/>
        </w:rPr>
        <w:t xml:space="preserve">AVIS BUDGET GROUP, INC. </w:t>
      </w:r>
    </w:p>
    <w:p>
      <w:pPr>
        <w:pStyle w:val="TextBody"/>
        <w:bidi w:val="0"/>
        <w:spacing w:lineRule="auto" w:line="288" w:before="0" w:after="0"/>
        <w:jc w:val="center"/>
        <w:rPr>
          <w:rFonts w:ascii="Arial;sans-serif" w:hAnsi="Arial;sans-serif"/>
          <w:b/>
          <w:i/>
          <w:color w:val="000000"/>
          <w:sz w:val="16"/>
        </w:rPr>
      </w:pPr>
      <w:r>
        <w:rPr>
          <w:rFonts w:ascii="Arial;sans-serif" w:hAnsi="Arial;sans-serif"/>
          <w:b/>
          <w:i/>
          <w:color w:val="000000"/>
          <w:sz w:val="16"/>
        </w:rPr>
        <w:t>(Exact name of Registrant as specified in its charter)</w:t>
      </w:r>
    </w:p>
    <w:tbl>
      <w:tblPr>
        <w:tblW w:w="9884" w:type="dxa"/>
        <w:jc w:val="center"/>
        <w:tblInd w:w="0" w:type="dxa"/>
        <w:tblLayout w:type="fixed"/>
        <w:tblCellMar>
          <w:top w:w="28" w:type="dxa"/>
          <w:left w:w="28" w:type="dxa"/>
          <w:bottom w:w="28" w:type="dxa"/>
          <w:right w:w="28" w:type="dxa"/>
        </w:tblCellMar>
      </w:tblPr>
      <w:tblGrid>
        <w:gridCol w:w="1067"/>
        <w:gridCol w:w="939"/>
        <w:gridCol w:w="948"/>
        <w:gridCol w:w="1313"/>
        <w:gridCol w:w="1313"/>
        <w:gridCol w:w="1319"/>
        <w:gridCol w:w="869"/>
        <w:gridCol w:w="869"/>
        <w:gridCol w:w="1247"/>
      </w:tblGrid>
      <w:tr>
        <w:trPr/>
        <w:tc>
          <w:tcPr>
            <w:tcW w:w="106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06-0918165</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(State or other jurisdiction of </w:t>
              <w:br/>
              <w:t>incorporation or organization)</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379 Interpace Parkway</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Parsippany, NJ</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07054</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(Address of principal executive offices)</w:t>
            </w:r>
          </w:p>
        </w:tc>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(Zip Code)</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(973) 496-4700</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(Registrant’s telephone number, including area code)</w:t>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8653" w:type="dxa"/>
        <w:jc w:val="center"/>
        <w:tblInd w:w="0" w:type="dxa"/>
        <w:tblLayout w:type="fixed"/>
        <w:tblCellMar>
          <w:top w:w="28" w:type="dxa"/>
          <w:left w:w="28" w:type="dxa"/>
          <w:bottom w:w="28" w:type="dxa"/>
          <w:right w:w="28" w:type="dxa"/>
        </w:tblCellMar>
      </w:tblPr>
      <w:tblGrid>
        <w:gridCol w:w="869"/>
        <w:gridCol w:w="764"/>
        <w:gridCol w:w="766"/>
        <w:gridCol w:w="614"/>
        <w:gridCol w:w="614"/>
        <w:gridCol w:w="616"/>
        <w:gridCol w:w="1291"/>
        <w:gridCol w:w="1291"/>
        <w:gridCol w:w="1828"/>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 Par Value $.01</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CAR</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The Nasdaq Global Select Market</w:t>
            </w:r>
          </w:p>
        </w:tc>
      </w:tr>
    </w:tbl>
    <w:p>
      <w:pPr>
        <w:pStyle w:val="TextBody"/>
        <w:bidi w:val="0"/>
        <w:spacing w:lineRule="auto" w:line="288" w:before="100" w:after="283"/>
        <w:jc w:val="center"/>
        <w:rPr/>
      </w:pPr>
      <w:r>
        <w:rPr>
          <w:rFonts w:ascii="Arial;sans-serif" w:hAnsi="Arial;sans-serif"/>
          <w:b/>
          <w:color w:val="000000"/>
          <w:sz w:val="14"/>
        </w:rPr>
        <w:t>SECURITIES REGISTERED PURSUANT TO SECTION 12(g) OF THE ACT:</w:t>
      </w:r>
      <w:r>
        <w:rPr>
          <w:color w:val="000000"/>
        </w:rPr>
        <w:t xml:space="preserve"> </w:t>
      </w:r>
      <w:r>
        <w:rPr>
          <w:rFonts w:ascii="Arial;sans-serif" w:hAnsi="Arial;sans-serif"/>
          <w:b w:val="false"/>
          <w:color w:val="000000"/>
          <w:sz w:val="14"/>
        </w:rPr>
        <w:t>None</w:t>
      </w:r>
    </w:p>
    <w:p>
      <w:pPr>
        <w:pStyle w:val="TextBody"/>
        <w:bidi w:val="0"/>
        <w:spacing w:lineRule="auto" w:line="288" w:before="100" w:after="283"/>
        <w:jc w:val="left"/>
        <w:rPr/>
      </w:pPr>
      <w:r>
        <w:rPr>
          <w:rFonts w:ascii="Arial;sans-serif" w:hAnsi="Arial;sans-serif"/>
          <w:b w:val="false"/>
          <w:color w:val="000000"/>
          <w:sz w:val="14"/>
        </w:rPr>
        <w:t>Indicate by check mark if the registrant is a well-known seasoned issuer, as defined in Rule 405 of the Securities Act.  Yes  </w:t>
      </w:r>
      <w:r>
        <w:rPr>
          <w:color w:val="000000"/>
        </w:rPr>
        <w:t>☒  </w:t>
      </w:r>
      <w:r>
        <w:rPr>
          <w:rFonts w:ascii="Arial;sans-serif" w:hAnsi="Arial;sans-serif"/>
          <w:b w:val="false"/>
          <w:color w:val="000000"/>
          <w:sz w:val="14"/>
        </w:rPr>
        <w:t>No  </w:t>
      </w:r>
      <w:r>
        <w:rPr>
          <w:rFonts w:ascii="Wingdings;sans-serif" w:hAnsi="Wingdings;sans-serif"/>
          <w:b w:val="false"/>
          <w:color w:val="000000"/>
          <w:sz w:val="14"/>
        </w:rPr>
        <w:t>o</w:t>
      </w:r>
    </w:p>
    <w:p>
      <w:pPr>
        <w:pStyle w:val="TextBody"/>
        <w:bidi w:val="0"/>
        <w:spacing w:lineRule="auto" w:line="288" w:before="100" w:after="283"/>
        <w:jc w:val="left"/>
        <w:rPr/>
      </w:pPr>
      <w:r>
        <w:rPr>
          <w:rFonts w:ascii="Arial;sans-serif" w:hAnsi="Arial;sans-serif"/>
          <w:b w:val="false"/>
          <w:color w:val="000000"/>
          <w:sz w:val="14"/>
        </w:rPr>
        <w:t>Indicate by check mark if the registrant is not required to file reports pursuant to Section 13 or Section 15(d) of the Act.  Yes  </w:t>
      </w:r>
      <w:r>
        <w:rPr>
          <w:rFonts w:ascii="Wingdings;sans-serif" w:hAnsi="Wingdings;sans-serif"/>
          <w:b w:val="false"/>
          <w:color w:val="000000"/>
          <w:sz w:val="14"/>
        </w:rPr>
        <w:t>o</w:t>
      </w:r>
      <w:r>
        <w:rPr>
          <w:color w:val="000000"/>
        </w:rPr>
        <w:t xml:space="preserve">  </w:t>
      </w:r>
      <w:r>
        <w:rPr>
          <w:rFonts w:ascii="Arial;sans-serif" w:hAnsi="Arial;sans-serif"/>
          <w:b w:val="false"/>
          <w:color w:val="000000"/>
          <w:sz w:val="14"/>
        </w:rPr>
        <w:t>No  </w:t>
      </w:r>
      <w:r>
        <w:rPr>
          <w:color w:val="000000"/>
        </w:rPr>
        <w:t>☒</w:t>
      </w:r>
    </w:p>
    <w:p>
      <w:pPr>
        <w:pStyle w:val="TextBody"/>
        <w:bidi w:val="0"/>
        <w:spacing w:lineRule="auto" w:line="288" w:before="100" w:after="283"/>
        <w:jc w:val="left"/>
        <w:rPr/>
      </w:pPr>
      <w:r>
        <w:rPr>
          <w:rFonts w:ascii="Arial;sans-serif" w:hAnsi="Arial;sans-serif"/>
          <w:b w:val="false"/>
          <w:color w:val="000000"/>
          <w:sz w:val="14"/>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4"/>
        </w:rPr>
        <w:t>No  </w:t>
      </w:r>
      <w:r>
        <w:rPr>
          <w:rFonts w:ascii="Wingdings;sans-serif" w:hAnsi="Wingdings;sans-serif"/>
          <w:b w:val="false"/>
          <w:color w:val="000000"/>
          <w:sz w:val="14"/>
        </w:rPr>
        <w:t>o</w:t>
      </w:r>
    </w:p>
    <w:p>
      <w:pPr>
        <w:pStyle w:val="TextBody"/>
        <w:bidi w:val="0"/>
        <w:spacing w:lineRule="auto" w:line="288" w:before="100" w:after="283"/>
        <w:jc w:val="left"/>
        <w:rPr/>
      </w:pPr>
      <w:r>
        <w:rPr>
          <w:rFonts w:ascii="Arial;sans-serif" w:hAnsi="Arial;sans-serif"/>
          <w:b w:val="false"/>
          <w:color w:val="000000"/>
          <w:sz w:val="14"/>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4"/>
        </w:rPr>
        <w:t>No  </w:t>
      </w:r>
      <w:r>
        <w:rPr>
          <w:rFonts w:ascii="Wingdings;sans-serif" w:hAnsi="Wingdings;sans-serif"/>
          <w:b w:val="false"/>
          <w:color w:val="000000"/>
          <w:sz w:val="14"/>
        </w:rPr>
        <w:t>o</w:t>
      </w:r>
    </w:p>
    <w:p>
      <w:pPr>
        <w:pStyle w:val="TextBody"/>
        <w:bidi w:val="0"/>
        <w:spacing w:lineRule="auto" w:line="288" w:before="100" w:after="283"/>
        <w:jc w:val="left"/>
        <w:rPr>
          <w:rFonts w:ascii="Arial;sans-serif" w:hAnsi="Arial;sans-serif"/>
          <w:b w:val="false"/>
          <w:color w:val="000000"/>
          <w:sz w:val="14"/>
        </w:rPr>
      </w:pPr>
      <w:r>
        <w:rPr>
          <w:rFonts w:ascii="Arial;sans-serif" w:hAnsi="Arial;sans-serif"/>
          <w:b w:val="false"/>
          <w:color w:val="000000"/>
          <w:sz w:val="14"/>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85" w:type="dxa"/>
        <w:jc w:val="left"/>
        <w:tblInd w:w="0" w:type="dxa"/>
        <w:tblLayout w:type="fixed"/>
        <w:tblCellMar>
          <w:top w:w="28" w:type="dxa"/>
          <w:left w:w="28" w:type="dxa"/>
          <w:bottom w:w="28" w:type="dxa"/>
          <w:right w:w="28" w:type="dxa"/>
        </w:tblCellMar>
      </w:tblPr>
      <w:tblGrid>
        <w:gridCol w:w="634"/>
        <w:gridCol w:w="559"/>
        <w:gridCol w:w="561"/>
        <w:gridCol w:w="109"/>
        <w:gridCol w:w="109"/>
        <w:gridCol w:w="109"/>
        <w:gridCol w:w="574"/>
        <w:gridCol w:w="574"/>
        <w:gridCol w:w="576"/>
        <w:gridCol w:w="109"/>
        <w:gridCol w:w="109"/>
        <w:gridCol w:w="109"/>
        <w:gridCol w:w="460"/>
        <w:gridCol w:w="460"/>
        <w:gridCol w:w="461"/>
        <w:gridCol w:w="109"/>
        <w:gridCol w:w="109"/>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14"/>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4"/>
        </w:rPr>
        <w:t>o</w:t>
      </w:r>
    </w:p>
    <w:p>
      <w:pPr>
        <w:pStyle w:val="TextBody"/>
        <w:bidi w:val="0"/>
        <w:spacing w:lineRule="auto" w:line="288" w:before="100" w:after="283"/>
        <w:jc w:val="left"/>
        <w:rPr/>
      </w:pPr>
      <w:r>
        <w:rPr>
          <w:rFonts w:ascii="Arial;sans-serif" w:hAnsi="Arial;sans-serif"/>
          <w:b w:val="false"/>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4"/>
        </w:rPr>
      </w:pPr>
      <w:r>
        <w:rPr>
          <w:rFonts w:ascii="Arial;sans-serif" w:hAnsi="Arial;sans-serif"/>
          <w:b w:val="false"/>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00" w:after="283"/>
        <w:jc w:val="left"/>
        <w:rPr/>
      </w:pPr>
      <w:r>
        <w:rPr>
          <w:rFonts w:ascii="Arial;sans-serif" w:hAnsi="Arial;sans-serif"/>
          <w:b w:val="false"/>
          <w:color w:val="000000"/>
          <w:sz w:val="14"/>
        </w:rPr>
        <w:t>Indicate by check mark whether the registrant is a shell company (as defined in Rule 12b-2 of the Act).  Yes  </w:t>
      </w:r>
      <w:r>
        <w:rPr>
          <w:color w:val="000000"/>
        </w:rPr>
        <w:t>☐  </w:t>
      </w:r>
      <w:r>
        <w:rPr>
          <w:rFonts w:ascii="Arial;sans-serif" w:hAnsi="Arial;sans-serif"/>
          <w:b w:val="false"/>
          <w:color w:val="000000"/>
          <w:sz w:val="14"/>
        </w:rPr>
        <w:t>No  </w:t>
      </w:r>
      <w:r>
        <w:rPr>
          <w:color w:val="000000"/>
        </w:rPr>
        <w:t>☑</w:t>
      </w:r>
    </w:p>
    <w:p>
      <w:pPr>
        <w:pStyle w:val="TextBody"/>
        <w:bidi w:val="0"/>
        <w:spacing w:lineRule="auto" w:line="288" w:before="100" w:after="283"/>
        <w:jc w:val="left"/>
        <w:rPr>
          <w:rFonts w:ascii="Arial;sans-serif" w:hAnsi="Arial;sans-serif"/>
          <w:b w:val="false"/>
          <w:color w:val="000000"/>
          <w:sz w:val="14"/>
        </w:rPr>
      </w:pPr>
      <w:r>
        <w:rPr>
          <w:rFonts w:ascii="Arial;sans-serif" w:hAnsi="Arial;sans-serif"/>
          <w:b w:val="false"/>
          <w:color w:val="000000"/>
          <w:sz w:val="14"/>
        </w:rPr>
        <w:t>As of June 30, 2024, the aggregate market value of the registrant’s common stock held by non-affiliates of the registrant was $1,797,778,805 based on the closing price of its common stock on the Nasdaq Global Select Market.</w:t>
      </w:r>
    </w:p>
    <w:p>
      <w:pPr>
        <w:pStyle w:val="TextBody"/>
        <w:bidi w:val="0"/>
        <w:spacing w:lineRule="auto" w:line="288" w:before="100" w:after="283"/>
        <w:jc w:val="left"/>
        <w:rPr>
          <w:rFonts w:ascii="Arial;sans-serif" w:hAnsi="Arial;sans-serif"/>
          <w:b w:val="false"/>
          <w:color w:val="000000"/>
          <w:sz w:val="14"/>
        </w:rPr>
      </w:pPr>
      <w:r>
        <w:rPr>
          <w:rFonts w:ascii="Arial;sans-serif" w:hAnsi="Arial;sans-serif"/>
          <w:b w:val="false"/>
          <w:color w:val="000000"/>
          <w:sz w:val="14"/>
        </w:rPr>
        <w:t>As of February 7, 2025, the number of shares outstanding of the registrant’s common stock was 35,110,440.</w:t>
      </w:r>
    </w:p>
    <w:p>
      <w:pPr>
        <w:pStyle w:val="TextBody"/>
        <w:bidi w:val="0"/>
        <w:spacing w:lineRule="auto" w:line="288" w:before="120" w:after="283"/>
        <w:jc w:val="center"/>
        <w:rPr>
          <w:rFonts w:ascii="Arial;sans-serif" w:hAnsi="Arial;sans-serif"/>
          <w:b/>
          <w:color w:val="000000"/>
          <w:sz w:val="14"/>
        </w:rPr>
      </w:pPr>
      <w:r>
        <w:rPr>
          <w:rFonts w:ascii="Arial;sans-serif" w:hAnsi="Arial;sans-serif"/>
          <w:b/>
          <w:color w:val="000000"/>
          <w:sz w:val="14"/>
        </w:rPr>
        <w:t>DOCUMENTS INCORPORATED BY REFERENCE</w:t>
      </w:r>
    </w:p>
    <w:p>
      <w:pPr>
        <w:pStyle w:val="TextBody"/>
        <w:bidi w:val="0"/>
        <w:spacing w:lineRule="auto" w:line="288" w:before="60" w:after="283"/>
        <w:jc w:val="left"/>
        <w:rPr>
          <w:rFonts w:ascii="Arial;sans-serif" w:hAnsi="Arial;sans-serif"/>
          <w:b w:val="false"/>
          <w:color w:val="000000"/>
          <w:sz w:val="14"/>
        </w:rPr>
      </w:pPr>
      <w:r>
        <w:rPr>
          <w:rFonts w:ascii="Arial;sans-serif" w:hAnsi="Arial;sans-serif"/>
          <w:b w:val="false"/>
          <w:color w:val="000000"/>
          <w:sz w:val="14"/>
        </w:rPr>
        <w:t>Portions of the registrant’s definitive proxy statement to be mailed to stockholders in connection with the registrant’s 2025 annual meeting of stockholders (the “Annual Proxy Statement”) are incorporated by reference into Part III 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90"/>
        <w:gridCol w:w="167"/>
        <w:gridCol w:w="169"/>
        <w:gridCol w:w="3030"/>
        <w:gridCol w:w="3007"/>
        <w:gridCol w:w="3025"/>
        <w:gridCol w:w="180"/>
        <w:gridCol w:w="180"/>
        <w:gridCol w:w="257"/>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07" w:type="dxa"/>
            <w:tcBorders/>
            <w:vAlign w:val="center"/>
          </w:tcPr>
          <w:p>
            <w:pPr>
              <w:pStyle w:val="TableContents"/>
              <w:bidi w:val="0"/>
              <w:spacing w:before="0" w:after="283"/>
              <w:jc w:val="left"/>
              <w:rPr>
                <w:sz w:val="4"/>
                <w:szCs w:val="4"/>
              </w:rPr>
            </w:pPr>
            <w:r>
              <w:rPr>
                <w:sz w:val="4"/>
                <w:szCs w:val="4"/>
              </w:rPr>
            </w:r>
          </w:p>
        </w:tc>
        <w:tc>
          <w:tcPr>
            <w:tcW w:w="302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Item</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Description</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
              <w:r>
                <w:rPr>
                  <w:rStyle w:val="InternetLink"/>
                  <w:rFonts w:ascii="Arial;sans-serif" w:hAnsi="Arial;sans-serif"/>
                  <w:b w:val="false"/>
                  <w:color w:val="0000FF"/>
                  <w:sz w:val="20"/>
                  <w:u w:val="single"/>
                </w:rPr>
                <w:t>Business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6">
              <w:r>
                <w:rPr>
                  <w:rStyle w:val="InternetLink"/>
                  <w:rFonts w:ascii="Arial;sans-serif" w:hAnsi="Arial;sans-serif"/>
                  <w:b w:val="false"/>
                  <w:color w:val="0000FF"/>
                  <w:sz w:val="20"/>
                  <w:u w:val="single"/>
                </w:rPr>
                <w:t>4</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1A</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
              <w:r>
                <w:rPr>
                  <w:rStyle w:val="InternetLink"/>
                  <w:rFonts w:ascii="Arial;sans-serif" w:hAnsi="Arial;sans-serif"/>
                  <w:b w:val="false"/>
                  <w:color w:val="0000FF"/>
                  <w:sz w:val="20"/>
                  <w:u w:val="single"/>
                </w:rPr>
                <w:t>Risk Factors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
              <w:r>
                <w:rPr>
                  <w:rStyle w:val="InternetLink"/>
                  <w:rFonts w:ascii="Arial;sans-serif" w:hAnsi="Arial;sans-serif"/>
                  <w:b w:val="false"/>
                  <w:color w:val="0000FF"/>
                  <w:sz w:val="20"/>
                  <w:u w:val="single"/>
                </w:rPr>
                <w:t>17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1B</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22">
              <w:r>
                <w:rPr>
                  <w:rStyle w:val="InternetLink"/>
                  <w:rFonts w:ascii="Arial;sans-serif" w:hAnsi="Arial;sans-serif"/>
                  <w:b w:val="false"/>
                  <w:color w:val="0000FF"/>
                  <w:sz w:val="20"/>
                  <w:u w:val="single"/>
                </w:rPr>
                <w:t>Unresolved Staff Comments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22">
              <w:r>
                <w:rPr>
                  <w:rStyle w:val="InternetLink"/>
                  <w:rFonts w:ascii="Arial;sans-serif" w:hAnsi="Arial;sans-serif"/>
                  <w:b w:val="false"/>
                  <w:color w:val="0000FF"/>
                  <w:sz w:val="20"/>
                  <w:u w:val="single"/>
                </w:rPr>
                <w:t>30</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1C</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25">
              <w:r>
                <w:rPr>
                  <w:rStyle w:val="InternetLink"/>
                  <w:rFonts w:ascii="Arial;sans-serif" w:hAnsi="Arial;sans-serif"/>
                  <w:b w:val="false"/>
                  <w:color w:val="0000FF"/>
                  <w:sz w:val="20"/>
                  <w:u w:val="single"/>
                </w:rPr>
                <w:t>Cybersecurity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25">
              <w:r>
                <w:rPr>
                  <w:rStyle w:val="InternetLink"/>
                  <w:rFonts w:ascii="Arial;sans-serif" w:hAnsi="Arial;sans-serif"/>
                  <w:b w:val="false"/>
                  <w:color w:val="0000FF"/>
                  <w:sz w:val="20"/>
                  <w:u w:val="single"/>
                </w:rPr>
                <w:t>30</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28">
              <w:r>
                <w:rPr>
                  <w:rStyle w:val="InternetLink"/>
                  <w:rFonts w:ascii="Arial;sans-serif" w:hAnsi="Arial;sans-serif"/>
                  <w:b w:val="false"/>
                  <w:color w:val="0000FF"/>
                  <w:sz w:val="20"/>
                  <w:u w:val="single"/>
                </w:rPr>
                <w:t>Properties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28">
              <w:r>
                <w:rPr>
                  <w:rStyle w:val="InternetLink"/>
                  <w:rFonts w:ascii="Arial;sans-serif" w:hAnsi="Arial;sans-serif"/>
                  <w:b w:val="false"/>
                  <w:color w:val="0000FF"/>
                  <w:sz w:val="20"/>
                  <w:u w:val="single"/>
                </w:rPr>
                <w:t>31</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31">
              <w:r>
                <w:rPr>
                  <w:rStyle w:val="InternetLink"/>
                  <w:rFonts w:ascii="Arial;sans-serif" w:hAnsi="Arial;sans-serif"/>
                  <w:b w:val="false"/>
                  <w:color w:val="0000FF"/>
                  <w:sz w:val="20"/>
                  <w:u w:val="single"/>
                </w:rPr>
                <w:t>Legal Proceedings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31">
              <w:r>
                <w:rPr>
                  <w:rStyle w:val="InternetLink"/>
                  <w:rFonts w:ascii="Arial;sans-serif" w:hAnsi="Arial;sans-serif"/>
                  <w:b w:val="false"/>
                  <w:color w:val="0000FF"/>
                  <w:sz w:val="20"/>
                  <w:u w:val="single"/>
                </w:rPr>
                <w:t>31</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34">
              <w:r>
                <w:rPr>
                  <w:rStyle w:val="InternetLink"/>
                  <w:rFonts w:ascii="Arial;sans-serif" w:hAnsi="Arial;sans-serif"/>
                  <w:b w:val="false"/>
                  <w:color w:val="0000FF"/>
                  <w:sz w:val="20"/>
                  <w:u w:val="single"/>
                </w:rPr>
                <w:t>Mine Safety Disclosures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34">
              <w:r>
                <w:rPr>
                  <w:rStyle w:val="InternetLink"/>
                  <w:rFonts w:ascii="Arial;sans-serif" w:hAnsi="Arial;sans-serif"/>
                  <w:b w:val="false"/>
                  <w:color w:val="0000FF"/>
                  <w:sz w:val="20"/>
                  <w:u w:val="single"/>
                </w:rPr>
                <w:t>31</w:t>
              </w:r>
            </w:hyperlink>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w:t>
            </w:r>
          </w:p>
        </w:tc>
        <w:tc>
          <w:tcPr>
            <w:tcW w:w="9062"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a59feaa1acb740469392b68b9c0dbb00_40">
              <w:r>
                <w:rPr>
                  <w:rStyle w:val="InternetLink"/>
                  <w:rFonts w:ascii="Arial;sans-serif" w:hAnsi="Arial;sans-serif"/>
                  <w:b w:val="false"/>
                  <w:color w:val="0000FF"/>
                  <w:sz w:val="20"/>
                  <w:u w:val="single"/>
                </w:rPr>
                <w:t>Market for Registrant’s Common Equity, Related Stockholder Matters and Issuer Purchases of Equity Securities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40">
              <w:r>
                <w:rPr>
                  <w:rStyle w:val="InternetLink"/>
                  <w:rFonts w:ascii="Arial;sans-serif" w:hAnsi="Arial;sans-serif"/>
                  <w:b w:val="false"/>
                  <w:color w:val="0000FF"/>
                  <w:sz w:val="20"/>
                  <w:u w:val="single"/>
                </w:rPr>
                <w:t>32</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43">
              <w:r>
                <w:rPr>
                  <w:rStyle w:val="InternetLink"/>
                  <w:rFonts w:ascii="Arial;sans-serif" w:hAnsi="Arial;sans-serif"/>
                  <w:b w:val="false"/>
                  <w:color w:val="0000FF"/>
                  <w:sz w:val="20"/>
                  <w:u w:val="single"/>
                </w:rPr>
                <w:t>[Reserved]</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43">
              <w:r>
                <w:rPr>
                  <w:rStyle w:val="InternetLink"/>
                  <w:rFonts w:ascii="Arial;sans-serif" w:hAnsi="Arial;sans-serif"/>
                  <w:b w:val="false"/>
                  <w:color w:val="0000FF"/>
                  <w:sz w:val="20"/>
                  <w:u w:val="single"/>
                </w:rPr>
                <w:t>33</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46">
              <w:r>
                <w:rPr>
                  <w:rStyle w:val="InternetLink"/>
                  <w:rFonts w:ascii="Arial;sans-serif" w:hAnsi="Arial;sans-serif"/>
                  <w:b w:val="false"/>
                  <w:color w:val="0000FF"/>
                  <w:sz w:val="20"/>
                  <w:u w:val="single"/>
                </w:rPr>
                <w:t>Management’s Discussion and Analysis of Financial Condition and Results of Operations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46">
              <w:r>
                <w:rPr>
                  <w:rStyle w:val="InternetLink"/>
                  <w:rFonts w:ascii="Arial;sans-serif" w:hAnsi="Arial;sans-serif"/>
                  <w:b w:val="false"/>
                  <w:color w:val="0000FF"/>
                  <w:sz w:val="20"/>
                  <w:u w:val="single"/>
                </w:rPr>
                <w:t>34</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7A</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58">
              <w:r>
                <w:rPr>
                  <w:rStyle w:val="InternetLink"/>
                  <w:rFonts w:ascii="Arial;sans-serif" w:hAnsi="Arial;sans-serif"/>
                  <w:b w:val="false"/>
                  <w:color w:val="0000FF"/>
                  <w:sz w:val="20"/>
                  <w:u w:val="single"/>
                </w:rPr>
                <w:t>Quantitative and Qualitative Disclosures About Market Risk</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58">
              <w:r>
                <w:rPr>
                  <w:rStyle w:val="InternetLink"/>
                  <w:rFonts w:ascii="Arial;sans-serif" w:hAnsi="Arial;sans-serif"/>
                  <w:b w:val="false"/>
                  <w:color w:val="0000FF"/>
                  <w:sz w:val="20"/>
                  <w:u w:val="single"/>
                </w:rPr>
                <w:t>43</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61">
              <w:r>
                <w:rPr>
                  <w:rStyle w:val="InternetLink"/>
                  <w:rFonts w:ascii="Arial;sans-serif" w:hAnsi="Arial;sans-serif"/>
                  <w:b w:val="false"/>
                  <w:color w:val="0000FF"/>
                  <w:sz w:val="20"/>
                  <w:u w:val="single"/>
                </w:rPr>
                <w:t>Financial Statements and Supplementary Data</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61">
              <w:r>
                <w:rPr>
                  <w:rStyle w:val="InternetLink"/>
                  <w:rFonts w:ascii="Arial;sans-serif" w:hAnsi="Arial;sans-serif"/>
                  <w:b w:val="false"/>
                  <w:color w:val="0000FF"/>
                  <w:sz w:val="20"/>
                  <w:u w:val="single"/>
                </w:rPr>
                <w:t>44</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64">
              <w:r>
                <w:rPr>
                  <w:rStyle w:val="InternetLink"/>
                  <w:rFonts w:ascii="Arial;sans-serif" w:hAnsi="Arial;sans-serif"/>
                  <w:b w:val="false"/>
                  <w:color w:val="0000FF"/>
                  <w:sz w:val="20"/>
                  <w:u w:val="single"/>
                </w:rPr>
                <w:t>Changes in and Disagreements with Accountants on Accounting and Financial Disclosure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64">
              <w:r>
                <w:rPr>
                  <w:rStyle w:val="InternetLink"/>
                  <w:rFonts w:ascii="Arial;sans-serif" w:hAnsi="Arial;sans-serif"/>
                  <w:b w:val="false"/>
                  <w:color w:val="0000FF"/>
                  <w:sz w:val="20"/>
                  <w:u w:val="single"/>
                </w:rPr>
                <w:t>44</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9A</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67">
              <w:r>
                <w:rPr>
                  <w:rStyle w:val="InternetLink"/>
                  <w:rFonts w:ascii="Arial;sans-serif" w:hAnsi="Arial;sans-serif"/>
                  <w:b w:val="false"/>
                  <w:color w:val="0000FF"/>
                  <w:sz w:val="20"/>
                  <w:u w:val="single"/>
                </w:rPr>
                <w:t>Controls and Procedures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67">
              <w:r>
                <w:rPr>
                  <w:rStyle w:val="InternetLink"/>
                  <w:rFonts w:ascii="Arial;sans-serif" w:hAnsi="Arial;sans-serif"/>
                  <w:b w:val="false"/>
                  <w:color w:val="0000FF"/>
                  <w:sz w:val="20"/>
                  <w:u w:val="single"/>
                </w:rPr>
                <w:t>45</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9B</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73">
              <w:r>
                <w:rPr>
                  <w:rStyle w:val="InternetLink"/>
                  <w:rFonts w:ascii="Arial;sans-serif" w:hAnsi="Arial;sans-serif"/>
                  <w:b w:val="false"/>
                  <w:color w:val="0000FF"/>
                  <w:sz w:val="20"/>
                  <w:u w:val="single"/>
                </w:rPr>
                <w:t>Other Information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73">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9C</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76">
              <w:r>
                <w:rPr>
                  <w:rStyle w:val="InternetLink"/>
                  <w:rFonts w:ascii="Arial;sans-serif" w:hAnsi="Arial;sans-serif"/>
                  <w:b w:val="false"/>
                  <w:color w:val="0000FF"/>
                  <w:sz w:val="20"/>
                  <w:u w:val="single"/>
                </w:rPr>
                <w:t>Disclosure Regarding Foreign Jurisdictions that Prevent Inspections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76">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III</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82">
              <w:r>
                <w:rPr>
                  <w:rStyle w:val="InternetLink"/>
                  <w:rFonts w:ascii="Arial;sans-serif" w:hAnsi="Arial;sans-serif"/>
                  <w:b w:val="false"/>
                  <w:color w:val="0000FF"/>
                  <w:sz w:val="20"/>
                  <w:u w:val="single"/>
                </w:rPr>
                <w:t>Directors, Executive Officers and Corporate Governance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82">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85">
              <w:r>
                <w:rPr>
                  <w:rStyle w:val="InternetLink"/>
                  <w:rFonts w:ascii="Arial;sans-serif" w:hAnsi="Arial;sans-serif"/>
                  <w:b w:val="false"/>
                  <w:color w:val="0000FF"/>
                  <w:sz w:val="20"/>
                  <w:u w:val="single"/>
                </w:rPr>
                <w:t>Executive Compensation</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85">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9062"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a59feaa1acb740469392b68b9c0dbb00_88">
              <w:r>
                <w:rPr>
                  <w:rStyle w:val="InternetLink"/>
                  <w:rFonts w:ascii="Arial;sans-serif" w:hAnsi="Arial;sans-serif"/>
                  <w:b w:val="false"/>
                  <w:color w:val="0000FF"/>
                  <w:sz w:val="20"/>
                  <w:u w:val="single"/>
                </w:rPr>
                <w:t>Security Ownership of Certain Beneficial Owners and Management and</w:t>
              </w:r>
            </w:hyperlink>
          </w:p>
          <w:p>
            <w:pPr>
              <w:pStyle w:val="TableContents"/>
              <w:bidi w:val="0"/>
              <w:spacing w:lineRule="auto" w:line="240" w:before="0" w:after="0"/>
              <w:jc w:val="left"/>
              <w:rPr/>
            </w:pPr>
            <w:hyperlink w:anchor="ia59feaa1acb740469392b68b9c0dbb00_88">
              <w:r>
                <w:rPr>
                  <w:rStyle w:val="InternetLink"/>
                  <w:rFonts w:ascii="Arial;sans-serif" w:hAnsi="Arial;sans-serif"/>
                  <w:b w:val="false"/>
                  <w:color w:val="0000FF"/>
                  <w:sz w:val="20"/>
                  <w:u w:val="single"/>
                </w:rPr>
                <w:t>Related Stockholder Matters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88">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91">
              <w:r>
                <w:rPr>
                  <w:rStyle w:val="InternetLink"/>
                  <w:rFonts w:ascii="Arial;sans-serif" w:hAnsi="Arial;sans-serif"/>
                  <w:b w:val="false"/>
                  <w:color w:val="0000FF"/>
                  <w:sz w:val="20"/>
                  <w:u w:val="single"/>
                </w:rPr>
                <w:t>Certain Relationships and Related Transactions, and Director Independence</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91">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94">
              <w:r>
                <w:rPr>
                  <w:rStyle w:val="InternetLink"/>
                  <w:rFonts w:ascii="Arial;sans-serif" w:hAnsi="Arial;sans-serif"/>
                  <w:b w:val="false"/>
                  <w:color w:val="0000FF"/>
                  <w:sz w:val="20"/>
                  <w:u w:val="single"/>
                </w:rPr>
                <w:t>Principal Accountant Fees and Services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94">
              <w:r>
                <w:rPr>
                  <w:rStyle w:val="InternetLink"/>
                  <w:rFonts w:ascii="Arial;sans-serif" w:hAnsi="Arial;sans-serif"/>
                  <w:b w:val="false"/>
                  <w:color w:val="0000FF"/>
                  <w:sz w:val="20"/>
                  <w:u w:val="single"/>
                </w:rPr>
                <w:t>47</w:t>
              </w:r>
            </w:hyperlink>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PART IV</w:t>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00">
              <w:r>
                <w:rPr>
                  <w:rStyle w:val="InternetLink"/>
                  <w:rFonts w:ascii="Arial;sans-serif" w:hAnsi="Arial;sans-serif"/>
                  <w:b w:val="false"/>
                  <w:color w:val="0000FF"/>
                  <w:sz w:val="20"/>
                  <w:u w:val="single"/>
                </w:rPr>
                <w:t>Exhibits and Financial Statement Schedules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00">
              <w:r>
                <w:rPr>
                  <w:rStyle w:val="InternetLink"/>
                  <w:rFonts w:ascii="Arial;sans-serif" w:hAnsi="Arial;sans-serif"/>
                  <w:b w:val="false"/>
                  <w:color w:val="0000FF"/>
                  <w:sz w:val="20"/>
                  <w:u w:val="single"/>
                </w:rPr>
                <w:t>48</w:t>
              </w:r>
            </w:hyperlink>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03">
              <w:r>
                <w:rPr>
                  <w:rStyle w:val="InternetLink"/>
                  <w:rFonts w:ascii="Arial;sans-serif" w:hAnsi="Arial;sans-serif"/>
                  <w:b w:val="false"/>
                  <w:color w:val="0000FF"/>
                  <w:sz w:val="20"/>
                  <w:u w:val="single"/>
                </w:rPr>
                <w:t>Form 10–K Summary</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03">
              <w:r>
                <w:rPr>
                  <w:rStyle w:val="InternetLink"/>
                  <w:rFonts w:ascii="Arial;sans-serif" w:hAnsi="Arial;sans-serif"/>
                  <w:b w:val="false"/>
                  <w:color w:val="0000FF"/>
                  <w:sz w:val="20"/>
                  <w:u w:val="single"/>
                </w:rPr>
                <w:t>48</w:t>
              </w:r>
            </w:hyperlink>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06">
              <w:r>
                <w:rPr>
                  <w:rStyle w:val="InternetLink"/>
                  <w:rFonts w:ascii="Arial;sans-serif" w:hAnsi="Arial;sans-serif"/>
                  <w:b w:val="false"/>
                  <w:color w:val="0000FF"/>
                  <w:sz w:val="20"/>
                  <w:u w:val="single"/>
                </w:rPr>
                <w:t>Signatures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06">
              <w:r>
                <w:rPr>
                  <w:rStyle w:val="InternetLink"/>
                  <w:rFonts w:ascii="Arial;sans-serif" w:hAnsi="Arial;sans-serif"/>
                  <w:b w:val="false"/>
                  <w:color w:val="0000FF"/>
                  <w:sz w:val="20"/>
                  <w:u w:val="single"/>
                </w:rPr>
                <w:t>49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Certain statements contained in this Annual Report on Form 10-K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“forecasts,” “guidance,” and similar words, expressions or phrases. The following important factors and assumptions could affect our future results and could cause actual results to differ materially from those expressed in such forward-looking statements. These factors include, but are not limited to:</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high level of competition in the mobility industry, including from new companies or technology, and the impact such competition may have on pricing and rental volume;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change in our fleet costs, including as a result of a change in the cost of new vehicles, resulting from inflation, tariffs or otherwise, manufacturer recalls, disruption in the supply of new vehicles, including due to labor actions, tariffs or otherwise, shortages in semiconductors used in new vehicle production, and/or a change in the price at which we dispose of used vehicles either in the used vehicle market or under repurchase or guaranteed depreciation programs;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levels of and volatility in travel demand, including future volatility in airline passenger traffic;</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deterioration in economic conditions, resulting in a recession or otherwise, particularly during our peak season or in key market segments;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occurrence or threat of terrorism, pandemics, severe weather events or natural disasters, military conflicts, including the ongoing military conflict in Eastern Europe, or civil unrest in the locations in which we operate, and the potential effects of sanctions on the world economy and markets and/or international trade;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substantial changes in the cost or supply of fuel, vehicle parts, energy, labor or other resources on which we depend to operate our business, including as a result of pandemics, inflation, tariffs, the ongoing military conflict in Eastern Europe, and any embargoes on oil sales imposed on or by the Russian government;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successfully implement or achieve our business plans and strategies, achieve and maintain cost savings and adapt our business to changes in mobility;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political, economic, or commercial instability and/or political, regulatory, or legal changes in the countries in which we operate, and our ability to conform to multiple and conflicting laws or regulations in those countries;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performance of the used vehicle market from time to time, including our ability to dispose of vehicles in the used vehicle market on attractive terms;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dependence on third-party distribution channels, third-party suppliers of other services and co-marketing arrangements with third parties;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utilize derivative instruments, and the impact of derivative instruments we utilize, which can be affected by fluctuations in interest rates, fuel prices and exchange rates, changes in government regulations and other factors;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exposure to uninsured or unpaid claims in excess of historical levels or changes in the number of incidents or cost per incident, and our ability to obtain insurance at desired levels and the cost of that insurance;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impact on us from the actions of our third-party vendors, licensees, dealers, independent operators and independent contractors and/or disputes that may arise out of our agreements with such parties;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major disruptions in our communication networks or information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tax obligations and the effect of future changes in tax laws and accounting standards;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risks related to our indebtedness, including our substantial outstanding debt obligations, recent and future interest rate increases, which increase our financing costs, downgrades by rating agencies and our ability to incur substantially more debt;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obtain financing for our global operations, including the funding of our vehicle fleet through the issuance of asset-backed securities and use of the global lending markets;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meet the financial and other covenants contained in the agreements governing our indebtedness, or to obtain a waiver or amendment of such covenants should we be unable to meet such covenants;</w:t>
      </w:r>
      <w:r>
        <w:rPr>
          <w:color w:val="000000"/>
          <w:shd w:fill="FFFFFF" w:val="clear"/>
        </w:rPr>
        <w:t xml:space="preserve">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significant changes in the timing of our fleet rotation, carrying value of goodwill, or long-lived assets, including when there are events or changes in circumstances that indicate the carrying value may exceed the current fair value, which could result in a significant impairment charge;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business, economic, competitive, governmental, regulatory, political or technological factors affecting our operations, pricing or services.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set forth in Part II, Item 7, in “Risk Factors” set forth in Part I, Item 1A and in other portions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Annual Report on Form 10-K, may contain forward-looking statements and involve uncertainties that could cause actual results to differ materially from those projected in any forward-looking statements.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1995" w:type="dxa"/>
        <w:jc w:val="left"/>
        <w:tblInd w:w="0" w:type="dxa"/>
        <w:tblLayout w:type="fixed"/>
        <w:tblCellMar>
          <w:top w:w="28" w:type="dxa"/>
          <w:left w:w="28" w:type="dxa"/>
          <w:bottom w:w="28" w:type="dxa"/>
          <w:right w:w="28" w:type="dxa"/>
        </w:tblCellMar>
      </w:tblPr>
      <w:tblGrid>
        <w:gridCol w:w="639"/>
        <w:gridCol w:w="560"/>
        <w:gridCol w:w="796"/>
      </w:tblGrid>
      <w:tr>
        <w:trPr/>
        <w:tc>
          <w:tcPr>
            <w:tcW w:w="63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op w:val="single" w:sz="8" w:space="0" w:color="000000"/>
              <w:left w:val="single" w:sz="8" w:space="0" w:color="000000"/>
              <w:bottom w:val="single" w:sz="8" w:space="0" w:color="000000"/>
              <w:right w:val="single" w:sz="8" w:space="0" w:color="000000"/>
            </w:tcBorders>
            <w:shd w:fill="FFCC00"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 BUSINESS</w:t>
            </w:r>
          </w:p>
        </w:tc>
      </w:tr>
    </w:tbl>
    <w:p>
      <w:pPr>
        <w:pStyle w:val="TextBody"/>
        <w:bidi w:val="0"/>
        <w:spacing w:before="0" w:after="0"/>
        <w:jc w:val="left"/>
        <w:rPr/>
      </w:pPr>
      <w:r>
        <w:rPr/>
      </w:r>
    </w:p>
    <w:p>
      <w:pPr>
        <w:pStyle w:val="TextBody"/>
        <w:bidi w:val="0"/>
        <w:spacing w:lineRule="auto" w:line="288" w:before="0" w:after="120"/>
        <w:jc w:val="both"/>
        <w:rPr>
          <w:rFonts w:ascii="Arial;sans-serif" w:hAnsi="Arial;sans-serif"/>
          <w:b w:val="false"/>
          <w:i/>
          <w:color w:val="000000"/>
          <w:sz w:val="20"/>
        </w:rPr>
      </w:pPr>
      <w:r>
        <w:rPr>
          <w:rFonts w:ascii="Arial;sans-serif" w:hAnsi="Arial;sans-serif"/>
          <w:b w:val="false"/>
          <w:i/>
          <w:color w:val="000000"/>
          <w:sz w:val="20"/>
        </w:rPr>
        <w:t>Except as expressly indicated or unless the context otherwise requires, the “Company,” “Avis Budget,” “we,” “our” or “us” means Avis Budget Group, Inc. and its subsidiaries. Unless the context requires otherwise, these references and references to our brands do not include the operations of our licensees, as further discussed below.</w:t>
      </w:r>
    </w:p>
    <w:tbl>
      <w:tblPr>
        <w:tblW w:w="1231" w:type="dxa"/>
        <w:jc w:val="left"/>
        <w:tblInd w:w="0" w:type="dxa"/>
        <w:tblLayout w:type="fixed"/>
        <w:tblCellMar>
          <w:top w:w="28" w:type="dxa"/>
          <w:left w:w="28" w:type="dxa"/>
          <w:bottom w:w="28" w:type="dxa"/>
          <w:right w:w="28" w:type="dxa"/>
        </w:tblCellMar>
      </w:tblPr>
      <w:tblGrid>
        <w:gridCol w:w="394"/>
        <w:gridCol w:w="346"/>
        <w:gridCol w:w="491"/>
      </w:tblGrid>
      <w:tr>
        <w:trPr/>
        <w:tc>
          <w:tcPr>
            <w:tcW w:w="3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OVERVIEW</w:t>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leading global provider of mobility solutions through our three most recognized brands, Avis, Budget and Zipcar, as well as several other brands, well recognized in their respective markets. Our brands offer a range of options, from car and truck rental to car sharing. We license the use of the Avis, Budget, Zipcar and other brands’ trademarks to licensees in areas in which we do not operate directly. We and our licensees operate our brands in approximately 180 countries throughout the world. We generally maintain a leading share of airport car rental revenues in North America, Europe and Australasia, and we operate a leading car sharing network and one of the leading commercial truck rental businesses in the United States. We believe the range of options from our diversified brands enjoy complementary demand patterns with mid-week commercial demand balanced by weekend leisure demand.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average, our global rental fleet totaled approximately 695,000 vehicles in 2024. We completed over 38 million vehicle rental transactions worldwide and generated total revenues of approximately $11.8 billion during 2024. Our brands and mobility solutions have an extended global reach with approximately 10,250 rental locations throughout the world, including approximately 3,800 locations operated by our licensees.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categorize our operations into two reportable business segments: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Americas - </w:t>
      </w:r>
      <w:r>
        <w:rPr>
          <w:rFonts w:ascii="Arial;sans-serif" w:hAnsi="Arial;sans-serif"/>
          <w:b w:val="false"/>
          <w:color w:val="000000"/>
          <w:sz w:val="20"/>
        </w:rPr>
        <w:t>consisting primarily of (i) vehicle rental operations in North America, South America, Central America and the Caribbean, (ii) car sharing operations in certain of these markets, and (iii) licensees in certain areas in which we do not operate directly.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i/>
          <w:color w:val="000000"/>
          <w:sz w:val="20"/>
        </w:rPr>
        <w:t xml:space="preserve">International - </w:t>
      </w:r>
      <w:r>
        <w:rPr>
          <w:rFonts w:ascii="Arial;sans-serif" w:hAnsi="Arial;sans-serif"/>
          <w:b w:val="false"/>
          <w:color w:val="000000"/>
          <w:sz w:val="20"/>
        </w:rPr>
        <w:t xml:space="preserve">consisting primarily of (i) vehicle rental operations in Europe, the Middle East, Africa, Asia and Australasia, (ii) car sharing operations in certain of these markets, and (iii) licensees in certain areas in which we do not operate directly.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 discussion of our reportable segments is included in Part II, Item 7, “Management’s Discussion and Analysis of Financial Condition and Results of Operations” and in Note 21 – Segment Information to the Consolidated Financial Statements included in this Annual Report on Form 10-K.</w:t>
      </w:r>
    </w:p>
    <w:p>
      <w:pPr>
        <w:pStyle w:val="TextBody"/>
        <w:bidi w:val="0"/>
        <w:spacing w:before="0" w:after="0"/>
        <w:jc w:val="both"/>
        <w:rPr/>
      </w:pPr>
      <w:r>
        <w:rPr/>
      </w:r>
    </w:p>
    <w:tbl>
      <w:tblPr>
        <w:tblW w:w="1709" w:type="dxa"/>
        <w:jc w:val="left"/>
        <w:tblInd w:w="0" w:type="dxa"/>
        <w:tblLayout w:type="fixed"/>
        <w:tblCellMar>
          <w:top w:w="28" w:type="dxa"/>
          <w:left w:w="28" w:type="dxa"/>
          <w:bottom w:w="28" w:type="dxa"/>
          <w:right w:w="28" w:type="dxa"/>
        </w:tblCellMar>
      </w:tblPr>
      <w:tblGrid>
        <w:gridCol w:w="547"/>
        <w:gridCol w:w="480"/>
        <w:gridCol w:w="682"/>
      </w:tblGrid>
      <w:tr>
        <w:trPr/>
        <w:tc>
          <w:tcPr>
            <w:tcW w:w="54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OUR STRATEGY</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2025, we expect our strategy to focus on transforming key parts of our business through technology, system enhancements and data, particularly with respect to customer experience, revenue generation and costs. We believe this strategy, together with a change in fourth quarter 2024 in our fleet strategy to accelerate certain fleet rotations (as discussed in “Management’s Discussion and Analysis of Financial Condition and Results of Operations” set forth in Part II, Item 7), will continue to strengthen our Company, maximize profitability, and deliver stakeholder value. With respect to customer experience, our aim will continue to be to deliver a superior customer journey. For revenue, we will focus on optimizing mix and marketing, and for costs, we plan to implement centers of excellence and develop new tools and capabilities to increase margin.</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3270" w:type="dxa"/>
        <w:jc w:val="left"/>
        <w:tblInd w:w="0" w:type="dxa"/>
        <w:tblLayout w:type="fixed"/>
        <w:tblCellMar>
          <w:top w:w="28" w:type="dxa"/>
          <w:left w:w="28" w:type="dxa"/>
          <w:bottom w:w="28" w:type="dxa"/>
          <w:right w:w="28" w:type="dxa"/>
        </w:tblCellMar>
      </w:tblPr>
      <w:tblGrid>
        <w:gridCol w:w="1046"/>
        <w:gridCol w:w="921"/>
        <w:gridCol w:w="1303"/>
      </w:tblGrid>
      <w:tr>
        <w:trPr/>
        <w:tc>
          <w:tcPr>
            <w:tcW w:w="10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OUR BRANDS AND OPERATIONS</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OUR BRANDS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Avis, Budget and Zipcar brands are three of the most recognized brands in our industry. We believe that each of our brands is positioned to be embraced by different target customers, and we see benefits and savings from our brands sharing some of the same facilities, systems, and administrative infrastructure. In addition, we are able to recognize benefits as a result of complementary demand patterns with commercial rentals occurring primarily on business days and leisure rentals occurring primarily on holidays and weekends. We also operate the Payless and Apex brands in the value segment of the car rental industry. In addition, we further extend our offerings through our AmicoBlu, Maggiore, and Morini Rent brands in Italy; FranceCars brand in France, ACL Hire and McNicoll Hire brands in the UK; and Turiscar and Turisprime brands in Portugal.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graphs present the approximate composition of our revenues in 2024.</w:t>
      </w:r>
    </w:p>
    <w:p>
      <w:pPr>
        <w:pStyle w:val="TextBody"/>
        <w:bidi w:val="0"/>
        <w:spacing w:lineRule="auto" w:line="288" w:before="0" w:after="0"/>
        <w:jc w:val="center"/>
        <w:rPr/>
      </w:pPr>
      <w:r>
        <w:rPr/>
        <w:drawing>
          <wp:inline distT="0" distB="0" distL="0" distR="0">
            <wp:extent cx="2114550" cy="1619250"/>
            <wp:effectExtent l="0" t="0" r="0" b="0"/>
            <wp:docPr id="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 descr=""/>
                    <pic:cNvPicPr>
                      <a:picLocks noChangeAspect="1" noChangeArrowheads="1"/>
                    </pic:cNvPicPr>
                  </pic:nvPicPr>
                  <pic:blipFill>
                    <a:blip r:embed="rId2"/>
                    <a:stretch>
                      <a:fillRect/>
                    </a:stretch>
                  </pic:blipFill>
                  <pic:spPr bwMode="auto">
                    <a:xfrm>
                      <a:off x="0" y="0"/>
                      <a:ext cx="2114550" cy="1619250"/>
                    </a:xfrm>
                    <a:prstGeom prst="rect">
                      <a:avLst/>
                    </a:prstGeom>
                  </pic:spPr>
                </pic:pic>
              </a:graphicData>
            </a:graphic>
          </wp:inline>
        </w:drawing>
      </w:r>
      <w:r>
        <w:rPr>
          <w:color w:val="000000"/>
        </w:rPr>
        <w:t xml:space="preserve"> </w:t>
      </w:r>
      <w:r>
        <w:rPr/>
        <w:drawing>
          <wp:inline distT="0" distB="0" distL="0" distR="0">
            <wp:extent cx="2114550" cy="161925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2114550" cy="1619250"/>
                    </a:xfrm>
                    <a:prstGeom prst="rect">
                      <a:avLst/>
                    </a:prstGeom>
                  </pic:spPr>
                </pic:pic>
              </a:graphicData>
            </a:graphic>
          </wp:inline>
        </w:drawing>
      </w:r>
      <w:r>
        <w:rPr/>
        <w:drawing>
          <wp:inline distT="0" distB="0" distL="0" distR="0">
            <wp:extent cx="2114550" cy="16192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2114550" cy="1619250"/>
                    </a:xfrm>
                    <a:prstGeom prst="rect">
                      <a:avLst/>
                    </a:prstGeom>
                  </pic:spPr>
                </pic:pic>
              </a:graphicData>
            </a:graphic>
          </wp:inline>
        </w:drawing>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     Includes Budget Truck.</w:t>
      </w:r>
    </w:p>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     Includes Zipcar and other operating brands.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876300" cy="2667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876300" cy="26670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Avis brand provides high-quality vehicle rental and other mobility solutions at price points generally above non-branded and value-branded vehicle rental companies and serves the premium commercial and leisure segments of the travel industry.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2024, our Company-operated Avis locations generated total revenues of approximately $6.8 billion. The following graphs present the approximate composition of our Avis revenues in 2024.</w:t>
      </w:r>
    </w:p>
    <w:p>
      <w:pPr>
        <w:pStyle w:val="TextBody"/>
        <w:bidi w:val="0"/>
        <w:spacing w:before="0" w:after="0"/>
        <w:jc w:val="center"/>
        <w:rPr/>
      </w:pPr>
      <w:r>
        <w:rPr/>
        <w:drawing>
          <wp:inline distT="0" distB="0" distL="0" distR="0">
            <wp:extent cx="2124075" cy="161925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2124075" cy="1619250"/>
                    </a:xfrm>
                    <a:prstGeom prst="rect">
                      <a:avLst/>
                    </a:prstGeom>
                  </pic:spPr>
                </pic:pic>
              </a:graphicData>
            </a:graphic>
          </wp:inline>
        </w:drawing>
      </w:r>
      <w:r>
        <w:rPr/>
        <w:drawing>
          <wp:inline distT="0" distB="0" distL="0" distR="0">
            <wp:extent cx="2124075" cy="161925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2124075" cy="1619250"/>
                    </a:xfrm>
                    <a:prstGeom prst="rect">
                      <a:avLst/>
                    </a:prstGeom>
                  </pic:spPr>
                </pic:pic>
              </a:graphicData>
            </a:graphic>
          </wp:inline>
        </w:drawing>
      </w:r>
      <w:r>
        <w:rPr/>
        <w:drawing>
          <wp:inline distT="0" distB="0" distL="0" distR="0">
            <wp:extent cx="2124075" cy="161925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2124075" cy="1619250"/>
                    </a:xfrm>
                    <a:prstGeom prst="rect">
                      <a:avLst/>
                    </a:prstGeom>
                  </pic:spPr>
                </pic:pic>
              </a:graphicData>
            </a:graphic>
          </wp:inline>
        </w:drawing>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license the Avis brand to independent commercial owners who operate approximately half of our locations worldwide and generally pay royalty fees to us based on a percentage of applicable revenues. In 2024, these royalty fees totaled approximately 1% of our Avis revenues.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14"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or license Avis vehicle rental locations at virtually all of the largest commercial airports and cities in the world. The table below presents the approximate number of Avis locations as of December 31, 2024.</w:t>
      </w:r>
    </w:p>
    <w:p>
      <w:pPr>
        <w:pStyle w:val="TextBody"/>
        <w:bidi w:val="0"/>
        <w:spacing w:before="0" w:after="0"/>
        <w:jc w:val="left"/>
        <w:rPr/>
      </w:pPr>
      <w:r>
        <w:rPr/>
      </w:r>
    </w:p>
    <w:tbl>
      <w:tblPr>
        <w:tblW w:w="6403" w:type="dxa"/>
        <w:jc w:val="left"/>
        <w:tblInd w:w="0" w:type="dxa"/>
        <w:tblLayout w:type="fixed"/>
        <w:tblCellMar>
          <w:top w:w="28" w:type="dxa"/>
          <w:left w:w="28" w:type="dxa"/>
          <w:bottom w:w="28" w:type="dxa"/>
          <w:right w:w="28" w:type="dxa"/>
        </w:tblCellMar>
      </w:tblPr>
      <w:tblGrid>
        <w:gridCol w:w="940"/>
        <w:gridCol w:w="826"/>
        <w:gridCol w:w="829"/>
        <w:gridCol w:w="325"/>
        <w:gridCol w:w="325"/>
        <w:gridCol w:w="326"/>
        <w:gridCol w:w="109"/>
        <w:gridCol w:w="109"/>
        <w:gridCol w:w="109"/>
        <w:gridCol w:w="425"/>
        <w:gridCol w:w="425"/>
        <w:gridCol w:w="426"/>
        <w:gridCol w:w="109"/>
        <w:gridCol w:w="109"/>
        <w:gridCol w:w="109"/>
        <w:gridCol w:w="323"/>
        <w:gridCol w:w="323"/>
        <w:gridCol w:w="25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Avis Locations</w:t>
            </w:r>
            <w:r>
              <w:rPr>
                <w:rFonts w:ascii="Arial;sans-serif" w:hAnsi="Arial;sans-serif"/>
                <w:b/>
                <w:color w:val="000000"/>
                <w:sz w:val="16"/>
              </w:rPr>
              <w: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595"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Company-operated locations</w:t>
            </w:r>
          </w:p>
        </w:tc>
        <w:tc>
          <w:tcPr>
            <w:tcW w:w="650"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2,075 </w:t>
            </w:r>
          </w:p>
        </w:tc>
        <w:tc>
          <w:tcPr>
            <w:tcW w:w="32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970 </w:t>
            </w:r>
          </w:p>
        </w:tc>
        <w:tc>
          <w:tcPr>
            <w:tcW w:w="42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3,045 </w:t>
            </w:r>
          </w:p>
        </w:tc>
        <w:tc>
          <w:tcPr>
            <w:tcW w:w="25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Licensee locations</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Avis Locations</w:t>
            </w:r>
          </w:p>
        </w:tc>
        <w:tc>
          <w:tcPr>
            <w:tcW w:w="650"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2,505 </w:t>
            </w:r>
          </w:p>
        </w:tc>
        <w:tc>
          <w:tcPr>
            <w:tcW w:w="32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2,605 </w:t>
            </w:r>
          </w:p>
        </w:tc>
        <w:tc>
          <w:tcPr>
            <w:tcW w:w="42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5,110 </w:t>
            </w:r>
          </w:p>
        </w:tc>
        <w:tc>
          <w:tcPr>
            <w:tcW w:w="25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     Certain locations support multiple brands.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offer Avis customers a variety of premium services,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Avis mobile application, which allows customers a unique and innovative way to control many elements of their rental experience via their mobile devices without the need to visit the rental counter. In many United States locations, the application also allows customers to choose, exchange or upgrade their vehicles upon arrival and utilize a unique code to exit via our automated </w:t>
      </w:r>
      <w:r>
        <w:rPr>
          <w:rFonts w:ascii="Arial;sans-serif" w:hAnsi="Arial;sans-serif"/>
          <w:b w:val="false"/>
          <w:i/>
          <w:color w:val="000000"/>
          <w:sz w:val="20"/>
        </w:rPr>
        <w:t>Express Exit</w:t>
      </w:r>
      <w:r>
        <w:rPr>
          <w:color w:val="000000"/>
        </w:rPr>
        <w:t xml:space="preserve"> </w:t>
      </w:r>
      <w:r>
        <w:rPr>
          <w:rFonts w:ascii="Arial;sans-serif" w:hAnsi="Arial;sans-serif"/>
          <w:b w:val="false"/>
          <w:color w:val="000000"/>
          <w:sz w:val="20"/>
        </w:rPr>
        <w:t>for a completely contactless rental experience. The application also allows customers to track Avis shuttle buses to rental locations, find their vehicle, and locate nearby gas stations and parking facilities;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Avis </w:t>
      </w:r>
      <w:r>
        <w:rPr>
          <w:rFonts w:ascii="Arial;sans-serif" w:hAnsi="Arial;sans-serif"/>
          <w:b w:val="false"/>
          <w:i/>
          <w:color w:val="000000"/>
          <w:sz w:val="20"/>
        </w:rPr>
        <w:t>Preferred</w:t>
      </w:r>
      <w:r>
        <w:rPr>
          <w:rFonts w:ascii="Arial;sans-serif" w:hAnsi="Arial;sans-serif"/>
          <w:b w:val="false"/>
          <w:color w:val="000000"/>
          <w:sz w:val="20"/>
        </w:rPr>
        <w:t xml:space="preserve">, our frequent renter rewards program that offers counter bypass at major airport locations, as well as additional benefits at different customer status levels, such as vehicle upgrades;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availability of a selection of luxury vehicles through our </w:t>
      </w:r>
      <w:r>
        <w:rPr>
          <w:rFonts w:ascii="Arial;sans-serif" w:hAnsi="Arial;sans-serif"/>
          <w:b w:val="false"/>
          <w:i/>
          <w:color w:val="000000"/>
          <w:sz w:val="20"/>
        </w:rPr>
        <w:t xml:space="preserve">Avis Signature Series, </w:t>
      </w:r>
      <w:r>
        <w:rPr>
          <w:rFonts w:ascii="Arial;sans-serif" w:hAnsi="Arial;sans-serif"/>
          <w:b w:val="false"/>
          <w:color w:val="000000"/>
          <w:sz w:val="20"/>
        </w:rPr>
        <w:t>as well as</w:t>
      </w:r>
      <w:r>
        <w:rPr>
          <w:color w:val="000000"/>
        </w:rPr>
        <w:t xml:space="preserve"> </w:t>
      </w:r>
      <w:r>
        <w:rPr>
          <w:rFonts w:ascii="Arial;sans-serif" w:hAnsi="Arial;sans-serif"/>
          <w:b w:val="false"/>
          <w:color w:val="000000"/>
          <w:sz w:val="20"/>
        </w:rPr>
        <w:t>premium, sport, performance and electrified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access to satellite radio service, mobile WiFi devices, and GPS navigation;</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Avis rental services such as roadside assistance, fuel service options, e-receipts, electronic toll collection services that allow customers to pay highway tolls without waiting in toll booth lines, and amenities such as </w:t>
      </w:r>
      <w:r>
        <w:rPr>
          <w:rFonts w:ascii="Arial;sans-serif" w:hAnsi="Arial;sans-serif"/>
          <w:b w:val="false"/>
          <w:i/>
          <w:color w:val="000000"/>
          <w:sz w:val="20"/>
        </w:rPr>
        <w:t>Avis Cares</w:t>
      </w:r>
      <w:r>
        <w:rPr>
          <w:rFonts w:ascii="Arial;sans-serif" w:hAnsi="Arial;sans-serif"/>
          <w:b w:val="false"/>
          <w:color w:val="000000"/>
          <w:sz w:val="20"/>
        </w:rPr>
        <w:t>, a full range of special products and services for drivers and passengers with disabilities;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for our corporate customers, </w:t>
      </w:r>
      <w:r>
        <w:rPr>
          <w:rFonts w:ascii="Arial;sans-serif" w:hAnsi="Arial;sans-serif"/>
          <w:b w:val="false"/>
          <w:i/>
          <w:color w:val="000000"/>
          <w:sz w:val="20"/>
        </w:rPr>
        <w:t>Avis Budget Group Business Intelligence</w:t>
      </w:r>
      <w:r>
        <w:rPr>
          <w:rFonts w:ascii="Arial;sans-serif" w:hAnsi="Arial;sans-serif"/>
          <w:b w:val="false"/>
          <w:color w:val="000000"/>
          <w:sz w:val="20"/>
        </w:rPr>
        <w:t>, a proprietary reporting solution that provides a centralized reporting tool and customer reporting portal for corporate clients in North America and Europe, enabling them to easily view and analyze their rental activity, allowing them to better manage their travel budgets and monitor employee compliance with applicable travel policies.</w:t>
      </w:r>
    </w:p>
    <w:p>
      <w:pPr>
        <w:pStyle w:val="TextBody"/>
        <w:bidi w:val="0"/>
        <w:spacing w:before="0" w:after="0"/>
        <w:jc w:val="both"/>
        <w:rPr/>
      </w:pPr>
      <w:r>
        <w:rPr/>
      </w:r>
    </w:p>
    <w:p>
      <w:pPr>
        <w:pStyle w:val="TextBody"/>
        <w:bidi w:val="0"/>
        <w:spacing w:before="0" w:after="0"/>
        <w:jc w:val="both"/>
        <w:rPr/>
      </w:pPr>
      <w:r>
        <w:rPr/>
        <w:drawing>
          <wp:inline distT="0" distB="0" distL="0" distR="0">
            <wp:extent cx="1152525" cy="266700"/>
            <wp:effectExtent l="0" t="0" r="0" b="0"/>
            <wp:docPr id="1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8" descr=""/>
                    <pic:cNvPicPr>
                      <a:picLocks noChangeAspect="1" noChangeArrowheads="1"/>
                    </pic:cNvPicPr>
                  </pic:nvPicPr>
                  <pic:blipFill>
                    <a:blip r:embed="rId9"/>
                    <a:stretch>
                      <a:fillRect/>
                    </a:stretch>
                  </pic:blipFill>
                  <pic:spPr bwMode="auto">
                    <a:xfrm>
                      <a:off x="0" y="0"/>
                      <a:ext cx="1152525" cy="2667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Budget brand is a leading supplier of vehicle rental and other mobility solutions focused primarily on more value-conscious customers.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2024, our Company-operated Budget vehicle rental operations generated total revenues of approximately $4.3 billion. The following graphs present the approximate composition of our Budget revenues in 2024.</w:t>
      </w:r>
    </w:p>
    <w:p>
      <w:pPr>
        <w:pStyle w:val="TextBody"/>
        <w:bidi w:val="0"/>
        <w:spacing w:before="0" w:after="0"/>
        <w:jc w:val="center"/>
        <w:rPr/>
      </w:pPr>
      <w:r>
        <w:rPr/>
        <w:drawing>
          <wp:inline distT="0" distB="0" distL="0" distR="0">
            <wp:extent cx="2124075" cy="1619250"/>
            <wp:effectExtent l="0" t="0" r="0" b="0"/>
            <wp:docPr id="1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9" descr=""/>
                    <pic:cNvPicPr>
                      <a:picLocks noChangeAspect="1" noChangeArrowheads="1"/>
                    </pic:cNvPicPr>
                  </pic:nvPicPr>
                  <pic:blipFill>
                    <a:blip r:embed="rId10"/>
                    <a:stretch>
                      <a:fillRect/>
                    </a:stretch>
                  </pic:blipFill>
                  <pic:spPr bwMode="auto">
                    <a:xfrm>
                      <a:off x="0" y="0"/>
                      <a:ext cx="2124075" cy="1619250"/>
                    </a:xfrm>
                    <a:prstGeom prst="rect">
                      <a:avLst/>
                    </a:prstGeom>
                  </pic:spPr>
                </pic:pic>
              </a:graphicData>
            </a:graphic>
          </wp:inline>
        </w:drawing>
      </w:r>
      <w:r>
        <w:rPr/>
        <w:drawing>
          <wp:inline distT="0" distB="0" distL="0" distR="0">
            <wp:extent cx="2124075" cy="161925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2124075" cy="1619250"/>
                    </a:xfrm>
                    <a:prstGeom prst="rect">
                      <a:avLst/>
                    </a:prstGeom>
                  </pic:spPr>
                </pic:pic>
              </a:graphicData>
            </a:graphic>
          </wp:inline>
        </w:drawing>
      </w:r>
      <w:r>
        <w:rPr/>
        <w:drawing>
          <wp:inline distT="0" distB="0" distL="0" distR="0">
            <wp:extent cx="2124075" cy="1619250"/>
            <wp:effectExtent l="0" t="0" r="0" b="0"/>
            <wp:docPr id="1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1" descr=""/>
                    <pic:cNvPicPr>
                      <a:picLocks noChangeAspect="1" noChangeArrowheads="1"/>
                    </pic:cNvPicPr>
                  </pic:nvPicPr>
                  <pic:blipFill>
                    <a:blip r:embed="rId12"/>
                    <a:stretch>
                      <a:fillRect/>
                    </a:stretch>
                  </pic:blipFill>
                  <pic:spPr bwMode="auto">
                    <a:xfrm>
                      <a:off x="0" y="0"/>
                      <a:ext cx="2124075" cy="1619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1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also license the Budget brand to independent commercial owners who generally pay royalty fees to us based on a percentage of applicable revenues. In 2024, these royalty fees totaled approximately 1% of our Budget revenues.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Car Rental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operate or license Budget car rental locations at airports and in cities worldwide. The table below presents the approximate number of Budget car rental locations as of December 31, 2024.</w:t>
      </w:r>
    </w:p>
    <w:tbl>
      <w:tblPr>
        <w:tblW w:w="6463" w:type="dxa"/>
        <w:jc w:val="left"/>
        <w:tblInd w:w="0" w:type="dxa"/>
        <w:tblLayout w:type="fixed"/>
        <w:tblCellMar>
          <w:top w:w="28" w:type="dxa"/>
          <w:left w:w="28" w:type="dxa"/>
          <w:bottom w:w="28" w:type="dxa"/>
          <w:right w:w="28" w:type="dxa"/>
        </w:tblCellMar>
      </w:tblPr>
      <w:tblGrid>
        <w:gridCol w:w="940"/>
        <w:gridCol w:w="826"/>
        <w:gridCol w:w="829"/>
        <w:gridCol w:w="325"/>
        <w:gridCol w:w="325"/>
        <w:gridCol w:w="326"/>
        <w:gridCol w:w="119"/>
        <w:gridCol w:w="119"/>
        <w:gridCol w:w="119"/>
        <w:gridCol w:w="425"/>
        <w:gridCol w:w="425"/>
        <w:gridCol w:w="426"/>
        <w:gridCol w:w="119"/>
        <w:gridCol w:w="119"/>
        <w:gridCol w:w="119"/>
        <w:gridCol w:w="323"/>
        <w:gridCol w:w="323"/>
        <w:gridCol w:w="25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Budget Locations</w:t>
            </w:r>
            <w:r>
              <w:rPr>
                <w:rFonts w:ascii="Arial;sans-serif" w:hAnsi="Arial;sans-serif"/>
                <w:b/>
                <w:color w:val="000000"/>
                <w:sz w:val="16"/>
              </w:rPr>
              <w:t>*</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2595"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Company-operated locations</w:t>
            </w:r>
          </w:p>
        </w:tc>
        <w:tc>
          <w:tcPr>
            <w:tcW w:w="650"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1,425 </w:t>
            </w:r>
          </w:p>
        </w:tc>
        <w:tc>
          <w:tcPr>
            <w:tcW w:w="32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785 </w:t>
            </w:r>
          </w:p>
        </w:tc>
        <w:tc>
          <w:tcPr>
            <w:tcW w:w="42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6D9F1"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2,210 </w:t>
            </w:r>
          </w:p>
        </w:tc>
        <w:tc>
          <w:tcPr>
            <w:tcW w:w="256" w:type="dxa"/>
            <w:tcBorders>
              <w:top w:val="single" w:sz="8" w:space="0" w:color="000000"/>
            </w:tcBorders>
            <w:shd w:fill="C6D9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Licensee locations</w:t>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1,030 </w:t>
            </w:r>
          </w:p>
        </w:tc>
        <w:tc>
          <w:tcPr>
            <w:tcW w:w="4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6D9F1"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Budget Locations</w:t>
            </w:r>
          </w:p>
        </w:tc>
        <w:tc>
          <w:tcPr>
            <w:tcW w:w="650"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1,955 </w:t>
            </w:r>
          </w:p>
        </w:tc>
        <w:tc>
          <w:tcPr>
            <w:tcW w:w="32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1,815 </w:t>
            </w:r>
          </w:p>
        </w:tc>
        <w:tc>
          <w:tcPr>
            <w:tcW w:w="42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6D9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3,770 </w:t>
            </w:r>
          </w:p>
        </w:tc>
        <w:tc>
          <w:tcPr>
            <w:tcW w:w="256" w:type="dxa"/>
            <w:tcBorders>
              <w:top w:val="single" w:sz="8" w:space="0" w:color="000000"/>
              <w:bottom w:val="double" w:sz="8" w:space="0" w:color="000000"/>
            </w:tcBorders>
            <w:shd w:fill="C6D9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rFonts w:ascii="Arial;sans-serif" w:hAnsi="Arial;sans-serif"/>
          <w:b w:val="false"/>
          <w:color w:val="000000"/>
          <w:sz w:val="16"/>
        </w:rPr>
      </w:pPr>
      <w:r>
        <w:rPr>
          <w:rFonts w:ascii="Arial;sans-serif" w:hAnsi="Arial;sans-serif"/>
          <w:b w:val="false"/>
          <w:color w:val="000000"/>
          <w:sz w:val="16"/>
        </w:rPr>
        <w:t>*     Certain locations support multiple brands.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Budget offers its customers several products and services similar to Avis, such as refueling options, roadside assistance, electronic toll collection, and other supplemental rental products, e-receipts and special rental rates for frequent renters. In addition, Budget’s </w:t>
      </w:r>
      <w:r>
        <w:rPr>
          <w:rFonts w:ascii="Arial;sans-serif" w:hAnsi="Arial;sans-serif"/>
          <w:b w:val="false"/>
          <w:i/>
          <w:color w:val="000000"/>
          <w:sz w:val="20"/>
        </w:rPr>
        <w:t xml:space="preserve">Fastbreak </w:t>
      </w:r>
      <w:r>
        <w:rPr>
          <w:rFonts w:ascii="Arial;sans-serif" w:hAnsi="Arial;sans-serif"/>
          <w:b w:val="false"/>
          <w:color w:val="000000"/>
          <w:sz w:val="20"/>
        </w:rPr>
        <w:t>service expedites rental service for frequent travelers and the mobile application allows customers to reserve, modify and cancel reservations on their mobile devices.</w:t>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Budget Truck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Budget Truck rental business is one of the largest local and one-way truck and cargo van rental businesses in the United States. As of December 31, 2024, our Budget Truck fleet is comprised of approximately 22,000 vehicles that are rented through a network of approximately 400 Company-operated and 380 dealer-operated locations throughout the continental United States. These dealers are independently-owned businesses that generally operate other retail service businesses. In addition to their principal businesses, the dealers rent our light- and medium-duty trucks and commercial cargo vans to customers and are responsible for collecting payments on our behalf. The dealers receive a commission on all truck, van and ancillary equipment rentals. The Budget Truck rental business serves both the light commercial and consumer sectors. The light commercial sector consists of a wide range of businesses that rent light- to medium-duty trucks, which we define as trucks having a gross vehicle weight of less than 26,000 pounds, for a variety of commercial applications. The consumer sector consists primarily of individuals who rent trucks to move household goods on either a one-way or local basis.</w:t>
      </w:r>
    </w:p>
    <w:p>
      <w:pPr>
        <w:pStyle w:val="TextBody"/>
        <w:bidi w:val="0"/>
        <w:spacing w:before="0" w:after="0"/>
        <w:jc w:val="both"/>
        <w:rPr/>
      </w:pPr>
      <w:r>
        <w:rPr/>
      </w:r>
    </w:p>
    <w:p>
      <w:pPr>
        <w:pStyle w:val="TextBody"/>
        <w:bidi w:val="0"/>
        <w:spacing w:before="0" w:after="0"/>
        <w:jc w:val="both"/>
        <w:rPr/>
      </w:pPr>
      <w:r>
        <w:rPr/>
        <w:drawing>
          <wp:inline distT="0" distB="0" distL="0" distR="0">
            <wp:extent cx="885825" cy="26670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3"/>
                    <a:stretch>
                      <a:fillRect/>
                    </a:stretch>
                  </pic:blipFill>
                  <pic:spPr bwMode="auto">
                    <a:xfrm>
                      <a:off x="0" y="0"/>
                      <a:ext cx="885825" cy="2667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Zipcar is a leading car sharing network, driven by a mission to enable simple and responsible urban living. With its wide variety of self-service vehicles available by the hour or day, Zipcar offers comprehensive, convenient and flexible car sharing options in urban areas and college campuses in hundreds of cities and towns. Zipcar provides its members on-demand, self-service vehicles in reserved parking spaces located in neighborhoods, business districts, office complexes and college campuses, as an alternative to car ownership. We continue to offer our Zipcar </w:t>
      </w:r>
      <w:r>
        <w:rPr>
          <w:rFonts w:ascii="Arial;sans-serif" w:hAnsi="Arial;sans-serif"/>
          <w:b w:val="false"/>
          <w:i/>
          <w:color w:val="000000"/>
          <w:sz w:val="20"/>
        </w:rPr>
        <w:t>Flex</w:t>
      </w:r>
      <w:r>
        <w:rPr>
          <w:color w:val="000000"/>
        </w:rPr>
        <w:t xml:space="preserve"> </w:t>
      </w:r>
      <w:r>
        <w:rPr>
          <w:rFonts w:ascii="Arial;sans-serif" w:hAnsi="Arial;sans-serif"/>
          <w:b w:val="false"/>
          <w:color w:val="000000"/>
          <w:sz w:val="20"/>
        </w:rPr>
        <w:t>product in London providing one-way rentals, including to and from Heathrow airport, which can be parked in public on-street parking spots in designated areas of the city.</w:t>
      </w:r>
    </w:p>
    <w:p>
      <w:pPr>
        <w:pStyle w:val="TextBody"/>
        <w:bidi w:val="0"/>
        <w:spacing w:before="0" w:after="0"/>
        <w:jc w:val="both"/>
        <w:rPr/>
      </w:pPr>
      <w:r>
        <w:rPr/>
      </w:r>
    </w:p>
    <w:p>
      <w:pPr>
        <w:pStyle w:val="TextBody"/>
        <w:bidi w:val="0"/>
        <w:spacing w:before="0" w:after="0"/>
        <w:jc w:val="both"/>
        <w:rPr/>
      </w:pPr>
      <w:r>
        <w:rPr/>
        <w:drawing>
          <wp:inline distT="0" distB="0" distL="0" distR="0">
            <wp:extent cx="742950" cy="26670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4"/>
                    <a:stretch>
                      <a:fillRect/>
                    </a:stretch>
                  </pic:blipFill>
                  <pic:spPr bwMode="auto">
                    <a:xfrm>
                      <a:off x="0" y="0"/>
                      <a:ext cx="742950" cy="266700"/>
                    </a:xfrm>
                    <a:prstGeom prst="rect">
                      <a:avLst/>
                    </a:prstGeom>
                  </pic:spPr>
                </pic:pic>
              </a:graphicData>
            </a:graphic>
          </wp:inline>
        </w:drawing>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Payless is a leading rental car supplier serving the deep-value segment of the industry, which we license or operate in approximately 285 locations worldwide, including more than 175 locations operated by licensees and approximately 110 Company-operated locations primarily located in North America, the majority of which are at or near major airports. Payless’ rental fees are often lower than those of larger, more established vehicle rental brands. The Payless business model allows us to extend the life-cycle of a portion of our rental fleet, as we “cascade” certain vehicles that exceed certain Avis and Budget age or mileage thresholds to be used by Payless.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2"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RESERVATIONS, MARKETING AND SALES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Reservations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customers can make vehicle rental reservations through our brand-specific websites and toll-free reservation centers, through our brand-specific mobile applications, online travel agencies, travel agents or through selected partners, including many major airlines, associations and retailers. Travel agents can access our reservation systems through all major global distribution systems, which provide information with respect to rental locations, vehicle availability and applicable rate structures.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Zipcar members can reserve vehicles through Zipcar’s reservation system, which is accessible online or on a mobile device, by the hour or day, at rates that include fuel, secondary insurance and other costs typically associated with vehicle ownership.</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Marketing and Sales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support our brands through a range of marketing channels and campaigns, including traditional media as well as digital media, including internet and email marketing, social media, streaming services, and mobile device applications. Our Avis brand campaign </w:t>
      </w:r>
      <w:r>
        <w:rPr>
          <w:rFonts w:ascii="Arial;sans-serif" w:hAnsi="Arial;sans-serif"/>
          <w:b w:val="false"/>
          <w:i/>
          <w:color w:val="000000"/>
          <w:sz w:val="20"/>
        </w:rPr>
        <w:t>Plan On Us</w:t>
      </w:r>
      <w:r>
        <w:rPr>
          <w:color w:val="000000"/>
        </w:rPr>
        <w:t xml:space="preserve"> </w:t>
      </w:r>
      <w:r>
        <w:rPr>
          <w:rFonts w:ascii="Arial;sans-serif" w:hAnsi="Arial;sans-serif"/>
          <w:b w:val="false"/>
          <w:color w:val="000000"/>
          <w:sz w:val="20"/>
        </w:rPr>
        <w:t xml:space="preserve">highlights the trust our customers have in us. We also market through sponsorships of major sports entities and charitable organizations. We utilize a customer relationship management system that enables us to deliver more targeted and relevant offers to customers across online and offline channels, including an expedited and contactless rental process and loyalty programs that reward frequent renters with free rental days and car class upgrades.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able to reach and merchandise cars and rentals to a diverse demographic of consumers through our strategic partnerships with airlines, associations and hotel companies, and we maintain strong links to the travel industry. In addition, we have developed relationships that provide brand exposure and access to new customers, including deals to provide vehicles to ride-hail drivers in cities across North America.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In 2024, approximately 51% of vehicle rental transactions originating from Avis locations were generated by travelers who rented from Avis under contracts between Avis and their employers or through membership in an organization with which Avis has a contractual affiliation. We offer </w:t>
      </w:r>
      <w:r>
        <w:rPr>
          <w:rFonts w:ascii="Arial;sans-serif" w:hAnsi="Arial;sans-serif"/>
          <w:b w:val="false"/>
          <w:i/>
          <w:color w:val="000000"/>
          <w:sz w:val="20"/>
        </w:rPr>
        <w:t>Avis Budget Group Business Intelligence</w:t>
      </w:r>
      <w:r>
        <w:rPr>
          <w:rFonts w:ascii="Arial;sans-serif" w:hAnsi="Arial;sans-serif"/>
          <w:b w:val="false"/>
          <w:color w:val="000000"/>
          <w:sz w:val="20"/>
        </w:rPr>
        <w:t>, an online portal complete with rental summary dashboards, visualizations and detailed reports that provides our corporate customers with insight into their program’s performance, giving them direct access to more data in a customer-facing portal offering useful data insights, including options to customize and schedule reports. Avis also maintains marketing relationships with other travel partners through which we are able to offer their customers incentives to rent from Avis.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Additionally, we offer </w:t>
      </w:r>
      <w:r>
        <w:rPr>
          <w:rFonts w:ascii="Arial;sans-serif" w:hAnsi="Arial;sans-serif"/>
          <w:b w:val="false"/>
          <w:i/>
          <w:color w:val="000000"/>
          <w:sz w:val="20"/>
        </w:rPr>
        <w:t>Unlimited Rewards</w:t>
      </w:r>
      <w:r>
        <w:rPr>
          <w:rFonts w:ascii="Arial;sans-serif" w:hAnsi="Arial;sans-serif"/>
          <w:b w:val="false"/>
          <w:color w:val="000000"/>
          <w:sz w:val="20"/>
        </w:rPr>
        <w:t>, our loyalty incentive program for travel agents, and Avis and Budget programs for small businesses that offer discounted rates, central billing options and rental credits to members.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Our Zipcar brand utilizes a diverse set of marketing and sales strategies to acquire and engage members, including digital marketing, email and in-app messaging, and social media engagement. Zipcar maintains close relationships with universities that provide access to campuses and various marketing channels to attract students who, upon graduation, may continue their relationship with us. Through our </w:t>
      </w:r>
      <w:r>
        <w:rPr>
          <w:rFonts w:ascii="Arial;sans-serif" w:hAnsi="Arial;sans-serif"/>
          <w:b w:val="false"/>
          <w:i/>
          <w:color w:val="000000"/>
          <w:sz w:val="20"/>
        </w:rPr>
        <w:t>Zipcar for Business</w:t>
      </w:r>
      <w:r>
        <w:rPr>
          <w:color w:val="000000"/>
        </w:rPr>
        <w:t xml:space="preserve"> </w:t>
      </w:r>
      <w:r>
        <w:rPr>
          <w:rFonts w:ascii="Arial;sans-serif" w:hAnsi="Arial;sans-serif"/>
          <w:b w:val="false"/>
          <w:color w:val="000000"/>
          <w:sz w:val="20"/>
        </w:rPr>
        <w:t xml:space="preserve">program, we also offer direct-bill accounts and employee benefit programs to companies and governments that support the use of Zipcar vehicles.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3"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LICENSING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licensees in approximately 175 countries throughout the world. Royalty fee revenues derived from our vehicle rental licensees in 2024 totaled $143 million, with $104 million in our International segment and $39 million in our Americas segment. Licensed locations are independently operated by our licensees and range from large operations at major airport locations and territories encompassing entire countries to relatively small operations in suburban or rural locations. Our licensees generally maintain separate independently owned and operated fleets. Royalties generated from licensing provide us with a source of high-margin revenue because there are relatively limited additional costs associated with fees paid by licensees to us. In some geographies we facilitate one-way vehicle rentals between Company-operated and licensed locations, which enables us to offer an integrated network of locations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generally enjoy good relationships with our licensees and meet regularly with them at regional, national and international meetings. Our relationships with our licensees are governed by license agreements that grant the licensee the right to operate independently operated vehicle rental businesses in certain territories. Our license agreements generally provide our licensees with the exclusive right to operate under one or more of our brands in their assigned territory. These agreements impose obligations on the licensee regarding its operations, and most agreements restrict the licensee’s ability to sell, transfer or assign its rights granted under the license agreement or to change the control of its ownership without our consent.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terms of our license agreements, including duration, royalty fees and termination provisions, vary based upon brand, territory, and original signing date. Royalty fees are generally structured to be a percentage of the licensee’s gross rental income. We maintain the right to monitor the operations of licensees and, when applicable, can declare a licensee to be in default under its license agreement. We perform audits as part of our program to assure licensee compliance with brand quality standards and contract provisions. Generally, we can terminate license agreements for certain defaults, including failure to pay royalties or to adhere to our operational standards. Upon termination of a license agreement, the licensee is prohibited from using our brand names and related marks in any business. In the United States, these license relationships constitute “franchises” under most federal and state laws regulating the offer and sale of franchises and the relationship of the parties to a franchise agreement.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optimize the Avis, Budget and Payless brands by issuing new license agreements and periodically acquiring licensees to grow our revenues and expand our global presence. Discussion of our acquisitions is included in Note 6 – Acquisitions to the Consolidated Financial Statements included in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OTHER REVENUES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to revenues derived from time and mileage fees from our vehicle rentals and licensee royalties, we generate revenues from our customers through the sale and/or rental of optional ancillary products and services. We offer products to customers that will enhance their rental experience,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collision and loss damage waivers, under which we agree to relieve a customer from financial responsibility arising from vehicle damage incurred during the rental;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additional/supplemental liability insurance or personal accident/effects insurance products which provide customers with additional protections for personal or third-party losses incurred;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products for driving convenience such as fuel service options, roadside assistance services, electronic toll collection services, access to satellite radio, mobile WiFi devices, GPS navigation and child safety seat rentals; and </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products that supplement truck rental including automobile towing equipment and other moving accessories, such as hand trucks, furniture pads and moving supplies.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receive payment from our customers for certain operating expenses that we incur, including vehicle licensing fees, as well as airport concession fees that we pay in exchange for the right to operate at airports and other locations. In addition, we collect membership fees in connection with our car sharing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4"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OUR FLEET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offer a wide variety of vehicles in our rental fleet, including luxury vehicles, electrified vehicles, specialty-use vehicles and light commercial vehicles. Our fleet consists primarily of vehicles from the current and immediately preceding model year. We maintain a single fleet of vehicles for Avis and Budget in countries where we operate both brands. A substantial majority of Zipcar’s fleet is dedicated to use by Zipcar.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Fleet Purchases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maintain a diverse rental fleet, in which no vehicle brand represented more than 19% of our 2024 fleet purchases, and we regularly adjust our fleet levels to be consistent with anticipated demand. We participate in a variety of vehicle purchase programs with major vehicle manufacturers. In 2024, we primarily purchased from the following vehicle brands: Toyota, Ford, Chevrolet, Kia, Volkswagen, Hyundai, Jeep, Dodge, Subaru, Honda, Volvo and Genesis.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Fleet costs represented approximately 21% of our aggregate expenses in 2024. Fleet costs can vary significantly from year to year based on the prices at which we are able to purchase and dispose of rental vehicles, the mix of risk and program vehicles, holding periods, and overall fleet mix.</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2024, approximately 10% of our average rental fleet was comprised of vehicles subject to agreements requiring automobile manufacturers to repurchase vehicles at a specified price during a specified time period or guarantee our rate of depreciation on the vehicles during a specified period of time; or vehicles subject to operating leases with a fixed lease period and interest rate. We refer to vehicles subject to these agreements as “program” vehicles and vehicles not subject to these agreements as “risk” vehicles because we retain the risk associated with such vehicles’ residual values at the time of their disposition. Our agreements with automobile manufacturers typically require that we pay more for program vehicles and maintain them in our fleet for a minimum number of months and impose certain return conditions, including vehicle condition and mileage requirements. When we return program vehicles to the manufacturer, we receive the price guaranteed at the time of purchase and are therefore protected from fluctuations in the price of previously-owned vehicles in the wholesale market. In 2024, approximately 30% of the vehicles we disposed of were program vehicles sold pursuant to repurchase or guaranteed depreciation programs. Over the past several years, program vehicles have comprised of a decreasing proportion of our fleet. The approximate percentage of program vehicles in our average rental fleet within each of our reportable segments in 2024 was 46% for International and less than 1% for the Americas. The future percentages of program and risk vehicles in our fleet will depend on several factors, including our expectations for future used vehicle prices, our seasonal needs and the availability and attractiveness of manufacturers’ repurchase and guaranteed depreciation programs.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Fleet Dispositions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dispose of our risk vehicles largely through alternative disposition channels, including direct-to-consumer, online auctions, and direct-to-dealer sales, as well as through more traditional automobile auctions. Alternative disposition channels provide the opportunity to increase speed to sale and vehicle sales prices and also to reduce relevant fleet costs when compared to selling vehicles at auctions. We sell vehicles direct to consumers through our retail locations and through RubyCar, our online retail sales platform, which offers customers the ability to purchase well-maintained, late-model rental vehicles from our fleet. We dispose of our program vehicles in accordance with repurchase or guaranteed depreciation programs with major vehicle manufacturers.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Fleet Utilization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2024, our average quarterly vehicle rental fleet size ranged from a low of approximately 667,000 vehicles in the first quarter to a high of approximately 736,000 vehicles in the third quarter. Average quarterly fleet utilization for 2024, which is based on the number of rental days (or portion thereof) that vehicles are rented compared to the total amount of time that vehicles are available for rent, ranged from approximately 66% to 72%. Our average car rental fleet size and utilization are typically highest in the summer months. Our calculation of utilization may not be comparable to other companies’ calculation of similarly titled metrics.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5"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Fleet Maintenance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place a strong emphasis on the quality of our vehicle maintenance for customer safety and customer satisfaction reasons, and because quick and proper repairs are critical to fleet utilization. To accomplish this task, we have developed and continue to evolve specialized training programs for our technicians. Our Supply Chain Department reviews, distributes, and makes accessible original equipment manufacturer (“OEM”) technical service bulletins that can be retrieved electronically at our repair locations. In addition, we have implemented policies and procedures to promptly address manufacturer recalls as part of our ongoing maintenance and repair efforts to maximize the customer experience.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CUSTOMER SERVICE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Our commitment to delivering a consistently high level of customer service across all of our brands is a critical element of our success and business strategy. Our </w:t>
      </w:r>
      <w:r>
        <w:rPr>
          <w:rFonts w:ascii="Arial;sans-serif" w:hAnsi="Arial;sans-serif"/>
          <w:b w:val="false"/>
          <w:i/>
          <w:color w:val="000000"/>
          <w:sz w:val="20"/>
        </w:rPr>
        <w:t>Customer Led, Service Driven</w:t>
      </w:r>
      <w:r>
        <w:rPr>
          <w:color w:val="000000"/>
        </w:rPr>
        <w:t xml:space="preserve"> </w:t>
      </w:r>
      <w:r>
        <w:rPr>
          <w:rFonts w:ascii="Arial;sans-serif" w:hAnsi="Arial;sans-serif"/>
          <w:b w:val="false"/>
          <w:color w:val="000000"/>
          <w:sz w:val="20"/>
        </w:rPr>
        <w:t>program focuses on continually improving the overall customer experience based on our research of customer service practices, improved customer insights, executing our customer relationship management strategy, delivering customer-centric employee training and leveraging our mobile applications technology and the enriched experience it provides our customers. In addition, our social media platform allows us to engage with our customers in their preferred channel, which enables us to meet the needs of our customers while promoting our brands to gain more market share and drive customer loyalty.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employees at our Company-operated locations are trained and empowered to resolve many customer issues at the location level. We also continuously track customer-satisfaction levels by sending location-specific surveys to recent customers and utilize detailed reports and tracking to assess and identify ways that we can improve our customer service delivery and the overall customer experience. Our location-specific surveys ask customers to evaluate their overall satisfaction with their rental experience and the likelihood that they will recommend our brands, as well as key elements of the rental experience. Results are analyzed in aggregate and by location to help further enhance our service levels to our customers.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offer rental options that provide greater control, self-service and contactless capabilities. While our mobile applications provide a fast customer experience, a company representative is available to meet customers’ needs. Our survey platform includes specific questions to learn more about individual preferences and find innovative ways to better serve and anticipate our customers’ needs.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AIRPORT CONCESSION AGREEMENTS</w:t>
      </w:r>
    </w:p>
    <w:p>
      <w:pPr>
        <w:pStyle w:val="TextBody"/>
        <w:bidi w:val="0"/>
        <w:spacing w:before="0" w:after="0"/>
        <w:jc w:val="both"/>
        <w:rPr/>
      </w:pPr>
      <w:r>
        <w:rPr/>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We generally operate our vehicle rental and car sharing services at airports under concession agreements with airport authorities, pursuant to which we typically make airport concession payments and/or lease payments. In general, concession fees for on-airport locations are based on a percentage of total commissionable revenues (as defined by each airport authority), often subject to minimum annual guaranteed amounts. Concessions are typically awarded by airport authorities every three to ten years based upon competitive bids. Our concession agreements with the various airport authorities generally impose certain minimum operating requirements, provide for relocation in the event of future construction and in some cases provide for abatement of the minimum annual guarantee in the event of extended low passenger volume.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6"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3779" w:type="dxa"/>
        <w:jc w:val="left"/>
        <w:tblInd w:w="0" w:type="dxa"/>
        <w:tblLayout w:type="fixed"/>
        <w:tblCellMar>
          <w:top w:w="28" w:type="dxa"/>
          <w:left w:w="28" w:type="dxa"/>
          <w:bottom w:w="28" w:type="dxa"/>
          <w:right w:w="28" w:type="dxa"/>
        </w:tblCellMar>
      </w:tblPr>
      <w:tblGrid>
        <w:gridCol w:w="1210"/>
        <w:gridCol w:w="1064"/>
        <w:gridCol w:w="1505"/>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op w:val="single" w:sz="8" w:space="0" w:color="000000"/>
              <w:left w:val="single" w:sz="8" w:space="0" w:color="000000"/>
              <w:bottom w:val="single" w:sz="8" w:space="0" w:color="000000"/>
              <w:right w:val="single" w:sz="8" w:space="0" w:color="000000"/>
            </w:tcBorders>
            <w:shd w:fill="B6DDE8"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OTHER BUSINESS CONSIDERATIONS </w:t>
            </w:r>
          </w:p>
        </w:tc>
      </w:tr>
    </w:tbl>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SEASONALITY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operations are also seasonal, with the third quarter of the year historically having been our strongest due to the increased level of leisure travel during the quarter. We have a partially variable cost structure and routinely adjust the size, and therefore the cost, of our rental fleet in response to fluctuations in demand.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chart presents our quarterly revenues for the years ended December 31, 2022, 2023 and 2024.</w:t>
      </w:r>
    </w:p>
    <w:p>
      <w:pPr>
        <w:pStyle w:val="TextBody"/>
        <w:bidi w:val="0"/>
        <w:spacing w:before="0" w:after="0"/>
        <w:jc w:val="center"/>
        <w:rPr/>
      </w:pPr>
      <w:r>
        <w:rPr/>
        <w:drawing>
          <wp:inline distT="0" distB="0" distL="0" distR="0">
            <wp:extent cx="6343650" cy="2533650"/>
            <wp:effectExtent l="0" t="0" r="0" b="0"/>
            <wp:docPr id="2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4" descr=""/>
                    <pic:cNvPicPr>
                      <a:picLocks noChangeAspect="1" noChangeArrowheads="1"/>
                    </pic:cNvPicPr>
                  </pic:nvPicPr>
                  <pic:blipFill>
                    <a:blip r:embed="rId15"/>
                    <a:stretch>
                      <a:fillRect/>
                    </a:stretch>
                  </pic:blipFill>
                  <pic:spPr bwMode="auto">
                    <a:xfrm>
                      <a:off x="0" y="0"/>
                      <a:ext cx="6343650" cy="2533650"/>
                    </a:xfrm>
                    <a:prstGeom prst="rect">
                      <a:avLst/>
                    </a:prstGeom>
                  </pic:spPr>
                </pic:pic>
              </a:graphicData>
            </a:graphic>
          </wp:inline>
        </w:drawing>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COMPETITION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competitive environment for our industry is generally characterized by intense price and service competition among global, local and regional competitors. Competition in our vehicle rental operations is based primarily upon price; customer service quality, including usability of booking systems and ease of rental and return; vehicle availability; vehicle condition, age and mileage; rental locations; product innovation and national or international distribution. In addition, competition is also influenced strongly by advertising, marketing, loyalty programs and brand reputation. We believe the prominence and service reputation of our brands, extensive worldwide ownership of mobility solutions and commitment to innovation provides us with a competitive advantage.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use of technology has increased pricing transparency among vehicle rental companies and other mobility solutions providers enabling cost-conscious customers to more easily compare on the Internet and their mobile devices the rates available for the mobility solutions that fit their needs. This transparency has further increased the prevalence and intensity of price competition in the industry.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vehicle rental operations compete primarily with Enterprise Holdings, Inc., which operates the Enterprise, National and Alamo car rental brands; Hertz Global Holdings, Inc., which operates the Hertz, Dollar and Thrifty brands; Europcar Mobility Group, which operates the Europcar, Goldcar, InterRent, Buchbinder, Fox Rent A Car and Ubeeqo brands; and Sixt SE. We also compete with smaller local and regional vehicle rental companies for vehicle rental market share, and with ride-hailing companies largely for short length trips in urban areas. Our Zipcar brand also competes with various local and regional mobility companies, including mobility services sponsored by several auto manufacturers, ride-hailing and car sharing companies and other technology players in the mobility industry. Our Budget Truck operations in the United States competes with several other local, regional and nationwide truck rental companies including U-Haul International, Inc., Penske Truck Leasing Corporation, Ryder System, Inc., Enterprise Truck Rental, and Hertz Global Holdings, Inc.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INSURANCE AND RISK MANAGEMENT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vehicle rental and corporate operations expose us to various types of claims for bodily injury, death and property damage related to the use of our vehicles and/or properties, as well as general employment-related matters stemming from our operations. In addition, we currently purchase insurance coverage to limit our exposure to legal fees and expenses resulting from cybersecurity breaches. We generally retain economic exposure for liability to third parties arising from vehicle rental and car sharing services in the United States, Canada and Puerto Rico in accordance with the minimum financial responsibility requirements (“MFRs”) and primacy of coverage laws of the relevant jurisdiction. In certain cases, we assume liability above applicable MFRs, up to $5 million per occurrence, other than in cases involving a negligent act on the part of the Company, for which we purchase insurance coverage for exposures beyond retained amounts from a combination of unaffiliated excess insurers.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Europe, we insure the risk of liability to third parties arising from vehicle rental and car sharing services in accordance with local regulatory requirements primarily through insurance policies provided by unaffiliated insurers. We retain a portion of the insured risk of liability through local deductibles, and by reinsuring certain risks through our captive insurance subsidiary AEGIS Motor Insurance Limited. AEGIS Motor Insurance Limited reinsures certain risks through unaffiliated companies, which limits its liabilities. In Australasia, motor vehicle bodily injury insurance coverage is compulsory and provided upon vehicle registration. In addition, we provide our customers with third-party property damage insurance through an unaffiliated third-party insurer. We retain a share of property damage risk through local deductibles.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offer our United States customers a range of optional insurance products and coverages such as supplemental liability insurance, personal accident insurance, personal effects protection, emergency sickness protection, automobile towing protection and cargo insurance, which create additional risk exposure for us. When a customer elects to purchase supplemental liability insurance or other optional insurance related products, we typically retain economic exposure to loss, since the insurance is provided by an unaffiliated insurer that is reinsuring its exposure through our captive insurance subsidiary, Constellation Reinsurance Company Limited. Additional personal accident insurance offered to our customers in Europe is provided by a third-party insurer, and primarily reinsured by our Avis Budget Europe International Reinsurance Limited subsidiary. We otherwise bear these and other risks, except to the extent that the risks are transferred through insurance or contractual arrangements.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OUR INTELLECTUAL PROPERTY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rely primarily on a combination of trademark, trade secret and copyright laws, as well as contractual provisions with employees and third parties, to establish and protect our intellectual property rights. The service marks “Avis,” “Budget,” and “Zipcar” and related marks or designs incorporating such terms and related logos and marks such as “Plan On Us,” “We Try Harder” and “Own The Trip, Not The Car,” “Preferred,” and “Fastbreak” are material to our vehicle rental and car sharing businesses. Our subsidiaries and licensees actively use these marks. All of the material marks used by Avis, Budget and Zipcar are registered (or have applications pending for registration) with the U.S. Patent and Trademark Office as well as in foreign jurisdictions. Our subsidiaries own the marks and other intellectual property, including the Wizard system, used in our business. We also own trademarks and logos related to the “Apex Car Rentals” brand in Australia and New Zealand, the “Payless Car Rental” brand in the United States and several other countries, the “Maggiore” and “Morini Rent” brands in Italy, the “FranceCars” brand in France and the “Turiscar” brand in Portugal. Our subsidiaries have also filed patent applications pertaining to fleet and connected car technology in the United States and other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ENVIRONMENTAL, SOCIAL &amp; GOVERNANCE (“ESG”)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recognize our role as one of the world’s leading mobility solutions providers. As a result, we are focused on supporting the transition to a low-carbon economy and employ practices designed to promote a more fair, just and equal workplace and community.</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 xml:space="preserve">The Environment: </w:t>
      </w:r>
      <w:r>
        <w:rPr>
          <w:rFonts w:ascii="Arial;sans-serif" w:hAnsi="Arial;sans-serif"/>
          <w:b w:val="false"/>
          <w:color w:val="000000"/>
          <w:sz w:val="20"/>
        </w:rPr>
        <w:t>We are committed to offering safe and low-carbon transportation solutions: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Greenhouse Gas Emissions: As our corporate and leisure customers become increasingly aware and concerned about pollution and congestion caused by vehicles, we aim to provide more sustainable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29"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transportation solutions by leveraging connected vehicle technology and introducing more fuel efficient, low emission, and electric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Sustainable Operations Improvements: We are driving the efficiencies needed to reduce our environmental impact and enhance the sustainability of our operations. These are mainly driven by improvements in vehicle preventive maintenance, the incorporation of green building practices and by complying with environmental regulations.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Carbon Offset Program: We work closely with our corporate customers to help them achieve their environmental impact reduction targets through our carbon offset program.</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More Sustainable Fleet: We are actively anticipating and driving changes in mobility. Connected vehicles are likely to become a common feature worldwide, along with an increased use of electric and shared vehicles, which is why we are building on our core experience, data intelligence and technology to develop entirely new lines of business and extend our offering and capabilities for our customers, businesses and cities. Our efforts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Car Sharing: Zipcar continually improves its car sharing technology, which includes its mobile member app, in-vehicle telematics hardware and reservation, fleet management and community management systems. Zipcar’s technology platform is key to providing a successful self-service experience for its members and effectively managing a distributed fleet of vehicles and associated parking locations.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Connected Vehicles: Connected vehicles support our ability to reduce emissions through a steadfast focus on fleet maintenance and optimization.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Fleet Efficiency: We offer our customers the opportunity to choose from a wide variety of vehicles, including fuel-efficient, hybrid, or electric vehicles at almost all of our locations. Our fleet consists primarily of vehicles from the current and immediately preceding model year - this ensures the highest possible standards of air emissions control.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Social: </w:t>
      </w:r>
      <w:r>
        <w:rPr>
          <w:rFonts w:ascii="Arial;sans-serif" w:hAnsi="Arial;sans-serif"/>
          <w:b w:val="false"/>
          <w:color w:val="000000"/>
          <w:sz w:val="20"/>
        </w:rPr>
        <w:t>We believe that our success has its foundation in how we treat our employees. We seek to foster an environment where communication among our employees is open, honest, and respectful; performance is recognized; growth is encouraged; and accomplishments—individual and collective—are celebrated. We also seek to support the well-being and development of the people we employ and the communities in which they work. Our efforts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Giving Back: We are a global company with local reach in numerous communities around the world. Whether we work individually or as a team, doing the right thing and supporting our communities helps employees feel their work is more than just a job, and makes them feel proud to be part of the Avis Budget Group family. As well as encouraging our employees to volunteer in their local communities, we are committed to supporting a variety of causes and charities that aid people in crisis situations.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Supporting Community Resilience: We have developed strong competencies in responding to business disruptions. Whether the disruption is man-made, an extreme weather event or a global health crisis, our business continuity programs are central to how we respond in times of crisis. Our program’s focus is on preparing and protecting our people, property and infrastructure. We utilize an “all hands on deck” approach within our incident management and command structure to ensure that we respond as rapidly and effectively as possible. We have also developed longstanding partnerships with leading national disaster response agencies, which strengthen our ability to provide support to affected customers, employees and communities.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Governance: </w:t>
      </w:r>
      <w:r>
        <w:rPr>
          <w:rFonts w:ascii="Arial;sans-serif" w:hAnsi="Arial;sans-serif"/>
          <w:b w:val="false"/>
          <w:color w:val="000000"/>
          <w:sz w:val="20"/>
        </w:rPr>
        <w:t>Our Board of Directors monitors the effectiveness of our policy and decision making, including with respect to ESG, on the current and long-term value of our company.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most recent Corporate Governance documents are available on the Company’s website. The information contained on the Company’s website is not included in, or incorporated by reference into,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0"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OUR HUMAN CAPITAL RESOURCES AND MANAGEMENT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human capital objectives include identifying, recruiting, retaining, incentivizing and integrating our existing and future or prospective employees. Our compensation program is designed to attract, retain and motivate highly qualified employees and executives.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Employees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of December 31, 2024, we employed approximately 24,000 people worldwide, of whom approximately 7,000 were employed on a part-time basis. Of our approximately 24,000 employees, approximately 8,000 were employed in our International segment. In our Americas segment, the majority of our employees are at-will employees and, therefore, not subject to any type of employment contract or agreement. In our International segment, we enter into employment contracts and agreements in those countries in which such relationships are mandatory or customary. The provisions of these agreements correspond in each case with the required or customary terms in the subject jurisdiction. Many of our employees are covered by a variety of union contracts and governmental regulations affecting, among other things, compensation, job retention rights and pensions.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strive to maintain satisfactory relationships with all of our employees, including the unions and work councils representing these employees. As of December 31, 2024, approximately 29% of our employees were covered by collective bargaining or similar agreements with various labor unions. We believe our employee relations are satisfactory. We have never experienced a large-scale work stoppage.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 xml:space="preserve">Employee Benefits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Supporting our employees with the right benefits is one of the most important things we do. We understand benefits are a key element to a total reward package, so ensuring we provide meaningful benefit programs and resources across the globe is an integral part of how we reward employees, including with respect to healthcare and retirement. As a global company, benefits will vary by country to reflect local practices and cultures, but our commitment to providing comprehensive and meaningful benefits and resources is consistent across the world. We continuously review and, when necessary, update our programs to ensure they remain flexible, competitive, and aligned to what is important for our employees and their families.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Global Gender Pay Equity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 ensure we are compensating both men and women employees fairly and equitably, we utilize a global Center of Excellence total rewards function which standardizes and harmonizes our rewards programs across all countries. As a result, we have established pay programs that provide for equal incentive pay opportunity for all employees in same or similar positions across the globe. Additionally, we utilize global guidelines and standards to inform compensation decisions for all new hires and promotions. To monitor our performance for our management employees, we evaluate base salary placement relative to our internal salary ranges for men and women. For our hourly field workforce (non-management employees), we maintain pay equity through our standardized compensation practices in which all employees begin at the same start rate, based on their location and position, and annual pay increases are applied consistently to all employees based on tenure.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Health and Safety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health and safety of our employees is our highest priority because our people are our most valuable asset. Consistent with our operating philosophy, we are committed to safety and our core belief is that health and safety is every employee’s responsibility, not only for our employees but for our customers, vendors, and all stakeholders.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Well-being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take a holistic approach to well-being. We understand that to deliver our best performance, our employees need to be healthy and happy in all areas of their lives. Our well-being program focuses on helping our people achieve all aspects of wellness through encouraging habits that promote physical, emotional and financial well-being.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1"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REGULATION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a wide variety of laws and regulations in the countries in which we operate, including those relating to, among others, consumer protection, insurance products and rates, franchising and distribution, customer privacy and data protection, securities and public disclosure, competition and antitrust, environmental matters, taxes, automobile-related liability, corruption and anti-bribery, labor and employment matters, health and safety, claims management, automotive retail sales, currency-exchange and other various banking and financial industry regulations, cost and fee recovery, the protection of our trademarks and other intellectual property, ESG matters and local ownership or investment requirements. Additional information about the regulations that we are subject to can be found in Part I, Item 1A, “Risk Factors” in this Annual Report on Form 10-K.</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AVAILABLE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principal executive office is located at 379 Interpace Parkway, Parsippany, New Jersey 07054 (our telephone number is 973-496-4700). The Company files electronically with the Securities and Exchange Commission (the “SEC”) required reports on Form 8-K, Form 10-Q and Form 10-K; proxy materials; registration statements and other forms or reports as required. Certain of the Company’s officers, directors and stockholders also file statements of beneficial ownership and of changes in beneficial ownership on Forms 3, 4 and 5 with the SEC. Such materials may be accessed electronically on the SEC’s Internet site (sec.gov). The Company maintains a website (avisbudgetgroup.com) and copies of our annual report on Form 10-K, quarterly reports on Form 10-Q, current reports on Form 8-K, Section 16 reports, proxy materials and any amendments to these reports filed or furnished with the SEC are available free of charge in the Investor Relations section of our website (ir.avisbudgetgroup.com), as soon as reasonably practicable after filing with the SEC. Copies of our board committee charters, Codes of Conduct and Ethics, Corporate Governance Guidelines and other corporate governance information are also available on our website. If the Company should decide to amend any of its board committee charters, Codes of Conduct and Ethics or other corporate governance documents, copies of such amendments will be made available to the public through the Company’s website. The information contained on the Company’s website is not included in, or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2"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2580" w:type="dxa"/>
        <w:jc w:val="left"/>
        <w:tblInd w:w="0" w:type="dxa"/>
        <w:tblLayout w:type="fixed"/>
        <w:tblCellMar>
          <w:top w:w="28" w:type="dxa"/>
          <w:left w:w="28" w:type="dxa"/>
          <w:bottom w:w="28" w:type="dxa"/>
          <w:right w:w="28" w:type="dxa"/>
        </w:tblCellMar>
      </w:tblPr>
      <w:tblGrid>
        <w:gridCol w:w="826"/>
        <w:gridCol w:w="725"/>
        <w:gridCol w:w="1029"/>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1A. RISK FACTORS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The following is a discussion of the risks, uncertainties and assumptions that we believe are material to our business and should be considered carefully in conjunction with all of the other information set forth in this Annual Report on Form 10-K. Although the risks are organized by headings, and each risk is discussed separately, many are interrelated. In addition to the factors discussed elsewhere in this Annual Report on Form 10-K, the factors described in this item could, individually or in the aggregate, cause our actual results to differ materially from those described in any forward-looking statements. Should unknown risks or uncertainties materialize or underlying assumptions prove inaccurate, actual results could materially differ from past results and/or those anticipated, estimated or projected.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u w:val="single"/>
        </w:rPr>
      </w:pPr>
      <w:r>
        <w:rPr>
          <w:rFonts w:ascii="Arial;sans-serif" w:hAnsi="Arial;sans-serif"/>
          <w:b/>
          <w:color w:val="000000"/>
          <w:sz w:val="20"/>
          <w:u w:val="single"/>
        </w:rPr>
        <w:t>RISKS RELATED TO OUR INDUSTRY AND THE BROADER ECONOMY</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the high level of competition in the mobility industry.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mobility industry is highly competitive, with price being one of the primary factors. To the extent that our competitors reduce their pricing and we do not provide competitive pricing, or if price increases we implement make us less competitive, we risk losing rental volume, and reducing the chances of success for bids for customer accounts. If competitive pressures lead us to lose rental volume or match any downward pricing and we are unable to reduce our operating costs, then our financial condition or results of operations could be materially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pricing in the vehicle rental industry is impacted by the size and age of rental fleets and the supply of vehicles available for rent. Any significant fluctuations in the supply of rental vehicles, including as a result of actions taken by our competitors that increases fleet significantly above market demand, could negatively affect our pricing, operating plans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competitive environment for our mobility services has become more intense as additional companies, including automobile manufacturers, ride-hailing companies, car sharing companies and other technology players in the mobility industry enter our existing markets or expand their operations, which may affect demand for rental vehicles. Some of these companies may have access to substantial capital, innovative technologies or have the ability to provide services at a relatively low cost. To the extent these companies can improve transportation efficiency, alter driving patterns or attitudes toward vehicle rental, offer more competitive prices, undertake more aggressive marketing campaigns, price their competing services below market or otherwise disrupt the mobility industry, we risk heightened pricing competition and/or loss of rental volume, which could adversely impact our business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risk of competition on the basis of pricing in the truck rental industry can be even more impactful than in the car rental industry as it can be more difficult to reduce the size of our truck rental fleet in response to significantly reduced demand.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fleet costs and availability.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Fleet costs typically represent our single largest expense and can vary from year to year based on the prices that we are able to purchase and dispose of our vehicles. We purchase program vehicles, which are guaranteed a rate of depreciation through agreements with auto manufacturers, and non-program, or risk vehicles. In 2024, on average approximately 90% of our rental fleet was comprised of risk vehicles.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costs of our risk vehicles are impacted (sometimes negatively) by the relative strength of the used car market, particularly the market for one- to two-year old used vehicles, or potentially by the insolvency or bankruptcy of an auto manufacturer from whom we purchase vehicles. We currently sell risk vehicles through various sales channels in the used vehicle marketplace, including traditional auctions, and alternative disposition channels, including online auctions, direct-to-dealer sales and directly to consumers through either retail lots or online. These channels may not produce stable vehicle prices in the future, as the market for used vehicles is subject to changes in demand for such vehicles, consumer interests, inventory levels, new car pricing, interest rates, fuel costs, tariffs and general economic conditions. A reduction in residual values for risk vehicles in our rental fleet could cause us to sustain a substantial loss on the sale of such vehicles or require us to depreciate those vehicles at a more accelerated rate than previously anticipated while we own them.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3"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If the market value of the vehicles in our fleet is reduced or our ability to sell vehicles in the used vehicle marketplace were to become severely limited, each of which has occurred in the past and may occur in the future, we may have difficulty meeting collateral requirements under our asset-backed financing facilities, which could lead to decreased capacity in such facilities and effectively increase our fleet costs or adversely impact our profitability. In addition, if we are unable to meet our collateral requirements under such facilities, the outstanding principal amount due may be required to be repaid earlier than anticipated. If that were to occur, the holders of our asset-backed debt may have the ability to exercise their right to instruct the trustee to direct the return of program vehicles and/or the sale of risk vehicles to generate proceeds sufficient to repay such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Program vehicles enable us to determine our depreciation expense in advance of purchase. Our program vehicles also generally provide us with flexibility to reduce the size of our fleet rapidly. This flexibility is negatively affected as the percentage of program vehicles in our fleet is reduced as has been the trend over the last several years, or if the features of the programs provided by auto manufacturers are less favorable. Our inability to reduce the size of our fleet in response to seasonal demand fluctuations, economic constraints or other changes in demand could have an adverse impact on our fleet costs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Failure by a manufacturer to fulfill its obligations under any program agreement or incentive payment obligation, due to insolvency, bankruptcy or other reasons, could leave us with a material expense if we are unable to dispose of program vehicles at prices estimated at the time of purchase or with a substantial unpaid claim against the manufacturer, particularly with respect to program vehicles that were either (i) resold for an amount less than the amount guaranteed under the applicable program; or (ii) returned to the manufacturer, but for which we were not paid, and therefore we could incur a substantial loss as a result of such failure to perform.</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While we source our fleet purchases from a wide range of auto manufacturers, we are exposed to risk to the extent that any auto manufacturer significantly curtails production. Such production may be curtailed as a result of a wide range of factors, including impacts of a pandemic and supply chain impacts, including as a result of tariffs and shortages of parts, which have impacted certain manufacturers in the past.</w:t>
      </w:r>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also exposed to risk to the extent that any auto manufacturer increases the cost of vehicles, including as a result of inflation, tariffs, labor shortages or disruptions, or supply chain disruptions, or declines to sell vehicles to us on terms or at prices consistent with past practice. Should any of these risks occur, we may be unable to obtain a sufficient number of vehicles to operate our business without significantly increasing our fleet costs or the mileage of the vehicles in our fleet, or reducing our volumes.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safety recalls affecting our vehicles.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vehicles may be subject to safety recalls by their manufacturers, which could have an adverse impact on our business when we remove recalled vehicles from our rentable fleet. We can neither control nor predict the number of vehicles that will be subject to manufacturer recalls in the future. Recalls often require us to retrieve vehicles from customers and/or hold vehicles from rental or sale until we can arrange for the repairs described in the recalls to be completed. As such, recalls can increase our costs, negatively impact our revenues and/or reduce our fleet utilization. If a large number of vehicles were to be the subject of one or more recalls, or if needed replacement parts were not in adequate supply, we may be unable to utilize recalled vehicles for a significant period of time. We may also be subject to material liability claims or regulatory action related to vehicles subject to a safety recall. Depending on the nature and severity of the recall, it could create customer service problems, reduce the residual value of the vehicles involved, harm our reputation and/or have an adverse impact on our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Weakness or fluctuations in travel demand or general economic conditions, or a significant increase in fuel costs, can adversely impact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Demand for vehicle rentals is generally subject to and impacted by international, national and local economic conditions and travel demand, which can be impacted by many factors, including inflation. When travel demand or economic conditions in the United States, Europe and/or worldwide weaken, our financial condition and results of operations are often adversely impacted.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4"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 xml:space="preserve">Any significant airline capacity reductions, airfare or related fee increases, reduced flight schedules, or any events that disrupt or reduce business or leisure air travel or weaken travel demand and tourism, globally or in the key areas in which we operate, such as work stoppages, military conflicts, terrorist incidents, natural disasters, disease epidemics, or the response of governments to any such events, could have an adverse impact on our results of operations. For example, events of a global nature such as the COVID-19 pandemic have had, and may in the future have, material impacts on the Company.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 addition, any significant increases in fuel prices, a severe protracted disruption in fuel supplies or rationing of fuel, or severe inflation that disrupts consumers’ discretionary spending patterns could discourage our customers from renting vehicles or reduce or disrupt air travel, which could also adversely impact our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truck rental business can be impacted by the housing market. If conditions in the housing market were to weaken, we may see a reduction in truck rental transactions, which could have an adverse impact on our business. Our truck rental business can also be impacted by changes in the light commercial business sector. If the light commercial business develops their own package delivery service with a fleet of trucks and vans to use for their business, or other large competitors enter the package delivery service industry, in particular around the holiday season, we may see a reduction in truck rental transactions, which could have an adverse impact on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political, economic and commercial instability or uncertainty in the countries in which we operate.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global operations expose us to risks related to international, national and local economic and political conditions and instability. Operating our business in a number of different regions and countries exposes us to a number of other risks,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multiple and potentially conflicting laws, regulations, trade policies and agreements, and varying tax regimes that are subject to change;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imposition of currency restrictions, restrictions on repatriation of earnings or other restraints, as well as difficulties in obtaining financing in foreign countries for local operations;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potential changes to import-export laws, trade treaties or tariffs in the countries where we purchase vehicles;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international trade disruptions or disputes;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local ownership or investment requirements, or compliance with local laws, regulations or business practices;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uncertainty and changes to </w:t>
      </w:r>
      <w:r>
        <w:rPr>
          <w:rFonts w:ascii="Arial;sans-serif" w:hAnsi="Arial;sans-serif"/>
          <w:b w:val="false"/>
          <w:color w:val="333333"/>
          <w:sz w:val="20"/>
        </w:rPr>
        <w:t>political and regulatory regimes as a result of changing social, political, regulatory and economic environments in the United States and internationally;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national and international conflict, including terrorist acts;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political and economic instability or civil unrest that may severely disrupt economic activity in affected countries.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Exposure to these risks may adversely impact our financial condition or results of operations. Our licensees’ vehicle rental operations may also be impacted by these risks, which in turn could impact the amount of royalty payments they make to us.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5"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Ongoing military conflicts, including in Eastern Europe, are causing uncertainty that may have an adverse impact on our business, financial condition and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world economy and markets are experiencing volatility and disruption from ongoing military conflicts, including in Eastern Europe, the length and impact of which are highly unpredictable. These conflicts have led to, and could in the future lead to, significant volatility in our costs, including fuel and fleet costs, including as a result of sanctions or any embargoes on oil sales imposed on or by the Russian government; impacts to fleet availability; and impacts on demand for travel as a result of weakness in economic conditions, increased inflation or increases in the cost of fuel as well as other factors. In addition, as a result of the conflict in Eastern Europe, governmental and non-governmental entities have issued alerts noting the potential for increased cyber-attacks. Such risks and disruptions could adversely impact our business, results of operations and financial condition.</w:t>
      </w:r>
    </w:p>
    <w:p>
      <w:pPr>
        <w:pStyle w:val="TextBody"/>
        <w:bidi w:val="0"/>
        <w:spacing w:before="0" w:after="0"/>
        <w:jc w:val="both"/>
        <w:rPr/>
      </w:pPr>
      <w:r>
        <w:rPr/>
      </w:r>
    </w:p>
    <w:p>
      <w:pPr>
        <w:pStyle w:val="TextBody"/>
        <w:bidi w:val="0"/>
        <w:spacing w:lineRule="auto" w:line="247" w:before="0" w:after="0"/>
        <w:jc w:val="left"/>
        <w:rPr>
          <w:rFonts w:ascii="Arial;sans-serif" w:hAnsi="Arial;sans-serif"/>
          <w:b/>
          <w:color w:val="000000"/>
          <w:sz w:val="20"/>
          <w:u w:val="single"/>
        </w:rPr>
      </w:pPr>
      <w:r>
        <w:rPr>
          <w:rFonts w:ascii="Arial;sans-serif" w:hAnsi="Arial;sans-serif"/>
          <w:b/>
          <w:color w:val="000000"/>
          <w:sz w:val="20"/>
          <w:u w:val="single"/>
        </w:rPr>
        <w:t>RISKS RELATED TO THE NATURE OF OUR BUSINESS</w:t>
      </w:r>
    </w:p>
    <w:p>
      <w:pPr>
        <w:pStyle w:val="TextBody"/>
        <w:bidi w:val="0"/>
        <w:spacing w:before="0" w:after="0"/>
        <w:jc w:val="left"/>
        <w:rPr/>
      </w:pPr>
      <w:r>
        <w:rPr/>
      </w:r>
    </w:p>
    <w:p>
      <w:pPr>
        <w:pStyle w:val="TextBody"/>
        <w:bidi w:val="0"/>
        <w:spacing w:lineRule="auto" w:line="247" w:before="0" w:after="0"/>
        <w:jc w:val="left"/>
        <w:rPr>
          <w:rFonts w:ascii="Arial;sans-serif" w:hAnsi="Arial;sans-serif"/>
          <w:b/>
          <w:i/>
          <w:color w:val="000000"/>
          <w:sz w:val="20"/>
        </w:rPr>
      </w:pPr>
      <w:r>
        <w:rPr>
          <w:rFonts w:ascii="Arial;sans-serif" w:hAnsi="Arial;sans-serif"/>
          <w:b/>
          <w:i/>
          <w:color w:val="000000"/>
          <w:sz w:val="20"/>
        </w:rPr>
        <w:t>Damage to our reputation or brands may negatively impact our business.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reputation and global brands are integral to the success of our business. Maintenance of our Company’s reputation and brands depends on many factors, including the quality of our products and services and the trust we maintain with our customers. Negative claims or publicity regarding our Company or our operations, offerings, practices, among many other things, may damage our brands or reputation, even if such claims are untrue. Damage to our reputation or brands could adversely impact our revenue and profitability.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third-party distribution channels that we rely upon.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rely upon third-party distribution channels to generate a significant portion of our vehicle rental reservations, including: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traditional and online travel agencies, airlines and hotel companies, marketing partners such as credit card companies and membership organizations and other entities that help us attract customers; and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global distribution systems (“GDS”) that connect travel agents, travel service providers and corporations to our reservation systems.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Changes in our pricing agreements, commission schedules or arrangements with third-party distribution channels, the termination of any of our relationships or a reduction in the transaction volume of such channels, or a GDS’s inability to process and communicate reservations to us could have an adverse impact on our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our property leases and vehicle rental concessions.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property leases or vehicle rental concessions at locations throughout the world, including at most airports where we operate and at train stations throughout Europe, where vehicle rental companies are frequently required to bid periodically for space at these locations. If we were to lose a property lease or vehicle rental concession, particularly at an airport or a train station in a major metropolitan area, there can be no assurance that we would be able to find a suitable replacement location on reasonable terms, which could adversely impact our business. Most leases and airport concessions have fixed obligations that can be required even if our volume drops significantly. While we have been successful at partially mitigating some of these requirements in the past, including when enplanements have decreased significantly, there is no guarantee that we will be able to do so in the future, and if we are not successful our costs as a percentage of revenue could increase.</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the seasonality of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our business, the third quarter of the year has historically been our most profitable quarter, as measured by net income and Adjusted EBITDA, due primarily to the increased level of summer leisure travel. We vary our fleet size over the course of the year to help manage seasonal variations in demand, as well as localized changes in demand that we may encounter in the various regions in which we operate. Any circumstance or occurrence that disrupts rental activity during the third quarter, especially in North America and Europe, could have a disproportionately adverse impact on our financial condition or results of operations.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6"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acquisitions, including the acquisition of existing licensees or investments in or partnerships with other related businesses.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engage in strategic transactions, including the acquisition of, or investment in, existing licensees and/or other businesses, partnerships or joint ventures. The risks involved in engaging in these types of transactions include the possible failure to successfully integrate the operations of acquired businesses, or to realize expected benefits within the anticipated time frame, or at all, such as cost savings, synergies, sales and growth opportunities. In addition, the integration of an acquired business or oversight of a partnership or joint venture may result in material unanticipated challenges, expenses, liabilities or competitive responses, including: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inconsistencies between our standards, procedures and policies and those of an acquired business, partnership and/or joint venture;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costs or inefficiencies associated with the integration of our operational and administrative systems;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increased scope and complexity of our operations could require significant attention from management and could impose constraints on our operations or other projects;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unforeseen expenses, delays or conditions, including required regulatory or other third-party approvals or consents, or provisions in contracts with third parties that could limit our flexibility to take certain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 inability to retain the customers, employees, suppliers and/or marketing partners of an acquired business, partnership or joint venture or generate new customers or revenue opportunities through a strategic partnership;</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costs of compliance with local laws and regulations and the implementation of compliance processes, as well as the assumption of unexpected liabilities, litigation, penalties or other enforcement actions;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exposure to undetected malware and viruses embedded in the acquired IT systems of the acquired entity;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higher than expected costs arising due to unforeseen changes in tax, trade, environmental, labor, safety, payroll or pension policies.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Any one of these factors could result in delays, increased costs or decreases in the amount of expected revenues related to or derived from a strategic transaction and could adversely impact our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face risks related to vehicle electrification.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Vehicle electrification refers to a range of technologies that use electricity to propel a vehicle and includes hybrid, plug-in, extended-range and battery electric vehicles, as well as autonomous vehicles. We believe that the vehicle industry will continue to experience significant change in the coming years, in particular as it relates to vehicle electrification. Worldwide demand for electric and hybrid vehicles continues to increase, and manufacturers continue to invest more time and cost into producing these types of vehicles in an effort to reduce fuel consumption and greenhouse gas emissions, as mandated by various governmental standards and regulations. If we are not adequately prepared to meet consumer demand for electric, hybrid and autonomous vehicles as such demand develops, including if we are unable to attain an optimal and consistently reliable charging infrastructure and systems, which will require substantial capital investment, or if consumer demand for electric, hybrid and autonomous vehicles fails to meet our expectations, including due to slower or inadequate investments in charging infrastructure by third parties, changes in governmental regulations, rebates and subsidies, or changes in consumer sentiment, our financial condition or results of operations could be adversely impacted.</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7"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liability and insurance.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global operations expose us to several forms of liability, including claims for bodily injury, death and property damage related to the use of our vehicles, or for having our customers or other parties on our premises, as well as workers’ compensation and other claims. We may become exposed to uninsured liability at levels in excess of our historical levels, or increases in the number of incidents or the cost per incident, which has recently occurred and may continue in the future, which may cause us to exceed the level of our reserves and could adversely impact our financial condition and results of operations. This impact could occur for a variety of reasons, including increased severity and/or instances of weather and climate-related events and overall liability loss trends. Furthermore, insurance with unaffiliated insurers may not continue to be available to us on economically reasonable terms or at all. Should we be subject to an adverse ruling or judgment, or experience other significant liability for which we did not plan and were not adequately insured, our results of operations, financial position or cash flows could be negatively impacted.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reinsure certain insurance exposures as well as offer optional insurance coverages through unaffiliated third-party insurers that then reinsure all or a portion of their risks through our insurance company subsidiaries, which subjects us to regulation under various insurance laws and statutes. Any changes in regulations that alter or impede our reinsurance obligations or insurance subsidiary operations, or any negative regulatory or other legal action against us with respect to our reinsurance, could adversely impact the economic benefits that we rely upon to support our reinsurance efforts, which in turn would adversely impact our financial condition or results of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Optional insurance products that we offer to renters in the United States, including, but not limited to, supplemental or additional liability insurance, personal accident insurance and personal effects protection, are regulated under state laws. Our vehicle rental operations outside the United States must also comply with certain local laws and regulations regarding the sale of personal accident and effects insurance by intermediaries. Any changes in law that affect our operating requirements with respect to our sale of optional insurance products could increase our costs of compliance or make it uneconomical to offer such products, which would lead to a reduction in revenue and profitability. Should more of our customers decline to purchase optional liability insurance products as a result of any changes in these laws, or otherwise, our financial condition or results of operations could be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offer loss damage waivers to our customers as an option for them to reduce their financial responsibility that may be incurred as a result of loss or damage to the rental vehicle. Certain states in the United States have enacted legislation that mandates disclosure to each customer and some states have statutes that establish or cap the daily rate that can be charged for loss damage waivers. Should new laws or regulations arise that place new limits on our ability to offer loss damage waivers to our customers, our financial condition or results of operations could be adversely impacted.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Additionally, current United States federal law pre-empts state laws that impute tort liability based solely on ownership of a vehicle involved in an accident. If such federal law were to change, our insurance liability exposure could materially increase.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be unable to collect amounts that we believe are owed to us by customers, insurers and other third parties related to vehicle damage claims or liabilities. The inability to collect such amounts in a timely manner or to the extent that we expect could adversely impact our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risks related to fluctuations in currency exchange rates.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operations generate revenue and incur operating costs in a variety of currencies. The financial position and results of operations of many of our foreign subsidiaries are reported in the relevant local currency and then translated to United States dollars at the applicable currency exchange rate for inclusion in our Consolidated Financial Statements. Changes in exchange rates among these currencies and the U.S. dollar have affected, and will continue to affect, among other things, the recorded levels of our assets and liabilities in our Consolidated Financial Statements. While we take steps to manage our currency exposure, such as currency hedging, we may not be able to effectively limit our exposure to intermediate or long-term movements in currency exchange rates, which could adversely impact our financial condition or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38"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our derivative instruments.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typically utilize derivative instruments to manage fluctuations in foreign exchange rates, interest rates and fuel prices. The derivative instruments we use to manage our risk are usually in the form of interest rate swaps and caps and foreign exchange and commodity contracts. Periodically, we are required to determine the change in fair value, called the “mark-to-market,” of some of these derivative instruments, which could expose us to substantial mark-to-market losses or gains if such rates or prices fluctuate materially from the time we entered into the derivatives. Accordingly, volatility in rates or prices may adversely impact our financial position or results of operations and could impact the cost and effectiveness of our derivative instruments in managing our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have in the past been, and may in the future be, impacted by impairment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carry a significant amount of goodwill and long-lived assets on our Consolidated Balance Sheets. Goodwill is the excess of purchase price over the fair value of the net assets of acquired businesses. We assess goodwill and long-lived assets for impairment if circumstances suggest an impairment may have occurred, and annually for goodwill and indefinite-lived intangible assets. We have determined in the past and may again determine in the future that a significant impairment has occurred in the value of our goodwill and long-lived assets. Additionally, we have a significant amount of goodwill and long-lived assets that could also be subject to impairment. If we determine that an impairment has occurred in the value of our goodwill or long-lived assets, we could be required to write off a portion of our goodwill or long-lived assets, which could adversely affect our consolidated financial condition or our reported results of operations. For example, to decrease our fleet age for competitive reasons, in the fourth quarter of 2024 we accelerated our plans with respect to certain fleet rotations and shortened the useful life associated with such vehicles, which resulted in an impairment charge. See “Management’s Discussion and Analysis of Financial Condition and Results of Operations – Results of Operations” and Note 2 – Summary of Significant Accounting Policies – Impairment of Long-Lived Assets to our Consolidated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7" w:before="0" w:after="0"/>
        <w:jc w:val="both"/>
        <w:rPr>
          <w:rFonts w:ascii="Arial;sans-serif" w:hAnsi="Arial;sans-serif"/>
          <w:b/>
          <w:color w:val="000000"/>
          <w:sz w:val="20"/>
          <w:u w:val="single"/>
        </w:rPr>
      </w:pPr>
      <w:r>
        <w:rPr>
          <w:rFonts w:ascii="Arial;sans-serif" w:hAnsi="Arial;sans-serif"/>
          <w:b/>
          <w:color w:val="000000"/>
          <w:sz w:val="20"/>
          <w:u w:val="single"/>
        </w:rPr>
        <w:t>RISKS RELATED TO LEGAL, REGULATORY AND ENVIRONMENTAL, SOCIAL, AND GOVERNANCE (“ESG”) RELATED MATTERS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Costs associated with lawsuits, investigations or increases in legal reserves that we establish based on our assessment of contingent liabilities may have an adverse effect on our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global operations expose us to various claims, lawsuits and other legal proceedings that arise in and outside of the ordinary course of our business in the countries in which we operate. We are or may be subject to complaints and/or litigation involving our customers, licensees, employees, independent operators and others with whom we conduct business and other third parties, including claims for bodily injury, death and property damage related to use of our vehicles or our locations, or claims based on allegations of discrimination, misclassification as exempt, wage and hour pay disputes or allegations related to our business practices, and various other claims. We could be subject to substantial costs and/or adverse outcomes from such claims, which could have a material adverse effect on our financial condition, cash flows or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 some of our locations, we outsource to third-party independent contractors who operate the business as a separate entity and we pay these independent contractors a commission for operating their business under our brands. There is a growing trend in the United States aimed at the gig economy to define independent contractors as employees. As such, we are subject to legislative and or judicial determination that any such changes are applicable to these independent contractors. Such determinations may require us to change the business operations and make such independent contractor locations employee operated. This could potentially expose us to additional costs and material liability under federal and state labor and employment and tax 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From time to time, our Company is reviewed or investigated by government regulators, which could lead to tax assessments, enforcement actions, fines and penalties or the assertion of private litigation claims. It is not possible to predict with certainty the outcome of claims, investigations and lawsuits, which could have an adverse impact on our financial condition or results of operations. In addition, while we maintain insurance coverage with respect to exposure for certain, but not all, types of legal claims, we may not be able to obtain such insurance on acceptable terms in the future, if at all, and any such insurance may not provide adequate coverage against any such claims.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39"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We face risks related to laws and regulations that could impact our global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multiple, and sometimes conflicting, laws and regulations in the countries in which we operate that relate to, among others, consumer protection, competition and antitrust, customer privacy and data protection, securities and public disclosure, automotive retail sales, franchising, corruption and anti-bribery, environmental matters, taxes, automobile-related liability, labor and employment matters, cost and fee recovery, currency-exchange and other various banking and financial industry regulations, health and safety, insurance rates and products, claims management, protection of our trademarks and other intellectual property and other trade-related laws and regulations. We cannot predict the nature, scope or effect of future regulatory requirements to which our global operations may be subject or the manner in which existing or future laws may be administered or interpreted. Any alleged or actual violations of any law or regulation, change in law, regulation, trade treaties or tariffs, or changes in the interpretation of existing laws or regulations may subject us to government scrutiny, investigation and civil and criminal penalties, limit our ability to provide services in any of the countries in which we operate and could result in a material adverse impact on our reputation, business, financial position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certain countries where we have Company-operated locations, we may recover certain costs from consumers, including costs associated with the title and registration of our vehicles, or concession costs imposed by an airport authority or the owner and/or operator of the premises from which our vehicles are rented. We may in the future be subject to potential laws or regulations that could negatively impact our ability to separately state, charge and recover such costs, which could adversely impact our financial condition or results of operations.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seeking Advanced Pricing Agreements with certain tax authorities to obtain certainty regarding our transfer pricing policy. While this effort is ongoing, the process of negotiating and ultimately entering into these agreements has been lengthy and may take several more years. The ultimate results of our negotiations of these agreements with tax authorities, the expiration of such agreements, or changes in circumstances or in the interpretation of such agreements could increase our tax costs in these jurisdictions, including through the assessment of significant interest charges and/or penalties if non-compliance is adjudicated. To the extent we do not have an existing Advanced Pricing Agreement or other agreement, governmental authorities could challenge our transfer pricing policy in the future and, if challenged, we may not prevail, which could increase our tax costs or reduce savings related to our transfer pricing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environmental laws and regulations.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subject to a wide variety of environmental laws and regulations in connection with our operations, including, among other things, with respect to the ownership or use of tanks for the storage of petroleum products such as gasoline, diesel fuel and motor and used oils; the treatment or discharge of waste waters; and the generation, storage, transportation and off-site treatment or disposal of solid or liquid wastes. We maintain liability insurance covering storage tanks at our locations. In the United States, we administer an environmental compliance program designed to ensure that these tanks are properly registered in the jurisdiction in which they are located and are in compliance with applicable technical and operational requirements. The tank systems located at each of our locations may not at all times remain free from undetected leaks, and the use of these tanks has resulted in, and from time to time in the future may result in, spills, which may be significant and may require remediation and expose us to material uninsured liability or liabilities in excess of insurance.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may also be subject to requirements related to the remediation of substances that have been released into the environment at properties owned or operated by us or at properties to which we send substances for treatment or disposal. Such remediation requirements may be imposed without regard to fault and liability for environmental remediation can be substantial. These remediation requirements and other environmental regulations differ depending on the country where the property is located. We have made, and will continue to make, expenditures to comply with environmental laws and regulations, including, among others, expenditures for the remediation of impacts at our owned and leased properties, as well as impacts at other locations at which our wastes have reportedly been identified. Our compliance with existing or future environmental laws and regulations may, however, require material expenditures by us or otherwise have an adverse impact on our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0"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Governments are likely to continue to pursue measures related to climate change and greenhouse gas emissions, including vehicle travel restrictions. Should rules establishing limitations on greenhouse gas or other emissions or rules imposing fees on entities deemed to be responsible for greenhouse gas emissions, or rules establishing bans on diesel or fuel vehicles from entering certain locations become effective in the countries in which we operate, demand for our services could be affected, our fleet and/or other costs could increase, and our business could be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ESG matters.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growing focus on climate change, heightened societal expectations for companies to address environmental and social matters, and the proliferation of ESG related regulations and laws relating to disclosures and otherwise, both domestically (including in California) and globally (especially in the European continent) pose risks to our business. These developments could lead to increased operational and compliance costs, shifts in consumer and customer preferences toward substitute products, reduced demand for our offerings, and potential impacts on profitability. Additionally, these factors, as well as our action or inaction with respect to ESG matters, may result in heightened regulatory or public scrutiny, increased litigation, reputational damage, and adverse effects on our revenue, stock price and/or access to capital markets.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have developed certain initiatives, goals and practices relating to ESG matters. We may not be successful in implementing these initiatives, goals and practices, including due to factors beyond our control, and even if successful, they may not achieve our desired or expected outcomes. If our ESG initiatives, goals, and practices do not meet our expectations, those of our investors or other stakeholders, or requirements of local rules and regulations, each of which continue to evolve, we may incur additional costs, and our brand, reputation and results of operations and financial condition may be adversely impacted.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addition, organizations that provide information to investors on corporate governance and related matters have developed ratings processes for evaluating companies on their approach to ESG matters. Such ratings are used by some investors to inform their investment and voting decisions. Unfavorable ESG ratings and investment community divestment initiatives may lead to negative publicity or investor sentiment toward us and to the diversion of investment to other industries, which could have a negative impact on our stock price and our access to and costs of capital.</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risks related to franchising or licensing laws and regulations.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license to third parties the right to operate locations using our brands in exchange for royalty payments. Our licensing activities are subject to various laws and regulations in the countries in which we operate. In particular, laws in the United States require that we provide extensive disclosure to prospective licensees in connection with licensing offers and sales, as well as comply with franchise relationship laws that could limit our ability to, among other things, terminate license agreements or withhold consent to the renewal or transfer of these agreements. We are also subject to certain regulations affecting our license arrangements in Europe and other international locations. Should our operations become subject to new laws or regulations that negatively impact our ability to engage in licensing activities, our financial condition or results of operations could be adversely impacted.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risks related to the actions of, or failures to act by, our licensees, dealers, independent operators or third-party vendors.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vehicle rental licensee and dealer locations are independently owned and operated. We also operate many of our Company-owned locations through agreements with independent operators, which are third-party independent contractors who receive commissions to operate such locations. We also enter into service contracts with various third-party vendors that provide services for us or in support of our business. Under our agreements with our licensees, dealers, independent operators and third-party vendors (collectively referred to as “third-party operators”), the third-party operators retain control over the employment and management of all personnel at their locations or in support of the services that they provide our Company. These agreements also generally require that third-party operators comply with all laws and regulations applicable to their businesses, including relevant internal policies and standards. Regulators, courts or others may seek to hold us responsible for the actions of, or failures to act by, third-party operators or their employees based on theories of vicarious liability, negligence, joint operations or joint employer liability. Although we actively monitor the operations of these third-party operators, and under certain circumstances have the ability to terminate their agreements for failure to adhere to contracted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1"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operational standards, we are unlikely to detect all misconduct or noncompliance by a third-party operator or its employees. It is our policy to vigorously seek to be dismissed from any claims involving third-party operators and to pursue indemnity for any adverse outcomes that affect the Company. Failure of third-party operators to comply with laws and regulations or our operational standards, or our inability to be dismissed from claims against our third-party operators, may expose us to liability, damages and negative publicity that may damage our brand and reputation and adversely affect our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associated with changes in tax laws.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Tax Cuts and Jobs Act of 2017 (the “Tax Act”) eliminated the use of like-kind exchange for personal property and allowed for full expensing of qualified property purchases through 2022. From 2004 until its elimination, we utilized like-kind exchange to replace vehicles in a manner that allowed for a material deferral of United States (U.S.) federal and state income taxes. The effect of the repeal of the like-kind exchange treatment for vehicle sales has been largely offset through 2022 by the availability of full expensing for certain business assets (including our vehicles) in the year placed in service. During 2023, the full expensing provision started to phase-out ratably by 20% each year between 2023 and 2027. Certain U.S. states have modified their tax statutes as a result of the Tax Act, and such state legislation does not allow the use of full expensing benefits for state tax purposes, which negatively impacts our tax liability in such states. Other U.S. states continue to modify their tax statutes related to full expensing. Therefore, we cannot offer assurance that the benefits from the expected tax deductions will continue.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Inflation Reduction Act of 2022 (the “IRA”) includes a 15% corporate alternative minimum tax on certain large corporations and a 1% excise tax on certain corporate stock repurchases. The impact on the Company of these provisions, which became effective on January 1, 2023, will depend on several factors, including recently released and forthcoming interpretive regulatory guidance. The Company continues to review and assess the provisions of the IRA, and its potential impact on our financial condition, results of operations, liquidity, and cash flows.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There is also a high level of uncertainty in today’s tax environment stemming from both global initiatives put forth by the Organisation for Economic Co-operation and Development (the “OECD”), and unilateral measures being implemented by various countries. As an example, the OECD has put forth two proposals—Pillar One and Pillar Two—that revise the existing profit allocation and nexus rules (profit allocation based on location of sales versus physical presence) and ensure a minimal level of taxation, respectively. The OECD issued administrative guidance and proposals which provide for transition and safe harbor rules for the global minimum tax, which is effective fiscal year 2024.</w:t>
      </w:r>
      <w:r>
        <w:rPr>
          <w:color w:val="000000"/>
        </w:rPr>
        <w:t xml:space="preserve"> </w:t>
      </w:r>
      <w:r>
        <w:rPr>
          <w:rFonts w:ascii="Arial;sans-serif" w:hAnsi="Arial;sans-serif"/>
          <w:b w:val="false"/>
          <w:color w:val="000000"/>
          <w:sz w:val="20"/>
        </w:rPr>
        <w:t>Further, many countries have proposed or have begun to implement changes to existing tax laws in response to the OECD’s proposals.</w:t>
      </w:r>
      <w:r>
        <w:rPr>
          <w:color w:val="000000"/>
        </w:rPr>
        <w:t xml:space="preserve"> </w:t>
      </w:r>
      <w:r>
        <w:rPr>
          <w:rFonts w:ascii="Arial;sans-serif" w:hAnsi="Arial;sans-serif"/>
          <w:b w:val="false"/>
          <w:color w:val="000000"/>
          <w:sz w:val="20"/>
        </w:rPr>
        <w:t>The Company continues to closely monitor any such developments and guidance issued to determine any impact on our effective tax rate, cash tax obligations and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RISKS RELATED TO OUR CAPITAL STRUCTURE AND INDEBTEDNESS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our current and future debt obligations, including risks related to conditions in the credit and asset-backed securities markets.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Our ability to satisfy and manage our debt obligations depends on our ability to generate cash flow and on overall financial market conditions. To some extent, this is subject to prevailing economic and competitive conditions and to certain financial, business and other factors, many of which are beyond our control. Our outstanding debt obligations require us to dedicate a significant portion of our cash flows to pay interest and principal on our debt, which reduces funds available to us for other purposes. Our business may not generate sufficient cash flow from operations to permit us to service our debt obligations and meet our other cash needs, which may force us to reduce or delay capital expenditures, sell or curtail assets or operations, seek additional capital or seek to restructure or refinance our indebtedness. If we must sell or curtail our assets or operations, it may negatively affect our ability to generate revenue. Certain of our debt obligations contain restrictive covenants and provisions that may limit our ability to, among other things, incur additional debt; provide guarantees; pay dividends or distributions, redeem or repurchase capital stock; prepay, redeem or repurchase debt; create or incur liens; make distributions from our subsidiaries; sell assets and capital stock of our subsidiaries; and consolidate or merge with or into, or sell substantially all of our assets to, another person. These covenants and provisions also may limit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2"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ability to respond to adverse changes in general economic, industry and competitive conditions, as well as changes in government regulation and changes to our business.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failure to comply with these restrictive covenants and provisions, if not waived, would cause a default under the applicable debt agreement and could result in a cross-default under several of our other debt obligations, including our asset-backed debt facilities. If such a default were to occur, we could be required to repay or accelerate debt payments to the lenders or holders of our debt, and there can be no assurance that we would be able to refinance or obtain a replacement for such financing programs.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finance our vehicle fleet purchases and operations through the use of asset-backed securities in the United States, Canada, Australia and Europe and other debt financing structures available through the credit markets. If the asset-backed financing and/or credit markets were to be disrupted for any reason, we may be unable to obtain refinancing for our operations or vehicle fleet purchases at current levels, or at all, when our respective asset-backed financings or debt financings mature. Likewise, any disruption of the asset-backed financing or credit markets could also increase our borrowing costs, as we seek to refinance existing debt or increase our indebtedness. In addition, we could be subject to increased collateral requirements to the extent that we request any amendment or renewal of any of our existing asset-backed or debt financings.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increases in interest rates.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portion of our borrowings, primarily our vehicle-backed borrowings, bears interest at variable rates that expose us to interest rate risk. If interest rates continue to increase, whether due to continued increases in market interest rates or one or more increases in our own cost of borrowing, our debt service obligations for our variable rate indebtedness would increase even though the amount of borrowings remain the same, and our results of operations could be adversely affected. As of December 31, 2024, our total outstanding debt of approximately $23.1 billion included unhedged interest rate sensitive debt of approximately $4.1 billion. During our seasonal borrowing peak in 2024, outstanding unhedged interest rate sensitive debt totaled approximately $6.4 billion.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Virtually all of our debt under vehicle programs and certain of our corporate indebtedness matures within the next five years. If we are unable to refinance maturing indebtedness at interest rates that are equivalent to or lower than the interest rates on our maturing debt, our results of operations or our financial condition may be adversely affected.</w:t>
      </w:r>
    </w:p>
    <w:p>
      <w:pPr>
        <w:pStyle w:val="TextBody"/>
        <w:bidi w:val="0"/>
        <w:spacing w:before="0" w:after="0"/>
        <w:jc w:val="left"/>
        <w:rPr/>
      </w:pPr>
      <w:r>
        <w:rPr/>
      </w:r>
    </w:p>
    <w:p>
      <w:pPr>
        <w:pStyle w:val="TextBody"/>
        <w:bidi w:val="0"/>
        <w:spacing w:lineRule="auto" w:line="268" w:before="0" w:after="0"/>
        <w:jc w:val="both"/>
        <w:rPr>
          <w:rFonts w:ascii="Arial;sans-serif" w:hAnsi="Arial;sans-serif"/>
          <w:b/>
          <w:i/>
          <w:color w:val="000000"/>
          <w:sz w:val="20"/>
        </w:rPr>
      </w:pPr>
      <w:r>
        <w:rPr>
          <w:rFonts w:ascii="Arial;sans-serif" w:hAnsi="Arial;sans-serif"/>
          <w:b/>
          <w:i/>
          <w:color w:val="000000"/>
          <w:sz w:val="20"/>
        </w:rPr>
        <w:t>We face certain risks related to our share repurchase program.</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Board of Directors previously authorized the repurchase of up to $8.1 billion of our common stock under a plan originally approved in 2013 and subsequently expanded most recently in February 2023 (the “Share Repurchase Program”). As of December 31, 2024, approximately $757 million remains available under the Share Repurchase Program. If we purchase additional shares of our common stock under the Share Repurchase Program, the percentage of our outstanding common stock owned by SRS Investment Management, LLC and its affiliates (“SRS”) may increase, even without further action by SRS. Under the terms of the Fourth Amended and Restated Cooperation Agreement between the Company and SRS, SRS has committed, with respect to shares of common stock SRS holds in excess of 35% of the Company’s outstanding common stock, to exercise its voting rights in the same proportion in which other shares of common stock are voted. Notwithstanding this commitment, the ownership by SRS of more than 50% of the Company’s outstanding common stock could trigger, or increase the likelihood that we trigger, certain change in control provisions in the indentures governing our senior notes. The Company must make a 101% change of control offer for the senior notes if, within 60 days following a change of control, the ratings on the notes are downgraded by one or more gradations or withdrawn and the applicable rating agency announces that such downgrade or withdrawal is attributable to the change of control.</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RISKS RELATED TO OUR INTELLECTUAL PROPERTY MATTERS, DATA SECURITY AND PRIVACY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We face risks related to our protection of our intellectual property.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have registered certain marks and designs as trademarks in the United States and in certain other countries. At times, competitors may adopt service names similar to ours, thereby potentially impeding our ability to build brand identity and possibly leading to confusion in the marketplace. In addition, we have been subject to, and from time to time in the future may be subject to, trade name or trademark infringement claims brought by owners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3"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of other trademarks or names. From time to time, we have acquired or attempted to acquire Internet domain names held by others when such names have caused consumer confusion or had the potential to cause consumer confusion. Our efforts to enforce or protect our proprietary rights related to trademarks, trade secrets, domain names, copyrights or other intellectual property may be unsuccessful and could result in substantial costs and diversion of resources and could adversely impact our financial condition or results of operations.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our reliance on communications networks and centralized information systems.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rely heavily on the satisfactory performance and availability of our information systems, including our reservation systems, websites and network infrastructure to attract and retain customers, accept reservations, process rental and sales transactions, manage our fleet of vehicles, account for our activities and otherwise conduct our business. We rely on third-party communications service and system providers for technology services. We have been subjected to, and from time to time in the future may be subject to, a failure or interruption that results in the unavailability of certain of our information systems. Such a failure or interruption, or a major disruption, could cause a loss of reservations, interfere with our fleet management, slow rental and sales processes, create negative publicity that damages our reputation or otherwise adversely impacts our ability to manage our business effectively. We may experience system interruptions or disruptions for a variety of reasons, including from network failures, power outages, cyber-attacks, human error or misuse, software errors, an unusually high volume of visitors attempting to access our systems, or other events such as fire, explosions, earthquakes, storms, floods, epidemics, strikes, acts of war, civil unrest or terrorist acts. Because we are dependent in part on independent third parties for the implementation and maintenance of certain aspects of our systems and because some of the causes of system interruptions may be outside of our control, we may not be able to remedy such interruptions in a timely manner, or at all. Our systems’ business continuity plans and insurance programs seek to mitigate such risks but they cannot fully eliminate the risks.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face risks related to cybersecurity breaches of our systems and information technology.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Threats to network and data security are becoming increasingly diverse and sophisticated. We have experienced cybersecurity attacks in the past, and we experience attempts to gain unauthorized access to our systems on a regular basis. As cybersecurity threats become more frequent, intense, and sophisticated, costs of proactive defense measures may increase. Third parties may have the technology or expertise to breach the security of our systems and data and our security measures may not prevent or timely detect physical security or cybersecurity breaches, which could result in substantial harm to our business, our reputation or our results of operations. We rely on encryption and/or authentication technology licensed from and, at times, administered by independent third parties to secure transmission of confidential information, including credit card numbers and other customer personal information. Our outsourcing agreements with these third-party service providers, including third-party hosted cloud environments, generally require that they have adequate security systems in place to protect our customer transaction data. Despite the implementation of cybersecurity measures (including access controls, data encryption, vulnerability assessments, continuous monitoring, and maintenance of backup and protective systems), our information technology systems or those used by our third-party service providers may still be vulnerable to a breach, including due to defects or other unexpected factors. Additionally, if a third-party service provider on which we rely experiences a breach, we may not learn of such breach in a timely manner, or at all, which may inhibit our ability to mitigate its impacts, and exacerbate the risks described in this paragraph.</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addition, anyone who is able to circumvent our security measures or gain unauthorized access to our systems or information or those of our third-party service providers despite such security measures, could misappropriate proprietary information or cause interruptions in our operations. Cybersecurity incidents that we have experienced in the past and may experience in the future may be caused by malicious third parties using sophisticated, targeted methods to circumvent firewalls, encryption, and other security defenses, and could include hacking, viruses, malicious software, ransomware, phishing attacks, denial of service attacks and other attempts to capture, disrupt or gain unauthorized access to data, all of which are rapidly evolving. Such incidents could lead to disruptions in our reservation system or other data systems, unauthorized release of confidential or otherwise protected information or corruption of data. The techniques used by third parties change frequently and may be difficult to detect for long periods of time. Any successful efforts by individuals to infiltrate, break into, disrupt, damage or otherwise steal from the Company’s, its licensees’ or its third-party service providers’ security or information systems could damage our reputation and expose us to increased cybersecurity protection costs, litigation or other liability that could adversely impact our financial condition or results of operations. A cybersecurity breach resulting in the unauthorized use or disclosure of certain personal information could 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4"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individuals at risk of identity theft and financial or other harm and result in costs to the Company in investigation, remediation, legal defense and in liability to parties who are financially harmed. Failure to appropriately address these issues could also give rise to potentially material legal risks and liabilities.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We are subject to privacy, data protection, data security and other regulations, as well as private industry standards, which could negatively impact our global operations and cause us to incur additional incremental expense or reputational harm that impacts our future operating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business requires the secure processing and storage of personal information relating to our customers, employees, business partners and others. Current privacy and data protection laws, particularly the European Union’s General Data Protection Regulation (“GDPR”), the United Kingdom Data Protection Act (“UK DPA”), the California Consumer Privacy Act including modifications by the California Privacy Rights Act (collectively, the “CCPA”), the Virginia Consumer Data Protection Act (“VCDPA”), and other regulations in the jurisdictions in which we operate impose obligations and restrictions regarding the types of information that we may collect, process, sell and retain about our customers, employees and other individuals with whom we deal or propose to deal, some of which may be non-public personal data. A patchwork of new and proposed privacy and data protection legislation and regulation continues to evolve across the jurisdictions in which we operate. These laws and regulations, each wide-ranging in scope, provide individuals located in those jurisdictions with greater control over their personal data and impose various requirements on our business relating to the collection and processing of personal data. These laws also impose significant forfeitures and penalties for noncompliance and afford private rights of action to individuals under certain circumstances. The Company has adopted policies and procedures in compliance with these laws, which may need to be updated as new laws are passed or as additional guidance is made available from regulatory authorities or published enforcement decisions. Data protection laws in the countries where we operate are developing at a rapid pace and may be interpreted and applied inconsistently from jurisdiction to jurisdiction and impose inconsistent or conflicting requirements. Complying with varying jurisdictional privacy and data protection requirements could increase our operating costs, divert management attention or require additional changes to our business practices. Should we be found to not be in compliance with the GDPR, UK DPA, CCPA, VCDPA or similar privacy and data protection laws, we could be subject to substantial monetary penalties, government consent decrees, regulatory enforcement actions, and other sanctions that could negatively impact our operating results or harm our reputation.</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centralized nature of our information systems combined with the expansive nature of our global business requires the routine flow of information regarding employees, customers and potential customers, and suppliers across national borders, particularly in the United States, the United Kingdom, and Europe. Although new and updated personal data transfer mechanisms, such as the European Commission’s Standard Contractual Clauses, have been adopted by regulators following the invalidation of previously available transfer mechanisms in 2020 by the Court of Justice of the European Union, these mechanisms remain subject to legal uncertainty and face ongoing scrutiny from EU supervisory authorities. This continued uncertainty may affect our ability to process and transfer personal data, which could impact our ability to serve our customers and efficiently manage our employees and operations. Moreover, our failure to maintain the security of the data we hold, whether as a result of our own error or the actions of others, could harm our reputation or give rise to legal liabilities that adversely impact our financial condition or results of operations. Privacy and data protection laws and regulations restrict the ways that we process our transaction information, and the payment card industry imposes strict customer credit card data security standards to ensure that our customers’ credit card information is protected. Failure to meet these data privacy and security standards could result in substantial increased fees to credit card companies, other liabilities and/or loss of the right to collect credit card payments, which could adversely impact our financial condition or results of operations.</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GENERAL RISK FACTORS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We face risks related to the market price of our common stock.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cannot predict the prices at which our common stock will trade. The market price of our common stock has experienced substantial volatility in the past and may fluctuate widely in the future, depending on many factors, some of which may be beyond our control, including, but not limited to, the factors described in this “Risk Factors” section and the section titled “Forward-Looking Statements.” If any of these factors materialize, it could cause our stock price to fall and may expose us to litigation, including class action lawsuits that, even if unsuccessful, could be costly to defend, distract management, and harm our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5"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 xml:space="preserve">Certain provisions of our certificate of incorporation and by-laws and Delaware law could prevent or delay a potential acquisition of control of our Company, which could decrease the trading price of our common stock.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amended and restated certificate of incorporation, amended and restated by-laws and the laws in the State of Delaware contain provisions that are intended to deter coercive takeover practices and inadequate takeover bids by making such practices or bids unacceptably expensive to the prospective acquirer and to encourage prospective acquirers to negotiate with our Board of Directors rather than to attempt a hostile takeover. Delaware law also imposes restrictions on mergers and other business combinations between us and any holder of 15% or more of our outstanding common stock.</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these provisions protect our stockholders from coercive or otherwise unfair takeover tactics by effectively requiring those who seek to obtain control of the Company to negotiate with our Board of Directors and by providing our Board with more time to assess any such potential acquisition of control. However, these provisions could apply even if such a potential acquisition of control of the Company may be considered beneficial by some stockholders and could delay or prevent an acquisition of control that our Board of Directors determines is not in the best interests of our Company and our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364" w:type="dxa"/>
        <w:jc w:val="left"/>
        <w:tblInd w:w="0" w:type="dxa"/>
        <w:tblLayout w:type="fixed"/>
        <w:tblCellMar>
          <w:top w:w="28" w:type="dxa"/>
          <w:left w:w="28" w:type="dxa"/>
          <w:bottom w:w="28" w:type="dxa"/>
          <w:right w:w="28" w:type="dxa"/>
        </w:tblCellMar>
      </w:tblPr>
      <w:tblGrid>
        <w:gridCol w:w="1396"/>
        <w:gridCol w:w="1226"/>
        <w:gridCol w:w="1742"/>
      </w:tblGrid>
      <w:tr>
        <w:trPr/>
        <w:tc>
          <w:tcPr>
            <w:tcW w:w="139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1B. UNRESOLVED STAFF COMMENTS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90" w:type="dxa"/>
        <w:jc w:val="left"/>
        <w:tblInd w:w="0" w:type="dxa"/>
        <w:tblLayout w:type="fixed"/>
        <w:tblCellMar>
          <w:top w:w="28" w:type="dxa"/>
          <w:left w:w="28" w:type="dxa"/>
          <w:bottom w:w="28" w:type="dxa"/>
          <w:right w:w="28" w:type="dxa"/>
        </w:tblCellMar>
      </w:tblPr>
      <w:tblGrid>
        <w:gridCol w:w="893"/>
        <w:gridCol w:w="785"/>
        <w:gridCol w:w="1112"/>
      </w:tblGrid>
      <w:tr>
        <w:trPr/>
        <w:tc>
          <w:tcPr>
            <w:tcW w:w="89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1C. CYBERSECURITY</w:t>
            </w:r>
          </w:p>
        </w:tc>
      </w:tr>
    </w:tbl>
    <w:p>
      <w:pPr>
        <w:pStyle w:val="TextBody"/>
        <w:bidi w:val="0"/>
        <w:spacing w:lineRule="auto" w:line="268" w:before="180" w:after="283"/>
        <w:jc w:val="both"/>
        <w:rPr/>
      </w:pPr>
      <w:r>
        <w:rPr>
          <w:rFonts w:ascii="Calibri;sans-serif" w:hAnsi="Calibri;sans-serif"/>
          <w:b w:val="false"/>
          <w:color w:val="000000"/>
          <w:sz w:val="22"/>
        </w:rPr>
        <w:t>W</w:t>
      </w:r>
      <w:r>
        <w:rPr>
          <w:rFonts w:ascii="Arial;sans-serif" w:hAnsi="Arial;sans-serif"/>
          <w:b w:val="false"/>
          <w:color w:val="000000"/>
          <w:sz w:val="20"/>
        </w:rPr>
        <w:t xml:space="preserve">e maintain processes for assessing, identifying and managing material risks from cybersecurity threats.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regularly use both outsourced and in-house information security expertise to employ a variety of administrative, technical, and physical data safeguards designed to both deter and mitigate cybersecurity risks, including cyber incident response procedures, endpoint threat detection and response solutions, employee training, third-party risk reviews, penetration testing, technical control reviews, vulnerability assessments, and enterprise-wide risk assessments. These policies and procedures, which are based on the National Institute of Standards and Technology framework, align with international standards under ISO/IEC 27001 and are reviewed annually, including via an annual assessment of relevant IT SOX controls and Payment Card Industry Data Security Standard reviews performed both by external Qualified Security Assessors and authorized members of our internal information security team. Our third-party due diligence processes also include procedures for identifying cybersecurity threats associated with third-party service providers. Cybersecurity risks are also identified and evaluated through our enterprise risk management (ERM) processes, which are overseen by the Audit Committee of our Board of Directors. Through our ERM processes, key stakeholders across the business identify, assess, and manage risk, including material cybersecurity risks. These processes enable us to monitor and assess the evolving landscape of cybersecurity risks.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information security program is administered under the supervision of our EVP, Chief Digital and Innovation Officer (CDIO) and Vice President (VP) of Platforms, Infrastructure and Cybersecurity, who share responsibility for assessing and managing the Company’s cybersecurity risks. Both our CDIO and VP of Platforms, Infrastructure, and Cybersecurity have over 20 years of related experience, holding technical leadership roles at notable multinational organizations, across diverse industries.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CDIO and VP of Platforms, Infrastructure and Cybersecurity also monitor the prevention, detection, mitigation and remediation of cybersecurity incidents through the same processes described above for the identification and management of material cybersecurity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6"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Audit Committee of our Board of Directors oversees risks associated with information technology and cybersecurity. Cybersecurity risks and incidents identified through these processes are evaluated by our CDIO and VP of Platforms, Infrastructure and Cybersecurity. Our VP of Platforms, Infrastructure and Cybersecurity provides regular updates on a quarterly basis, and more frequently as required, on these matters to the Audit Committee of our Board of Directors. Such reports may include discussions on current control audits, risk assessments, proposed mitigation measures, and other key information technology and cyber initiatives.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Information about our material cybersecurity risks can be found in Part I, Item 1A, “Risk Factors” in this Annual Report on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64" w:type="dxa"/>
        <w:jc w:val="left"/>
        <w:tblInd w:w="0" w:type="dxa"/>
        <w:tblLayout w:type="fixed"/>
        <w:tblCellMar>
          <w:top w:w="28" w:type="dxa"/>
          <w:left w:w="28" w:type="dxa"/>
          <w:bottom w:w="28" w:type="dxa"/>
          <w:right w:w="28" w:type="dxa"/>
        </w:tblCellMar>
      </w:tblPr>
      <w:tblGrid>
        <w:gridCol w:w="724"/>
        <w:gridCol w:w="636"/>
        <w:gridCol w:w="904"/>
      </w:tblGrid>
      <w:tr>
        <w:trPr/>
        <w:tc>
          <w:tcPr>
            <w:tcW w:w="72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2. PROPERTIES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principal executive offices are owned and located at 379 Interpace Parkway, Parsippany, New Jersey 07054. We own a facility in Virginia Beach, Virginia, which serves as a satellite administrative facility for our car and truck rental operations. We also lease office space in Tulsa, Oklahoma and Boston, Massachusetts, pursuant to leases expiring in 2028 and 2031, respectively. These locations primarily provide operational and administrative services or contact center operations for our Americas segment. We also lease office space in Bracknell, England, Barcelona, Spain and Budapest, Hungary, pursuant to leases expiring in 2032, 2026 and 2026, respectively, for corporate offices, contact center activities and other administrative functions, respectively, for our International segment. Other office locations throughout the world are leased for administrative, regional sales and operations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lease or have vehicle rental concessions for our brands at locations throughout the world. We own approximately 3% of the locations from which we operate and in some cases we sublease to licensees or other third parties. The remaining locations from which we operate our vehicle rental businesses are leased or operated under concession agreements with governmental authorities and private entities. Those leases and concession agreements typically require the payment of minimum rents or minimum concession fees and often also require us to pay or reimburse operating expenses, to pay additional rent, or concession fees above guaranteed minimums based on a percentage of revenues or sales arising at the relevant premises, or to do both. See Note 3 – Leases to our Consolidated Financial Statements for information regarding lease commitments.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believe that our properties are sufficient to meet our present needs and we do not anticipate any difficulty in securing additional space, as needed, on acceptable terms.</w:t>
      </w:r>
    </w:p>
    <w:p>
      <w:pPr>
        <w:pStyle w:val="TextBody"/>
        <w:bidi w:val="0"/>
        <w:spacing w:before="0" w:after="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49" w:type="dxa"/>
        <w:jc w:val="left"/>
        <w:tblInd w:w="0" w:type="dxa"/>
        <w:tblLayout w:type="fixed"/>
        <w:tblCellMar>
          <w:top w:w="28" w:type="dxa"/>
          <w:left w:w="28" w:type="dxa"/>
          <w:bottom w:w="28" w:type="dxa"/>
          <w:right w:w="28" w:type="dxa"/>
        </w:tblCellMar>
      </w:tblPr>
      <w:tblGrid>
        <w:gridCol w:w="1008"/>
        <w:gridCol w:w="886"/>
        <w:gridCol w:w="1255"/>
      </w:tblGrid>
      <w:tr>
        <w:trPr/>
        <w:tc>
          <w:tcPr>
            <w:tcW w:w="100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3. LEGAL PROCEEDINGS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information regarding legal proceedings, see Note 15 – Commitments and Contingencies to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95" w:type="dxa"/>
        <w:jc w:val="left"/>
        <w:tblInd w:w="0" w:type="dxa"/>
        <w:tblLayout w:type="fixed"/>
        <w:tblCellMar>
          <w:top w:w="28" w:type="dxa"/>
          <w:left w:w="28" w:type="dxa"/>
          <w:bottom w:w="28" w:type="dxa"/>
          <w:right w:w="28" w:type="dxa"/>
        </w:tblCellMar>
      </w:tblPr>
      <w:tblGrid>
        <w:gridCol w:w="1213"/>
        <w:gridCol w:w="1067"/>
        <w:gridCol w:w="1515"/>
      </w:tblGrid>
      <w:tr>
        <w:trPr/>
        <w:tc>
          <w:tcPr>
            <w:tcW w:w="1213"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8" w:space="0" w:color="000000"/>
              <w:left w:val="single" w:sz="8" w:space="0" w:color="000000"/>
              <w:bottom w:val="single" w:sz="8" w:space="0" w:color="000000"/>
              <w:right w:val="single" w:sz="8" w:space="0" w:color="000000"/>
            </w:tcBorders>
            <w:shd w:fill="FFCC33"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4. MINE SAFETY DISCLOSURES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7"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174" w:type="dxa"/>
        <w:jc w:val="left"/>
        <w:tblInd w:w="0" w:type="dxa"/>
        <w:tblLayout w:type="fixed"/>
        <w:tblCellMar>
          <w:top w:w="28" w:type="dxa"/>
          <w:left w:w="28" w:type="dxa"/>
          <w:bottom w:w="28" w:type="dxa"/>
          <w:right w:w="28" w:type="dxa"/>
        </w:tblCellMar>
      </w:tblPr>
      <w:tblGrid>
        <w:gridCol w:w="320"/>
        <w:gridCol w:w="282"/>
        <w:gridCol w:w="283"/>
        <w:gridCol w:w="2134"/>
        <w:gridCol w:w="2134"/>
        <w:gridCol w:w="3021"/>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shd w:fill="FFCC33" w:val="clear"/>
            <w:tcMar>
              <w:top w:w="3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5.</w:t>
            </w:r>
          </w:p>
        </w:tc>
        <w:tc>
          <w:tcPr>
            <w:tcW w:w="7289" w:type="dxa"/>
            <w:gridSpan w:val="3"/>
            <w:tcBorders>
              <w:top w:val="single" w:sz="8" w:space="0" w:color="000000"/>
              <w:right w:val="single" w:sz="8" w:space="0" w:color="000000"/>
            </w:tcBorders>
            <w:shd w:fill="FFCC33" w:val="clear"/>
            <w:tcMar>
              <w:top w:w="30" w:type="dxa"/>
              <w:left w:w="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MARKET FOR REGISTRANT’S COMMON EQUITY, RELATED STOCKHOLDER</w:t>
            </w:r>
          </w:p>
        </w:tc>
      </w:tr>
      <w:tr>
        <w:trPr/>
        <w:tc>
          <w:tcPr>
            <w:tcW w:w="885" w:type="dxa"/>
            <w:gridSpan w:val="3"/>
            <w:tcBorders>
              <w:left w:val="single" w:sz="8" w:space="0" w:color="000000"/>
              <w:bottom w:val="single" w:sz="8" w:space="0" w:color="000000"/>
            </w:tcBorders>
            <w:shd w:fill="FFCC33" w:val="clear"/>
            <w:tcMar>
              <w:top w:w="0" w:type="dxa"/>
              <w:right w:w="0" w:type="dxa"/>
            </w:tcMar>
            <w:vAlign w:val="center"/>
          </w:tcPr>
          <w:p>
            <w:pPr>
              <w:pStyle w:val="TableContents"/>
              <w:bidi w:val="0"/>
              <w:spacing w:before="0" w:after="283"/>
              <w:jc w:val="left"/>
              <w:rPr>
                <w:sz w:val="4"/>
                <w:szCs w:val="4"/>
              </w:rPr>
            </w:pPr>
            <w:r>
              <w:rPr>
                <w:sz w:val="4"/>
                <w:szCs w:val="4"/>
              </w:rPr>
            </w:r>
          </w:p>
        </w:tc>
        <w:tc>
          <w:tcPr>
            <w:tcW w:w="7289" w:type="dxa"/>
            <w:gridSpan w:val="3"/>
            <w:tcBorders>
              <w:bottom w:val="single" w:sz="8" w:space="0" w:color="000000"/>
              <w:right w:val="single" w:sz="8" w:space="0" w:color="000000"/>
            </w:tcBorders>
            <w:shd w:fill="FFCC33" w:val="clear"/>
            <w:tcMar>
              <w:top w:w="0" w:type="dxa"/>
              <w:left w:w="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MATTERS AND ISSUER PURCHASES OF EQUITY SECURITIES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MARKET FOR COMMON EQUITY</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common stock is currently traded on the Nasdaq Global Select Market (“Nasdaq”) under the symbol “CAR.” At January 31, 2025, the number of stockholders of record was 2,109.</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DIVIDEND POLICY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evaluate our dividend policy on a regular basis and may pay dividends in the future, subject to compliance with the covenants in our senior credit facility, the indentures governing our senior notes and our vehicle financing programs. The declaration and payment of future dividends to holders of our common stock will be at the discretion of our Board of Directors and will also depend upon many factors, including our financial condition, earnings, capital requirements of our businesses, covenants associated with certain debt obligations, legal requirements, regulatory constraints, industry practice and other factors that our Board of Directors deems relevant. We did not declare or pay any cash dividends in 2024 or 2022. In December 2023, we declared and paid a $10.00 per share special cash dividend to all holders of our common stock as of December 15, 2023.</w:t>
      </w:r>
    </w:p>
    <w:p>
      <w:pPr>
        <w:pStyle w:val="TextBody"/>
        <w:bidi w:val="0"/>
        <w:spacing w:before="0" w:after="0"/>
        <w:ind w:left="0" w:right="0" w:hanging="45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ISSUER PURCHASES OF EQUITY SECURITIES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61"/>
        <w:gridCol w:w="322"/>
        <w:gridCol w:w="290"/>
        <w:gridCol w:w="491"/>
        <w:gridCol w:w="491"/>
        <w:gridCol w:w="492"/>
        <w:gridCol w:w="109"/>
        <w:gridCol w:w="109"/>
        <w:gridCol w:w="109"/>
        <w:gridCol w:w="290"/>
        <w:gridCol w:w="869"/>
        <w:gridCol w:w="150"/>
        <w:gridCol w:w="109"/>
        <w:gridCol w:w="109"/>
        <w:gridCol w:w="109"/>
        <w:gridCol w:w="877"/>
        <w:gridCol w:w="877"/>
        <w:gridCol w:w="879"/>
        <w:gridCol w:w="109"/>
        <w:gridCol w:w="109"/>
        <w:gridCol w:w="109"/>
        <w:gridCol w:w="679"/>
        <w:gridCol w:w="1549"/>
        <w:gridCol w:w="507"/>
      </w:tblGrid>
      <w:tr>
        <w:trPr/>
        <w:tc>
          <w:tcPr>
            <w:tcW w:w="461"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Total Number of Shares Purchased</w:t>
            </w:r>
          </w:p>
          <w:p>
            <w:pPr>
              <w:pStyle w:val="TableContents"/>
              <w:bidi w:val="0"/>
              <w:spacing w:lineRule="auto" w:line="240" w:before="0" w:after="0"/>
              <w:jc w:val="center"/>
              <w:rPr/>
            </w:pPr>
            <w:r>
              <w:rPr>
                <w:rFonts w:ascii="Arial;sans-serif" w:hAnsi="Arial;sans-serif"/>
                <w:b/>
                <w:color w:val="000000"/>
                <w:sz w:val="18"/>
              </w:rPr>
              <w:t xml:space="preserve">(in millions) </w:t>
            </w:r>
            <w:r>
              <w:rPr>
                <w:rFonts w:ascii="Arial;sans-serif" w:hAnsi="Arial;sans-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Number of Shares Purchased as Part of Publicly Announced Plans or Programs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Approximate Dollar Value of Shares That May Yet Be Purchased Under the Plans or Programs</w:t>
              <w:br/>
              <w:t>($ in millions)</w:t>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October 2024</w:t>
            </w:r>
          </w:p>
        </w:tc>
        <w:tc>
          <w:tcPr>
            <w:tcW w:w="9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4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0.45 </w:t>
            </w:r>
          </w:p>
        </w:tc>
        <w:tc>
          <w:tcPr>
            <w:tcW w:w="8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5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November 2024</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December 2024</w:t>
            </w:r>
          </w:p>
        </w:tc>
        <w:tc>
          <w:tcPr>
            <w:tcW w:w="9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0.45</w:t>
            </w:r>
            <w:r>
              <w:rPr>
                <w:color w:val="000000"/>
              </w:rPr>
              <w:t> </w:t>
            </w:r>
          </w:p>
        </w:tc>
        <w:tc>
          <w:tcPr>
            <w:tcW w:w="4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86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81.77</w:t>
            </w:r>
            <w:r>
              <w:rPr>
                <w:color w:val="000000"/>
              </w:rPr>
              <w:t>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0.45</w:t>
            </w:r>
            <w:r>
              <w:rPr>
                <w:color w:val="000000"/>
              </w:rPr>
              <w:t> </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54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757</w:t>
            </w:r>
            <w:r>
              <w:rPr>
                <w:color w:val="000000"/>
              </w:rPr>
              <w:t> </w:t>
            </w:r>
          </w:p>
        </w:tc>
        <w:tc>
          <w:tcPr>
            <w:tcW w:w="5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120" w:after="283"/>
        <w:ind w:left="0" w:right="0" w:hanging="360"/>
        <w:jc w:val="left"/>
        <w:rPr/>
      </w:pPr>
      <w:r>
        <w:rPr>
          <w:rFonts w:ascii="Arial;sans-serif" w:hAnsi="Arial;sans-serif"/>
          <w:b w:val="false"/>
          <w:color w:val="000000"/>
          <w:sz w:val="9"/>
        </w:rPr>
        <w:t>(a)</w:t>
      </w:r>
      <w:r>
        <w:rPr>
          <w:color w:val="000000"/>
          <w:shd w:fill="FFFFFF" w:val="clear"/>
        </w:rPr>
        <w:t xml:space="preserve"> </w:t>
      </w:r>
      <w:r>
        <w:rPr>
          <w:rFonts w:ascii="Arial;sans-serif" w:hAnsi="Arial;sans-serif"/>
          <w:b w:val="false"/>
          <w:color w:val="000000"/>
          <w:sz w:val="14"/>
          <w:shd w:fill="FFFFFF" w:val="clear"/>
        </w:rPr>
        <w:t>Excludes shares which were withheld by the Company to satisfy employees’ income tax liabilities attributable to the vesting of restricted stock unit awards.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262626"/>
          <w:sz w:val="20"/>
        </w:rPr>
        <w:t>Our Board of Directors has authorized the repurchase of up to approximately $8.1 billion of our common stock under a plan originally approved in 2013 and subsequently expanded, most recently in February 2023 (the “Stock Repurchase Program”). Under our Stock Repurchase Program, we 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“Exchange Act”). The timing and amount of repurchase transactions is determined by management based on our evaluation of market conditions, our share price, legal requirements, restricted payment capacity under our debt instruments and other factors. The Stock Repurchase Program may be suspended, modified or discontinued without prior notice.</w:t>
      </w:r>
      <w:r>
        <w:rPr>
          <w:color w:val="262626"/>
          <w:shd w:fill="FFFFFF" w:val="clear"/>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PERFORMANCE GRAPH</w:t>
      </w:r>
    </w:p>
    <w:p>
      <w:pPr>
        <w:pStyle w:val="TextBody"/>
        <w:bidi w:val="0"/>
        <w:spacing w:before="0" w:after="0"/>
        <w:ind w:left="0" w:right="0" w:hanging="360"/>
        <w:jc w:val="left"/>
        <w:rPr/>
      </w:pPr>
      <w:r>
        <w:rPr/>
      </w:r>
    </w:p>
    <w:p>
      <w:pPr>
        <w:pStyle w:val="TextBody"/>
        <w:bidi w:val="0"/>
        <w:spacing w:lineRule="auto" w:line="288" w:before="0" w:after="0"/>
        <w:jc w:val="both"/>
        <w:rPr/>
      </w:pPr>
      <w:r>
        <w:rPr>
          <w:rFonts w:ascii="Arial;sans-serif" w:hAnsi="Arial;sans-serif"/>
          <w:b w:val="false"/>
          <w:color w:val="000000"/>
          <w:sz w:val="20"/>
        </w:rPr>
        <w:t xml:space="preserve">Set forth below are a line graph and table comparing the cumulative total stockholder return of our common stock against the cumulative total returns of the S&amp;P MidCap 400 Index and the Dow Jones US Transportation Average Index for the period of five fiscal years commencing December 31, 2019 and ending December 31, 2024. The broad equity market index used by the Company is the S&amp;P MidCap 400 Index, which measures the performance of mid-sized companies, and the published industry index used by the Company is the Dow Jones US Transportation Average Index, which measures the performance of transportation companies. </w:t>
      </w:r>
      <w:r>
        <w:rPr>
          <w:rFonts w:ascii="Arial;sans-serif" w:hAnsi="Arial;sans-serif"/>
          <w:b w:val="false"/>
          <w:color w:val="000000"/>
          <w:sz w:val="20"/>
          <w:shd w:fill="FFFFFF" w:val="clear"/>
        </w:rPr>
        <w:t xml:space="preserve">The graph and table depict the result of an investment on </w:t>
      </w:r>
      <w:r>
        <w:rPr>
          <w:rFonts w:ascii="Arial;sans-serif" w:hAnsi="Arial;sans-serif"/>
          <w:b w:val="false"/>
          <w:color w:val="000000"/>
          <w:sz w:val="20"/>
        </w:rPr>
        <w:t>December 31, 2019</w:t>
      </w:r>
      <w:r>
        <w:rPr>
          <w:color w:val="000000"/>
          <w:shd w:fill="FFFFFF" w:val="clear"/>
        </w:rPr>
        <w:t xml:space="preserve"> </w:t>
      </w:r>
      <w:r>
        <w:rPr>
          <w:rFonts w:ascii="Arial;sans-serif" w:hAnsi="Arial;sans-serif"/>
          <w:b w:val="false"/>
          <w:color w:val="000000"/>
          <w:sz w:val="20"/>
          <w:shd w:fill="FFFFFF" w:val="clear"/>
        </w:rPr>
        <w:t>of $100 in the Company’s common stock, the S&amp;P MidCap 400 Index and the Dow Jones US Transportation Average Index, including investment of dividends.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48"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center"/>
        <w:rPr/>
      </w:pPr>
      <w:r>
        <w:rPr/>
        <w:drawing>
          <wp:inline distT="0" distB="0" distL="0" distR="0">
            <wp:extent cx="6400800" cy="4972050"/>
            <wp:effectExtent l="0" t="0" r="0" b="0"/>
            <wp:docPr id="4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5" descr=""/>
                    <pic:cNvPicPr>
                      <a:picLocks noChangeAspect="1" noChangeArrowheads="1"/>
                    </pic:cNvPicPr>
                  </pic:nvPicPr>
                  <pic:blipFill>
                    <a:blip r:embed="rId16"/>
                    <a:stretch>
                      <a:fillRect/>
                    </a:stretch>
                  </pic:blipFill>
                  <pic:spPr bwMode="auto">
                    <a:xfrm>
                      <a:off x="0" y="0"/>
                      <a:ext cx="6400800" cy="4972050"/>
                    </a:xfrm>
                    <a:prstGeom prst="rect">
                      <a:avLst/>
                    </a:prstGeom>
                  </pic:spPr>
                </pic:pic>
              </a:graphicData>
            </a:graphic>
          </wp:inline>
        </w:drawing>
      </w:r>
    </w:p>
    <w:tbl>
      <w:tblPr>
        <w:tblW w:w="10205" w:type="dxa"/>
        <w:jc w:val="center"/>
        <w:tblInd w:w="0" w:type="dxa"/>
        <w:tblLayout w:type="fixed"/>
        <w:tblCellMar>
          <w:top w:w="28" w:type="dxa"/>
          <w:left w:w="28" w:type="dxa"/>
          <w:bottom w:w="28" w:type="dxa"/>
          <w:right w:w="28" w:type="dxa"/>
        </w:tblCellMar>
      </w:tblPr>
      <w:tblGrid>
        <w:gridCol w:w="980"/>
        <w:gridCol w:w="685"/>
        <w:gridCol w:w="61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980"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w:t>
            </w:r>
          </w:p>
        </w:tc>
      </w:tr>
      <w:tr>
        <w:trPr/>
        <w:tc>
          <w:tcPr>
            <w:tcW w:w="2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Avis Budget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 MidCap 400 Index</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Dow Jones US Transportation Average Index</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116" w:type="dxa"/>
        <w:jc w:val="left"/>
        <w:tblInd w:w="0" w:type="dxa"/>
        <w:tblLayout w:type="fixed"/>
        <w:tblCellMar>
          <w:top w:w="28" w:type="dxa"/>
          <w:left w:w="28" w:type="dxa"/>
          <w:bottom w:w="28" w:type="dxa"/>
          <w:right w:w="28" w:type="dxa"/>
        </w:tblCellMar>
      </w:tblPr>
      <w:tblGrid>
        <w:gridCol w:w="320"/>
        <w:gridCol w:w="282"/>
        <w:gridCol w:w="283"/>
        <w:gridCol w:w="360"/>
        <w:gridCol w:w="360"/>
        <w:gridCol w:w="511"/>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bottom w:val="single" w:sz="8" w:space="0" w:color="000000"/>
            </w:tcBorders>
            <w:shd w:fill="FFCC33" w:val="clear"/>
            <w:tcMar>
              <w:top w:w="3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6.</w:t>
            </w:r>
          </w:p>
        </w:tc>
        <w:tc>
          <w:tcPr>
            <w:tcW w:w="1231" w:type="dxa"/>
            <w:gridSpan w:val="3"/>
            <w:tcBorders>
              <w:top w:val="single" w:sz="8" w:space="0" w:color="000000"/>
              <w:bottom w:val="single" w:sz="8" w:space="0" w:color="000000"/>
              <w:right w:val="single" w:sz="8" w:space="0" w:color="000000"/>
            </w:tcBorders>
            <w:shd w:fill="FFCC33" w:val="clear"/>
            <w:tcMar>
              <w:top w:w="30" w:type="dxa"/>
              <w:left w:w="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RESERVED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0"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9764" w:type="dxa"/>
        <w:jc w:val="left"/>
        <w:tblInd w:w="0" w:type="dxa"/>
        <w:tblLayout w:type="fixed"/>
        <w:tblCellMar>
          <w:top w:w="28" w:type="dxa"/>
          <w:left w:w="28" w:type="dxa"/>
          <w:bottom w:w="28" w:type="dxa"/>
          <w:right w:w="28" w:type="dxa"/>
        </w:tblCellMar>
      </w:tblPr>
      <w:tblGrid>
        <w:gridCol w:w="320"/>
        <w:gridCol w:w="281"/>
        <w:gridCol w:w="284"/>
        <w:gridCol w:w="2599"/>
        <w:gridCol w:w="2599"/>
        <w:gridCol w:w="3681"/>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81"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top w:val="single" w:sz="8" w:space="0" w:color="000000"/>
              <w:left w:val="single" w:sz="8" w:space="0" w:color="000000"/>
            </w:tcBorders>
            <w:shd w:fill="FFCC33" w:val="clear"/>
            <w:tcMar>
              <w:top w:w="3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color w:val="000000"/>
                <w:sz w:val="20"/>
              </w:rPr>
              <w:t>ITEM 7.</w:t>
            </w:r>
          </w:p>
        </w:tc>
        <w:tc>
          <w:tcPr>
            <w:tcW w:w="8879" w:type="dxa"/>
            <w:gridSpan w:val="3"/>
            <w:tcBorders>
              <w:top w:val="single" w:sz="8" w:space="0" w:color="000000"/>
              <w:right w:val="single" w:sz="8" w:space="0" w:color="000000"/>
            </w:tcBorders>
            <w:shd w:fill="FFCC33" w:val="clear"/>
            <w:tcMar>
              <w:top w:w="30" w:type="dxa"/>
              <w:left w:w="0"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w:t>
            </w:r>
          </w:p>
        </w:tc>
      </w:tr>
      <w:tr>
        <w:trPr/>
        <w:tc>
          <w:tcPr>
            <w:tcW w:w="885" w:type="dxa"/>
            <w:gridSpan w:val="3"/>
            <w:tcBorders>
              <w:left w:val="single" w:sz="8" w:space="0" w:color="000000"/>
              <w:bottom w:val="single" w:sz="8" w:space="0" w:color="000000"/>
            </w:tcBorders>
            <w:shd w:fill="FFCC33" w:val="clear"/>
            <w:tcMar>
              <w:top w:w="0" w:type="dxa"/>
              <w:right w:w="0" w:type="dxa"/>
            </w:tcMar>
            <w:vAlign w:val="center"/>
          </w:tcPr>
          <w:p>
            <w:pPr>
              <w:pStyle w:val="TableContents"/>
              <w:bidi w:val="0"/>
              <w:spacing w:before="0" w:after="283"/>
              <w:jc w:val="left"/>
              <w:rPr>
                <w:sz w:val="4"/>
                <w:szCs w:val="4"/>
              </w:rPr>
            </w:pPr>
            <w:r>
              <w:rPr>
                <w:sz w:val="4"/>
                <w:szCs w:val="4"/>
              </w:rPr>
            </w:r>
          </w:p>
        </w:tc>
        <w:tc>
          <w:tcPr>
            <w:tcW w:w="8879" w:type="dxa"/>
            <w:gridSpan w:val="3"/>
            <w:tcBorders>
              <w:bottom w:val="single" w:sz="8" w:space="0" w:color="000000"/>
              <w:right w:val="single" w:sz="8" w:space="0" w:color="000000"/>
            </w:tcBorders>
            <w:shd w:fill="FFCC33" w:val="clear"/>
            <w:tcMar>
              <w:top w:w="0" w:type="dxa"/>
              <w:left w:w="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OPERATIONS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The following discussion should be read in conjunction with Part I, Item 1, “Business”, Item 1A, “Risk Factors” and our Consolidated Financial Statements and accompanying Notes included in this Annual Report on Form 10-K commencing on page F-1. Our actual results of operations may differ materially from those discussed in forward-looking statements as a result of various factors, including but not limited to those included in Part I, Item 1A, “Risk Factors” and other portions of this Annual Report on Form 10-K. Unless otherwise noted, all dollar amounts in tables are in millions.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91" w:type="dxa"/>
        <w:jc w:val="left"/>
        <w:tblInd w:w="0" w:type="dxa"/>
        <w:tblLayout w:type="fixed"/>
        <w:tblCellMar>
          <w:top w:w="28" w:type="dxa"/>
          <w:left w:w="28" w:type="dxa"/>
          <w:bottom w:w="28" w:type="dxa"/>
          <w:right w:w="28" w:type="dxa"/>
        </w:tblCellMar>
      </w:tblPr>
      <w:tblGrid>
        <w:gridCol w:w="413"/>
        <w:gridCol w:w="363"/>
        <w:gridCol w:w="51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op w:val="single" w:sz="8" w:space="0" w:color="000000"/>
              <w:left w:val="single" w:sz="8" w:space="0" w:color="000000"/>
              <w:bottom w:val="single" w:sz="8" w:space="0" w:color="000000"/>
              <w:right w:val="single" w:sz="8" w:space="0" w:color="000000"/>
            </w:tcBorders>
            <w:shd w:fill="DDDDDD"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OVERVIEW</w:t>
            </w:r>
          </w:p>
        </w:tc>
      </w:tr>
    </w:tbl>
    <w:p>
      <w:pPr>
        <w:pStyle w:val="TextBody"/>
        <w:bidi w:val="0"/>
        <w:spacing w:lineRule="auto" w:line="288" w:before="180" w:after="283"/>
        <w:jc w:val="left"/>
        <w:rPr>
          <w:rFonts w:ascii="Arial;sans-serif" w:hAnsi="Arial;sans-serif"/>
          <w:b/>
          <w:color w:val="000000"/>
          <w:sz w:val="20"/>
          <w:u w:val="single"/>
        </w:rPr>
      </w:pPr>
      <w:r>
        <w:rPr>
          <w:rFonts w:ascii="Arial;sans-serif" w:hAnsi="Arial;sans-serif"/>
          <w:b/>
          <w:color w:val="000000"/>
          <w:sz w:val="20"/>
          <w:u w:val="single"/>
        </w:rPr>
        <w:t>OUR COMPANY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695,000 vehicles in 2024. We also license the use of our trademarks to licensees in the areas in which we do not operate directly. We and our licensees operate our brands in approximately 180 countries throughout the world.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2819" w:type="dxa"/>
        <w:jc w:val="left"/>
        <w:tblInd w:w="0" w:type="dxa"/>
        <w:tblLayout w:type="fixed"/>
        <w:tblCellMar>
          <w:top w:w="28" w:type="dxa"/>
          <w:left w:w="28" w:type="dxa"/>
          <w:bottom w:w="28" w:type="dxa"/>
          <w:right w:w="28" w:type="dxa"/>
        </w:tblCellMar>
      </w:tblPr>
      <w:tblGrid>
        <w:gridCol w:w="902"/>
        <w:gridCol w:w="794"/>
        <w:gridCol w:w="1123"/>
      </w:tblGrid>
      <w:tr>
        <w:trPr/>
        <w:tc>
          <w:tcPr>
            <w:tcW w:w="90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left w:val="single" w:sz="8" w:space="0" w:color="000000"/>
              <w:bottom w:val="single" w:sz="8" w:space="0" w:color="000000"/>
              <w:right w:val="single" w:sz="8" w:space="0" w:color="000000"/>
            </w:tcBorders>
            <w:shd w:fill="DDDDDD"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RESULTS OF OPERATIONS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discussion regarding our financial condition and results of operations for the year ended December 31, 2024 compared to 2023 is presented below. A discussion regarding our financial condition and results of operations for the year ended December 31, 2023 compared to 2022 can be found under Part II, Item 7 in our Annual Report on Form 10-K for the year ended December 31, 2023, filed with the SEC on February 16, 2024, which is available on the SEC’s website at www.sec.gov and our Investor Relations website at ir.avisbudgetgroup.com.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2024, we saw sustained volume, decreased revenue per day, and increased fleet and interest costs. This resulted in revenues of approximately $11.8 billion, a net loss of $1.8 billion and Adjusted EBITDA of $628 million for the year ended December 31, 2024. During the fourth quarter of 2024, we changed our fleet strategy to accelerate certain fleet rotations in order to decrease the age of our fleet for competitive reasons, and accordingly, we shortened the useful life associated with such vehicles. Our net loss reflects $2.5 billion in long-lived asset impairment and other related charges, approximately $2.3 billion of which was recorded to reduce the carrying value of our rental fleet to its fair value in connection with this change. See Note 2 – Summary of Significant Accounting Policies – Impairment of Long-lived Assets to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increases in the number of personal injury claims and cost per incident, and an economic downturn that may impact travel demand, all of which may be exacerbated by ongoing military conflicts, including in Eastern Europe. Additionally, uncertainty remains with respect to tariffs and tax regulations, and this uncertainty has had and may continue to have impacts on global stock markets and foreign exchange rates. We continue to monitor the potential favorable or unfavorable impacts of these and other factors on our business, operations, financial condition, and future results of operations. Our strategy continues to primarily focus on customer experience and costs to strengthen our Company, maximize profitability, and deliver stakeholder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1"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current-period results at the prior-period average exchange rate plus any related gains and losses on currency hedges.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assess performance and allocate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 Management evaluates the operating results of each of our reportable segments based upon revenues and Adjusted EBITDA, which we define as income (loss) from continuing operations before non-vehicle related depreciation and amortization; long-lived asset impairment and other related charges; restructuring and other related charges; early extinguishment of debt costs; non-vehicle related interest; transaction-related costs, net; legal matters, net, which includes amounts recorded in excess of $5 million, related primarily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revised our definition of Adjusted EBITDA to exclude severe weather-related damages in excess of $5 million, net of insurance proceeds. We did not revise prior years' Adjusted EBITDA amounts because there were no other charges similar in nature to these.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2"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 xml:space="preserve">Year Ended December 31, 2024 vs. Year Ended December 31, 2023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consolidated results of operations comprised the following:</w:t>
      </w:r>
    </w:p>
    <w:tbl>
      <w:tblPr>
        <w:tblW w:w="10205" w:type="dxa"/>
        <w:jc w:val="left"/>
        <w:tblInd w:w="0" w:type="dxa"/>
        <w:tblLayout w:type="fixed"/>
        <w:tblCellMar>
          <w:top w:w="28" w:type="dxa"/>
          <w:left w:w="28" w:type="dxa"/>
          <w:bottom w:w="28" w:type="dxa"/>
          <w:right w:w="28" w:type="dxa"/>
        </w:tblCellMar>
      </w:tblPr>
      <w:tblGrid>
        <w:gridCol w:w="1842"/>
        <w:gridCol w:w="1553"/>
        <w:gridCol w:w="1567"/>
        <w:gridCol w:w="211"/>
        <w:gridCol w:w="751"/>
        <w:gridCol w:w="109"/>
        <w:gridCol w:w="109"/>
        <w:gridCol w:w="109"/>
        <w:gridCol w:w="109"/>
        <w:gridCol w:w="211"/>
        <w:gridCol w:w="751"/>
        <w:gridCol w:w="109"/>
        <w:gridCol w:w="109"/>
        <w:gridCol w:w="109"/>
        <w:gridCol w:w="109"/>
        <w:gridCol w:w="211"/>
        <w:gridCol w:w="700"/>
        <w:gridCol w:w="109"/>
        <w:gridCol w:w="109"/>
        <w:gridCol w:w="109"/>
        <w:gridCol w:w="109"/>
        <w:gridCol w:w="218"/>
        <w:gridCol w:w="218"/>
        <w:gridCol w:w="664"/>
      </w:tblGrid>
      <w:tr>
        <w:trPr/>
        <w:tc>
          <w:tcPr>
            <w:tcW w:w="1842"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extinguishment of debt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Long-lived asset impairment and other related charges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non-controlling interests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r>
        <w:trPr/>
        <w:tc>
          <w:tcPr>
            <w:tcW w:w="49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Avis Budget Group, Inc.</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n/m    Not meaningful.</w:t>
      </w:r>
    </w:p>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Revenues decreased $219 million or 2% for the year ended December 31, 2024 compared to the similar period in 2023, primarily due to a 3% decrease in revenue per day, excluding exchange rate effects and a $9 million negative impact from currency exchange rate movements, partially offset by a 1% increase in volume. Total expenses increased 43% for the year ended December 31, 2024, compared to the similar period in 2023, primarily due to long-lived asset impairment and other related charges, higher per-unit fleet costs and higher interest costs. See Note 2 – Summary of Significant Accounting Policies – Impairment of Long Lived Assets to our Consolidated Financial Statements. Our effective tax rates for the years ended December 31, 2024 and 2023 were a benefit of 30.8% and a provision of 14.6%, respectively. As a result of these items, our net income decreased by $3.5 billion compared to the similar period in 2023. For the years ended December 31, 2024 and 2023, we reported diluted earnings (loss) per share of $(51.23) and $42.08, respectively.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expenses increased to 51.0% of revenues for the year ended December 31, 2024 compared to 47.3% during the similar period in 2023, primarily due to an increase in volume. Vehicle depreciation and lease charges increased to 25.2% of revenues for the year ended December 31, 2024 compared to 14.5% during the similar period in 2023, primarily driven by higher per-unit fleet costs; adjusted depreciation on our rental fleet following a change in our fleet strategy, whereby we have accelerated certain fleet rotations and shortened the useful life associated with such vehicles; and a decrease in the gain on sale of vehicles. Selling, general and administrative costs were 11.5% of revenues for the year ended December 31, 2024 compared to 11.7% during the similar period in 2023. Vehicle interest costs increased to 8.0% of revenues for the year ended December 31, 2024, compared to 6.1% during the similar period in 2023, primarily due to rising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3"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Following is a more detailed discussion of the results of each of our reportable segments, corporate and other, and reconciliation of net income to Adjusted EBITDA:</w:t>
      </w:r>
    </w:p>
    <w:tbl>
      <w:tblPr>
        <w:tblW w:w="10205" w:type="dxa"/>
        <w:jc w:val="left"/>
        <w:tblInd w:w="0" w:type="dxa"/>
        <w:tblLayout w:type="fixed"/>
        <w:tblCellMar>
          <w:top w:w="28" w:type="dxa"/>
          <w:left w:w="28" w:type="dxa"/>
          <w:bottom w:w="28" w:type="dxa"/>
          <w:right w:w="28" w:type="dxa"/>
        </w:tblCellMar>
      </w:tblPr>
      <w:tblGrid>
        <w:gridCol w:w="1583"/>
        <w:gridCol w:w="1292"/>
        <w:gridCol w:w="1298"/>
        <w:gridCol w:w="211"/>
        <w:gridCol w:w="721"/>
        <w:gridCol w:w="109"/>
        <w:gridCol w:w="109"/>
        <w:gridCol w:w="109"/>
        <w:gridCol w:w="109"/>
        <w:gridCol w:w="307"/>
        <w:gridCol w:w="996"/>
        <w:gridCol w:w="158"/>
        <w:gridCol w:w="109"/>
        <w:gridCol w:w="109"/>
        <w:gridCol w:w="109"/>
        <w:gridCol w:w="211"/>
        <w:gridCol w:w="721"/>
        <w:gridCol w:w="109"/>
        <w:gridCol w:w="109"/>
        <w:gridCol w:w="109"/>
        <w:gridCol w:w="109"/>
        <w:gridCol w:w="323"/>
        <w:gridCol w:w="945"/>
        <w:gridCol w:w="240"/>
      </w:tblGrid>
      <w:tr>
        <w:trPr/>
        <w:tc>
          <w:tcPr>
            <w:tcW w:w="1583"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Adjusted EBITDA</w:t>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International</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Corporate and other </w:t>
            </w:r>
            <w:r>
              <w:rPr>
                <w:rFonts w:ascii="Arial;sans-serif" w:hAnsi="Arial;sans-serif"/>
                <w:b w:val="false"/>
                <w:color w:val="000000"/>
                <w:sz w:val="12"/>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company</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Reconciliation of net income (loss) to Adjusted EBITDA</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for (benefit from)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(2,627)</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1,914 </w:t>
            </w:r>
          </w:p>
        </w:tc>
        <w:tc>
          <w:tcPr>
            <w:tcW w:w="2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related to corporate debt, net: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Long-lived asset impairment and other related charges</w:t>
            </w:r>
            <w:r>
              <w:rPr>
                <w:color w:val="000000"/>
              </w:rPr>
              <w:t xml:space="preserve"> </w:t>
            </w:r>
            <w:r>
              <w:rPr>
                <w:rFonts w:ascii="Arial;sans-serif" w:hAnsi="Arial;sans-serif"/>
                <w:b w:val="false"/>
                <w:color w:val="000000"/>
                <w:sz w:val="12"/>
              </w:rPr>
              <w:t>(b)</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related charges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Transaction-related costs, net</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(income) expense, net </w:t>
            </w:r>
            <w:r>
              <w:rPr>
                <w:rFonts w:ascii="Arial;sans-serif" w:hAnsi="Arial;sans-serif"/>
                <w:b w:val="false"/>
                <w:color w:val="000000"/>
                <w:sz w:val="12"/>
              </w:rPr>
              <w:t>(c)</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Legal matters, net </w:t>
            </w:r>
            <w:r>
              <w:rPr>
                <w:rFonts w:ascii="Arial;sans-serif" w:hAnsi="Arial;sans-serif"/>
                <w:b w:val="false"/>
                <w:color w:val="000000"/>
                <w:sz w:val="12"/>
              </w:rPr>
              <w:t>(d)</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Cloud computing costs </w:t>
            </w:r>
            <w:r>
              <w:rPr>
                <w:rFonts w:ascii="Arial;sans-serif" w:hAnsi="Arial;sans-serif"/>
                <w:b w:val="false"/>
                <w:color w:val="000000"/>
                <w:sz w:val="12"/>
              </w:rPr>
              <w:t>(e)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Severe weather-related damages, net </w:t>
            </w:r>
            <w:r>
              <w:rPr>
                <w:rFonts w:ascii="Arial;sans-serif" w:hAnsi="Arial;sans-serif"/>
                <w:b w:val="false"/>
                <w:color w:val="000000"/>
                <w:sz w:val="12"/>
              </w:rPr>
              <w:t>(e)</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Includes unallocated corporate expenses which are not attributable to a particular segment.</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Includes an impairment charge of approximately $2.3 billion related to the acceleration of the rotation of our fleet and a charge of $180 million related to the write-down of the carrying value of certain vehicles held for sale within our Americas reportable segment. See Note 2 – Summary of Significant Accounting Policies – Impairment of Long-Lived Assets to our Consolidated Financial Statements.</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(c)</w:t>
      </w:r>
      <w:r>
        <w:rPr>
          <w:rFonts w:ascii="Arial;sans-serif" w:hAnsi="Arial;sans-serif"/>
          <w:b w:val="false"/>
          <w:color w:val="000000"/>
          <w:sz w:val="16"/>
        </w:rPr>
        <w:t>Primarily consists of gains or losses related to our equity method investment in a former subsidiary, offset by fleet related and certain administrative services provided to the same former subsidiary.</w:t>
      </w:r>
    </w:p>
    <w:p>
      <w:pPr>
        <w:pStyle w:val="TextBody"/>
        <w:bidi w:val="0"/>
        <w:spacing w:lineRule="auto" w:line="288"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Includes $4 million reported within selling, general and administrative expenses for the year ended December 31, 2024 and $60 million and $5 million reported within operating expenses in the years ended December 31, 2024 and 2023, respectively. The $60 million recorded within operating expenses for the year ended December 31, 2024 includes $46 million relating to our self-insurance reserves for allocated loss adjustment expense.</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(e)</w:t>
      </w:r>
      <w:r>
        <w:rPr>
          <w:rFonts w:ascii="Arial;sans-serif" w:hAnsi="Arial;sans-serif"/>
          <w:b w:val="false"/>
          <w:color w:val="000000"/>
          <w:sz w:val="16"/>
          <w:shd w:fill="FFFFFF" w:val="clear"/>
        </w:rPr>
        <w:t>Reported within operating expenses.</w:t>
      </w:r>
    </w:p>
    <w:p>
      <w:pPr>
        <w:pStyle w:val="TextBody"/>
        <w:bidi w:val="0"/>
        <w:spacing w:before="0" w:after="0"/>
        <w:jc w:val="both"/>
        <w:rPr/>
      </w:pPr>
      <w:r>
        <w:rPr/>
      </w:r>
    </w:p>
    <w:p>
      <w:pPr>
        <w:pStyle w:val="TextBody"/>
        <w:bidi w:val="0"/>
        <w:spacing w:before="180" w:after="283"/>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Americas</w:t>
      </w:r>
    </w:p>
    <w:tbl>
      <w:tblPr>
        <w:tblW w:w="5346" w:type="dxa"/>
        <w:jc w:val="left"/>
        <w:tblInd w:w="0" w:type="dxa"/>
        <w:tblLayout w:type="fixed"/>
        <w:tblCellMar>
          <w:top w:w="28" w:type="dxa"/>
          <w:left w:w="28" w:type="dxa"/>
          <w:bottom w:w="28" w:type="dxa"/>
          <w:right w:w="28" w:type="dxa"/>
        </w:tblCellMar>
      </w:tblPr>
      <w:tblGrid>
        <w:gridCol w:w="603"/>
        <w:gridCol w:w="529"/>
        <w:gridCol w:w="532"/>
        <w:gridCol w:w="211"/>
        <w:gridCol w:w="646"/>
        <w:gridCol w:w="109"/>
        <w:gridCol w:w="109"/>
        <w:gridCol w:w="109"/>
        <w:gridCol w:w="109"/>
        <w:gridCol w:w="211"/>
        <w:gridCol w:w="646"/>
        <w:gridCol w:w="109"/>
        <w:gridCol w:w="109"/>
        <w:gridCol w:w="109"/>
        <w:gridCol w:w="109"/>
        <w:gridCol w:w="217"/>
        <w:gridCol w:w="217"/>
        <w:gridCol w:w="66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before="0" w:after="0"/>
        <w:ind w:left="0" w:right="0" w:hanging="36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Revenues decreased for the year ended December 31, 2024 compared to the similar period in 2023, primarily due to a 3% decrease in revenue per day, excluding exchange rate effects and a $8 million negative impact from currency exchange rate movements, partially offset by a 1% increase in volume.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4"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Arial;sans-serif" w:hAnsi="Arial;sans-serif"/>
          <w:b w:val="false"/>
          <w:color w:val="000000"/>
          <w:sz w:val="20"/>
        </w:rPr>
        <w:t>Operating expenses increased to 51.2% of revenues for the year ended December 31, 2024 compared to 47.4% during the similar period in 2023, primarily due to an increase in volume. Vehicle depreciation and lease charges increased to 25.3% of revenues for the year ended December 31, 2024 compared to 13.0% during the similar period in 2023, primarily driven by higher per-unit fleet costs; adjusted depreciation on our rental fleet following a change in our fleet strategy, whereby we have accelerated certain fleet rotations and shortened the useful life associated with such vehicles; and a decrease in the gain on sale of vehicles.</w:t>
      </w:r>
      <w:r>
        <w:rPr>
          <w:color w:val="000000"/>
          <w:shd w:fill="FFFFFF" w:val="clear"/>
        </w:rPr>
        <w:t xml:space="preserve"> </w:t>
      </w:r>
      <w:r>
        <w:rPr>
          <w:rFonts w:ascii="Arial;sans-serif" w:hAnsi="Arial;sans-serif"/>
          <w:b w:val="false"/>
          <w:color w:val="000000"/>
          <w:sz w:val="20"/>
          <w:shd w:fill="FFFFFF" w:val="clear"/>
        </w:rPr>
        <w:t>Selling, general and administrative costs were</w:t>
      </w:r>
      <w:r>
        <w:rPr>
          <w:color w:val="000000"/>
        </w:rPr>
        <w:t xml:space="preserve"> </w:t>
      </w:r>
      <w:r>
        <w:rPr>
          <w:rFonts w:ascii="Arial;sans-serif" w:hAnsi="Arial;sans-serif"/>
          <w:b w:val="false"/>
          <w:color w:val="000000"/>
          <w:sz w:val="20"/>
        </w:rPr>
        <w:t>9.5%</w:t>
      </w:r>
      <w:r>
        <w:rPr>
          <w:color w:val="000000"/>
          <w:shd w:fill="FFFFFF" w:val="clear"/>
        </w:rPr>
        <w:t xml:space="preserve"> </w:t>
      </w:r>
      <w:r>
        <w:rPr>
          <w:rFonts w:ascii="Arial;sans-serif" w:hAnsi="Arial;sans-serif"/>
          <w:b w:val="false"/>
          <w:color w:val="000000"/>
          <w:sz w:val="20"/>
          <w:shd w:fill="FFFFFF" w:val="clear"/>
        </w:rPr>
        <w:t xml:space="preserve">of revenues for the year ended December 31, 2024 compared to </w:t>
      </w:r>
      <w:r>
        <w:rPr>
          <w:rFonts w:ascii="Arial;sans-serif" w:hAnsi="Arial;sans-serif"/>
          <w:b w:val="false"/>
          <w:color w:val="000000"/>
          <w:sz w:val="20"/>
        </w:rPr>
        <w:t>9.6%</w:t>
      </w:r>
      <w:r>
        <w:rPr>
          <w:color w:val="000000"/>
          <w:shd w:fill="FFFFFF" w:val="clear"/>
        </w:rPr>
        <w:t xml:space="preserve"> </w:t>
      </w:r>
      <w:r>
        <w:rPr>
          <w:rFonts w:ascii="Arial;sans-serif" w:hAnsi="Arial;sans-serif"/>
          <w:b w:val="false"/>
          <w:color w:val="000000"/>
          <w:sz w:val="20"/>
          <w:shd w:fill="FFFFFF" w:val="clear"/>
        </w:rPr>
        <w:t>during the similar period in 2023</w:t>
      </w:r>
      <w:r>
        <w:rPr>
          <w:rFonts w:ascii="Arial;sans-serif" w:hAnsi="Arial;sans-serif"/>
          <w:b w:val="false"/>
          <w:color w:val="000000"/>
          <w:sz w:val="20"/>
        </w:rPr>
        <w:t>. Vehicle interest costs increased to 8.6% of revenues for the year ended December 31, 2024 compared to 6.6% during the similar period in 2023, primarily due to rising interest rates.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Adjusted EBITDA decreased for the year ended December 31, 2024 compared to the similar period in 2023, primarily due to higher per-unit fleet costs, interest costs, and </w:t>
      </w:r>
      <w:r>
        <w:rPr>
          <w:rFonts w:ascii="Arial;sans-serif" w:hAnsi="Arial;sans-serif"/>
          <w:b w:val="false"/>
          <w:color w:val="000000"/>
          <w:sz w:val="20"/>
          <w:shd w:fill="FFFFFF" w:val="clear"/>
        </w:rPr>
        <w:t xml:space="preserve">a $2 million </w:t>
      </w:r>
      <w:r>
        <w:rPr>
          <w:rFonts w:ascii="Arial;sans-serif" w:hAnsi="Arial;sans-serif"/>
          <w:b w:val="false"/>
          <w:color w:val="000000"/>
          <w:sz w:val="20"/>
        </w:rPr>
        <w:t>negative impact from currency exchange rate movements.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International</w:t>
      </w:r>
    </w:p>
    <w:tbl>
      <w:tblPr>
        <w:tblW w:w="5346" w:type="dxa"/>
        <w:jc w:val="left"/>
        <w:tblInd w:w="0" w:type="dxa"/>
        <w:tblLayout w:type="fixed"/>
        <w:tblCellMar>
          <w:top w:w="28" w:type="dxa"/>
          <w:left w:w="28" w:type="dxa"/>
          <w:bottom w:w="28" w:type="dxa"/>
          <w:right w:w="28" w:type="dxa"/>
        </w:tblCellMar>
      </w:tblPr>
      <w:tblGrid>
        <w:gridCol w:w="603"/>
        <w:gridCol w:w="529"/>
        <w:gridCol w:w="532"/>
        <w:gridCol w:w="211"/>
        <w:gridCol w:w="646"/>
        <w:gridCol w:w="109"/>
        <w:gridCol w:w="109"/>
        <w:gridCol w:w="109"/>
        <w:gridCol w:w="109"/>
        <w:gridCol w:w="211"/>
        <w:gridCol w:w="646"/>
        <w:gridCol w:w="109"/>
        <w:gridCol w:w="109"/>
        <w:gridCol w:w="109"/>
        <w:gridCol w:w="109"/>
        <w:gridCol w:w="217"/>
        <w:gridCol w:w="217"/>
        <w:gridCol w:w="662"/>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Revenues increased for the year ended December 31, 2024 compared to the similar period in 2023, primarily due to a 4% increase in volume, partially offset by a 3% decrease in revenue per day, excluding exchange rate effects and a $1 million negative impact from currency exchange rate movements.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Operating expenses increased to 48.3% of revenues for the year ended December 31, 2024 compared to 45.6% during the similar period in 2023, primarily due to an increase in volume. Vehicle depreciation and lease charges increased to 25.2% of revenues for the year ended December 31, 2024 compared to 19.7% during the similar period in 2023, primarily due to increased per-unit fleet costs, increased depreciation rates, and a decrease in the gain on sale of vehicles. Selling, general and administrative costs were 15.3% of revenues for the year ended December 31, 2024 compared to 15.4% during the similar period in 2023. Vehicle interest costs increased to 5.7% of revenues for the year ended December 31, 2024 compared to 4.4% during the similar period in 2023, primarily due to rising interest rates.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decreased for the year ended December 31, 2024 compared to the similar period in 2023, primarily due to higher per-unit fleet and interest costs, and a $13 million negative impact from currency exchange rate movements.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Corporate and Other</w:t>
      </w:r>
    </w:p>
    <w:tbl>
      <w:tblPr>
        <w:tblW w:w="4743" w:type="dxa"/>
        <w:jc w:val="left"/>
        <w:tblInd w:w="0" w:type="dxa"/>
        <w:tblLayout w:type="fixed"/>
        <w:tblCellMar>
          <w:top w:w="28" w:type="dxa"/>
          <w:left w:w="28" w:type="dxa"/>
          <w:bottom w:w="28" w:type="dxa"/>
          <w:right w:w="28" w:type="dxa"/>
        </w:tblCellMar>
      </w:tblPr>
      <w:tblGrid>
        <w:gridCol w:w="603"/>
        <w:gridCol w:w="530"/>
        <w:gridCol w:w="532"/>
        <w:gridCol w:w="218"/>
        <w:gridCol w:w="218"/>
        <w:gridCol w:w="176"/>
        <w:gridCol w:w="109"/>
        <w:gridCol w:w="109"/>
        <w:gridCol w:w="109"/>
        <w:gridCol w:w="269"/>
        <w:gridCol w:w="271"/>
        <w:gridCol w:w="176"/>
        <w:gridCol w:w="109"/>
        <w:gridCol w:w="109"/>
        <w:gridCol w:w="109"/>
        <w:gridCol w:w="321"/>
        <w:gridCol w:w="321"/>
        <w:gridCol w:w="4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r>
    </w:tbl>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increased for the year ended December 31, 2024 compared to the similar period in 2023, primarily due to decreased selling, general and administrative expenses, which are not attributable to a particular segment.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5"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tbl>
      <w:tblPr>
        <w:tblW w:w="6089" w:type="dxa"/>
        <w:jc w:val="left"/>
        <w:tblInd w:w="0" w:type="dxa"/>
        <w:tblLayout w:type="fixed"/>
        <w:tblCellMar>
          <w:top w:w="28" w:type="dxa"/>
          <w:left w:w="28" w:type="dxa"/>
          <w:bottom w:w="28" w:type="dxa"/>
          <w:right w:w="28" w:type="dxa"/>
        </w:tblCellMar>
      </w:tblPr>
      <w:tblGrid>
        <w:gridCol w:w="1950"/>
        <w:gridCol w:w="1714"/>
        <w:gridCol w:w="2425"/>
      </w:tblGrid>
      <w:tr>
        <w:trPr/>
        <w:tc>
          <w:tcPr>
            <w:tcW w:w="1950"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000000"/>
              <w:left w:val="single" w:sz="8" w:space="0" w:color="000000"/>
              <w:bottom w:val="single" w:sz="8" w:space="0" w:color="000000"/>
              <w:right w:val="single" w:sz="8" w:space="0" w:color="000000"/>
            </w:tcBorders>
            <w:shd w:fill="DDDDDD"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FINANCIAL CONDITION, LIQUIDITY AND CAPITAL RESOURCES</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bidi w:val="0"/>
        <w:spacing w:lineRule="auto" w:line="288" w:before="180" w:after="120"/>
        <w:jc w:val="left"/>
        <w:rPr>
          <w:rFonts w:ascii="Arial;sans-serif" w:hAnsi="Arial;sans-serif"/>
          <w:b/>
          <w:color w:val="000000"/>
          <w:sz w:val="20"/>
          <w:u w:val="single"/>
        </w:rPr>
      </w:pPr>
      <w:r>
        <w:rPr>
          <w:rFonts w:ascii="Arial;sans-serif" w:hAnsi="Arial;sans-serif"/>
          <w:b/>
          <w:color w:val="000000"/>
          <w:sz w:val="20"/>
          <w:u w:val="single"/>
        </w:rPr>
        <w:t>FINANCIAL CONDITION</w:t>
      </w:r>
    </w:p>
    <w:tbl>
      <w:tblPr>
        <w:tblW w:w="8840" w:type="dxa"/>
        <w:jc w:val="left"/>
        <w:tblInd w:w="0" w:type="dxa"/>
        <w:tblLayout w:type="fixed"/>
        <w:tblCellMar>
          <w:top w:w="28" w:type="dxa"/>
          <w:left w:w="28" w:type="dxa"/>
          <w:bottom w:w="28" w:type="dxa"/>
          <w:right w:w="28" w:type="dxa"/>
        </w:tblCellMar>
      </w:tblPr>
      <w:tblGrid>
        <w:gridCol w:w="1942"/>
        <w:gridCol w:w="1708"/>
        <w:gridCol w:w="1720"/>
        <w:gridCol w:w="211"/>
        <w:gridCol w:w="646"/>
        <w:gridCol w:w="109"/>
        <w:gridCol w:w="109"/>
        <w:gridCol w:w="109"/>
        <w:gridCol w:w="109"/>
        <w:gridCol w:w="211"/>
        <w:gridCol w:w="646"/>
        <w:gridCol w:w="109"/>
        <w:gridCol w:w="109"/>
        <w:gridCol w:w="109"/>
        <w:gridCol w:w="109"/>
        <w:gridCol w:w="253"/>
        <w:gridCol w:w="452"/>
        <w:gridCol w:w="179"/>
      </w:tblGrid>
      <w:tr>
        <w:trPr/>
        <w:tc>
          <w:tcPr>
            <w:tcW w:w="194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 exclusive of assets under vehicle programs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exclusive of liabilities under vehicle programs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under vehicle programs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assets exclusive of assets under vehicle programs compared to 2023 is principally related to the increase in operating lease right-of-use assets. See Note 3 – Leases to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liabilities exclusive of liabilities under vehicle programs compared to 2023 is principally related to the increase in operating lease liabilities and corporate indebtedness from the issuance of senior notes. See “Liquidity and Capital Resources,” Note 3 – Leases and Note 13 – Long-term Corporate Debt and Borrowing Arrangements to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decreases in assets and liabilities under vehicle programs are principally related to the decrease in the size and value of our vehicle rental fleet.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stockholders’ equity compared to 2023 is principally related to our comprehensive loss.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u w:val="single"/>
        </w:rPr>
      </w:pPr>
      <w:r>
        <w:rPr>
          <w:rFonts w:ascii="Arial;sans-serif" w:hAnsi="Arial;sans-serif"/>
          <w:b/>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Our principal sources of liquidity are cash on hand and our ability to generate cash through operations and financing activities, as well as available funding arrangements and committed credit facilities, each of which is discussed below.</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2024, we issued €600 million of 7.000% euro-denominated Senior Notes due February 2029, at par, with interest payable semi-annually. In April 2024, we used net proceeds from the offering to redeem all of our outstanding 4.750% euro-denominated Senior Notes due January 2026 plus accrued interest, with the remainder being used for general corporate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May 2024, we issued an additional €200 million 7.250% euro-denominated Senior Notes due July 2030, at 100.25% of their face value, with interest payable semi-annually. Net proceeds from the offering were used for general corporate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2024, we issued $700 million of 8.250% Senior Notes due January 2030, at par, with interest payable semi-annually. In October 2024, we used net proceeds from the offering to repay the outstanding borrowings under our floating rate term loan due 2029, with the remainder being used to repay maturing vehicle-backed debt and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6"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2025, we borrowed $500 million under a floating rate term loan due December 2025, which is part of our senior revolving credit facilities.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2024, our Avis Budget Rental Car Funding (AESOP) subsidiary issued approximately $2.8 billion of asset-backed notes with expected final payment dates ranging from February 2026 to December 2029, and a weighted average interest rate of 6.04%. Avis Budget Rental Car Funding (AESOP) has also amended and extended its asset-backed variable-funding financing facilities, most recently in December 2024. The proceeds from these borrowings were used to fund the repayment of maturing vehicle-backed debt and the acquisition of rental cars in the United States.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January 2025, our Avis Budget Rental Car Funding (AESOP) LLC subsidiary issued an additional $358 million of asset-backed notes to investors with expected final payment dates ranging from August 2027 to February 2029 and a weighted average interest rate of 8.01%. These notes were issued under previously outstanding series of debt. The proceeds from these borrowings were used to fund the repayment of maturing vehicle-backed debt and the acquisition of rental cars in the United States.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February 2024, we amended our European rental fleet securitization program to increase its capacity from €1.7 billion to €1.9 billion, to add £200 million to our capacity within the program, and to extend the maturity of the program from 2024 to 2026. The program is used to finance fleet purchases for certain of our European operations.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262626"/>
          <w:sz w:val="20"/>
        </w:rPr>
        <w:t xml:space="preserve">Our Board of Directors has authorized the repurchase of up to approximately </w:t>
      </w:r>
      <w:r>
        <w:rPr>
          <w:rFonts w:ascii="Arial;sans-serif" w:hAnsi="Arial;sans-serif"/>
          <w:b w:val="false"/>
          <w:color w:val="000000"/>
          <w:sz w:val="20"/>
        </w:rPr>
        <w:t>$8.1 billion</w:t>
      </w:r>
      <w:r>
        <w:rPr>
          <w:color w:val="262626"/>
        </w:rPr>
        <w:t xml:space="preserve"> </w:t>
      </w:r>
      <w:r>
        <w:rPr>
          <w:rFonts w:ascii="Arial;sans-serif" w:hAnsi="Arial;sans-serif"/>
          <w:b w:val="false"/>
          <w:color w:val="262626"/>
          <w:sz w:val="20"/>
        </w:rPr>
        <w:t>of our common stock under a plan originally approved in 2013 and subsequently expanded, most recently in February 2023 (the “Stock Repurchase Program”).</w:t>
      </w:r>
      <w:r>
        <w:rPr>
          <w:color w:val="000000"/>
        </w:rPr>
        <w:t xml:space="preserve"> </w:t>
      </w:r>
      <w:r>
        <w:rPr>
          <w:rFonts w:ascii="Arial;sans-serif" w:hAnsi="Arial;sans-serif"/>
          <w:b w:val="false"/>
          <w:color w:val="000000"/>
          <w:sz w:val="20"/>
        </w:rPr>
        <w:t>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For the year ended December 31, 2024, we repurchased approximately 0.6 million shares of common stock at a cost of approximately $45 million (excluding excise taxes due under the Inflation Reduction Act of 2022) under the Stock Repurchase Program. As of December 31, 2024, approximately $757 million of authorization remained available to repurchase common stock under the Stock Repurchase Program.</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Cash Flows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Year Ended December 31, 2024 vs. Year Ended December 31, 2023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summarizes our cash flows:</w:t>
      </w:r>
    </w:p>
    <w:tbl>
      <w:tblPr>
        <w:tblW w:w="10205" w:type="dxa"/>
        <w:jc w:val="left"/>
        <w:tblInd w:w="0" w:type="dxa"/>
        <w:tblLayout w:type="fixed"/>
        <w:tblCellMar>
          <w:top w:w="28" w:type="dxa"/>
          <w:left w:w="28" w:type="dxa"/>
          <w:bottom w:w="28" w:type="dxa"/>
          <w:right w:w="28" w:type="dxa"/>
        </w:tblCellMar>
      </w:tblPr>
      <w:tblGrid>
        <w:gridCol w:w="2454"/>
        <w:gridCol w:w="2127"/>
        <w:gridCol w:w="2142"/>
        <w:gridCol w:w="211"/>
        <w:gridCol w:w="646"/>
        <w:gridCol w:w="109"/>
        <w:gridCol w:w="109"/>
        <w:gridCol w:w="109"/>
        <w:gridCol w:w="109"/>
        <w:gridCol w:w="211"/>
        <w:gridCol w:w="646"/>
        <w:gridCol w:w="109"/>
        <w:gridCol w:w="109"/>
        <w:gridCol w:w="109"/>
        <w:gridCol w:w="109"/>
        <w:gridCol w:w="211"/>
        <w:gridCol w:w="529"/>
        <w:gridCol w:w="156"/>
      </w:tblGrid>
      <w:tr>
        <w:trPr/>
        <w:tc>
          <w:tcPr>
            <w:tcW w:w="2454"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7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Change</w:t>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provided by (used in):</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(310)</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Effect of changes in exchange rates on cash and cash equivalents, program and restricted cash</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change in cash and cash equivalents, program and restricted cash</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program and restricted cash, beginning of period</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Cash and cash equivalents, program and restricted cash, end of period</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provided by operating activities during 2024 compared with 2023 is primarily due to the decrease in our net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7"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decrease in cash used in investing activities during 2024 compared with 2023 is primarily due to the decrease in our net investment in vehicles.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increase in cash used in financing activities during 2024 compared with 2023 is primarily due to the increase in our net payments under vehicle programs, partially offset by the decrease in our common stock repurchases and the increase in our net corporate borrowings.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anticipate that our non-vehicle property and equipment additions will be approximately $225 million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Debt and Financing Arrangements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At December 31, 2024, we had approximatel</w:t>
      </w:r>
      <w:r>
        <w:rPr>
          <w:rFonts w:ascii="Arial;sans-serif" w:hAnsi="Arial;sans-serif"/>
          <w:b w:val="false"/>
          <w:color w:val="000000"/>
          <w:sz w:val="20"/>
          <w:shd w:fill="FFFFFF" w:val="clear"/>
        </w:rPr>
        <w:t>y $22.9 billion of indebtedness (including corporate indebtedness of approximately $5.4 billion and debt under vehicle programs of approximately $17.5 billion). For information regarding our debt and borrowing arrangements, see Note 1 – Basis of Presentation, Note 13 – Long-term Corporate Debt and Borrowing Arrangements, and Note 14 – Debt Under Vehicle Programs and Borrowing Arrangements</w:t>
      </w:r>
      <w:r>
        <w:rPr>
          <w:color w:val="000000"/>
        </w:rPr>
        <w:t xml:space="preserve"> </w:t>
      </w:r>
      <w:r>
        <w:rPr>
          <w:rFonts w:ascii="Arial;sans-serif" w:hAnsi="Arial;sans-serif"/>
          <w:b w:val="false"/>
          <w:color w:val="000000"/>
          <w:sz w:val="20"/>
        </w:rPr>
        <w:t xml:space="preserve">to our Consolidated Financial Statements. </w:t>
      </w:r>
    </w:p>
    <w:tbl>
      <w:tblPr>
        <w:tblW w:w="1724" w:type="dxa"/>
        <w:jc w:val="left"/>
        <w:tblInd w:w="0" w:type="dxa"/>
        <w:tblLayout w:type="fixed"/>
        <w:tblCellMar>
          <w:top w:w="28" w:type="dxa"/>
          <w:left w:w="28" w:type="dxa"/>
          <w:bottom w:w="28" w:type="dxa"/>
          <w:right w:w="28" w:type="dxa"/>
        </w:tblCellMar>
      </w:tblPr>
      <w:tblGrid>
        <w:gridCol w:w="551"/>
        <w:gridCol w:w="485"/>
        <w:gridCol w:w="688"/>
      </w:tblGrid>
      <w:tr>
        <w:trPr/>
        <w:tc>
          <w:tcPr>
            <w:tcW w:w="5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op w:val="single" w:sz="8" w:space="0" w:color="000000"/>
              <w:left w:val="single" w:sz="8" w:space="0" w:color="000000"/>
              <w:bottom w:val="single" w:sz="8" w:space="0" w:color="000000"/>
              <w:right w:val="single" w:sz="8" w:space="0" w:color="000000"/>
            </w:tcBorders>
            <w:shd w:fill="DDDDDD" w:val="clear"/>
            <w:tcMar>
              <w:top w:w="30" w:type="dxa"/>
              <w:bottom w:w="30" w:type="dxa"/>
            </w:tcMar>
            <w:vAlign w:val="center"/>
          </w:tcPr>
          <w:p>
            <w:pPr>
              <w:pStyle w:val="TableContents"/>
              <w:bidi w:val="0"/>
              <w:spacing w:lineRule="auto" w:line="240" w:before="0" w:after="0"/>
              <w:jc w:val="left"/>
              <w:rPr/>
            </w:pPr>
            <w:r>
              <w:rPr>
                <w:color w:val="000000"/>
                <w:shd w:fill="DDDDDD" w:val="clear"/>
              </w:rPr>
              <w:t> </w:t>
            </w:r>
            <w:r>
              <w:rPr>
                <w:rFonts w:ascii="Arial;sans-serif" w:hAnsi="Arial;sans-serif"/>
                <w:b/>
                <w:color w:val="000000"/>
                <w:sz w:val="20"/>
                <w:shd w:fill="DDDDDD" w:val="clear"/>
              </w:rPr>
              <w:t>LIQUIDITY RISK</w:t>
            </w:r>
          </w:p>
        </w:tc>
      </w:tr>
    </w:tbl>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Our liquidity has in the past been, and could in the future be, negatively affected by any financial market disruptions,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 vehicle market, (ii) increased costs associated with, and/or reduced capacity or increased collateral needs, including due to a decrease in the fair value of our fleet,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 (see Part I, Item 1A, “Risk Factors” for further discussion).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December 31, 2024, we had $534 million of available cash and cash equivalents and access to $503 million of available borrowing capacity under our revolving credit facility, providing us with access to approximately $1.0 billion of total liquidity. Including our uncommitted facilities, we had total liquidity of approximately $1.1 billion.</w:t>
      </w:r>
    </w:p>
    <w:p>
      <w:pPr>
        <w:pStyle w:val="TextBody"/>
        <w:bidi w:val="0"/>
        <w:spacing w:lineRule="auto" w:line="288" w:before="180" w:after="283"/>
        <w:jc w:val="both"/>
        <w:rPr/>
      </w:pPr>
      <w:r>
        <w:rPr>
          <w:rFonts w:ascii="Arial;sans-serif" w:hAnsi="Arial;sans-serif"/>
          <w:b w:val="false"/>
          <w:color w:val="000000"/>
          <w:sz w:val="20"/>
          <w:shd w:fill="FFFFFF" w:val="clear"/>
        </w:rPr>
        <w:t>Our liquidity position could also be negatively impacted if we are unable to remain in compliance with the consolidated first lien</w:t>
      </w:r>
      <w:r>
        <w:rPr>
          <w:color w:val="000000"/>
        </w:rPr>
        <w:t xml:space="preserve"> </w:t>
      </w:r>
      <w:r>
        <w:rPr>
          <w:rFonts w:ascii="Arial;sans-serif" w:hAnsi="Arial;sans-serif"/>
          <w:b w:val="false"/>
          <w:color w:val="000000"/>
          <w:sz w:val="20"/>
        </w:rPr>
        <w:t>leverage ratio requirement and other covenants associated with our senior credit facilities and other borrowings. As of December 31, 2024, we were in compliance with the financial covenants governing our indebtedness. For additional information regarding our liquidity risks, see Part I, 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CONTRACTUAL OBLIGATIONS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contractual obligations for material cash requirements from known contractual and other obligations as part of a liquidity and capital resources discussion, see Note 3 – Leases, Note 13 – Long-term Corporate Debt and Borrowing Arrangements, Note 14 – Debt Under Vehicle Programs and Borrowing Arrangements, and Note 15 – Commitments and Contingencies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8"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000000"/>
          <w:sz w:val="20"/>
          <w:u w:val="single"/>
        </w:rPr>
      </w:pPr>
      <w:r>
        <w:rPr>
          <w:rFonts w:ascii="Arial;sans-serif" w:hAnsi="Arial;sans-serif"/>
          <w:b/>
          <w:color w:val="000000"/>
          <w:sz w:val="20"/>
          <w:u w:val="single"/>
        </w:rPr>
        <w:t>CRITICAL ACCOUNTING ESTIMATES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Accounting Policies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below are those accounting policies that we believe require subjective and complex judgments that could potentially affect reported results. </w:t>
      </w:r>
    </w:p>
    <w:p>
      <w:pPr>
        <w:pStyle w:val="TextBody"/>
        <w:bidi w:val="0"/>
        <w:spacing w:lineRule="auto" w:line="288" w:before="180" w:after="283"/>
        <w:jc w:val="both"/>
        <w:rPr/>
      </w:pPr>
      <w:r>
        <w:rPr>
          <w:rFonts w:ascii="Arial;sans-serif" w:hAnsi="Arial;sans-serif"/>
          <w:b w:val="false"/>
          <w:i/>
          <w:color w:val="000000"/>
          <w:sz w:val="20"/>
        </w:rPr>
        <w:t>Goodwill and Other Indefinite-lived Intangible Assets. </w:t>
      </w:r>
      <w:r>
        <w:rPr>
          <w:rFonts w:ascii="Arial;sans-serif" w:hAnsi="Arial;sans-serif"/>
          <w:b w:val="false"/>
          <w:color w:val="000000"/>
          <w:sz w:val="20"/>
        </w:rPr>
        <w:t>We have reviewed the carrying value of our goodwill and other indefinite-lived intangible assets for impairment. In performing this review, we are required to make an assessment of fair value for our goodwill and other indefinite-lived intangible assets. When determining fair value, we utilize various assumptions, including the fair market trading price of our common stock and management’s projections of future cash flows, which include forecast of future revenue and Adjusted EBITDA. When appropriate, comparative market multiples and other factors are used to corroborate the discounted cash flow results. A change in these underlying assumptions will cause a change in the results of the tests and, as such, could cause the fair value to be less than the respective carrying amount. In such event, we would then be required to record a charge, which would impact earnings. We review the carrying value of goodwill and other indefinite-lived intangible assets for impairment annually or more frequently if circumstances indicate that an impairment may have occurred.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goodwill and other indefinite-lived intangible assets are allocated among our reporting units. During 2024, we recorded $28 million in long-lived asset impairment and other related charges for impairment of one of our unamortized indefinite-lived intangible assets. During 2024, there was no impairment of goodwill. During 2023, there was no impairment of goodwill and other indefinite-lived intangible assets.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See Note 2 – Summary of Significant Accounting Policies and Note 7 – Intangible Assets to our Consolidated Financial Statements for more information regarding our goodwill and other indefinite-lived intangible assets. </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Vehicles.</w:t>
      </w:r>
      <w:r>
        <w:rPr>
          <w:color w:val="000000"/>
        </w:rPr>
        <w:t> </w:t>
      </w:r>
      <w:r>
        <w:rPr>
          <w:rFonts w:ascii="Arial;sans-serif" w:hAnsi="Arial;sans-serif"/>
          <w:b w:val="false"/>
          <w:color w:val="000000"/>
          <w:sz w:val="20"/>
        </w:rPr>
        <w:t xml:space="preserve">We present vehicles at cost, net of accumulated depreciation, on the Consolidated Balance Sheets. We record the initial cost of the vehicle, net of incentives and allowances from manufacturers. We acquire our rental vehicles either through repurchase and guaranteed depreciation programs with certain automobile manufacturers or outside of such programs. For rental vehicles purchased under such programs, we depreciate the vehicles such that the net book value on the date of sale or return to the manufacturers is intended to equal the contractual guaranteed residual values. For risk vehicles acquired outside of manufacturer repurchase and guaranteed depreciation programs, we depreciate based on the vehicles’ estimated residual market values at their expected dates of disposition. The estimation of residual values requires us to make assumptions regarding the age and mileage of the vehicle at the time of disposal, as well as expected used vehicle market conditions. We regularly evaluate estimated residual values and adjusts depreciation rates as appropriate. Differences between actual residual values and those estimated result in a gain or loss on disposal and are recorded as part of vehicle depreciation and lease charges, net, at the time of sale.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2024, we recorded $2.5 billion in long-lived asset impairment and other related charges related to vehicles, including an approximately $2.3 billion impairment charge related to the acceleration of rotation of our fleet and shortened useful life associated with such vehicles. During 2023, there was no long-lived asset impairment and other related charges. See Note 2 – Summary of Significant Accounting Policies and Note 8 – Vehicle Rental Activities to our Consolidated Financial Statements for more information regarding our vehicles. For a discussion of risk factors and assumptions relative to our vehicle valuations, refer to Item 1A, “Risk Factors”, included under Part 1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59"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pPr>
      <w:r>
        <w:rPr>
          <w:rFonts w:ascii="Arial;sans-serif" w:hAnsi="Arial;sans-serif"/>
          <w:b w:val="false"/>
          <w:i/>
          <w:color w:val="000000"/>
          <w:sz w:val="20"/>
        </w:rPr>
        <w:t xml:space="preserve">Income Taxes. </w:t>
      </w:r>
      <w:r>
        <w:rPr>
          <w:rFonts w:ascii="Arial;sans-serif" w:hAnsi="Arial;sans-serif"/>
          <w:b w:val="false"/>
          <w:color w:val="000000"/>
          <w:sz w:val="20"/>
        </w:rPr>
        <w:t>We account for income taxes under the asset and liability method, which requires the recognition of deferred tax assets and liabilities for the expected future tax consequences of events that have been reflected in the financial statements. Under this method, deferred tax assets and liabilities are determined based on the differences between the financial statement and tax bases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record net deferred tax assets to the extent we believe these assets will more likely than not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deferred income tax assets in the future in excess of their net recorded amount, we would make an adjustment to the valuation allowance which would reduce the provision for income taxes. Currently we do not record valuation allowances on the majority of our tax loss carryforwards as there are adequate deferred tax liabilities that could be realized within the carryforward period.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See Note 2 – Summary of Significant Accounting Policies and Note 9 – Income Taxes to our Consolidated Financial Statements for more information regarding income taxes.</w:t>
      </w:r>
    </w:p>
    <w:p>
      <w:pPr>
        <w:pStyle w:val="TextBody"/>
        <w:bidi w:val="0"/>
        <w:spacing w:lineRule="auto" w:line="288" w:before="180" w:after="283"/>
        <w:jc w:val="both"/>
        <w:rPr/>
      </w:pPr>
      <w:r>
        <w:rPr>
          <w:rFonts w:ascii="Arial;sans-serif" w:hAnsi="Arial;sans-serif"/>
          <w:b w:val="false"/>
          <w:i/>
          <w:color w:val="000000"/>
          <w:sz w:val="20"/>
        </w:rPr>
        <w:t>Public Liability, Property Damage and Other Insurance Liabilities.</w:t>
      </w:r>
      <w:r>
        <w:rPr>
          <w:color w:val="000000"/>
        </w:rPr>
        <w:t> </w:t>
      </w:r>
      <w:r>
        <w:rPr>
          <w:rFonts w:ascii="Arial;sans-serif" w:hAnsi="Arial;sans-serif"/>
          <w:b w:val="false"/>
          <w:color w:val="000000"/>
          <w:sz w:val="20"/>
        </w:rPr>
        <w:t xml:space="preserve">Insurance liabilities on our Consolidated Balance Sheets include supplemental liability insurance, personal effects protection insurance, public liability, property damage and personal accident insurance claims for which we are self-insured. We estimate the required liability of such claims on an undiscounted basis utilizing an actuarial method that is based upon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See Note 2 – Summary of Significant Accounting Policies to our Consolidated Financial Statements for more information regarding public liability, property damage and other insurance liabilities.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Adoption of New Accounting Pronouncements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a description of our adoption of new accounting pronouncements and the impact thereof on our business, see Note 2 – Summary of Significant Accounting Policies to our Consolidated Financial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For a description of recently issued accounting pronouncements and the impact thereof on our business, see Note 2 – Summary of Significant Accounting Policies to our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009" w:type="dxa"/>
        <w:jc w:val="left"/>
        <w:tblInd w:w="0" w:type="dxa"/>
        <w:tblLayout w:type="fixed"/>
        <w:tblCellMar>
          <w:top w:w="28" w:type="dxa"/>
          <w:left w:w="28" w:type="dxa"/>
          <w:bottom w:w="28" w:type="dxa"/>
          <w:right w:w="28" w:type="dxa"/>
        </w:tblCellMar>
      </w:tblPr>
      <w:tblGrid>
        <w:gridCol w:w="2563"/>
        <w:gridCol w:w="2254"/>
        <w:gridCol w:w="3192"/>
      </w:tblGrid>
      <w:tr>
        <w:trPr/>
        <w:tc>
          <w:tcPr>
            <w:tcW w:w="2563"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192" w:type="dxa"/>
            <w:tcBorders/>
            <w:vAlign w:val="center"/>
          </w:tcPr>
          <w:p>
            <w:pPr>
              <w:pStyle w:val="TableContents"/>
              <w:bidi w:val="0"/>
              <w:spacing w:before="0" w:after="283"/>
              <w:jc w:val="left"/>
              <w:rPr>
                <w:sz w:val="4"/>
                <w:szCs w:val="4"/>
              </w:rPr>
            </w:pPr>
            <w:r>
              <w:rPr>
                <w:sz w:val="4"/>
                <w:szCs w:val="4"/>
              </w:rPr>
            </w:r>
          </w:p>
        </w:tc>
      </w:tr>
      <w:tr>
        <w:trPr/>
        <w:tc>
          <w:tcPr>
            <w:tcW w:w="8009" w:type="dxa"/>
            <w:gridSpan w:val="3"/>
            <w:tcBorders>
              <w:top w:val="single" w:sz="8" w:space="0" w:color="000000"/>
              <w:left w:val="single" w:sz="8" w:space="0" w:color="000000"/>
              <w:bottom w:val="single" w:sz="8" w:space="0" w:color="000000"/>
              <w:right w:val="single" w:sz="8" w:space="0" w:color="000000"/>
            </w:tcBorders>
            <w:shd w:fill="DDDDDD"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7A. QUANTITATIVE AND QUALITATIVE DISCLOSURES ABOUT MARKET RISK</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exposed to a variety of market risks, including changes in currency exchange rates, interest rates and fuel prices. We manage our exposure to market risks through our regular operating and financing activities and, when deemed appropriate, through the use of derivative financial instruments, particularly currency forward contracts to manage and reduce currency exchange rate risk; swap contracts, futures and options contracts, to manage and reduce the interest rate risk related to our debt; and derivative commodity instruments to manage and reduce the risk of changing unleaded fuel prices.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exclusively an end user of these instruments. We do not engage in trading, market-making or other speculative activities in the derivatives markets. We manage our exposure to counterparty credit risk related to our use of derivatives through specific minimum credit standards, diversification of counterparties, and procedures to monitor concentrations of credit risk. Our counterparties are substantial investment and commercial banks with significant experience providing such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0"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total market risk is influenced by a wide variety of factors including the volatility present within the markets and the liquidity of the markets. There are certain limitations inherent in the sensitivity analyses discussed below. These “shock tests” are constrained by several factors, including the necessity to conduct the analysis based on a single point in time and the inability to include the complex market reactions that normally would arise from the market shifts modeled. For additional information regarding our borrowings and financial instruments, see Note 13 – Long-term Corporate Debt and Borrowing Arrangements, Note 14 – Debt Under Vehicle Programs and Borrowing Arrangements and Note 20 – Financial Instruments to our Consolidated Financial Statements.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Currency Risk Management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have exposure to currency exchange rate fluctuations worldwide and particularly with respect to the Australian, Canadian and New Zealand dollars, the euro and British pound sterling. We use currency forward contracts and currency swap contracts to manage exchange rate risk that arises from certain intercompany transactions and from non-functional currency denominated assets and liabilities and earnings denominated in non-U.S. dollar currencies. Our currency forward contracts are often not designated as hedges and therefore changes in the fair value of these derivatives are recognized in earnings as they occur. We anticipate that such currency exchange rate risk will remain a market risk exposure for the foreseeable future.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assess our market risk based on changes in currency exchange rates utilizing a sensitivity analysis. The sensitivity analysis measures the potential impact on earnings, cash flows and fair values based on a hypothetical 10% appreciation or depreciation in the value of the underlying currencies being hedged, against the U.S. dollar at December 31, 2024. With all other variables held constant, a hypothetical 10% change (increase or decrease) in currency exchange rates would not have a material impact on our 2024 earnings. Because unrealized gains or losses related to foreign currency forward and swap contracts are expected to be offset by corresponding gains or losses on the underlying exposures being hedged, when combined, these foreign currency contracts and the offsetting underlying commitments do not create a material impact on our Consolidated Financial Statements.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Interest Rate Risk Management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primary interest rate exposure at December 31, 2024 was interest rate fluctuation in the United States due to its impact on variable rate borrowings and other interest rate sensitive liabilities. We use interest rate swaps and caps to manage our exposure to interest rate movements. We anticipate interest rate fluctuation will remain a primary market risk exposure for the foreseeable future.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assess our market risk based on changes in interest rates utilizing a sensitivity analysis. Based on our interest rate exposures and derivatives as of December 31, 2024, we estimate that a 10% change in interest rates would not have a material impact on our 2024 earnings. Because gains or losses related to interest rate derivatives are expected to be offset by corresponding gains or losses on the underlying exposures being hedged, when combined, these interest rate contracts and the offsetting underlying commitments do not create a material impact on our Consolidated Financial Statements.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Commodity Risk Management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have commodity price exposure related to fluctuations in the price of fuel. We anticipate that such commodity risk will remain a market risk exposure for the foreseeable future. We determined that a hypothetical 10% change in the price of fuel would not have a material impact on our earnings as of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85" w:type="dxa"/>
        <w:jc w:val="left"/>
        <w:tblInd w:w="0" w:type="dxa"/>
        <w:tblLayout w:type="fixed"/>
        <w:tblCellMar>
          <w:top w:w="28" w:type="dxa"/>
          <w:left w:w="28" w:type="dxa"/>
          <w:bottom w:w="28" w:type="dxa"/>
          <w:right w:w="28" w:type="dxa"/>
        </w:tblCellMar>
      </w:tblPr>
      <w:tblGrid>
        <w:gridCol w:w="2012"/>
        <w:gridCol w:w="1770"/>
        <w:gridCol w:w="2503"/>
      </w:tblGrid>
      <w:tr>
        <w:trPr/>
        <w:tc>
          <w:tcPr>
            <w:tcW w:w="2012"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8. FINANCIAL STATEMENTS AND SUPPLEMENTARY DATA</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Consolidated Financial Statements and Consolidated Financial Statement Index commencing on Page F-1 hereof.</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 CHANGES IN AND DISAGREEMENTS WITH ACCOUNTANTS ON ACCOUNTING AND FINANCIAL DISCLOSURE</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1"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4094" w:type="dxa"/>
        <w:jc w:val="left"/>
        <w:tblInd w:w="0" w:type="dxa"/>
        <w:tblLayout w:type="fixed"/>
        <w:tblCellMar>
          <w:top w:w="28" w:type="dxa"/>
          <w:left w:w="28" w:type="dxa"/>
          <w:bottom w:w="28" w:type="dxa"/>
          <w:right w:w="28" w:type="dxa"/>
        </w:tblCellMar>
      </w:tblPr>
      <w:tblGrid>
        <w:gridCol w:w="1310"/>
        <w:gridCol w:w="1153"/>
        <w:gridCol w:w="1631"/>
      </w:tblGrid>
      <w:tr>
        <w:trPr/>
        <w:tc>
          <w:tcPr>
            <w:tcW w:w="131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9A. CONTROLS AND PROCEDURES</w:t>
            </w:r>
          </w:p>
        </w:tc>
      </w:tr>
    </w:tbl>
    <w:p>
      <w:pPr>
        <w:pStyle w:val="TextBody"/>
        <w:bidi w:val="0"/>
        <w:spacing w:before="0" w:after="0"/>
        <w:ind w:left="0" w:right="0" w:hanging="360"/>
        <w:jc w:val="left"/>
        <w:rPr/>
      </w:pPr>
      <w:r>
        <w:rPr/>
      </w:r>
    </w:p>
    <w:p>
      <w:pPr>
        <w:pStyle w:val="TextBody"/>
        <w:bidi w:val="0"/>
        <w:spacing w:lineRule="auto" w:line="288" w:before="0" w:after="0"/>
        <w:ind w:left="0" w:right="0" w:hanging="360"/>
        <w:jc w:val="both"/>
        <w:rPr/>
      </w:pPr>
      <w:r>
        <w:rPr>
          <w:rFonts w:ascii="Arial;sans-serif" w:hAnsi="Arial;sans-serif"/>
          <w:b w:val="false"/>
          <w:color w:val="000000"/>
          <w:sz w:val="20"/>
        </w:rPr>
        <w:t>(a)    </w:t>
      </w:r>
      <w:r>
        <w:rPr>
          <w:rFonts w:ascii="Arial;sans-serif" w:hAnsi="Arial;sans-serif"/>
          <w:b w:val="false"/>
          <w:i/>
          <w:color w:val="000000"/>
          <w:sz w:val="20"/>
        </w:rPr>
        <w:t>Disclosure Controls and Procedures</w:t>
      </w:r>
      <w:r>
        <w:rPr>
          <w:rFonts w:ascii="Arial;sans-serif" w:hAnsi="Arial;sans-serif"/>
          <w:b w:val="false"/>
          <w:color w:val="000000"/>
          <w:sz w:val="20"/>
        </w:rPr>
        <w:t>. Under the supervision and with the participation of our Chief Executive Officer and Chief Financial 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the end of the period covered by this annual report.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(b)    </w:t>
      </w:r>
      <w:r>
        <w:rPr>
          <w:rFonts w:ascii="Arial;sans-serif" w:hAnsi="Arial;sans-serif"/>
          <w:b w:val="false"/>
          <w:i/>
          <w:color w:val="000000"/>
          <w:sz w:val="20"/>
        </w:rPr>
        <w:t>Management’s Annual Report on Internal Control Over Financial Reporting</w:t>
      </w:r>
      <w:r>
        <w:rPr>
          <w:rFonts w:ascii="Arial;sans-serif" w:hAnsi="Arial;sans-serif"/>
          <w:b w:val="false"/>
          <w:color w:val="000000"/>
          <w:sz w:val="20"/>
        </w:rPr>
        <w:t xml:space="preserve">. Our management is responsible for establishing and maintaining adequate internal control over financial reporting, as defined in Rules 13a-15(f) and 15d-15(f) under the Exchange Act. Our management assessed the effectiveness of our internal control over financial reporting as of December 31, 2024. In making this assessment, management used the criteria set forth by the Committee of Sponsoring Organizations of the Treadway Commission (COSO) in </w:t>
      </w:r>
      <w:r>
        <w:rPr>
          <w:rFonts w:ascii="Arial;sans-serif" w:hAnsi="Arial;sans-serif"/>
          <w:b w:val="false"/>
          <w:i/>
          <w:color w:val="000000"/>
          <w:sz w:val="20"/>
        </w:rPr>
        <w:t>Internal</w:t>
      </w:r>
      <w:r>
        <w:rPr>
          <w:color w:val="000000"/>
        </w:rPr>
        <w:t xml:space="preserve"> </w:t>
      </w:r>
      <w:r>
        <w:rPr>
          <w:rFonts w:ascii="Arial;sans-serif" w:hAnsi="Arial;sans-serif"/>
          <w:b w:val="false"/>
          <w:i/>
          <w:color w:val="000000"/>
          <w:sz w:val="20"/>
        </w:rPr>
        <w:t>Control - Integrated Framework (2013)</w:t>
      </w:r>
      <w:r>
        <w:rPr>
          <w:rFonts w:ascii="Arial;sans-serif" w:hAnsi="Arial;sans-serif"/>
          <w:b w:val="false"/>
          <w:color w:val="000000"/>
          <w:sz w:val="20"/>
        </w:rPr>
        <w:t>. Based on this assessment, our management believes that, as of December 31, 2024, our internal control over financial reporting was effective. The effectiveness of our internal control over financial reporting as of December 31, 2024 has been audited by Deloitte &amp; Touche LLP, an independent registered public accounting firm. Their attestation report is included below.</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Arial;sans-serif" w:hAnsi="Arial;sans-serif"/>
          <w:b w:val="false"/>
          <w:color w:val="000000"/>
          <w:sz w:val="20"/>
        </w:rPr>
        <w:t>(c)    </w:t>
      </w:r>
      <w:r>
        <w:rPr>
          <w:rFonts w:ascii="Arial;sans-serif" w:hAnsi="Arial;sans-serif"/>
          <w:b w:val="false"/>
          <w:i/>
          <w:color w:val="000000"/>
          <w:sz w:val="20"/>
        </w:rPr>
        <w:t>Changes in Internal Control Over Financial Reporting</w:t>
      </w:r>
      <w:r>
        <w:rPr>
          <w:rFonts w:ascii="Arial;sans-serif" w:hAnsi="Arial;sans-serif"/>
          <w:b w:val="false"/>
          <w:color w:val="000000"/>
          <w:sz w:val="20"/>
        </w:rPr>
        <w:t>. During the fourth quarter of 2024, there was no change in our internal control over financial reporting (as such term is defined in Rules 13a-15(f) and 15d-15(f) under the Exchange Act)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2"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To the Stockholders and the Board of Directors of</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Avis Budget Group, Inc.</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 xml:space="preserve">Parsippany, New Jersey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9"/>
        </w:rPr>
      </w:pPr>
      <w:r>
        <w:rPr>
          <w:rFonts w:ascii="Arial;sans-serif" w:hAnsi="Arial;sans-serif"/>
          <w:b/>
          <w:color w:val="000000"/>
          <w:sz w:val="19"/>
        </w:rPr>
        <w:t>Opinion on Internal Control over Financial Reporting</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19"/>
        </w:rPr>
        <w:t xml:space="preserve">We have audited the internal control over financial reporting of Avis Budget Group, Inc. and subsidiaries (the "Company") as of December 31, 2024, based on criteria established in </w:t>
      </w:r>
      <w:r>
        <w:rPr>
          <w:rFonts w:ascii="Arial;sans-serif" w:hAnsi="Arial;sans-serif"/>
          <w:b w:val="false"/>
          <w:i/>
          <w:color w:val="000000"/>
          <w:sz w:val="19"/>
        </w:rPr>
        <w:t>Internal Control — Integrated Framework (2013)</w:t>
      </w:r>
      <w:r>
        <w:rPr>
          <w:color w:val="000000"/>
        </w:rPr>
        <w:t xml:space="preserve"> </w:t>
      </w:r>
      <w:r>
        <w:rPr>
          <w:rFonts w:ascii="Arial;sans-serif" w:hAnsi="Arial;sans-serif"/>
          <w:b w:val="false"/>
          <w:color w:val="000000"/>
          <w:sz w:val="19"/>
        </w:rPr>
        <w:t xml:space="preserve">issued by the Committee of Sponsoring Organizations of the Treadway Commission (COSO). In our opinion, the Company maintained, in all material respects, effective internal control over financial reporting as of December 31, 2024, based on criteria established in </w:t>
      </w:r>
      <w:r>
        <w:rPr>
          <w:rFonts w:ascii="Arial;sans-serif" w:hAnsi="Arial;sans-serif"/>
          <w:b w:val="false"/>
          <w:i/>
          <w:color w:val="000000"/>
          <w:sz w:val="19"/>
        </w:rPr>
        <w:t>Internal Control — Integrated Framework (2013)</w:t>
      </w:r>
      <w:r>
        <w:rPr>
          <w:color w:val="000000"/>
        </w:rPr>
        <w:t xml:space="preserve"> </w:t>
      </w:r>
      <w:r>
        <w:rPr>
          <w:rFonts w:ascii="Arial;sans-serif" w:hAnsi="Arial;sans-serif"/>
          <w:b w:val="false"/>
          <w:color w:val="000000"/>
          <w:sz w:val="19"/>
        </w:rPr>
        <w:t>issued by COSO.</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also audited, in accordance with the standards of the Public Company Accounting Oversight Board (United States) (PCAOB), the consolidated financial statements as of and for the year ended December 31, 2024, of the Company and our report dated February 14, 2025, expressed an unqualified opinion on those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Basis for Opinion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19"/>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sans-serif" w:hAnsi="Arial;sans-serif"/>
          <w:b w:val="false"/>
          <w:i/>
          <w:color w:val="000000"/>
          <w:sz w:val="19"/>
        </w:rPr>
        <w:t>Management’s Annual Report on Internal Control over Financial Reporting</w:t>
      </w:r>
      <w:r>
        <w:rPr>
          <w:rFonts w:ascii="Arial;sans-serif" w:hAnsi="Arial;sans-serif"/>
          <w:b w:val="false"/>
          <w:color w:val="000000"/>
          <w:sz w:val="19"/>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Definition and Limitations of Internal Control over Financial Reporting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/s/ DELOITTE &amp; TOUCHE LLP</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New York, New York</w:t>
      </w:r>
    </w:p>
    <w:p>
      <w:pPr>
        <w:pStyle w:val="TextBody"/>
        <w:bidi w:val="0"/>
        <w:spacing w:lineRule="auto" w:line="288" w:before="0" w:after="0"/>
        <w:jc w:val="left"/>
        <w:rPr>
          <w:rFonts w:ascii="Arial;sans-serif" w:hAnsi="Arial;sans-serif"/>
          <w:b w:val="false"/>
          <w:color w:val="000000"/>
          <w:sz w:val="19"/>
        </w:rPr>
      </w:pPr>
      <w:r>
        <w:rPr>
          <w:rFonts w:ascii="Arial;sans-serif" w:hAnsi="Arial;sans-serif"/>
          <w:b w:val="false"/>
          <w:color w:val="000000"/>
          <w:sz w:val="19"/>
        </w:rPr>
        <w:t>February 14,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3"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3165" w:type="dxa"/>
        <w:jc w:val="left"/>
        <w:tblInd w:w="0" w:type="dxa"/>
        <w:tblLayout w:type="fixed"/>
        <w:tblCellMar>
          <w:top w:w="28" w:type="dxa"/>
          <w:left w:w="28" w:type="dxa"/>
          <w:bottom w:w="28" w:type="dxa"/>
          <w:right w:w="28" w:type="dxa"/>
        </w:tblCellMar>
      </w:tblPr>
      <w:tblGrid>
        <w:gridCol w:w="1013"/>
        <w:gridCol w:w="891"/>
        <w:gridCol w:w="1261"/>
      </w:tblGrid>
      <w:tr>
        <w:trPr/>
        <w:tc>
          <w:tcPr>
            <w:tcW w:w="10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9B. OTHER INFORMATION</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the quarter ended December 31, 2024, no director or Section 16 officer of the Company adopted or terminated a "Rule 10b5-1 trading arrangement" or "non-Rule 10b5-1 trading arrangement," as each term is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30" w:type="dxa"/>
        <w:jc w:val="left"/>
        <w:tblInd w:w="0" w:type="dxa"/>
        <w:tblLayout w:type="fixed"/>
        <w:tblCellMar>
          <w:top w:w="28" w:type="dxa"/>
          <w:left w:w="28" w:type="dxa"/>
          <w:bottom w:w="28" w:type="dxa"/>
          <w:right w:w="28" w:type="dxa"/>
        </w:tblCellMar>
      </w:tblPr>
      <w:tblGrid>
        <w:gridCol w:w="2889"/>
        <w:gridCol w:w="2542"/>
        <w:gridCol w:w="3599"/>
      </w:tblGrid>
      <w:tr>
        <w:trPr/>
        <w:tc>
          <w:tcPr>
            <w:tcW w:w="2889"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3599" w:type="dxa"/>
            <w:tcBorders/>
            <w:vAlign w:val="center"/>
          </w:tcPr>
          <w:p>
            <w:pPr>
              <w:pStyle w:val="TableContents"/>
              <w:bidi w:val="0"/>
              <w:spacing w:before="0" w:after="283"/>
              <w:jc w:val="left"/>
              <w:rPr>
                <w:sz w:val="4"/>
                <w:szCs w:val="4"/>
              </w:rPr>
            </w:pPr>
            <w:r>
              <w:rPr>
                <w:sz w:val="4"/>
                <w:szCs w:val="4"/>
              </w:rPr>
            </w:r>
          </w:p>
        </w:tc>
      </w:tr>
      <w:tr>
        <w:trPr/>
        <w:tc>
          <w:tcPr>
            <w:tcW w:w="9030"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9C. DISCLOSURE REGARDING FOREIGN JURISDICTIONS THAT PREVENT INSPECTIONS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724" w:type="dxa"/>
        <w:jc w:val="left"/>
        <w:tblInd w:w="0" w:type="dxa"/>
        <w:tblLayout w:type="fixed"/>
        <w:tblCellMar>
          <w:top w:w="28" w:type="dxa"/>
          <w:left w:w="28" w:type="dxa"/>
          <w:bottom w:w="28" w:type="dxa"/>
          <w:right w:w="28" w:type="dxa"/>
        </w:tblCellMar>
      </w:tblPr>
      <w:tblGrid>
        <w:gridCol w:w="2473"/>
        <w:gridCol w:w="2173"/>
        <w:gridCol w:w="3078"/>
      </w:tblGrid>
      <w:tr>
        <w:trPr/>
        <w:tc>
          <w:tcPr>
            <w:tcW w:w="247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3078" w:type="dxa"/>
            <w:tcBorders/>
            <w:vAlign w:val="center"/>
          </w:tcPr>
          <w:p>
            <w:pPr>
              <w:pStyle w:val="TableContents"/>
              <w:bidi w:val="0"/>
              <w:spacing w:before="0" w:after="283"/>
              <w:jc w:val="left"/>
              <w:rPr>
                <w:sz w:val="4"/>
                <w:szCs w:val="4"/>
              </w:rPr>
            </w:pPr>
            <w:r>
              <w:rPr>
                <w:sz w:val="4"/>
                <w:szCs w:val="4"/>
              </w:rPr>
            </w:r>
          </w:p>
        </w:tc>
      </w:tr>
      <w:tr>
        <w:trPr/>
        <w:tc>
          <w:tcPr>
            <w:tcW w:w="7724"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10. DIRECTORS, EXECUTIVE OFFICERS AND CORPORATE GOVERNANCE</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definitive proxy statement for the 2025 Annual Meeting of Stockholders to be filed with the SEC pursuant to Regulation 14A within 120 days after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869" w:type="dxa"/>
        <w:jc w:val="left"/>
        <w:tblInd w:w="0" w:type="dxa"/>
        <w:tblLayout w:type="fixed"/>
        <w:tblCellMar>
          <w:top w:w="28" w:type="dxa"/>
          <w:left w:w="28" w:type="dxa"/>
          <w:bottom w:w="28" w:type="dxa"/>
          <w:right w:w="28" w:type="dxa"/>
        </w:tblCellMar>
      </w:tblPr>
      <w:tblGrid>
        <w:gridCol w:w="1238"/>
        <w:gridCol w:w="1088"/>
        <w:gridCol w:w="1543"/>
      </w:tblGrid>
      <w:tr>
        <w:trPr/>
        <w:tc>
          <w:tcPr>
            <w:tcW w:w="123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11. EXECUTIVE COMPENSATION</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definitive proxy statement for the 2025 Annual Meeting of Stockholders to be filed with the SEC pursuant to Regulation 14A within 120 days after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269"/>
        <w:gridCol w:w="2874"/>
        <w:gridCol w:w="4062"/>
      </w:tblGrid>
      <w:tr>
        <w:trPr/>
        <w:tc>
          <w:tcPr>
            <w:tcW w:w="3269"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12. SECURITY OWNERSHIP OF CERTAIN BENEFICIAL OWNERS AND MANAGEMENT AND RELATED STOCKHOLDER MATTERS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definitive proxy statement for the 2025 Annual Meeting of Stockholders to be filed with the SEC pursuant to Regulation 14A within 120 days after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24" w:type="dxa"/>
        <w:jc w:val="left"/>
        <w:tblInd w:w="0" w:type="dxa"/>
        <w:tblLayout w:type="fixed"/>
        <w:tblCellMar>
          <w:top w:w="28" w:type="dxa"/>
          <w:left w:w="28" w:type="dxa"/>
          <w:bottom w:w="28" w:type="dxa"/>
          <w:right w:w="28" w:type="dxa"/>
        </w:tblCellMar>
      </w:tblPr>
      <w:tblGrid>
        <w:gridCol w:w="3144"/>
        <w:gridCol w:w="2764"/>
        <w:gridCol w:w="3916"/>
      </w:tblGrid>
      <w:tr>
        <w:trPr/>
        <w:tc>
          <w:tcPr>
            <w:tcW w:w="3144"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r>
      <w:tr>
        <w:trPr/>
        <w:tc>
          <w:tcPr>
            <w:tcW w:w="9824"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13. CERTAIN RELATIONSHIPS AND RELATED TRANSACTIONS, AND DIRECTOR INDEPENDENCE</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definitive proxy statement for the 2025 Annual Meeting of Stockholders to be filed with the SEC pursuant to Regulation 14A within 120 days after December 31,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10" w:type="dxa"/>
        <w:jc w:val="left"/>
        <w:tblInd w:w="0" w:type="dxa"/>
        <w:tblLayout w:type="fixed"/>
        <w:tblCellMar>
          <w:top w:w="28" w:type="dxa"/>
          <w:left w:w="28" w:type="dxa"/>
          <w:bottom w:w="28" w:type="dxa"/>
          <w:right w:w="28" w:type="dxa"/>
        </w:tblCellMar>
      </w:tblPr>
      <w:tblGrid>
        <w:gridCol w:w="1795"/>
        <w:gridCol w:w="1580"/>
        <w:gridCol w:w="2235"/>
      </w:tblGrid>
      <w:tr>
        <w:trPr/>
        <w:tc>
          <w:tcPr>
            <w:tcW w:w="1795"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r>
      <w:tr>
        <w:trPr/>
        <w:tc>
          <w:tcPr>
            <w:tcW w:w="5610"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14. PRINCIPAL ACCOUNTING FEES AND SERVICES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information required by this Item is incorporated by reference from our definitive proxy statement for the 2025 Annual Meeting of Stockholders to be filed with the SEC pursuant to Regulation 14A within 120 days after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4"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685" w:type="dxa"/>
        <w:jc w:val="left"/>
        <w:tblInd w:w="0" w:type="dxa"/>
        <w:tblLayout w:type="fixed"/>
        <w:tblCellMar>
          <w:top w:w="28" w:type="dxa"/>
          <w:left w:w="28" w:type="dxa"/>
          <w:bottom w:w="28" w:type="dxa"/>
          <w:right w:w="28" w:type="dxa"/>
        </w:tblCellMar>
      </w:tblPr>
      <w:tblGrid>
        <w:gridCol w:w="1819"/>
        <w:gridCol w:w="1598"/>
        <w:gridCol w:w="2268"/>
      </w:tblGrid>
      <w:tr>
        <w:trPr/>
        <w:tc>
          <w:tcPr>
            <w:tcW w:w="181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r>
      <w:tr>
        <w:trPr/>
        <w:tc>
          <w:tcPr>
            <w:tcW w:w="568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15. EXHIBITS, FINANCIAL STATEMENT SCHEDULES</w:t>
            </w:r>
          </w:p>
        </w:tc>
      </w:tr>
    </w:tbl>
    <w:p>
      <w:pPr>
        <w:pStyle w:val="TextBody"/>
        <w:bidi w:val="0"/>
        <w:spacing w:before="0" w:after="0"/>
        <w:jc w:val="left"/>
        <w:rPr/>
      </w:pPr>
      <w:r>
        <w:rPr/>
      </w:r>
    </w:p>
    <w:tbl>
      <w:tblPr>
        <w:tblW w:w="4005" w:type="dxa"/>
        <w:jc w:val="left"/>
        <w:tblInd w:w="0" w:type="dxa"/>
        <w:tblLayout w:type="fixed"/>
        <w:tblCellMar>
          <w:top w:w="28" w:type="dxa"/>
          <w:left w:w="28" w:type="dxa"/>
          <w:bottom w:w="28" w:type="dxa"/>
          <w:right w:w="28" w:type="dxa"/>
        </w:tblCellMar>
      </w:tblPr>
      <w:tblGrid>
        <w:gridCol w:w="1281"/>
        <w:gridCol w:w="1126"/>
        <w:gridCol w:w="1598"/>
      </w:tblGrid>
      <w:tr>
        <w:trPr/>
        <w:tc>
          <w:tcPr>
            <w:tcW w:w="1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15(A)(1). FINANCIAL STATEMENTS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Consolidated Financial Statements and Consolidated Financial Statements Index commencing on page F-1 hereof.</w:t>
      </w:r>
    </w:p>
    <w:p>
      <w:pPr>
        <w:pStyle w:val="TextBody"/>
        <w:bidi w:val="0"/>
        <w:spacing w:before="0" w:after="0"/>
        <w:jc w:val="left"/>
        <w:rPr/>
      </w:pPr>
      <w:r>
        <w:rPr/>
      </w:r>
    </w:p>
    <w:tbl>
      <w:tblPr>
        <w:tblW w:w="5130" w:type="dxa"/>
        <w:jc w:val="left"/>
        <w:tblInd w:w="0" w:type="dxa"/>
        <w:tblLayout w:type="fixed"/>
        <w:tblCellMar>
          <w:top w:w="28" w:type="dxa"/>
          <w:left w:w="28" w:type="dxa"/>
          <w:bottom w:w="28" w:type="dxa"/>
          <w:right w:w="28" w:type="dxa"/>
        </w:tblCellMar>
      </w:tblPr>
      <w:tblGrid>
        <w:gridCol w:w="1641"/>
        <w:gridCol w:w="1442"/>
        <w:gridCol w:w="2047"/>
      </w:tblGrid>
      <w:tr>
        <w:trPr/>
        <w:tc>
          <w:tcPr>
            <w:tcW w:w="1641"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15(A)(2). FINANCIAL STATEMENT SCHEDULES</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See Schedule II – Valuation and Qualifying Accounts for the years ended December 31, 2024, 2023 and 2022 commencing on page G-1 hereof.</w:t>
      </w:r>
    </w:p>
    <w:p>
      <w:pPr>
        <w:pStyle w:val="TextBody"/>
        <w:bidi w:val="0"/>
        <w:spacing w:before="0" w:after="0"/>
        <w:jc w:val="left"/>
        <w:rPr/>
      </w:pPr>
      <w:r>
        <w:rPr/>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ITEM 15(A)(3). EXHIBITS</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Exhibit Index commencing on page H-1 hereof.</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35" w:type="dxa"/>
        <w:jc w:val="left"/>
        <w:tblInd w:w="0" w:type="dxa"/>
        <w:tblLayout w:type="fixed"/>
        <w:tblCellMar>
          <w:top w:w="28" w:type="dxa"/>
          <w:left w:w="28" w:type="dxa"/>
          <w:bottom w:w="28" w:type="dxa"/>
          <w:right w:w="28" w:type="dxa"/>
        </w:tblCellMar>
      </w:tblPr>
      <w:tblGrid>
        <w:gridCol w:w="1004"/>
        <w:gridCol w:w="881"/>
        <w:gridCol w:w="1250"/>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8" w:space="0" w:color="000000"/>
              <w:left w:val="single" w:sz="8" w:space="0" w:color="000000"/>
              <w:bottom w:val="single" w:sz="8" w:space="0" w:color="000000"/>
              <w:right w:val="single" w:sz="8" w:space="0" w:color="000000"/>
            </w:tcBorders>
            <w:shd w:fill="CCCCCC" w:val="clear"/>
            <w:tcMar>
              <w:top w:w="30" w:type="dxa"/>
              <w:bottom w:w="3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16. FORM 10-K SUMMARY</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5"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942" w:type="dxa"/>
        <w:jc w:val="left"/>
        <w:tblInd w:w="0" w:type="dxa"/>
        <w:tblLayout w:type="fixed"/>
        <w:tblCellMar>
          <w:top w:w="28" w:type="dxa"/>
          <w:left w:w="28" w:type="dxa"/>
          <w:bottom w:w="28" w:type="dxa"/>
          <w:right w:w="28" w:type="dxa"/>
        </w:tblCellMar>
      </w:tblPr>
      <w:tblGrid>
        <w:gridCol w:w="124"/>
        <w:gridCol w:w="109"/>
        <w:gridCol w:w="109"/>
        <w:gridCol w:w="383"/>
        <w:gridCol w:w="383"/>
        <w:gridCol w:w="383"/>
        <w:gridCol w:w="538"/>
        <w:gridCol w:w="538"/>
        <w:gridCol w:w="538"/>
        <w:gridCol w:w="538"/>
        <w:gridCol w:w="538"/>
        <w:gridCol w:w="7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AVIS BUDGET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4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CATHLEEN DEGENOVA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Cathleen DeGenova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Senior Vice President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4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14, 2025</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9022" w:type="dxa"/>
        <w:jc w:val="left"/>
        <w:tblInd w:w="0" w:type="dxa"/>
        <w:tblLayout w:type="fixed"/>
        <w:tblCellMar>
          <w:top w:w="28" w:type="dxa"/>
          <w:left w:w="28" w:type="dxa"/>
          <w:bottom w:w="28" w:type="dxa"/>
          <w:right w:w="28" w:type="dxa"/>
        </w:tblCellMar>
      </w:tblPr>
      <w:tblGrid>
        <w:gridCol w:w="861"/>
        <w:gridCol w:w="758"/>
        <w:gridCol w:w="766"/>
        <w:gridCol w:w="109"/>
        <w:gridCol w:w="109"/>
        <w:gridCol w:w="109"/>
        <w:gridCol w:w="1438"/>
        <w:gridCol w:w="1438"/>
        <w:gridCol w:w="1458"/>
        <w:gridCol w:w="109"/>
        <w:gridCol w:w="109"/>
        <w:gridCol w:w="109"/>
        <w:gridCol w:w="480"/>
        <w:gridCol w:w="480"/>
        <w:gridCol w:w="689"/>
      </w:tblGrid>
      <w:tr>
        <w:trPr/>
        <w:tc>
          <w:tcPr>
            <w:tcW w:w="86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Date</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JOSEPH A. FERRARO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(Joseph A. Ferraro)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IZILDA P.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(Izilda P. Martins)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CATHLEEN DEGENOVA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Senior Vice President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(Cathleen DeGenova)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JAGDEEP PAHWA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(Jagdeep Pahwa)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ANU HARIHARAN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(Anu Hariharan)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BERNARDO HEES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(Bernardo Hees)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LYNN KROMINGA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(Lynn Krominga)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GLENN LURIE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(Glenn Lurie)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 KARTHIK SARMA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February 14, 2025</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(Karthik Sarma)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6"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INDEX TO CONSOLIDATED FINANCIAL STATEMENTS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77"/>
        <w:gridCol w:w="3048"/>
        <w:gridCol w:w="3063"/>
        <w:gridCol w:w="180"/>
        <w:gridCol w:w="180"/>
        <w:gridCol w:w="257"/>
      </w:tblGrid>
      <w:tr>
        <w:trPr/>
        <w:tc>
          <w:tcPr>
            <w:tcW w:w="3477" w:type="dxa"/>
            <w:tcBorders/>
            <w:vAlign w:val="center"/>
          </w:tcPr>
          <w:p>
            <w:pPr>
              <w:pStyle w:val="TableContents"/>
              <w:bidi w:val="0"/>
              <w:spacing w:before="0" w:after="283"/>
              <w:jc w:val="left"/>
              <w:rPr>
                <w:sz w:val="4"/>
                <w:szCs w:val="4"/>
              </w:rPr>
            </w:pPr>
            <w:r>
              <w:rPr>
                <w:sz w:val="4"/>
                <w:szCs w:val="4"/>
              </w:rPr>
            </w:r>
          </w:p>
        </w:tc>
        <w:tc>
          <w:tcPr>
            <w:tcW w:w="3048" w:type="dxa"/>
            <w:tcBorders/>
            <w:vAlign w:val="center"/>
          </w:tcPr>
          <w:p>
            <w:pPr>
              <w:pStyle w:val="TableContents"/>
              <w:bidi w:val="0"/>
              <w:spacing w:before="0" w:after="283"/>
              <w:jc w:val="left"/>
              <w:rPr>
                <w:sz w:val="4"/>
                <w:szCs w:val="4"/>
              </w:rPr>
            </w:pPr>
            <w:r>
              <w:rPr>
                <w:sz w:val="4"/>
                <w:szCs w:val="4"/>
              </w:rPr>
            </w:r>
          </w:p>
        </w:tc>
        <w:tc>
          <w:tcPr>
            <w:tcW w:w="30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12">
              <w:r>
                <w:rPr>
                  <w:rStyle w:val="InternetLink"/>
                  <w:rFonts w:ascii="Arial;sans-serif" w:hAnsi="Arial;sans-serif"/>
                  <w:b w:val="false"/>
                  <w:color w:val="0000FF"/>
                  <w:sz w:val="20"/>
                  <w:u w:val="single"/>
                </w:rPr>
                <w:t>Report of Independent Registered Public Accounting Firm</w:t>
              </w:r>
            </w:hyperlink>
            <w:r>
              <w:rPr>
                <w:color w:val="000000"/>
              </w:rPr>
              <w:t xml:space="preserve"> </w:t>
            </w:r>
            <w:r>
              <w:rPr>
                <w:rFonts w:ascii="Arial;sans-serif" w:hAnsi="Arial;sans-serif"/>
                <w:b w:val="false"/>
                <w:color w:val="000000"/>
                <w:sz w:val="20"/>
              </w:rPr>
              <w:t>(PCAOB ID No. 34)</w:t>
            </w:r>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12">
              <w:r>
                <w:rPr>
                  <w:rStyle w:val="InternetLink"/>
                  <w:rFonts w:ascii="Arial;sans-serif" w:hAnsi="Arial;sans-serif"/>
                  <w:b w:val="false"/>
                  <w:color w:val="0000FF"/>
                  <w:sz w:val="20"/>
                  <w:u w:val="single"/>
                </w:rPr>
                <w:t>2</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15">
              <w:r>
                <w:rPr>
                  <w:rStyle w:val="InternetLink"/>
                  <w:rFonts w:ascii="Arial;sans-serif" w:hAnsi="Arial;sans-serif"/>
                  <w:b w:val="false"/>
                  <w:color w:val="000080"/>
                  <w:sz w:val="20"/>
                  <w:u w:val="single"/>
                </w:rPr>
                <w:t xml:space="preserve">Consolidated Statements of Operations for the </w:t>
              </w:r>
            </w:hyperlink>
            <w:hyperlink w:anchor="ia59feaa1acb740469392b68b9c0dbb00_115">
              <w:r>
                <w:rPr>
                  <w:rStyle w:val="InternetLink"/>
                  <w:rFonts w:ascii="Arial;sans-serif" w:hAnsi="Arial;sans-serif"/>
                  <w:b w:val="false"/>
                  <w:color w:val="000080"/>
                  <w:sz w:val="20"/>
                  <w:u w:val="single"/>
                </w:rPr>
                <w:t>Y</w:t>
              </w:r>
            </w:hyperlink>
            <w:hyperlink w:anchor="ia59feaa1acb740469392b68b9c0dbb00_115">
              <w:r>
                <w:rPr>
                  <w:rStyle w:val="InternetLink"/>
                  <w:rFonts w:ascii="Arial;sans-serif" w:hAnsi="Arial;sans-serif"/>
                  <w:b w:val="false"/>
                  <w:color w:val="000080"/>
                  <w:sz w:val="20"/>
                  <w:u w:val="single"/>
                </w:rPr>
                <w:t xml:space="preserve">ears </w:t>
              </w:r>
            </w:hyperlink>
            <w:hyperlink w:anchor="ia59feaa1acb740469392b68b9c0dbb00_115">
              <w:r>
                <w:rPr>
                  <w:rStyle w:val="InternetLink"/>
                  <w:rFonts w:ascii="Arial;sans-serif" w:hAnsi="Arial;sans-serif"/>
                  <w:b w:val="false"/>
                  <w:color w:val="000080"/>
                  <w:sz w:val="20"/>
                  <w:u w:val="single"/>
                </w:rPr>
                <w:t>E</w:t>
              </w:r>
            </w:hyperlink>
            <w:hyperlink w:anchor="ia59feaa1acb740469392b68b9c0dbb00_115">
              <w:r>
                <w:rPr>
                  <w:rStyle w:val="InternetLink"/>
                  <w:rFonts w:ascii="Arial;sans-serif" w:hAnsi="Arial;sans-serif"/>
                  <w:b w:val="false"/>
                  <w:color w:val="000080"/>
                  <w:sz w:val="20"/>
                  <w:u w:val="single"/>
                </w:rPr>
                <w:t>nded December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15">
              <w:r>
                <w:rPr>
                  <w:rStyle w:val="InternetLink"/>
                  <w:rFonts w:ascii="Arial;sans-serif" w:hAnsi="Arial;sans-serif"/>
                  <w:b w:val="false"/>
                  <w:color w:val="0000FF"/>
                  <w:sz w:val="20"/>
                  <w:u w:val="single"/>
                </w:rPr>
                <w:t>6</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a59feaa1acb740469392b68b9c0dbb00_118">
              <w:r>
                <w:rPr>
                  <w:rStyle w:val="InternetLink"/>
                  <w:rFonts w:ascii="Arial;sans-serif" w:hAnsi="Arial;sans-serif"/>
                  <w:b w:val="false"/>
                  <w:color w:val="000080"/>
                  <w:sz w:val="20"/>
                  <w:u w:val="single"/>
                </w:rPr>
                <w:t xml:space="preserve">Consolidated Statements of Comprehensive Income for the </w:t>
              </w:r>
            </w:hyperlink>
            <w:hyperlink w:anchor="ia59feaa1acb740469392b68b9c0dbb00_118">
              <w:r>
                <w:rPr>
                  <w:rStyle w:val="InternetLink"/>
                  <w:rFonts w:ascii="Arial;sans-serif" w:hAnsi="Arial;sans-serif"/>
                  <w:b w:val="false"/>
                  <w:color w:val="000080"/>
                  <w:sz w:val="20"/>
                  <w:u w:val="single"/>
                </w:rPr>
                <w:t>Y</w:t>
              </w:r>
            </w:hyperlink>
            <w:hyperlink w:anchor="ia59feaa1acb740469392b68b9c0dbb00_118">
              <w:r>
                <w:rPr>
                  <w:rStyle w:val="InternetLink"/>
                  <w:rFonts w:ascii="Arial;sans-serif" w:hAnsi="Arial;sans-serif"/>
                  <w:b w:val="false"/>
                  <w:color w:val="000080"/>
                  <w:sz w:val="20"/>
                  <w:u w:val="single"/>
                </w:rPr>
                <w:t xml:space="preserve">ears </w:t>
              </w:r>
            </w:hyperlink>
            <w:hyperlink w:anchor="ia59feaa1acb740469392b68b9c0dbb00_118">
              <w:r>
                <w:rPr>
                  <w:rStyle w:val="InternetLink"/>
                  <w:rFonts w:ascii="Arial;sans-serif" w:hAnsi="Arial;sans-serif"/>
                  <w:b w:val="false"/>
                  <w:color w:val="000080"/>
                  <w:sz w:val="20"/>
                  <w:u w:val="single"/>
                </w:rPr>
                <w:t>E</w:t>
              </w:r>
            </w:hyperlink>
            <w:hyperlink w:anchor="ia59feaa1acb740469392b68b9c0dbb00_118">
              <w:r>
                <w:rPr>
                  <w:rStyle w:val="InternetLink"/>
                  <w:rFonts w:ascii="Arial;sans-serif" w:hAnsi="Arial;sans-serif"/>
                  <w:b w:val="false"/>
                  <w:color w:val="000080"/>
                  <w:sz w:val="20"/>
                  <w:u w:val="single"/>
                </w:rPr>
                <w:t>nded December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18">
              <w:r>
                <w:rPr>
                  <w:rStyle w:val="InternetLink"/>
                  <w:rFonts w:ascii="Arial;sans-serif" w:hAnsi="Arial;sans-serif"/>
                  <w:b w:val="false"/>
                  <w:color w:val="0000FF"/>
                  <w:sz w:val="20"/>
                  <w:u w:val="single"/>
                </w:rPr>
                <w:t>7</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21">
              <w:r>
                <w:rPr>
                  <w:rStyle w:val="InternetLink"/>
                  <w:rFonts w:ascii="Arial;sans-serif" w:hAnsi="Arial;sans-serif"/>
                  <w:b w:val="false"/>
                  <w:color w:val="0000FF"/>
                  <w:sz w:val="20"/>
                  <w:u w:val="single"/>
                </w:rPr>
                <w:t>Consolidated Balance Sheets as of December 31, 2024 and 2023</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21">
              <w:r>
                <w:rPr>
                  <w:rStyle w:val="InternetLink"/>
                  <w:rFonts w:ascii="Arial;sans-serif" w:hAnsi="Arial;sans-serif"/>
                  <w:b w:val="false"/>
                  <w:color w:val="0000FF"/>
                  <w:sz w:val="20"/>
                  <w:u w:val="single"/>
                </w:rPr>
                <w:t>8</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24">
              <w:r>
                <w:rPr>
                  <w:rStyle w:val="InternetLink"/>
                  <w:rFonts w:ascii="Arial;sans-serif" w:hAnsi="Arial;sans-serif"/>
                  <w:b w:val="false"/>
                  <w:color w:val="000080"/>
                  <w:sz w:val="20"/>
                  <w:u w:val="single"/>
                </w:rPr>
                <w:t xml:space="preserve">Consolidated Statements of Cash Flows for the </w:t>
              </w:r>
            </w:hyperlink>
            <w:hyperlink w:anchor="ia59feaa1acb740469392b68b9c0dbb00_124">
              <w:r>
                <w:rPr>
                  <w:rStyle w:val="InternetLink"/>
                  <w:rFonts w:ascii="Arial;sans-serif" w:hAnsi="Arial;sans-serif"/>
                  <w:b w:val="false"/>
                  <w:color w:val="000080"/>
                  <w:sz w:val="20"/>
                  <w:u w:val="single"/>
                </w:rPr>
                <w:t>Y</w:t>
              </w:r>
            </w:hyperlink>
            <w:hyperlink w:anchor="ia59feaa1acb740469392b68b9c0dbb00_124">
              <w:r>
                <w:rPr>
                  <w:rStyle w:val="InternetLink"/>
                  <w:rFonts w:ascii="Arial;sans-serif" w:hAnsi="Arial;sans-serif"/>
                  <w:b w:val="false"/>
                  <w:color w:val="000080"/>
                  <w:sz w:val="20"/>
                  <w:u w:val="single"/>
                </w:rPr>
                <w:t xml:space="preserve">ears </w:t>
              </w:r>
            </w:hyperlink>
            <w:hyperlink w:anchor="ia59feaa1acb740469392b68b9c0dbb00_124">
              <w:r>
                <w:rPr>
                  <w:rStyle w:val="InternetLink"/>
                  <w:rFonts w:ascii="Arial;sans-serif" w:hAnsi="Arial;sans-serif"/>
                  <w:b w:val="false"/>
                  <w:color w:val="000080"/>
                  <w:sz w:val="20"/>
                  <w:u w:val="single"/>
                </w:rPr>
                <w:t>E</w:t>
              </w:r>
            </w:hyperlink>
            <w:hyperlink w:anchor="ia59feaa1acb740469392b68b9c0dbb00_124">
              <w:r>
                <w:rPr>
                  <w:rStyle w:val="InternetLink"/>
                  <w:rFonts w:ascii="Arial;sans-serif" w:hAnsi="Arial;sans-serif"/>
                  <w:b w:val="false"/>
                  <w:color w:val="000080"/>
                  <w:sz w:val="20"/>
                  <w:u w:val="single"/>
                </w:rPr>
                <w:t>nded December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24">
              <w:r>
                <w:rPr>
                  <w:rStyle w:val="InternetLink"/>
                  <w:rFonts w:ascii="Arial;sans-serif" w:hAnsi="Arial;sans-serif"/>
                  <w:b w:val="false"/>
                  <w:color w:val="0000FF"/>
                  <w:sz w:val="20"/>
                  <w:u w:val="single"/>
                </w:rPr>
                <w:t>9</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300" w:before="0" w:after="0"/>
              <w:jc w:val="left"/>
              <w:rPr/>
            </w:pPr>
            <w:hyperlink w:anchor="ia59feaa1acb740469392b68b9c0dbb00_127">
              <w:r>
                <w:rPr>
                  <w:rStyle w:val="InternetLink"/>
                  <w:rFonts w:ascii="Arial;sans-serif" w:hAnsi="Arial;sans-serif"/>
                  <w:b w:val="false"/>
                  <w:color w:val="000080"/>
                  <w:sz w:val="20"/>
                  <w:u w:val="single"/>
                </w:rPr>
                <w:t xml:space="preserve">Consolidated Statements of Stockholders’ Equity for the </w:t>
              </w:r>
            </w:hyperlink>
            <w:hyperlink w:anchor="ia59feaa1acb740469392b68b9c0dbb00_127">
              <w:r>
                <w:rPr>
                  <w:rStyle w:val="InternetLink"/>
                  <w:rFonts w:ascii="Arial;sans-serif" w:hAnsi="Arial;sans-serif"/>
                  <w:b w:val="false"/>
                  <w:color w:val="000080"/>
                  <w:sz w:val="20"/>
                  <w:u w:val="single"/>
                </w:rPr>
                <w:t>Y</w:t>
              </w:r>
            </w:hyperlink>
            <w:hyperlink w:anchor="ia59feaa1acb740469392b68b9c0dbb00_127">
              <w:r>
                <w:rPr>
                  <w:rStyle w:val="InternetLink"/>
                  <w:rFonts w:ascii="Arial;sans-serif" w:hAnsi="Arial;sans-serif"/>
                  <w:b w:val="false"/>
                  <w:color w:val="000080"/>
                  <w:sz w:val="20"/>
                  <w:u w:val="single"/>
                </w:rPr>
                <w:t xml:space="preserve">ears </w:t>
              </w:r>
            </w:hyperlink>
            <w:hyperlink w:anchor="ia59feaa1acb740469392b68b9c0dbb00_127">
              <w:r>
                <w:rPr>
                  <w:rStyle w:val="InternetLink"/>
                  <w:rFonts w:ascii="Arial;sans-serif" w:hAnsi="Arial;sans-serif"/>
                  <w:b w:val="false"/>
                  <w:color w:val="000080"/>
                  <w:sz w:val="20"/>
                  <w:u w:val="single"/>
                </w:rPr>
                <w:t>E</w:t>
              </w:r>
            </w:hyperlink>
            <w:hyperlink w:anchor="ia59feaa1acb740469392b68b9c0dbb00_127">
              <w:r>
                <w:rPr>
                  <w:rStyle w:val="InternetLink"/>
                  <w:rFonts w:ascii="Arial;sans-serif" w:hAnsi="Arial;sans-serif"/>
                  <w:b w:val="false"/>
                  <w:color w:val="000080"/>
                  <w:sz w:val="20"/>
                  <w:u w:val="single"/>
                </w:rPr>
                <w:t>nded December 31, 2024, 2023 and 2022</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27">
              <w:r>
                <w:rPr>
                  <w:rStyle w:val="InternetLink"/>
                  <w:rFonts w:ascii="Arial;sans-serif" w:hAnsi="Arial;sans-serif"/>
                  <w:b w:val="false"/>
                  <w:color w:val="0000FF"/>
                  <w:sz w:val="20"/>
                  <w:u w:val="single"/>
                </w:rPr>
                <w:t>11</w:t>
              </w:r>
            </w:hyperlink>
          </w:p>
        </w:tc>
      </w:tr>
      <w:tr>
        <w:trPr/>
        <w:tc>
          <w:tcPr>
            <w:tcW w:w="9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55">
              <w:r>
                <w:rPr>
                  <w:rStyle w:val="InternetLink"/>
                  <w:rFonts w:ascii="Arial;sans-serif" w:hAnsi="Arial;sans-serif"/>
                  <w:b w:val="false"/>
                  <w:color w:val="0000FF"/>
                  <w:sz w:val="20"/>
                  <w:u w:val="single"/>
                </w:rPr>
                <w:t>Notes to Consolidated Financial Statements</w:t>
              </w:r>
            </w:hyperlink>
          </w:p>
        </w:tc>
        <w:tc>
          <w:tcPr>
            <w:tcW w:w="61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55">
              <w:r>
                <w:rPr>
                  <w:rStyle w:val="InternetLink"/>
                  <w:rFonts w:ascii="Arial;sans-serif" w:hAnsi="Arial;sans-serif"/>
                  <w:b w:val="false"/>
                  <w:color w:val="0000FF"/>
                  <w:sz w:val="20"/>
                  <w:u w:val="single"/>
                </w:rPr>
                <w:t>12</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7"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19"/>
        </w:rPr>
      </w:pPr>
      <w:r>
        <w:rPr>
          <w:rFonts w:ascii="Arial;sans-serif" w:hAnsi="Arial;sans-serif"/>
          <w:b/>
          <w:color w:val="000000"/>
          <w:sz w:val="19"/>
        </w:rPr>
        <w:t>REPORT OF INDEPENDENT REGISTERED PUBLIC ACCOUNTING FIRM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To the Stockholders and the Board of Directors of</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Avis Budget Group, Inc.</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 xml:space="preserve">Parsippany, New Jersey </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9"/>
        </w:rPr>
      </w:pPr>
      <w:r>
        <w:rPr>
          <w:rFonts w:ascii="Arial;sans-serif" w:hAnsi="Arial;sans-serif"/>
          <w:b/>
          <w:color w:val="000000"/>
          <w:sz w:val="19"/>
        </w:rPr>
        <w:t>Opinion on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 xml:space="preserve">We have audited the accompanying consolidated balance sheets of Avis Budget Group, Inc. and subsidiaries (the "Company") as of December 31, 2024 and 2023, the related consolidated statements of operations, comprehensive income, stockholders' equity, and cash flows for each of the three years in the period ended December 31, 2024, and the related notes and the schedule listed in the Index at Item 15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14, 2025, expressed an unqualified opinion on the Company's internal control over financial reporting.</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9"/>
        </w:rPr>
      </w:pPr>
      <w:r>
        <w:rPr>
          <w:rFonts w:ascii="Arial;sans-serif" w:hAnsi="Arial;sans-serif"/>
          <w:b/>
          <w:color w:val="000000"/>
          <w:sz w:val="19"/>
        </w:rPr>
        <w:t>Basis for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19"/>
        </w:rPr>
      </w:pPr>
      <w:r>
        <w:rPr>
          <w:rFonts w:ascii="Arial;sans-serif" w:hAnsi="Arial;sans-serif"/>
          <w:b/>
          <w:color w:val="000000"/>
          <w:sz w:val="19"/>
        </w:rPr>
        <w:t>Critical Audit Matters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8"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Arial;sans-serif" w:hAnsi="Arial;sans-serif"/>
          <w:b/>
          <w:i/>
          <w:color w:val="000000"/>
          <w:sz w:val="19"/>
        </w:rPr>
      </w:pPr>
      <w:r>
        <w:rPr>
          <w:rFonts w:ascii="Arial;sans-serif" w:hAnsi="Arial;sans-serif"/>
          <w:b/>
          <w:i/>
          <w:color w:val="000000"/>
          <w:sz w:val="19"/>
        </w:rPr>
        <w:t>Vehicles - Depreciation Expense - United States Risk Vehicles - Refer to Notes 2 and 8 to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Critical Audit Matter Description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The Company records rental vehicles at cost, net of accumulated depreciation. The initial cost of the vehicles is recorded net of incentives and allowances from manufacturers. Rental vehicles acquired by the Company outside of the manufacturer repurchase and guaranteed depreciation programs are referred to as risk vehicles and the carrying values of these risk vehicles are depreciated based upon the vehicles’ estimated residual values at their expected dates of disposition. The estimation of residual values for risk vehicles requires the Company to make assumptions regarding factors which include, but are not limited to, the anticipated age of the vehicles and market conditions for used vehicles at the time of disposal. The Company regularly evaluates estimated residual values and adjusts vehicle depreciation rates as appropriate. Any adjustments to depreciation are made prospectively.</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Given the volume of risk vehicles in the United States and the significant estimation uncertainty and judgments made by management to calculate the estimated residual values of these risk vehicles, auditing the estimated residual values of the United States risk vehicles and related vehicle depreciation expense required extensive audit effort to develop an independent expectation of residual values and depreciation expense, and a high degree of auditor judgment was required when performing audit procedures and evaluating the results of those procedures. The significant estimation uncertainty was primarily due to management’s assumptions regarding the impact of future consumer demand and general economic conditions on expected pricing of used vehicles. Additionally, auditing the calculation of the estimated residual values for United States risk vehicles was challenging due to the volume of data inputs utilized in management’s calculation, including historical sales data and data specific to the Company’s current fleet.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How the Critical Audit Matter Was Addressed in the Audit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Our audit procedures to assess the reasonableness of the estimated residual values and vehicle depreciation expense related to United States risk vehicles included the following, among others: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evaluated the appropriateness and consistency of the Company’s methods, significant assumptions and judgments to calculate the estimated residual values of risk vehicles and the expected dates of disposition.</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 xml:space="preserve">We tested the effectiveness of controls over vehicle depreciation expense related to risk vehicles and management’s review of the significant assumptions and judgments to calculate the estimated residual values of risk vehicles, including those over the Company’s monitoring of residual values and used vehicle market conditions.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assessed the reasonableness of the estimated residual values of risk vehicles by performing the following procedures on a selection of risk vehicles: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underlying historical data that served as the basis for the Company’s calculation of the estimated residual values to evaluate the reasonableness of the inputs.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mathematical accuracy of the Company’s calculation of the estimated residual values and vehicle depreciation expense rates.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significant assumptions and judgments used in the Company’s calculation by developing an independent expectation of residual values and compared them to the estimated residual values calculated by the Company. Our independent expectation was calculated using our professional judgment by reference to third-party data, information produced by the Company, subsequent vehicle sales, and inquiries of management.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searched for contradictory evidence associated with the significant assumptions and judgments made by management based on our knowledge of the industry and review of third-party industry data.</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developed an independent expectation of depreciation expense based on, but not limited to, the vehicles’ age and results of our residual value testing and compared it to the amount recorded by the Company as depreciation expense.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69"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Arial;sans-serif" w:hAnsi="Arial;sans-serif"/>
          <w:b/>
          <w:i/>
          <w:color w:val="000000"/>
          <w:sz w:val="19"/>
        </w:rPr>
      </w:pPr>
      <w:r>
        <w:rPr>
          <w:rFonts w:ascii="Arial;sans-serif" w:hAnsi="Arial;sans-serif"/>
          <w:b/>
          <w:i/>
          <w:color w:val="000000"/>
          <w:sz w:val="19"/>
        </w:rPr>
        <w:t>Self-Insurance Reserves - Public Liability and Property Damage Claims - United States - Refer to Note 2 to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 xml:space="preserve">Critical Audit Matter Description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The Company is self-insured for public liability and property damage claims. These self-insurance reserves represent an estimate for both reported claims not yet paid and claims incurred but not yet reported. The estimated reserve requirements for such claims are calculated on an undiscounted basis using actuarial methods and various assumptions which include, but are not limited to, historical loss experience and projected loss development factors. The required liability is subject to adjustment in the future based upon changes in claims experience, including changes in the number of incidents for which the Company is ultimately liable and changes in the cost per incident.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Given the volume of public liability and property damage claims in the United States and the subjectivity of estimating the related self-insurance reserves for reported claims not yet paid and claims incurred but not yet reported due to the uncertain exposure and projected loss development, performing audit procedures to evaluate whether these self-insurance reserves were appropriately recorded as of December 31, 2024 required a significant degree of auditor judgment and an increased extent of effort, including the need to involve our actuarial specialists.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How the Critical Audit Matter Was Addressed in the Audit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 xml:space="preserve">Our audit procedures related to United States public liability and property damage self-insurance reserves included the following, among others: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effectiveness of controls over management’s review of significant assumptions, key inputs and methods used to calculate the estimate of the reported claims not yet paid and claims incurred but not yet reported.</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underlying data that served as the basis for the Company’s actuarial analysis, including historical claims, to test the reasonableness of the inputs to the actuarial estimate.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With the assistance of our actuarial specialists, we developed an independent estimate of the self-insurance reserves, including assessment of loss data and claim development factors, and compared our estimate to management’s estimate. In addition, we performed the following:</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Evaluated the reasonableness of the methodologies used in management’s estimate based on actuarial methods followed in the insurance industry associated with such liabilities.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Evaluated the reasonableness of the assumptions used in management’s estimate by comparing prior-year assumptions of expected development and ultimate loss to actuals incurred during the current year to identify potential bias in the determination of these liabilities.</w:t>
      </w:r>
    </w:p>
    <w:p>
      <w:pPr>
        <w:pStyle w:val="TextBody"/>
        <w:bidi w:val="0"/>
        <w:spacing w:before="0" w:after="0"/>
        <w:jc w:val="both"/>
        <w:rPr/>
      </w:pPr>
      <w:r>
        <w:rPr/>
      </w:r>
    </w:p>
    <w:p>
      <w:pPr>
        <w:pStyle w:val="TextBody"/>
        <w:bidi w:val="0"/>
        <w:spacing w:lineRule="auto" w:line="268" w:before="0" w:after="0"/>
        <w:jc w:val="both"/>
        <w:rPr>
          <w:rFonts w:ascii="Arial;sans-serif" w:hAnsi="Arial;sans-serif"/>
          <w:b/>
          <w:i/>
          <w:color w:val="000000"/>
          <w:sz w:val="19"/>
        </w:rPr>
      </w:pPr>
      <w:r>
        <w:rPr>
          <w:rFonts w:ascii="Arial;sans-serif" w:hAnsi="Arial;sans-serif"/>
          <w:b/>
          <w:i/>
          <w:color w:val="000000"/>
          <w:sz w:val="19"/>
        </w:rPr>
        <w:t>Impairment of Long-Lived Assets – United States Vehicles – Refer to Notes 2 and 8 to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Critical Audit Matter Description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The Company reviews long-lived assets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Assets are grouped at the lowest level of identifiable cash flows. If the carrying amount of an asset exceeds its estimated future cash flows, an impairment charge is recognized for the amount by which the carrying amount of the asset exceeds the fair value of the assets. In the current year, the Company changed their fleet strategy for the United States and Canadian vehicles, to accelerate certain fleet rotations and shorten the useful life of the associated vehicles. As a result, the Company performed a recoverability test by comparing the sum of undiscounted cash flows expected to result from the use and eventual disposition of the impacted vehicles, to their carrying value and concluded, that for certain vehicles, the carrying value exceeded the sum of undiscounted cash flows expected to result from the use and eventual disposition of those vehicles. For purposes of the recoverability test, the vehicles were aggregated into asset groups based on make, model and year of the vehicles. The test was performed as of November 30, 2024. The Company used a market approach to determine the fair value of the impacted vehicles, utilizing prices for similar assets in active markets (Level 2). During the year ended December 31, 2024, the Company recorded a non-cash impairment charge.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0"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Given the volume of vehicles in the United States and the significant assumptions made by management to evaluate vehicles for impairment, we performed audit procedures to (1) evaluate whether management appropriately identified events or changes in circumstances indicating that the carrying amounts of vehicle assets may not be recoverable; (2) evaluate management's determination of asset groups at the lowest level of identifiable cash flows; (3) evaluate management’s recoverability test by comparing the sum of undiscounted cash flows expected to result from the use and eventual disposition of the impacted vehicles to their carrying value and, when applicable, (4) evaluate the fair value estimates for the impacted vehicles. Those procedures required a high degree of auditor judgment and an increased extent of effort, including the need to involve our fair value specialists and other professionals in our firm with expertise in long-lived asset impairment.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i/>
          <w:color w:val="000000"/>
          <w:sz w:val="19"/>
        </w:rPr>
      </w:pPr>
      <w:r>
        <w:rPr>
          <w:rFonts w:ascii="Arial;sans-serif" w:hAnsi="Arial;sans-serif"/>
          <w:b w:val="false"/>
          <w:i/>
          <w:color w:val="000000"/>
          <w:sz w:val="19"/>
        </w:rPr>
        <w:t>How the Critical Audit Matter Was Addressed in the Audit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9"/>
        </w:rPr>
      </w:pPr>
      <w:r>
        <w:rPr>
          <w:rFonts w:ascii="Arial;sans-serif" w:hAnsi="Arial;sans-serif"/>
          <w:b w:val="false"/>
          <w:color w:val="000000"/>
          <w:sz w:val="19"/>
        </w:rPr>
        <w:t>Our audit procedures related to impairment of long-lived assets of United States vehicles included the following, among others: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effectiveness of controls over (1) management’s identification of events or changes in circumstances that indicate that the carrying amount of vehicles may not be recoverable, including management’s review of forecasted future cash flows, and (2) management’s review of the methodology in determining the fair value estimate of vehicles.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evaluated whether management appropriately identified events or changes in circumstances that indicated that the carrying amounts of vehicle assets may not be recoverable.</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evaluated management’s determination of asset groups at the lowest level of identifiable cash flows.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management’s recoverability test by comparing the sum of undiscounted cash flows expected to result from the use and eventual disposition of the impacted vehicles to their carrying value by performing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Tested the mathematical accuracy of management’s analysis.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Compared relevant information to historical data.</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Assessed management’s assumptions used when determining the expected rental revenue, operating expenses and residual values expected at the time of disposition of vehicles as part of their recoverability test.</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We tested the fair value estimates for the impacted vehicles.</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Arial;sans-serif" w:hAnsi="Arial;sans-serif"/>
          <w:b w:val="false"/>
          <w:color w:val="000000"/>
          <w:sz w:val="19"/>
        </w:rPr>
        <w:t>With the assistance of our fair value specialists, we evaluated the reasonableness of the valuation methodology applied and fair value determined for vehicles by testing the methodology applied and measurable inputs used, and the mathematical accuracy of the calculation.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/s/ DELOITTE &amp; TOUCHE LLP</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New York, New York</w:t>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February 14,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19"/>
        </w:rPr>
      </w:pPr>
      <w:r>
        <w:rPr>
          <w:rFonts w:ascii="Arial;sans-serif" w:hAnsi="Arial;sans-serif"/>
          <w:b w:val="false"/>
          <w:color w:val="000000"/>
          <w:sz w:val="19"/>
        </w:rPr>
        <w:t>We have served as the Company’s auditor since 1997.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1"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 except per share data)</w:t>
      </w:r>
    </w:p>
    <w:p>
      <w:pPr>
        <w:pStyle w:val="TextBody"/>
        <w:bidi w:val="0"/>
        <w:spacing w:before="0" w:after="0"/>
        <w:jc w:val="center"/>
        <w:rPr/>
      </w:pPr>
      <w:r>
        <w:rPr/>
      </w:r>
    </w:p>
    <w:tbl>
      <w:tblPr>
        <w:tblW w:w="9477" w:type="dxa"/>
        <w:jc w:val="center"/>
        <w:tblInd w:w="0" w:type="dxa"/>
        <w:tblLayout w:type="fixed"/>
        <w:tblCellMar>
          <w:top w:w="28" w:type="dxa"/>
          <w:left w:w="28" w:type="dxa"/>
          <w:bottom w:w="28" w:type="dxa"/>
          <w:right w:w="28" w:type="dxa"/>
        </w:tblCellMar>
      </w:tblPr>
      <w:tblGrid>
        <w:gridCol w:w="2014"/>
        <w:gridCol w:w="1768"/>
        <w:gridCol w:w="1783"/>
        <w:gridCol w:w="211"/>
        <w:gridCol w:w="751"/>
        <w:gridCol w:w="109"/>
        <w:gridCol w:w="109"/>
        <w:gridCol w:w="109"/>
        <w:gridCol w:w="109"/>
        <w:gridCol w:w="211"/>
        <w:gridCol w:w="751"/>
        <w:gridCol w:w="109"/>
        <w:gridCol w:w="109"/>
        <w:gridCol w:w="109"/>
        <w:gridCol w:w="109"/>
        <w:gridCol w:w="211"/>
        <w:gridCol w:w="75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Expenses</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Early extinguishment of debt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Long-lived asset impairment and other related charges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expenses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(loss) before income taxes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(benefit from) income taxes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interests</w:t>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Avis Budget Group, Inc.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share</w:t>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2"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78"/>
        <w:gridCol w:w="2088"/>
        <w:gridCol w:w="2005"/>
        <w:gridCol w:w="211"/>
        <w:gridCol w:w="681"/>
        <w:gridCol w:w="109"/>
        <w:gridCol w:w="109"/>
        <w:gridCol w:w="109"/>
        <w:gridCol w:w="109"/>
        <w:gridCol w:w="211"/>
        <w:gridCol w:w="646"/>
        <w:gridCol w:w="109"/>
        <w:gridCol w:w="109"/>
        <w:gridCol w:w="109"/>
        <w:gridCol w:w="109"/>
        <w:gridCol w:w="211"/>
        <w:gridCol w:w="646"/>
        <w:gridCol w:w="156"/>
      </w:tblGrid>
      <w:tr>
        <w:trPr/>
        <w:tc>
          <w:tcPr>
            <w:tcW w:w="2478"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2,756 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(loss) attributable to non-controlling interests</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Avis Budget Group, Inc.</w:t>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 comprehensive income (loss), net of tax</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Currency translation adjustments, net of tax of $(19), $7 and $(11), respectively</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 hedges:</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Net unrealized holding gains (losses), net of tax of $(5), $(2), and $(20), respectively</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Reclassification of cash flow hedges to earnings, net of tax of $7, $5, and $(2), respectively</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Minimum pension liability adjustment:</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Pension and post-retirement benefits, net of tax of $(4), $6, and $(4), respectively</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Reclassification of pension and post-retirement benefits to earnings, net of tax of $(1), $(1), and $(2), respectively</w:t>
            </w:r>
          </w:p>
        </w:tc>
        <w:tc>
          <w:tcPr>
            <w:tcW w:w="8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comprehensive income (loss) attributable to Avis Budget Group, Inc.</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6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3"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Avis Budget Group, Inc.</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CONSOLIDATED BALANCE SHEETS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 millions, except par value)</w:t>
      </w:r>
    </w:p>
    <w:tbl>
      <w:tblPr>
        <w:tblW w:w="9743" w:type="dxa"/>
        <w:jc w:val="left"/>
        <w:tblInd w:w="0" w:type="dxa"/>
        <w:tblLayout w:type="fixed"/>
        <w:tblCellMar>
          <w:top w:w="28" w:type="dxa"/>
          <w:left w:w="28" w:type="dxa"/>
          <w:bottom w:w="28" w:type="dxa"/>
          <w:right w:w="28" w:type="dxa"/>
        </w:tblCellMar>
      </w:tblPr>
      <w:tblGrid>
        <w:gridCol w:w="2697"/>
        <w:gridCol w:w="2366"/>
        <w:gridCol w:w="2406"/>
        <w:gridCol w:w="196"/>
        <w:gridCol w:w="646"/>
        <w:gridCol w:w="109"/>
        <w:gridCol w:w="109"/>
        <w:gridCol w:w="109"/>
        <w:gridCol w:w="109"/>
        <w:gridCol w:w="196"/>
        <w:gridCol w:w="646"/>
        <w:gridCol w:w="154"/>
      </w:tblGrid>
      <w:tr>
        <w:trPr/>
        <w:tc>
          <w:tcPr>
            <w:tcW w:w="2697"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c>
          <w:tcPr>
            <w:tcW w:w="2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 of December 31,</w:t>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Receivables (net of allowance for doubtful accounts of $96 and $87, respectively)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intangibles,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 exclusive of assets under vehicle programs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vehicle programs: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Program cash</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Vehicles, net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Receivables from vehicle manufacturers and 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in Avis Budget Rental Car Funding (AESOP) LLC—related party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22,979 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stockholders’ 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current liabilities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debt and current portion of long-term 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exclusive of liabilities under vehicle programs</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10,095 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 under vehicle programs: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due to Avis Budget Rental Car Funding (AESOP) LLC—related party</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15)</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Preferred stock, $0.01 par value—authorized 10 shares; none issued and outstanding,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$0.01 par value—authorized 250 shares; issued 137 shares,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Treasury stock, at cost—</w:t>
            </w:r>
            <w:r>
              <w:rPr>
                <w:rFonts w:ascii="Arial;sans-serif" w:hAnsi="Arial;sans-serif"/>
                <w:b w:val="false"/>
                <w:color w:val="000000"/>
                <w:sz w:val="16"/>
                <w:shd w:fill="FFFFFF" w:val="clear"/>
              </w:rPr>
              <w:t>102 shares, in each period</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 attributable to Avis Budget Group, Inc.</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4"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449"/>
        <w:gridCol w:w="2088"/>
        <w:gridCol w:w="2096"/>
        <w:gridCol w:w="211"/>
        <w:gridCol w:w="680"/>
        <w:gridCol w:w="109"/>
        <w:gridCol w:w="109"/>
        <w:gridCol w:w="109"/>
        <w:gridCol w:w="109"/>
        <w:gridCol w:w="211"/>
        <w:gridCol w:w="616"/>
        <w:gridCol w:w="109"/>
        <w:gridCol w:w="109"/>
        <w:gridCol w:w="109"/>
        <w:gridCol w:w="109"/>
        <w:gridCol w:w="211"/>
        <w:gridCol w:w="616"/>
        <w:gridCol w:w="155"/>
      </w:tblGrid>
      <w:tr>
        <w:trPr/>
        <w:tc>
          <w:tcPr>
            <w:tcW w:w="2449"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(loss) to net cash provided by operating activities:</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depreciation</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right-of-use assets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loss on sale of vehicles, net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 related reserves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Non-vehicle related depreciation and amortization</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Stock-based compensation</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debt financing fees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Early extinguishment of debt costs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 impairment and other related charges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assets and liabilities:</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other current liabilities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operating activities</w:t>
            </w:r>
          </w:p>
        </w:tc>
        <w:tc>
          <w:tcPr>
            <w:tcW w:w="8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additions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received on asset sales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assets acquired (net of cash acquired)</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 exclusive of vehicle programs</w:t>
            </w:r>
          </w:p>
        </w:tc>
        <w:tc>
          <w:tcPr>
            <w:tcW w:w="8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Vehicle programs:</w:t>
            </w:r>
          </w:p>
        </w:tc>
        <w:tc>
          <w:tcPr>
            <w:tcW w:w="1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vehicles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received on disposition of vehicles</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6,606 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debt securities of Avis Budget Rental Car Funding (AESOP) LLC —related party</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debt securities of Avis Budget Rental Car Funding (AESOP) LLC —related party</w:t>
            </w:r>
          </w:p>
        </w:tc>
        <w:tc>
          <w:tcPr>
            <w:tcW w:w="8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investing activities</w:t>
            </w:r>
          </w:p>
        </w:tc>
        <w:tc>
          <w:tcPr>
            <w:tcW w:w="89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(2,753)</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(7,346)</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(4,299)</w:t>
            </w:r>
          </w:p>
        </w:tc>
        <w:tc>
          <w:tcPr>
            <w:tcW w:w="15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5"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2494"/>
        <w:gridCol w:w="2136"/>
        <w:gridCol w:w="2151"/>
        <w:gridCol w:w="211"/>
        <w:gridCol w:w="616"/>
        <w:gridCol w:w="109"/>
        <w:gridCol w:w="109"/>
        <w:gridCol w:w="109"/>
        <w:gridCol w:w="109"/>
        <w:gridCol w:w="243"/>
        <w:gridCol w:w="542"/>
        <w:gridCol w:w="109"/>
        <w:gridCol w:w="109"/>
        <w:gridCol w:w="109"/>
        <w:gridCol w:w="109"/>
        <w:gridCol w:w="243"/>
        <w:gridCol w:w="542"/>
        <w:gridCol w:w="155"/>
      </w:tblGrid>
      <w:tr>
        <w:trPr/>
        <w:tc>
          <w:tcPr>
            <w:tcW w:w="2494"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long-term borrowings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long-term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short-term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financing fees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 exclusive of vehicle programs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(2,592)</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Vehicle programs: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borrowings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(15,160)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financing fees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provided by (used in) financing activities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Effect of changes in exchange rates on cash and cash equivalents, program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cash and cash equivalents, program and restricted cash</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program and restricted cash, beginning of period</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program and restricted cash, end of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6"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millions)</w:t>
      </w:r>
    </w:p>
    <w:p>
      <w:pPr>
        <w:pStyle w:val="TextBody"/>
        <w:bidi w:val="0"/>
        <w:spacing w:before="0" w:after="0"/>
        <w:jc w:val="center"/>
        <w:rPr/>
      </w:pPr>
      <w:r>
        <w:rPr/>
      </w:r>
    </w:p>
    <w:tbl>
      <w:tblPr>
        <w:tblW w:w="11756" w:type="dxa"/>
        <w:jc w:val="left"/>
        <w:tblInd w:w="0" w:type="dxa"/>
        <w:tblLayout w:type="fixed"/>
        <w:tblCellMar>
          <w:top w:w="28" w:type="dxa"/>
          <w:left w:w="28" w:type="dxa"/>
          <w:bottom w:w="28" w:type="dxa"/>
          <w:right w:w="28" w:type="dxa"/>
        </w:tblCellMar>
      </w:tblPr>
      <w:tblGrid>
        <w:gridCol w:w="558"/>
        <w:gridCol w:w="255"/>
        <w:gridCol w:w="178"/>
        <w:gridCol w:w="203"/>
        <w:gridCol w:w="203"/>
        <w:gridCol w:w="161"/>
        <w:gridCol w:w="109"/>
        <w:gridCol w:w="109"/>
        <w:gridCol w:w="109"/>
        <w:gridCol w:w="201"/>
        <w:gridCol w:w="237"/>
        <w:gridCol w:w="133"/>
        <w:gridCol w:w="109"/>
        <w:gridCol w:w="109"/>
        <w:gridCol w:w="109"/>
        <w:gridCol w:w="168"/>
        <w:gridCol w:w="411"/>
        <w:gridCol w:w="112"/>
        <w:gridCol w:w="109"/>
        <w:gridCol w:w="109"/>
        <w:gridCol w:w="109"/>
        <w:gridCol w:w="215"/>
        <w:gridCol w:w="528"/>
        <w:gridCol w:w="143"/>
        <w:gridCol w:w="109"/>
        <w:gridCol w:w="109"/>
        <w:gridCol w:w="109"/>
        <w:gridCol w:w="267"/>
        <w:gridCol w:w="533"/>
        <w:gridCol w:w="176"/>
        <w:gridCol w:w="109"/>
        <w:gridCol w:w="109"/>
        <w:gridCol w:w="109"/>
        <w:gridCol w:w="209"/>
        <w:gridCol w:w="212"/>
        <w:gridCol w:w="161"/>
        <w:gridCol w:w="109"/>
        <w:gridCol w:w="109"/>
        <w:gridCol w:w="109"/>
        <w:gridCol w:w="166"/>
        <w:gridCol w:w="481"/>
        <w:gridCol w:w="109"/>
        <w:gridCol w:w="109"/>
        <w:gridCol w:w="109"/>
        <w:gridCol w:w="109"/>
        <w:gridCol w:w="207"/>
        <w:gridCol w:w="526"/>
        <w:gridCol w:w="138"/>
        <w:gridCol w:w="109"/>
        <w:gridCol w:w="109"/>
        <w:gridCol w:w="109"/>
        <w:gridCol w:w="314"/>
        <w:gridCol w:w="485"/>
        <w:gridCol w:w="207"/>
        <w:gridCol w:w="109"/>
        <w:gridCol w:w="109"/>
        <w:gridCol w:w="109"/>
        <w:gridCol w:w="205"/>
        <w:gridCol w:w="520"/>
        <w:gridCol w:w="191"/>
      </w:tblGrid>
      <w:tr>
        <w:trPr/>
        <w:tc>
          <w:tcPr>
            <w:tcW w:w="5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 Attributable to Avis Budget Group,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Stockholders’ Equity</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January 1, 2022</w:t>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6,676 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(185)</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(81.2)</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(6,579)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(220)</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(209)</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2,756 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2,764 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2,796 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2,788 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Contributions from non-controlling interests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24 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Repurchases of common stock</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(3,267)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2022</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6,666 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2,579 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(97.6)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(703)</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(700)</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1,632 </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1,637 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1,640 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0.3 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Repurchases of common stock </w:t>
            </w:r>
            <w:r>
              <w:rPr>
                <w:rFonts w:ascii="Arial;sans-serif" w:hAnsi="Arial;sans-serif"/>
                <w:b w:val="false"/>
                <w:color w:val="000000"/>
                <w:sz w:val="8"/>
              </w:rPr>
              <w:t>(a)</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(4.3)</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(897)</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(897)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paid ($10.00 per share)</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(355)</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2023</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6,634 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3,854 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(96)</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(101.6)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(349)</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(343)</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Comprehensive income:</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(1,821)</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(1,821)</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(1,817)</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Other comprehensive income (loss)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Total comprehensive income (loss)</w:t>
            </w:r>
          </w:p>
        </w:tc>
        <w:tc>
          <w:tcPr>
            <w:tcW w:w="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(1,821)</w:t>
            </w:r>
          </w:p>
        </w:tc>
        <w:tc>
          <w:tcPr>
            <w:tcW w:w="1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(114)</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(1,935)</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(1,931)</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activity related to restricted stock units</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 xml:space="preserve">Repurchases of common stock </w:t>
            </w:r>
            <w:r>
              <w:rPr>
                <w:rFonts w:ascii="Arial;sans-serif" w:hAnsi="Arial;sans-serif"/>
                <w:b w:val="false"/>
                <w:color w:val="000000"/>
                <w:sz w:val="8"/>
              </w:rPr>
              <w:t>(a)</w:t>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(0.6)</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December 31, 2024</w:t>
            </w:r>
          </w:p>
        </w:tc>
        <w:tc>
          <w:tcPr>
            <w:tcW w:w="406"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137.1 </w:t>
            </w:r>
          </w:p>
        </w:tc>
        <w:tc>
          <w:tcPr>
            <w:tcW w:w="16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23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1 </w:t>
            </w:r>
          </w:p>
        </w:tc>
        <w:tc>
          <w:tcPr>
            <w:tcW w:w="13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6,620 </w:t>
            </w:r>
          </w:p>
        </w:tc>
        <w:tc>
          <w:tcPr>
            <w:tcW w:w="1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2,029 </w:t>
            </w:r>
          </w:p>
        </w:tc>
        <w:tc>
          <w:tcPr>
            <w:tcW w:w="14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3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(210)</w:t>
            </w:r>
          </w:p>
        </w:tc>
        <w:tc>
          <w:tcPr>
            <w:tcW w:w="176"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(102.0)</w:t>
            </w:r>
          </w:p>
        </w:tc>
        <w:tc>
          <w:tcPr>
            <w:tcW w:w="16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(10,767)</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(2,327)</w:t>
            </w:r>
          </w:p>
        </w:tc>
        <w:tc>
          <w:tcPr>
            <w:tcW w:w="13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48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10 </w:t>
            </w:r>
          </w:p>
        </w:tc>
        <w:tc>
          <w:tcPr>
            <w:tcW w:w="20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w:t>
            </w:r>
          </w:p>
        </w:tc>
        <w:tc>
          <w:tcPr>
            <w:tcW w:w="52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(2,317)</w:t>
            </w:r>
          </w:p>
        </w:tc>
        <w:tc>
          <w:tcPr>
            <w:tcW w:w="191"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120" w:after="283"/>
        <w:ind w:left="0" w:right="0" w:hanging="360"/>
        <w:jc w:val="left"/>
        <w:rPr/>
      </w:pPr>
      <w:r>
        <w:rPr>
          <w:rFonts w:ascii="Arial;sans-serif" w:hAnsi="Arial;sans-serif"/>
          <w:b w:val="false"/>
          <w:color w:val="000000"/>
          <w:sz w:val="8"/>
        </w:rPr>
        <w:t>(a)</w:t>
      </w:r>
      <w:r>
        <w:rPr>
          <w:color w:val="000000"/>
          <w:shd w:fill="FFFFFF" w:val="clear"/>
        </w:rPr>
        <w:t xml:space="preserve"> </w:t>
      </w:r>
      <w:r>
        <w:rPr>
          <w:rFonts w:ascii="Arial;sans-serif" w:hAnsi="Arial;sans-serif"/>
          <w:b w:val="false"/>
          <w:color w:val="000000"/>
          <w:sz w:val="12"/>
          <w:shd w:fill="FFFFFF" w:val="clear"/>
        </w:rPr>
        <w:t>Amount includes excise taxes due under the Inflation Reduction Act of 2022.</w:t>
      </w:r>
    </w:p>
    <w:p>
      <w:pPr>
        <w:pStyle w:val="TextBody"/>
        <w:bidi w:val="0"/>
        <w:spacing w:before="120" w:after="283"/>
        <w:ind w:left="0" w:right="0" w:hanging="360"/>
        <w:jc w:val="left"/>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before="120" w:after="283"/>
        <w:ind w:left="0" w:right="0" w:hanging="360"/>
        <w:jc w:val="center"/>
        <w:rPr/>
      </w:pPr>
      <w:r>
        <w:rPr/>
      </w:r>
    </w:p>
    <w:p>
      <w:pPr>
        <w:pStyle w:val="TextBody"/>
        <w:bidi w:val="0"/>
        <w:spacing w:lineRule="auto" w:line="288" w:before="120" w:after="283"/>
        <w:ind w:left="0" w:right="0" w:hanging="360"/>
        <w:jc w:val="center"/>
        <w:rPr>
          <w:rFonts w:ascii="Arial;sans-serif" w:hAnsi="Arial;sans-serif"/>
          <w:b w:val="false"/>
          <w:color w:val="000000"/>
          <w:sz w:val="20"/>
        </w:rPr>
      </w:pPr>
      <w:r>
        <w:rPr>
          <w:rFonts w:ascii="Arial;sans-serif" w:hAnsi="Arial;sans-serif"/>
          <w:b w:val="false"/>
          <w:color w:val="000000"/>
          <w:sz w:val="20"/>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7"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left"/>
        <w:rPr>
          <w:color w:val="000000"/>
        </w:rPr>
      </w:pPr>
      <w:r>
        <w:rPr>
          <w:color w:val="000000"/>
        </w:rPr>
        <w:t> </w:t>
      </w:r>
    </w:p>
    <w:tbl>
      <w:tblPr>
        <w:tblW w:w="6661" w:type="dxa"/>
        <w:jc w:val="left"/>
        <w:tblInd w:w="0" w:type="dxa"/>
        <w:tblLayout w:type="fixed"/>
        <w:tblCellMar>
          <w:top w:w="28" w:type="dxa"/>
          <w:left w:w="28" w:type="dxa"/>
          <w:bottom w:w="28" w:type="dxa"/>
          <w:right w:w="28" w:type="dxa"/>
        </w:tblCellMar>
      </w:tblPr>
      <w:tblGrid>
        <w:gridCol w:w="287"/>
        <w:gridCol w:w="252"/>
        <w:gridCol w:w="256"/>
        <w:gridCol w:w="1749"/>
        <w:gridCol w:w="1749"/>
        <w:gridCol w:w="1752"/>
        <w:gridCol w:w="180"/>
        <w:gridCol w:w="180"/>
        <w:gridCol w:w="256"/>
      </w:tblGrid>
      <w:tr>
        <w:trPr/>
        <w:tc>
          <w:tcPr>
            <w:tcW w:w="2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Page</w:t>
            </w:r>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3">
              <w:r>
                <w:rPr>
                  <w:rStyle w:val="InternetLink"/>
                  <w:rFonts w:ascii="Arial;sans-serif" w:hAnsi="Arial;sans-serif"/>
                  <w:b w:val="false"/>
                  <w:color w:val="0000FF"/>
                  <w:sz w:val="20"/>
                  <w:u w:val="single"/>
                </w:rPr>
                <w:t>Note 1</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3">
              <w:r>
                <w:rPr>
                  <w:rStyle w:val="InternetLink"/>
                  <w:rFonts w:ascii="Arial;sans-serif" w:hAnsi="Arial;sans-serif"/>
                  <w:b w:val="false"/>
                  <w:color w:val="0000FF"/>
                  <w:sz w:val="20"/>
                  <w:u w:val="single"/>
                </w:rPr>
                <w:t>Basis of Presentation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33">
              <w:r>
                <w:rPr>
                  <w:rStyle w:val="InternetLink"/>
                  <w:rFonts w:ascii="Arial;sans-serif" w:hAnsi="Arial;sans-serif"/>
                  <w:b w:val="false"/>
                  <w:color w:val="0000FF"/>
                  <w:sz w:val="20"/>
                  <w:u w:val="single"/>
                </w:rPr>
                <w:t>13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6">
              <w:r>
                <w:rPr>
                  <w:rStyle w:val="InternetLink"/>
                  <w:rFonts w:ascii="Arial;sans-serif" w:hAnsi="Arial;sans-serif"/>
                  <w:b w:val="false"/>
                  <w:color w:val="0000FF"/>
                  <w:sz w:val="20"/>
                  <w:u w:val="single"/>
                </w:rPr>
                <w:t>Note 2</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6">
              <w:r>
                <w:rPr>
                  <w:rStyle w:val="InternetLink"/>
                  <w:rFonts w:ascii="Arial;sans-serif" w:hAnsi="Arial;sans-serif"/>
                  <w:b w:val="false"/>
                  <w:color w:val="0000FF"/>
                  <w:sz w:val="20"/>
                  <w:u w:val="single"/>
                </w:rPr>
                <w:t>Summary of Significant Accounting Policies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36">
              <w:r>
                <w:rPr>
                  <w:rStyle w:val="InternetLink"/>
                  <w:rFonts w:ascii="Arial;sans-serif" w:hAnsi="Arial;sans-serif"/>
                  <w:b w:val="false"/>
                  <w:color w:val="0000FF"/>
                  <w:sz w:val="20"/>
                  <w:u w:val="single"/>
                </w:rPr>
                <w:t>13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9">
              <w:r>
                <w:rPr>
                  <w:rStyle w:val="InternetLink"/>
                  <w:rFonts w:ascii="Arial;sans-serif" w:hAnsi="Arial;sans-serif"/>
                  <w:b w:val="false"/>
                  <w:color w:val="0000FF"/>
                  <w:sz w:val="20"/>
                  <w:u w:val="single"/>
                </w:rPr>
                <w:t>Note 3</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39">
              <w:r>
                <w:rPr>
                  <w:rStyle w:val="InternetLink"/>
                  <w:rFonts w:ascii="Arial;sans-serif" w:hAnsi="Arial;sans-serif"/>
                  <w:b w:val="false"/>
                  <w:color w:val="0000FF"/>
                  <w:sz w:val="20"/>
                  <w:u w:val="single"/>
                </w:rPr>
                <w:t>Leases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39">
              <w:r>
                <w:rPr>
                  <w:rStyle w:val="InternetLink"/>
                  <w:rFonts w:ascii="Arial;sans-serif" w:hAnsi="Arial;sans-serif"/>
                  <w:b w:val="false"/>
                  <w:color w:val="0000FF"/>
                  <w:sz w:val="20"/>
                  <w:u w:val="single"/>
                </w:rPr>
                <w:t>22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2">
              <w:r>
                <w:rPr>
                  <w:rStyle w:val="InternetLink"/>
                  <w:rFonts w:ascii="Arial;sans-serif" w:hAnsi="Arial;sans-serif"/>
                  <w:b w:val="false"/>
                  <w:color w:val="0000FF"/>
                  <w:sz w:val="20"/>
                  <w:u w:val="single"/>
                </w:rPr>
                <w:t>Note 4</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2">
              <w:r>
                <w:rPr>
                  <w:rStyle w:val="InternetLink"/>
                  <w:rFonts w:ascii="Arial;sans-serif" w:hAnsi="Arial;sans-serif"/>
                  <w:b w:val="false"/>
                  <w:color w:val="0000FF"/>
                  <w:sz w:val="20"/>
                  <w:u w:val="single"/>
                </w:rPr>
                <w:t>Earnings Per Share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42">
              <w:r>
                <w:rPr>
                  <w:rStyle w:val="InternetLink"/>
                  <w:rFonts w:ascii="Arial;sans-serif" w:hAnsi="Arial;sans-serif"/>
                  <w:b w:val="false"/>
                  <w:color w:val="0000FF"/>
                  <w:sz w:val="20"/>
                  <w:u w:val="single"/>
                </w:rPr>
                <w:t>25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5">
              <w:r>
                <w:rPr>
                  <w:rStyle w:val="InternetLink"/>
                  <w:rFonts w:ascii="Arial;sans-serif" w:hAnsi="Arial;sans-serif"/>
                  <w:b w:val="false"/>
                  <w:color w:val="0000FF"/>
                  <w:sz w:val="20"/>
                  <w:u w:val="single"/>
                </w:rPr>
                <w:t>Note 5</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5">
              <w:r>
                <w:rPr>
                  <w:rStyle w:val="InternetLink"/>
                  <w:rFonts w:ascii="Arial;sans-serif" w:hAnsi="Arial;sans-serif"/>
                  <w:b w:val="false"/>
                  <w:color w:val="0000FF"/>
                  <w:sz w:val="20"/>
                  <w:u w:val="single"/>
                </w:rPr>
                <w:t>Restructuring and Other Related Charges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45">
              <w:r>
                <w:rPr>
                  <w:rStyle w:val="InternetLink"/>
                  <w:rFonts w:ascii="Arial;sans-serif" w:hAnsi="Arial;sans-serif"/>
                  <w:b w:val="false"/>
                  <w:color w:val="0000FF"/>
                  <w:sz w:val="20"/>
                  <w:u w:val="single"/>
                </w:rPr>
                <w:t>26</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8">
              <w:r>
                <w:rPr>
                  <w:rStyle w:val="InternetLink"/>
                  <w:rFonts w:ascii="Arial;sans-serif" w:hAnsi="Arial;sans-serif"/>
                  <w:b w:val="false"/>
                  <w:color w:val="0000FF"/>
                  <w:sz w:val="20"/>
                  <w:u w:val="single"/>
                </w:rPr>
                <w:t>Note 6</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48">
              <w:r>
                <w:rPr>
                  <w:rStyle w:val="InternetLink"/>
                  <w:rFonts w:ascii="Arial;sans-serif" w:hAnsi="Arial;sans-serif"/>
                  <w:b w:val="false"/>
                  <w:color w:val="0000FF"/>
                  <w:sz w:val="20"/>
                  <w:u w:val="single"/>
                </w:rPr>
                <w:t>Acquisitions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48">
              <w:r>
                <w:rPr>
                  <w:rStyle w:val="InternetLink"/>
                  <w:rFonts w:ascii="Arial;sans-serif" w:hAnsi="Arial;sans-serif"/>
                  <w:b w:val="false"/>
                  <w:color w:val="0000FF"/>
                  <w:sz w:val="20"/>
                  <w:u w:val="single"/>
                </w:rPr>
                <w:t>28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1">
              <w:r>
                <w:rPr>
                  <w:rStyle w:val="InternetLink"/>
                  <w:rFonts w:ascii="Arial;sans-serif" w:hAnsi="Arial;sans-serif"/>
                  <w:b w:val="false"/>
                  <w:color w:val="0000FF"/>
                  <w:sz w:val="20"/>
                  <w:u w:val="single"/>
                </w:rPr>
                <w:t>Note 7</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1">
              <w:r>
                <w:rPr>
                  <w:rStyle w:val="InternetLink"/>
                  <w:rFonts w:ascii="Arial;sans-serif" w:hAnsi="Arial;sans-serif"/>
                  <w:b w:val="false"/>
                  <w:color w:val="0000FF"/>
                  <w:sz w:val="20"/>
                  <w:u w:val="single"/>
                </w:rPr>
                <w:t>Intangible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51">
              <w:r>
                <w:rPr>
                  <w:rStyle w:val="InternetLink"/>
                  <w:rFonts w:ascii="Arial;sans-serif" w:hAnsi="Arial;sans-serif"/>
                  <w:b w:val="false"/>
                  <w:color w:val="0000FF"/>
                  <w:sz w:val="20"/>
                  <w:u w:val="single"/>
                </w:rPr>
                <w:t>28</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4">
              <w:r>
                <w:rPr>
                  <w:rStyle w:val="InternetLink"/>
                  <w:rFonts w:ascii="Arial;sans-serif" w:hAnsi="Arial;sans-serif"/>
                  <w:b w:val="false"/>
                  <w:color w:val="0000FF"/>
                  <w:sz w:val="20"/>
                  <w:u w:val="single"/>
                </w:rPr>
                <w:t>Note 8</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4">
              <w:r>
                <w:rPr>
                  <w:rStyle w:val="InternetLink"/>
                  <w:rFonts w:ascii="Arial;sans-serif" w:hAnsi="Arial;sans-serif"/>
                  <w:b w:val="false"/>
                  <w:color w:val="0000FF"/>
                  <w:sz w:val="20"/>
                  <w:u w:val="single"/>
                </w:rPr>
                <w:t>Vehicle Rental Activities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54">
              <w:r>
                <w:rPr>
                  <w:rStyle w:val="InternetLink"/>
                  <w:rFonts w:ascii="Arial;sans-serif" w:hAnsi="Arial;sans-serif"/>
                  <w:b w:val="false"/>
                  <w:color w:val="0000FF"/>
                  <w:sz w:val="20"/>
                  <w:u w:val="single"/>
                </w:rPr>
                <w:t>29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7">
              <w:r>
                <w:rPr>
                  <w:rStyle w:val="InternetLink"/>
                  <w:rFonts w:ascii="Arial;sans-serif" w:hAnsi="Arial;sans-serif"/>
                  <w:b w:val="false"/>
                  <w:color w:val="0000FF"/>
                  <w:sz w:val="20"/>
                  <w:u w:val="single"/>
                </w:rPr>
                <w:t>Note 9</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57">
              <w:r>
                <w:rPr>
                  <w:rStyle w:val="InternetLink"/>
                  <w:rFonts w:ascii="Arial;sans-serif" w:hAnsi="Arial;sans-serif"/>
                  <w:b w:val="false"/>
                  <w:color w:val="0000FF"/>
                  <w:sz w:val="20"/>
                  <w:u w:val="single"/>
                </w:rPr>
                <w:t>Income Taxes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57">
              <w:r>
                <w:rPr>
                  <w:rStyle w:val="InternetLink"/>
                  <w:rFonts w:ascii="Arial;sans-serif" w:hAnsi="Arial;sans-serif"/>
                  <w:b w:val="false"/>
                  <w:color w:val="0000FF"/>
                  <w:sz w:val="20"/>
                  <w:u w:val="single"/>
                </w:rPr>
                <w:t>30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0">
              <w:r>
                <w:rPr>
                  <w:rStyle w:val="InternetLink"/>
                  <w:rFonts w:ascii="Arial;sans-serif" w:hAnsi="Arial;sans-serif"/>
                  <w:b w:val="false"/>
                  <w:color w:val="0000FF"/>
                  <w:sz w:val="20"/>
                  <w:u w:val="single"/>
                </w:rPr>
                <w:t>Note 10</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0">
              <w:r>
                <w:rPr>
                  <w:rStyle w:val="InternetLink"/>
                  <w:rFonts w:ascii="Arial;sans-serif" w:hAnsi="Arial;sans-serif"/>
                  <w:b w:val="false"/>
                  <w:color w:val="0000FF"/>
                  <w:sz w:val="20"/>
                  <w:u w:val="single"/>
                </w:rPr>
                <w:t>Other Current Assets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60">
              <w:r>
                <w:rPr>
                  <w:rStyle w:val="InternetLink"/>
                  <w:rFonts w:ascii="Arial;sans-serif" w:hAnsi="Arial;sans-serif"/>
                  <w:b w:val="false"/>
                  <w:color w:val="0000FF"/>
                  <w:sz w:val="20"/>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3">
              <w:r>
                <w:rPr>
                  <w:rStyle w:val="InternetLink"/>
                  <w:rFonts w:ascii="Arial;sans-serif" w:hAnsi="Arial;sans-serif"/>
                  <w:b w:val="false"/>
                  <w:color w:val="0000FF"/>
                  <w:sz w:val="20"/>
                  <w:u w:val="single"/>
                </w:rPr>
                <w:t>Note 11</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3">
              <w:r>
                <w:rPr>
                  <w:rStyle w:val="InternetLink"/>
                  <w:rFonts w:ascii="Arial;sans-serif" w:hAnsi="Arial;sans-serif"/>
                  <w:b w:val="false"/>
                  <w:color w:val="0000FF"/>
                  <w:sz w:val="20"/>
                  <w:u w:val="single"/>
                </w:rPr>
                <w:t>Property and Equipment, net</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63">
              <w:r>
                <w:rPr>
                  <w:rStyle w:val="InternetLink"/>
                  <w:rFonts w:ascii="Arial;sans-serif" w:hAnsi="Arial;sans-serif"/>
                  <w:b w:val="false"/>
                  <w:color w:val="0000FF"/>
                  <w:sz w:val="20"/>
                  <w:u w:val="single"/>
                </w:rPr>
                <w:t>33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6">
              <w:r>
                <w:rPr>
                  <w:rStyle w:val="InternetLink"/>
                  <w:rFonts w:ascii="Arial;sans-serif" w:hAnsi="Arial;sans-serif"/>
                  <w:b w:val="false"/>
                  <w:color w:val="0000FF"/>
                  <w:sz w:val="20"/>
                  <w:u w:val="single"/>
                </w:rPr>
                <w:t>Note 12</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6">
              <w:r>
                <w:rPr>
                  <w:rStyle w:val="InternetLink"/>
                  <w:rFonts w:ascii="Arial;sans-serif" w:hAnsi="Arial;sans-serif"/>
                  <w:b w:val="false"/>
                  <w:color w:val="0000FF"/>
                  <w:sz w:val="20"/>
                  <w:u w:val="single"/>
                </w:rPr>
                <w:t>Accounts Payable and Other Current Liabilities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66">
              <w:r>
                <w:rPr>
                  <w:rStyle w:val="InternetLink"/>
                  <w:rFonts w:ascii="Arial;sans-serif" w:hAnsi="Arial;sans-serif"/>
                  <w:b w:val="false"/>
                  <w:color w:val="0000FF"/>
                  <w:sz w:val="20"/>
                  <w:u w:val="single"/>
                </w:rPr>
                <w:t>34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9">
              <w:r>
                <w:rPr>
                  <w:rStyle w:val="InternetLink"/>
                  <w:rFonts w:ascii="Arial;sans-serif" w:hAnsi="Arial;sans-serif"/>
                  <w:b w:val="false"/>
                  <w:color w:val="0000FF"/>
                  <w:sz w:val="20"/>
                  <w:u w:val="single"/>
                </w:rPr>
                <w:t>Note 13</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69">
              <w:r>
                <w:rPr>
                  <w:rStyle w:val="InternetLink"/>
                  <w:rFonts w:ascii="Arial;sans-serif" w:hAnsi="Arial;sans-serif"/>
                  <w:b w:val="false"/>
                  <w:color w:val="0000FF"/>
                  <w:sz w:val="20"/>
                  <w:u w:val="single"/>
                </w:rPr>
                <w:t>Long-term Corporate Debt and Borrowing Arrangements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69">
              <w:r>
                <w:rPr>
                  <w:rStyle w:val="InternetLink"/>
                  <w:rFonts w:ascii="Arial;sans-serif" w:hAnsi="Arial;sans-serif"/>
                  <w:b w:val="false"/>
                  <w:color w:val="0000FF"/>
                  <w:sz w:val="20"/>
                  <w:u w:val="single"/>
                </w:rPr>
                <w:t>34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2">
              <w:r>
                <w:rPr>
                  <w:rStyle w:val="InternetLink"/>
                  <w:rFonts w:ascii="Arial;sans-serif" w:hAnsi="Arial;sans-serif"/>
                  <w:b w:val="false"/>
                  <w:color w:val="0000FF"/>
                  <w:sz w:val="20"/>
                  <w:u w:val="single"/>
                </w:rPr>
                <w:t>Note 14</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2">
              <w:r>
                <w:rPr>
                  <w:rStyle w:val="InternetLink"/>
                  <w:rFonts w:ascii="Arial;sans-serif" w:hAnsi="Arial;sans-serif"/>
                  <w:b w:val="false"/>
                  <w:color w:val="0000FF"/>
                  <w:sz w:val="20"/>
                  <w:u w:val="single"/>
                </w:rPr>
                <w:t>Debt Under Vehicle Programs and Borrowing Arrangements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72">
              <w:r>
                <w:rPr>
                  <w:rStyle w:val="InternetLink"/>
                  <w:rFonts w:ascii="Arial;sans-serif" w:hAnsi="Arial;sans-serif"/>
                  <w:b w:val="false"/>
                  <w:color w:val="0000FF"/>
                  <w:sz w:val="20"/>
                  <w:u w:val="single"/>
                </w:rPr>
                <w:t>37</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5">
              <w:r>
                <w:rPr>
                  <w:rStyle w:val="InternetLink"/>
                  <w:rFonts w:ascii="Arial;sans-serif" w:hAnsi="Arial;sans-serif"/>
                  <w:b w:val="false"/>
                  <w:color w:val="0000FF"/>
                  <w:sz w:val="20"/>
                  <w:u w:val="single"/>
                </w:rPr>
                <w:t>Note 15</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5">
              <w:r>
                <w:rPr>
                  <w:rStyle w:val="InternetLink"/>
                  <w:rFonts w:ascii="Arial;sans-serif" w:hAnsi="Arial;sans-serif"/>
                  <w:b w:val="false"/>
                  <w:color w:val="0000FF"/>
                  <w:sz w:val="20"/>
                  <w:u w:val="single"/>
                </w:rPr>
                <w:t>Commitments and Contingencies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75">
              <w:r>
                <w:rPr>
                  <w:rStyle w:val="InternetLink"/>
                  <w:rFonts w:ascii="Arial;sans-serif" w:hAnsi="Arial;sans-serif"/>
                  <w:b w:val="false"/>
                  <w:color w:val="0000FF"/>
                  <w:sz w:val="20"/>
                  <w:u w:val="single"/>
                </w:rPr>
                <w:t>40</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8">
              <w:r>
                <w:rPr>
                  <w:rStyle w:val="InternetLink"/>
                  <w:rFonts w:ascii="Arial;sans-serif" w:hAnsi="Arial;sans-serif"/>
                  <w:b w:val="false"/>
                  <w:color w:val="0000FF"/>
                  <w:sz w:val="20"/>
                  <w:u w:val="single"/>
                </w:rPr>
                <w:t>Note 16</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78">
              <w:r>
                <w:rPr>
                  <w:rStyle w:val="InternetLink"/>
                  <w:rFonts w:ascii="Arial;sans-serif" w:hAnsi="Arial;sans-serif"/>
                  <w:b w:val="false"/>
                  <w:color w:val="0000FF"/>
                  <w:sz w:val="20"/>
                  <w:u w:val="single"/>
                </w:rPr>
                <w:t>Stockholders' Equity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78">
              <w:r>
                <w:rPr>
                  <w:rStyle w:val="InternetLink"/>
                  <w:rFonts w:ascii="Arial;sans-serif" w:hAnsi="Arial;sans-serif"/>
                  <w:b w:val="false"/>
                  <w:color w:val="0000FF"/>
                  <w:sz w:val="20"/>
                  <w:u w:val="single"/>
                </w:rPr>
                <w:t>42</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81">
              <w:r>
                <w:rPr>
                  <w:rStyle w:val="InternetLink"/>
                  <w:rFonts w:ascii="Arial;sans-serif" w:hAnsi="Arial;sans-serif"/>
                  <w:b w:val="false"/>
                  <w:color w:val="0000FF"/>
                  <w:sz w:val="20"/>
                  <w:u w:val="single"/>
                </w:rPr>
                <w:t>Note 17</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81">
              <w:r>
                <w:rPr>
                  <w:rStyle w:val="InternetLink"/>
                  <w:rFonts w:ascii="Arial;sans-serif" w:hAnsi="Arial;sans-serif"/>
                  <w:b w:val="false"/>
                  <w:color w:val="0000FF"/>
                  <w:sz w:val="20"/>
                  <w:u w:val="single"/>
                </w:rPr>
                <w:t>Related Party Transactions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81">
              <w:r>
                <w:rPr>
                  <w:rStyle w:val="InternetLink"/>
                  <w:rFonts w:ascii="Arial;sans-serif" w:hAnsi="Arial;sans-serif"/>
                  <w:b w:val="false"/>
                  <w:color w:val="0000FF"/>
                  <w:sz w:val="20"/>
                  <w:u w:val="single"/>
                </w:rPr>
                <w:t>43</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87">
              <w:r>
                <w:rPr>
                  <w:rStyle w:val="InternetLink"/>
                  <w:rFonts w:ascii="Arial;sans-serif" w:hAnsi="Arial;sans-serif"/>
                  <w:b w:val="false"/>
                  <w:color w:val="0000FF"/>
                  <w:sz w:val="20"/>
                  <w:u w:val="single"/>
                </w:rPr>
                <w:t>Note 18</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87">
              <w:r>
                <w:rPr>
                  <w:rStyle w:val="InternetLink"/>
                  <w:rFonts w:ascii="Arial;sans-serif" w:hAnsi="Arial;sans-serif"/>
                  <w:b w:val="false"/>
                  <w:color w:val="0000FF"/>
                  <w:sz w:val="20"/>
                  <w:u w:val="single"/>
                </w:rPr>
                <w:t>Stock-Based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87">
              <w:r>
                <w:rPr>
                  <w:rStyle w:val="InternetLink"/>
                  <w:rFonts w:ascii="Arial;sans-serif" w:hAnsi="Arial;sans-serif"/>
                  <w:b w:val="false"/>
                  <w:color w:val="0000FF"/>
                  <w:sz w:val="20"/>
                  <w:u w:val="single"/>
                </w:rPr>
                <w:t>44</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0">
              <w:r>
                <w:rPr>
                  <w:rStyle w:val="InternetLink"/>
                  <w:rFonts w:ascii="Arial;sans-serif" w:hAnsi="Arial;sans-serif"/>
                  <w:b w:val="false"/>
                  <w:color w:val="0000FF"/>
                  <w:sz w:val="20"/>
                  <w:u w:val="single"/>
                </w:rPr>
                <w:t>Note 19</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0">
              <w:r>
                <w:rPr>
                  <w:rStyle w:val="InternetLink"/>
                  <w:rFonts w:ascii="Arial;sans-serif" w:hAnsi="Arial;sans-serif"/>
                  <w:b w:val="false"/>
                  <w:color w:val="0000FF"/>
                  <w:sz w:val="20"/>
                  <w:u w:val="single"/>
                </w:rPr>
                <w:t>Employee Benefit Plans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0">
              <w:r>
                <w:rPr>
                  <w:rStyle w:val="InternetLink"/>
                  <w:rFonts w:ascii="Arial;sans-serif" w:hAnsi="Arial;sans-serif"/>
                  <w:b w:val="false"/>
                  <w:color w:val="0000FF"/>
                  <w:sz w:val="20"/>
                  <w:u w:val="single"/>
                </w:rPr>
                <w:t>45</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3">
              <w:r>
                <w:rPr>
                  <w:rStyle w:val="InternetLink"/>
                  <w:rFonts w:ascii="Arial;sans-serif" w:hAnsi="Arial;sans-serif"/>
                  <w:b w:val="false"/>
                  <w:color w:val="0000FF"/>
                  <w:sz w:val="20"/>
                  <w:u w:val="single"/>
                </w:rPr>
                <w:t>Note 20</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3">
              <w:r>
                <w:rPr>
                  <w:rStyle w:val="InternetLink"/>
                  <w:rFonts w:ascii="Arial;sans-serif" w:hAnsi="Arial;sans-serif"/>
                  <w:b w:val="false"/>
                  <w:color w:val="0000FF"/>
                  <w:sz w:val="20"/>
                  <w:u w:val="single"/>
                </w:rPr>
                <w:t>Financial Instruments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3">
              <w:r>
                <w:rPr>
                  <w:rStyle w:val="InternetLink"/>
                  <w:rFonts w:ascii="Arial;sans-serif" w:hAnsi="Arial;sans-serif"/>
                  <w:b w:val="false"/>
                  <w:color w:val="0000FF"/>
                  <w:sz w:val="20"/>
                  <w:u w:val="single"/>
                </w:rPr>
                <w:t>49</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6">
              <w:r>
                <w:rPr>
                  <w:rStyle w:val="InternetLink"/>
                  <w:rFonts w:ascii="Arial;sans-serif" w:hAnsi="Arial;sans-serif"/>
                  <w:b w:val="false"/>
                  <w:color w:val="0000FF"/>
                  <w:sz w:val="20"/>
                  <w:u w:val="single"/>
                </w:rPr>
                <w:t>Note 21</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6">
              <w:r>
                <w:rPr>
                  <w:rStyle w:val="InternetLink"/>
                  <w:rFonts w:ascii="Arial;sans-serif" w:hAnsi="Arial;sans-serif"/>
                  <w:b w:val="false"/>
                  <w:color w:val="0000FF"/>
                  <w:sz w:val="20"/>
                  <w:u w:val="single"/>
                </w:rPr>
                <w:t>Segment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6">
              <w:r>
                <w:rPr>
                  <w:rStyle w:val="InternetLink"/>
                  <w:rFonts w:ascii="Arial;sans-serif" w:hAnsi="Arial;sans-serif"/>
                  <w:b w:val="false"/>
                  <w:color w:val="0000FF"/>
                  <w:sz w:val="20"/>
                  <w:u w:val="single"/>
                </w:rPr>
                <w:t>51</w:t>
              </w:r>
            </w:hyperlink>
          </w:p>
        </w:tc>
      </w:tr>
      <w:tr>
        <w:trPr/>
        <w:tc>
          <w:tcPr>
            <w:tcW w:w="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9">
              <w:r>
                <w:rPr>
                  <w:rStyle w:val="InternetLink"/>
                  <w:rFonts w:ascii="Arial;sans-serif" w:hAnsi="Arial;sans-serif"/>
                  <w:b w:val="false"/>
                  <w:color w:val="0000FF"/>
                  <w:sz w:val="20"/>
                  <w:u w:val="single"/>
                </w:rPr>
                <w:t>Note 22</w:t>
              </w:r>
            </w:hyperlink>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59feaa1acb740469392b68b9c0dbb00_199">
              <w:r>
                <w:rPr>
                  <w:rStyle w:val="InternetLink"/>
                  <w:rFonts w:ascii="Arial;sans-serif" w:hAnsi="Arial;sans-serif"/>
                  <w:b w:val="false"/>
                  <w:color w:val="0000FF"/>
                  <w:sz w:val="20"/>
                  <w:u w:val="single"/>
                </w:rPr>
                <w:t>Subsequent Events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59feaa1acb740469392b68b9c0dbb00_199">
              <w:r>
                <w:rPr>
                  <w:rStyle w:val="InternetLink"/>
                  <w:rFonts w:ascii="Arial;sans-serif" w:hAnsi="Arial;sans-serif"/>
                  <w:b w:val="false"/>
                  <w:color w:val="0000FF"/>
                  <w:sz w:val="20"/>
                  <w:u w:val="single"/>
                </w:rPr>
                <w:t>55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8"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Avis Budget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(Unless otherwise noted, all dollar amounts are in millions, except per share amounts)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    Basis of Presentation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Avis Budget Group, Inc. provides mobility solutions to businesses and consumers worldwide. The accompanying Consolidated Financial Statements include the accounts and transactions of Avis Budget Group, Inc. and its subsidiaries, as well as entities in which Avis Budget Group, Inc. directly or indirectly has a controlling financial interest (collectively, “we,” “our,” “us,” or the “Company”).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operate the following reportable business segments:</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Arial;sans-serif" w:hAnsi="Arial;sans-serif"/>
          <w:b/>
          <w:color w:val="000000"/>
          <w:sz w:val="20"/>
        </w:rPr>
        <w:t xml:space="preserve">Americas - </w:t>
      </w:r>
      <w:r>
        <w:rPr>
          <w:rFonts w:ascii="Arial;sans-serif" w:hAnsi="Arial;sans-serif"/>
          <w:b w:val="false"/>
          <w:color w:val="000000"/>
          <w:sz w:val="20"/>
        </w:rPr>
        <w:t xml:space="preserve">consisting primarily of (i) vehicle rental operations in North America, South America, Central America and the Caribbean, (ii) car sharing operations in certain of these markets, and (iii) licensees in the areas in which we do not operate directly. </w:t>
      </w:r>
    </w:p>
    <w:p>
      <w:pPr>
        <w:pStyle w:val="TextBody"/>
        <w:bidi w:val="0"/>
        <w:spacing w:before="0" w:after="0"/>
        <w:jc w:val="both"/>
        <w:rPr/>
      </w:pPr>
      <w:r>
        <w:rPr/>
      </w:r>
    </w:p>
    <w:p>
      <w:pPr>
        <w:pStyle w:val="TextBody"/>
        <w:bidi w:val="0"/>
        <w:spacing w:lineRule="auto" w:line="288" w:before="0" w:after="0"/>
        <w:ind w:left="0" w:right="0" w:hanging="540"/>
        <w:jc w:val="both"/>
        <w:rPr/>
      </w:pPr>
      <w:r>
        <w:rPr>
          <w:color w:val="000000"/>
        </w:rPr>
        <w:t>•</w:t>
      </w:r>
      <w:r>
        <w:rPr>
          <w:rFonts w:ascii="Arial;sans-serif" w:hAnsi="Arial;sans-serif"/>
          <w:b/>
          <w:color w:val="000000"/>
          <w:sz w:val="20"/>
        </w:rPr>
        <w:t xml:space="preserve">International - </w:t>
      </w:r>
      <w:r>
        <w:rPr>
          <w:rFonts w:ascii="Arial;sans-serif" w:hAnsi="Arial;sans-serif"/>
          <w:b w:val="false"/>
          <w:color w:val="000000"/>
          <w:sz w:val="20"/>
        </w:rPr>
        <w:t xml:space="preserve">consisting primarily of (i) vehicle rental operations in Europe, the Middle East, Africa, Asia and Australasia, (ii) car sharing operations in certain of these markets, and (iii) licensees in the areas in which we do not operate directly.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completed the business acquisitions discussed in Note 6 – Acquisitions to these Consolidated Financial Statements. The operating results of the acquired businesses are included in the accompanying Consolidated Financial Statements from the dates of acquisition.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present separately the financial data of our vehicle programs. These programs are distinct from our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2.    Summary of Significant Accounting Policies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Principles of Consolidation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Consolidated Financial Statements have been prepared in accordance with accounting principles generally accepted in the United States of America (“GAAP”) and include the accounts of our Company and all entities in which we have a direct or indirect controlling financial interest and variable interest entities for which we have determined we are the primary beneficiary.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 Intercompany transactions have been eliminated in consolidation.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Use of Estimates and Assumptions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use of estimates and assumptions as determined by management is required in the preparation of the Consolidated Financial Statements in conformity with GAAP. These estimates are based on management’s evaluation of historical trends and other information available when the Consolidated Financial Statements are prepared and may affect the amounts reported and related disclosures. Actual results could differ from those estimates.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derive revenues primarily by providing vehicle rentals and other related products and mobility services to commercial and leisure customers, as well as through licensing of our rental brands. Other related products and mobility services include sales of collision and loss damage waivers, under which we agree to relieve a customer from financial responsibility arising from vehicle damage incurred during the rental; additional/supplemental liability insurance or personal accident/effects insurance products which provide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79"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customers with additional protections for personal or third-party losses incurred; products for driving convenience such as fuel service options, roadside assistance services, electronic toll collection services, access to satellite radio, mobile WiFi devices, GPS navigation and child safety seat rentals; and rentals of other supplemental items including automobile towing equipment and other moving accessories and supplies. We also receive payment from customers for certain operating expenses that we incur, including airport concession fees that are paid by us in exchange for the right to operate at airports and other locations, as well as vehicle licensing fees. In addition, we collect membership fees in connection with our car sharing business.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combine all lease and non-lease components of our vehicle rental contracts for which the timing and pattern of transfer are the same and the lease component meets the classification of an operating lease. Vehicle rentals and other related products and mobility services are recognized evenly over the period of rental, which is on average approximately five days (See Note 3 – Leases).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Licensing revenues principally consist of royalties paid by our licensees and are recorded as the licensees’ revenues are earned (over the rental period). We renew license agreements in the normal course of business and occasionally terminate, purchase or sell license agreements. In connection with ongoing fees that we receive from our licensees pursuant to license agreements, we are required to provide certain services, such as training, marketing and the operation of reservation systems.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exclude from the measurement of our transaction price any tax assessed by a governmental authority that is both imposed on and concurrent with a specific revenue-producing transaction and collected from a customer. As a result, revenue is recorded net of such taxes collected. Revenues and expenses associated with fuel, airport concessions and vehicle licensing are recorded on a gross basis within revenues and operating expenses. Membership fees related to our car sharing business are generally nonrefundable, are deferred and recognized ratably over the period of membership.</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Revenues are recognized under Leases (Topic 842) with the exception of royalty fee revenue derived from our licensees and revenue related to our customer loyalty program, which were $246 million, $187 million, and $165 million for the years ended December 31, 2024, 2023 and 2022,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revenues disaggregated by geography:</w:t>
      </w:r>
    </w:p>
    <w:tbl>
      <w:tblPr>
        <w:tblW w:w="6747" w:type="dxa"/>
        <w:jc w:val="left"/>
        <w:tblInd w:w="0" w:type="dxa"/>
        <w:tblLayout w:type="fixed"/>
        <w:tblCellMar>
          <w:top w:w="28" w:type="dxa"/>
          <w:left w:w="28" w:type="dxa"/>
          <w:bottom w:w="28" w:type="dxa"/>
          <w:right w:w="28" w:type="dxa"/>
        </w:tblCellMar>
      </w:tblPr>
      <w:tblGrid>
        <w:gridCol w:w="1025"/>
        <w:gridCol w:w="902"/>
        <w:gridCol w:w="908"/>
        <w:gridCol w:w="211"/>
        <w:gridCol w:w="751"/>
        <w:gridCol w:w="109"/>
        <w:gridCol w:w="109"/>
        <w:gridCol w:w="109"/>
        <w:gridCol w:w="109"/>
        <w:gridCol w:w="211"/>
        <w:gridCol w:w="751"/>
        <w:gridCol w:w="109"/>
        <w:gridCol w:w="109"/>
        <w:gridCol w:w="109"/>
        <w:gridCol w:w="109"/>
        <w:gridCol w:w="211"/>
        <w:gridCol w:w="75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and Australasia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revenues disaggregated by brand:</w:t>
      </w:r>
    </w:p>
    <w:tbl>
      <w:tblPr>
        <w:tblW w:w="5321" w:type="dxa"/>
        <w:jc w:val="left"/>
        <w:tblInd w:w="0" w:type="dxa"/>
        <w:tblLayout w:type="fixed"/>
        <w:tblCellMar>
          <w:top w:w="28" w:type="dxa"/>
          <w:left w:w="28" w:type="dxa"/>
          <w:bottom w:w="28" w:type="dxa"/>
          <w:right w:w="28" w:type="dxa"/>
        </w:tblCellMar>
      </w:tblPr>
      <w:tblGrid>
        <w:gridCol w:w="509"/>
        <w:gridCol w:w="445"/>
        <w:gridCol w:w="455"/>
        <w:gridCol w:w="211"/>
        <w:gridCol w:w="751"/>
        <w:gridCol w:w="109"/>
        <w:gridCol w:w="109"/>
        <w:gridCol w:w="109"/>
        <w:gridCol w:w="109"/>
        <w:gridCol w:w="211"/>
        <w:gridCol w:w="751"/>
        <w:gridCol w:w="109"/>
        <w:gridCol w:w="109"/>
        <w:gridCol w:w="109"/>
        <w:gridCol w:w="109"/>
        <w:gridCol w:w="211"/>
        <w:gridCol w:w="751"/>
        <w:gridCol w:w="154"/>
      </w:tblGrid>
      <w:tr>
        <w:trPr/>
        <w:tc>
          <w:tcPr>
            <w:tcW w:w="5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Budget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Other includes Zipcar and other operating brands.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0"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Deferred Revenue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record deferred revenues when cash payments are received in advance of satisfying our performance obligations, including amounts that are refundable. In addition, certain customers earn loyalty points on rentals, for which we defer a portion of our rental revenues generally equivalent to the estimated retail value of points expected to be redeemed. We estimate points that will never be redeemed based upon actual redemption and expiration patterns. Loyalty points generally expire five years from when they were earned or after 12 months of member inactivity. Future changes to expiration assumptions or expiration policy, or to program rules, may result in changes to deferred revenue as well as recognized revenues from the program.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table presents changes in deferred revenue associated with our customer loyalty program:</w:t>
      </w:r>
    </w:p>
    <w:tbl>
      <w:tblPr>
        <w:tblW w:w="4871" w:type="dxa"/>
        <w:jc w:val="left"/>
        <w:tblInd w:w="0" w:type="dxa"/>
        <w:tblLayout w:type="fixed"/>
        <w:tblCellMar>
          <w:top w:w="28" w:type="dxa"/>
          <w:left w:w="28" w:type="dxa"/>
          <w:bottom w:w="28" w:type="dxa"/>
          <w:right w:w="28" w:type="dxa"/>
        </w:tblCellMar>
      </w:tblPr>
      <w:tblGrid>
        <w:gridCol w:w="842"/>
        <w:gridCol w:w="740"/>
        <w:gridCol w:w="743"/>
        <w:gridCol w:w="305"/>
        <w:gridCol w:w="543"/>
        <w:gridCol w:w="157"/>
        <w:gridCol w:w="157"/>
        <w:gridCol w:w="157"/>
        <w:gridCol w:w="157"/>
        <w:gridCol w:w="305"/>
        <w:gridCol w:w="543"/>
        <w:gridCol w:w="222"/>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January 1</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deferred</w:t>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recognized</w:t>
            </w:r>
          </w:p>
        </w:tc>
        <w:tc>
          <w:tcPr>
            <w:tcW w:w="8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Balance, December 31</w:t>
            </w:r>
            <w:r>
              <w:rPr>
                <w:color w:val="000000"/>
              </w:rPr>
              <w:t xml:space="preserve"> </w:t>
            </w:r>
            <w:r>
              <w:rPr>
                <w:rFonts w:ascii="Arial;sans-serif" w:hAnsi="Arial;sans-serif"/>
                <w:b w:val="false"/>
                <w:color w:val="000000"/>
                <w:sz w:val="13"/>
              </w:rPr>
              <w:t>(a)</w:t>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At December 31, 2024 and 2023, $27 million and $20 million was included in accounts payable and other current liabilities, respectively, and $23 million and $47 million in other non-current liabilities, respectively. Non-current amounts are expected to be recognized as revenue within two to three years.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Currency Translation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Assets and liabilities of foreign operations are translated at the rate of exchange in effect on the balance sheet date; income and expenses are translated at the prevailing monthly average rate of exchange. The related translation adjustments are reflected in accumulated other comprehensive income (loss) in the stockholders’ equity section of the Consolidated Balance Sheets and in the Consolidated Statements of Comprehensive Income (See Note 16 – Stockholders' Equity). We have designated our euro-denominated Notes as a hedge of our investment in euro-denominated foreign operations and, accordingly, record the effective portion of gains or losses on this net investment hedge in accumulated other comprehensive income (loss) as part of currency translation adjustments.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Cash and Cash Equivalents, Program Cash and Restricted Cash</w:t>
      </w:r>
    </w:p>
    <w:p>
      <w:pPr>
        <w:pStyle w:val="TextBody"/>
        <w:bidi w:val="0"/>
        <w:spacing w:lineRule="auto" w:line="288" w:before="180" w:after="283"/>
        <w:jc w:val="both"/>
        <w:rPr/>
      </w:pPr>
      <w:r>
        <w:rPr>
          <w:rFonts w:ascii="Arial;sans-serif" w:hAnsi="Arial;sans-serif"/>
          <w:b w:val="false"/>
          <w:color w:val="000000"/>
          <w:sz w:val="20"/>
        </w:rPr>
        <w:t>We consider highly liquid investments purchased with an original maturity of three months or less to be cash equivalents. Program cash primarily represents amounts specifically designated to purchase assets under vehicle programs and/or to repay the related debt, as such we consider it a restricted cash equivalent. The following table provides a detail of cash and cash equivalents, program and restricted cash reported within the Consolidated Balance Sheets to the amounts shown in the Consolidated Statements of Cash Flows:</w:t>
      </w:r>
      <w:r>
        <w:rPr>
          <w:color w:val="000000"/>
        </w:rPr>
        <w:t> </w:t>
      </w:r>
    </w:p>
    <w:tbl>
      <w:tblPr>
        <w:tblW w:w="7463" w:type="dxa"/>
        <w:jc w:val="left"/>
        <w:tblInd w:w="0" w:type="dxa"/>
        <w:tblLayout w:type="fixed"/>
        <w:tblCellMar>
          <w:top w:w="28" w:type="dxa"/>
          <w:left w:w="28" w:type="dxa"/>
          <w:bottom w:w="28" w:type="dxa"/>
          <w:right w:w="28" w:type="dxa"/>
        </w:tblCellMar>
      </w:tblPr>
      <w:tblGrid>
        <w:gridCol w:w="1986"/>
        <w:gridCol w:w="1748"/>
        <w:gridCol w:w="1755"/>
        <w:gridCol w:w="211"/>
        <w:gridCol w:w="481"/>
        <w:gridCol w:w="109"/>
        <w:gridCol w:w="109"/>
        <w:gridCol w:w="109"/>
        <w:gridCol w:w="109"/>
        <w:gridCol w:w="211"/>
        <w:gridCol w:w="481"/>
        <w:gridCol w:w="154"/>
      </w:tblGrid>
      <w:tr>
        <w:trPr/>
        <w:tc>
          <w:tcPr>
            <w:tcW w:w="1986"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Program cash</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Restricted cash </w:t>
            </w:r>
            <w:r>
              <w:rPr>
                <w:rFonts w:ascii="Arial;sans-serif" w:hAnsi="Arial;sans-serif"/>
                <w:b w:val="false"/>
                <w:color w:val="000000"/>
                <w:sz w:val="12"/>
              </w:rPr>
              <w:t>(a)</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cash equivalents, program and restricted cash</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Included within other current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1"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Property and Equipment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Property and equipment (including leasehold improvements) are stated at cost, net of accumulated depreciation and amortization. Depreciation (non-vehicle related) is computed utilizing the straight-line method over the estimated useful lives of the related assets. Leasehold improvements are amortized over the shorter of the term of the lease or the estimated useful lives of the improvements. Useful lives are as follows:</w:t>
      </w:r>
    </w:p>
    <w:tbl>
      <w:tblPr>
        <w:tblW w:w="4094" w:type="dxa"/>
        <w:jc w:val="left"/>
        <w:tblInd w:w="0" w:type="dxa"/>
        <w:tblLayout w:type="fixed"/>
        <w:tblCellMar>
          <w:top w:w="28" w:type="dxa"/>
          <w:left w:w="28" w:type="dxa"/>
          <w:bottom w:w="28" w:type="dxa"/>
          <w:right w:w="28" w:type="dxa"/>
        </w:tblCellMar>
      </w:tblPr>
      <w:tblGrid>
        <w:gridCol w:w="1015"/>
        <w:gridCol w:w="890"/>
        <w:gridCol w:w="899"/>
        <w:gridCol w:w="376"/>
        <w:gridCol w:w="376"/>
        <w:gridCol w:w="538"/>
      </w:tblGrid>
      <w:tr>
        <w:trPr/>
        <w:tc>
          <w:tcPr>
            <w:tcW w:w="1015"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 years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&amp; equipment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 to 10 years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 to 7 years</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Buses and support vehicles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 to 15 years</w:t>
            </w:r>
          </w:p>
        </w:tc>
      </w:tr>
    </w:tbl>
    <w:p>
      <w:pPr>
        <w:pStyle w:val="TextBody"/>
        <w:bidi w:val="0"/>
        <w:spacing w:lineRule="auto" w:line="288" w:before="180" w:after="283"/>
        <w:jc w:val="both"/>
        <w:rPr/>
      </w:pPr>
      <w:r>
        <w:rPr>
          <w:rFonts w:ascii="Arial;sans-serif" w:hAnsi="Arial;sans-serif"/>
          <w:b w:val="false"/>
          <w:color w:val="000000"/>
          <w:sz w:val="20"/>
        </w:rPr>
        <w:t xml:space="preserve">We capitalize the costs of software developed for internal use when the preliminary project stage is completed and management (i) commits to funding the project and (ii) believes it is probable that the project will be completed and the software will be used to perform the function intended. The software developed or obtained for internal use is amortized on a straight-line basis commencing when such software is ready for its intended use. The net carrying value of software developed or obtained for internal use </w:t>
      </w:r>
      <w:r>
        <w:rPr>
          <w:rFonts w:ascii="Arial;sans-serif" w:hAnsi="Arial;sans-serif"/>
          <w:b w:val="false"/>
          <w:color w:val="000000"/>
          <w:sz w:val="20"/>
          <w:shd w:fill="FFFFFF" w:val="clear"/>
        </w:rPr>
        <w:t>w</w:t>
      </w:r>
      <w:r>
        <w:rPr>
          <w:rFonts w:ascii="Arial;sans-serif" w:hAnsi="Arial;sans-serif"/>
          <w:b w:val="false"/>
          <w:color w:val="000000"/>
          <w:sz w:val="20"/>
        </w:rPr>
        <w:t>as $126 million and $143 million as of December 31, 2024 and 2023, respectively.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Goodwill and Other Intangible Assets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Goodwill represents the excess, if any, of the fair value of the consideration transferred by the acquirer and the fair value of any non-controlling interest remaining in the acquiree, if any, over the fair values of the identifiable net assets acquired. We do not amortize goodwill, but assess it for impairment at least annually and whenever events or changes in circumstances indicate that the carrying amounts of their respective reporting units exceed their fair values. We perform our annual impairment assessment in the fourth quarter of each year at the reporting unit level. We assess goodwill for such impairment by comparing the carrying value of each reporting unit to its fair value using the present value of expected future cash flows. When appropriate, comparative market multiples and other factors are used to corroborate the discounted cash flow results.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Other intangible assets, primarily trademarks, with indefinite lives are not amortized but are evaluated annually for impairment and whenever events or changes in circumstances indicate that the carrying amount of this asset may exceed its fair value. If the carrying value of an other intangible asset exceeds its fair value, an impairment loss is recognized in an amount equal to that excess. Other intangible assets with finite lives are amortized over their estimated useful lives and are evaluated each reporting period to determine if circumstances warrant a revision to these lives.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our annual impairment assessment performed as of October 1, 2024, we determined that the carrying value of our Zipcar trademark, which is an unamortized intangible asset included within our Americas reportable segment, exceeded its fair value. We determined the fair value of the Zipcar trademark using the relief-from-royalty method (Level 3), which is a form of the income approach. This method applies a royalty rate to projected income to quantify the benefit of owning the intangible asset rather than paying a royalty for use of the asset. The significant assumptions used in the assessment of the fair value of the trademark included future revenues, a discount rate and a royalty rate. As a result, we recognized an impairment of $28 million within long-lived asset impairment and other related charges in the Consolidated Statement of Operations for the year ended December 31, 2024. There was no impairment to goodwill for the year ended December 31, 2024 and there were no impairments to goodwill or other intangible assets during the years ended December 31, 2023 or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2"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Impairment of Long-Lived Assets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review long-lived assets for impairment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Assets are grouped at the lowest level of identifiable cash flows. If the carrying amount of an asset exceeds its estimated future cash flows, an impairment charge is recognized for the amount by which the carrying amount of the asset exceeds the fair value of the assets.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the fourth quarter of 2024, we changed our fleet strategy, specific to United States and Canadian rental car vehicles, to accelerate certain fleet rotations in order to decrease the age of our fleet for competitive reasons, and accordingly, we shortened the useful life associated with such vehicles. We considered this change in strategy to be a triggering event that indicated the carrying amount of these assets may not be recoverable. As a result, we performed a recoverability test by comparing the sum of undiscounted cash flows expected to result from the use and eventual disposition of the impacted vehicles to their carrying value and concluded, that for certain vehicles, the carrying value exceeded the sum of undiscounted cash flows expected to result from the use and eventual disposition of those vehicles. For purposes of the recoverability test, the vehicles were aggregated into asset groups based on make, model and year of the vehicles. The test was performed as of November 30, 2024, and we used a market approach to determine the value of the impacted vehicles, utilizing prices for similar assets in active markets (Level 2). During the year ended December 31, 2024, we recorded a $2.3 billion non-cash impairment within long-lived asset impairment and other related charges in the Consolidated Statement of Operations within our Americas reportable segment. There were no impairments to long-lived assets during the years ended December 31, 2023 or 2022. In the future, if events or market conditions affect the estimated fair value to the extent that a long-lived asset is impaired, we will adjust the carrying value of these long-lived assets in the period in which the impairment occurs.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Vehicles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Vehicles are stated at cost, net of accumulated depreciation. The initial cost of the vehicles is recorded net of incentives and allowances from manufacturers. We acquire a portion of our rental vehicles pursuant to repurchase and guaranteed depreciation programs established by automobile manufacturers. Under these programs, the manufacturers agree to repurchase vehicles at a specified price and date, or guarantee the depreciation rate for a specified period of time, subject to certain eligibility criteria (such as car condition and mileage requirements). We depreciate vehicles such that the net book value on the date of return to the manufacturers is intended to equal the contractual guaranteed residual values, thereby minimizing any gain or loss.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Rental vehicles acquired outside of manufacturer repurchase and guaranteed depreciation programs are depreciated based upon their estimated residual values at their expected dates of disposition, after giving effect to anticipated conditions in the used car market. Any adjustments to depreciation are made prospectively.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estimation of residual values requires us to make assumptions regarding the age and mileage of the car at the time of disposal, as well as expected used vehicle auction market conditions. We regularly evaluate estimated residual values and adjust depreciation rates as appropriate. Differences between actual residual values and those estimated result in a gain or loss on disposal and are recorded as part of vehicle depreciation at the time of sale. Vehicle-related interest expense amounts are net of vehicle-related interest income of $12 million, $34 million, and $1 million for 2024, 2023 and 2022,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classify vehicles as held for sale in the period in which they are available for immediate sale in their present condition and the sale is probable. Vehicles held for sale are separately presented at the lower of the carrying amount or fair value less costs to sell in our Consolidated Balance Sheets and are no longer depreciated. We reassess their fair value each reporting period until disposed.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As of December 31, 2024, in connection with the change to our fleet strategy described above, we wrote down the carrying value of certain vehicles held for sale within our Americas reportable segment to fair value (Level 2). For the year ended December 31, 2024, we recorded a charge of $180 million, which is included within long-lived asset impairment and other related charges in the Consolidated Statement of Operations. We expect to complete the sale of these vehicles primarily through our standard disposition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3"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channels during the first quarter of 2025. There were no similar charges during the years ended December 31, 2023 or 2022. To the extent there are further changes in market conditions or the performance of our long-lived assets, there is a possibility that we could incur additional related costs in the future.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Advertising Expenses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Advertising and digital marketing costs are generally expensed in the period incurred and are recorded within selling, general and administrative expenses in our Consolidated Statements of Operations. During 2024, 2023 and 2022, advertising costs were $77 million, $86 million, and $64 million, respectively. In addition, during 2024, 2023 and 2022, digital marketing costs were $90 million, $86 million, and $71 million,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Taxes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As a result of the provisions of the Tax Cuts and Jobs Act, we account for Global Intangible Low-Taxed Income (“GILTI”) as a component of current period income tax expense in the year incurred.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record net deferred tax assets to the extent we believe that it is more likely than not that these assets will be realized. In making such determination, we consider all available positive and negative evidence, including scheduled reversals of deferred tax liabilities, projected future taxable income, tax planning strategies and recent results of operations. In the event we were to determine that we would be able to realize the deferred income tax assets in the future in excess of their net recorded amount, we would adjust the valuation allowance, which would reduce the provision for income taxes.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Fair Value Measurements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measure the fair value of assets and liabilities and disclose the source for such fair value measurements. Financial assets and liabilities are classified as follows: Level 1, which refers to assets and liabilities valued using quoted prices from active markets for identical assets or liabilities; Level 2, which refers to assets and liabilities for which significant other observable market inputs are readily available; and Level 3, which are valued based on significant unobservable inputs.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fair value of our financial instruments is generally determined by reference to market values resulting from trading on a national securities exchange or in an over-the-counter market (Level 1 inputs). In some cases where quoted market prices are not available, prices are derived by considering the yield of the benchmark security that was issued to initially price the instruments and adjusting this rate by the credit spread that market participants would demand for the instruments as of the measurement date (Level 2 inputs). In situations where long-term borrowings are part of a conduit facility backed by short-term floating rate debt, we have determined that its carrying value approximates the fair value of this debt (Level 2 inputs). The carrying amounts of cash and cash equivalents, available-for-sale securities, receivables, program cash, and accounts payable and other current liabilities approximate fair value due to the short-term maturities of these assets and liabilities.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derivative assets and liabilities consist principally of currency exchange contracts, interest rate swaps, interest rate caps and commodity contracts, and are carried at fair value based on significant observable inputs (Level 2 inputs). Derivatives entered into by us are typically executed over-the-counter and are valued using internal valuation techniques, as no quoted market prices exist for such instruments. The valuation technique and inputs depend on the type of derivative and the nature of the underlying exposure. We principally use discounted cash flows to value these instruments. These models take into account a variety of factors including, where applicable, maturity, currency exchange rates, our interest rate yield curves and counterparties, credit curves, counterparty creditworthiness and commodity prices. These factors are applied on a consistent basis and are based upon observable inputs where available.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4"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Derivative Instruments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Derivative instruments are used as part of our overall strategy to manage exposure to market risks associated with fluctuations in currency exchange rates, interest rates and fuel costs. As a matter of policy, derivatives are not used for trading or speculative purposes.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All derivatives are recorded at fair value either as assets or liabilities. Changes in fair value of derivatives not designated as hedging instruments are recognized currently in earnings within the same line item as the hedged item. The changes in fair value of a derivative that is designated as either a cash flow or net investment hedge is recorded as a component of accumulated other comprehensive income (loss) and reclassified into earnings in the same period or periods during which the hedged transaction affects earnings and is presented in the same income statement line item as the earnings effect of the hedged item. Amounts related to our derivative instruments are recognized in the Consolidated Statements of Cash Flows consistent with the nature of the hedged item (principally operating activities).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Currency Transactions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Currency gains and losses resulting from foreign currency transactions are generally included in operating expenses within the Consolidated Statements of Operations; however, the net gain or loss of currency transactions on intercompany loans and the unrealized gain or loss on intercompany loan hedges are included within interest expense related to corporate debt, net.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Self-Insurance Reserves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Consolidated Balance Sheets include $451 million and $397 million of liabilities associated with retained risks of liability to third parties as of December 31, 2024 and 2023, respectively. Such liabilities relate primarily to public liability and third-party property damage claims, as well as claims arising from the sale of ancillary insurance products including, but not limited to, supplemental liability, personal effects protection and personal accident insurance. These obligations represent an estimate for both reported claims not yet paid and claims incurred but not yet reported. The estimated reserve requirements for such claims are recorded on an undiscounted basis utilizing actuarial methodologies and various assumptions which include, but are not limited to, our historical loss experience and projected loss development factors. The required liability is also subject to adjustment in the future based upon changes in claims experience, including changes in the number of incidents for which we are ultimately liable and changes in the cost per incident. For the year ended December 31, 2024, we recorded an unprecedented adjustment to our self-insurance reserves for allocated loss adjustment expense. These amounts are included within accounts payable and other current liabilities and other non-current liabilities.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Consolidated Balance Sheets also include liabilities of $50 million and $49 million as of December 31, 2024 and 2023, respectively, related to workers’ compensation, health and welfare and other employee benefit programs. The liabilities represent an estimate for both reported claims not yet paid and claims incurred but not yet reported, utilizing actuarial methodologies similar to those described above. These amounts are included within accounts payable and other current liabilities and other non-current liabilities.</w:t>
      </w:r>
    </w:p>
    <w:p>
      <w:pPr>
        <w:pStyle w:val="TextBody"/>
        <w:bidi w:val="0"/>
        <w:spacing w:lineRule="auto" w:line="288" w:before="180" w:after="100"/>
        <w:jc w:val="both"/>
        <w:rPr>
          <w:rFonts w:ascii="Arial;sans-serif" w:hAnsi="Arial;sans-serif"/>
          <w:b/>
          <w:i/>
          <w:color w:val="000000"/>
          <w:sz w:val="20"/>
        </w:rPr>
      </w:pPr>
      <w:r>
        <w:rPr>
          <w:rFonts w:ascii="Arial;sans-serif" w:hAnsi="Arial;sans-serif"/>
          <w:b/>
          <w:i/>
          <w:color w:val="000000"/>
          <w:sz w:val="20"/>
        </w:rPr>
        <w:t>Stock-Based Compensation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Stock-based compensation cost is measured at the grant date, based on the fair value of the award, and is recognized as expense on a straight-line basis over the vesting period. Our policy is to record compensation expense for stock options, and restricted stock units that are time- and performance-based, for the portion of the award that vests. Compensation expense related to market-based restricted stock units is recognized provided that the requisite service is rendered, regardless of when, if ever, the market condition is satisfied. We estimate the fair value of restricted stock units using the market price of our common stock on the date of grant. We estimate the fair value of stock-based and cash unit awards containing a market condition using a Monte Carlo simulation model. Key inputs and assumptions used in the Monte Carlo simulation model include the stock price of the award on the grant date, the expected term, the risk-free interest rate over the expected term, the expected annual dividend yield and the expected stock price volatility. The expected volatility is based on a combination of the historical and implied volatility of our publicly traded, near-the-money stock options, and the valuation period is based on the vesting period of the awards. The risk-free interest rate is derived from the U.S. Treasury yield curve in effect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5"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time of grant and, since we do not currently pay or plan to pay a recurring dividend on our common stock, the expected dividend yield was zero.</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Business Combinations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use the acquisition method of accounting for business combinations, which requires that the assets acquired and liabilities assumed be recorded at their respective fair values at the date of acquisition. Assets acquired and liabilities assumed in a business combination that arise from contingencies are recognized if fair value can be reasonably estimated at the acquisition date. The excess, if any, of (i) the fair value of the consideration transferred by the acquirer and the fair value of any non-controlling interest remaining in the acquiree, over (ii) the fair values of the identifiable net assets acquired is recorded as goodwill. Gains and losses on the re-acquisition of license agreements are recorded in the Consolidated Statements of Operations within transaction-related costs, net, upon completion of the respective acquisition. Costs incurred to effect a business combination are expensed as incurred, except for the cost to issue debt related to the acquisition.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record contingent consideration resulting from a business combination at its fair value on the acquisition date. The fair value of the contingent consideration is generally estimated by utilizing a Monte Carlo simulation technique, based on a range of possible future results (Level 3). Any changes in contingent consideration are recorded in transaction-related costs, net.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Transaction-related Costs, net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Transaction-related costs, net are classified separately in the Consolidated Statements of Operations. These costs are comprised of expenses primarily related to acquisition-related activities such as due-diligence and other advisory costs, expenses related to the integration of the acquiree’s operations with our own operations, including the implementation of best practices and process improvements, non-cash gains and losses related to re-acquired rights, expenses related to pre-acquisition contingencies and contingent consideration related to acquisitions.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Investments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account for investments for which we have the ability to exercise significant influence, but do not have a controlling interest, using the equity method of accounting and record our proportional share of net income or loss within operating expenses in the Consolidated Statements of Operations. We assess equity method investments for impairment whenever events or changes in circumstances indicate that the carrying amounts of such investments may not be recoverable. Any difference between the carrying value of the equity method investment and its estimated fair value is recognized as an impairment charge if the loss in value is deemed other than temporary. As of December 31, 2024 and 2023, we had investments with a carrying value of $100 million and $93 million, respectively, recorded within other non-current assets on the Consolidated Balance Sheets.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Aggregate realized gains and losses on equity method investments and dividend income are recorded within operating expenses on the Consolidated Statements of Operations. During 2024, 2023 and 2022, we recorded net gains from our equity method investments, including dividend income of $23 million, $12 million, and $12 million, respectively. See Note 17 – Related Party Transactions for our equity method investment in our former subsidiary.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Divestitures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classify long-lived assets and liabilities to be disposed of as held for sale in the period in which they are available for immediate sale in their present condition and the sale is probable and expected to be completed within one year. We initially measure assets and liabilities held for sale at the lower of their carrying value or fair value less costs to sell, and we reassess their fair value each reporting period until disposed. When the divestiture represents a strategic shift that has, or will have, a major effect on our operations and financial results, the disposal is presented as a discontinued operation.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6"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February 2022, we completed the sale of our operations in the United States Virgin Islands for $13 million, for the right to operate the Avis brand. During the year ended December 31, 2022, we recorded a gain of $2 million within restructuring and other related charges. The United States Virgin Islands operations were reported within our Americas reportable segment.</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March 2022, we completed the sale of our operations in the Netherlands for $15 million, for the right to operate the Avis and Budget brands. During the year ended December 31, 2022, we recorded a loss of $7 million, net of impact of foreign currency adjustments, within restructuring and other related charges. The Netherlands operations were reported within our International reportable segment.</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 xml:space="preserve">Variable Interest Entity (“VIE”) </w:t>
      </w:r>
    </w:p>
    <w:p>
      <w:pPr>
        <w:pStyle w:val="TextBody"/>
        <w:bidi w:val="0"/>
        <w:spacing w:lineRule="auto" w:line="288" w:before="180" w:after="283"/>
        <w:jc w:val="both"/>
        <w:rPr/>
      </w:pPr>
      <w:r>
        <w:rPr>
          <w:rFonts w:ascii="Arial;sans-serif" w:hAnsi="Arial;sans-serif"/>
          <w:b w:val="false"/>
          <w:color w:val="000000"/>
          <w:sz w:val="20"/>
        </w:rPr>
        <w:t xml:space="preserve">We review our investments to determine if they are VIEs. </w:t>
      </w:r>
      <w:r>
        <w:rPr>
          <w:rFonts w:ascii="Arial;sans-serif" w:hAnsi="Arial;sans-serif"/>
          <w:b w:val="false"/>
          <w:color w:val="212529"/>
          <w:sz w:val="20"/>
        </w:rPr>
        <w:t xml:space="preserve">A VIE is an entity in which either (i) the equity 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sans-serif" w:hAnsi="Arial;sans-serif"/>
          <w:b w:val="false"/>
          <w:color w:val="000000"/>
          <w:sz w:val="20"/>
        </w:rPr>
        <w:t>Entities that are determined to be VIEs are consolidated if we are the primary beneficiary of the entity. 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17 – Related Party Transactions for our VIE investment in our former subsidiary.</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Nonmarketable Equity Securities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We apply the measurement alternative, which allows these investments to be recorded at cost, less impairment, if any, and subsequently adjust for observable price changes of identical or similar investments of the same issuer. Any changes in value are recorded within operating expenses. </w:t>
      </w:r>
      <w:r>
        <w:rPr>
          <w:rFonts w:ascii="Arial;sans-serif" w:hAnsi="Arial;sans-serif"/>
          <w:b w:val="false"/>
          <w:color w:val="000000"/>
          <w:sz w:val="20"/>
          <w:shd w:fill="FFFFFF" w:val="clear"/>
        </w:rPr>
        <w:t>As of December 31, 2024 and 2023, our nonmarketable equity securities within non-current assets on our Consolidated Balance Sheets were not material and no material adjustments were made to the carrying values of these securities during the years ended December 31, 2024, 2023 or 2022.</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Reclassification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reclassified certain items within operating activities on the Consolidated Statements of Cash Flows for the years ended December 31, 2023 and 2022 to conform to the current year presentation. These reclassifications had no impact on reported net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Adoption of New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Improvements to Reportable Segment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January 1, 2024, as the result of a new accounting pronouncement, we adopted ASU 2023-07, “Improvements to Reportable Segment Disclosures,” which amends Topic 280 primarily through enhanced disclosures about significant segment expenses. The adoption of this accounting pronouncement has resulted in incremental disclosures within the notes to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7"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Recently Issued Accounting Pronouncements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Improvements to Income Tax Disclosures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January 1, 2025, as the result of a new accounting pronouncement, we adopted ASU 2023-09, “Improvements to Income Tax Disclosures,” which amends Topic 740 primarily through enhanced income tax disclosures, improving transparency into the factors affecting income tax expense. We expect to include certain additional income tax disclosures in the notes to our Consolidated Financial Statements as a result of the adoption of this accounting pronouncement.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Disaggregation of Income Statement Expenses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November 2024, the FASB issued ASU 2024-03, “Disaggregation of Income Statement Expenses,” which amends Topic 220 primarily through requiring disclosures, in the notes to financial statements, about certain costs and expenses. The amendments are effective for annual periods beginning after December 15, 2026 and interim periods beginning after December 15, 2027, with early adoption permitted on a prospective or retrospective basis. ASU 2024-03 becomes effective for us on January 1, 2027. We are currently evaluating the impact of the adoption of this accounting pronouncement on our Consolidated Financial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i/>
          <w:color w:val="000000"/>
          <w:sz w:val="20"/>
        </w:rPr>
      </w:pPr>
      <w:r>
        <w:rPr>
          <w:rFonts w:ascii="Arial;sans-serif" w:hAnsi="Arial;sans-serif"/>
          <w:b w:val="false"/>
          <w:i/>
          <w:color w:val="000000"/>
          <w:sz w:val="20"/>
        </w:rPr>
        <w:t>Reference Rate Reform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In December 2022, the FASB also issued ASU 2022-06, “Reference Rate Reform (Topic 848): Deferral of the Sunset Date of Topic 848,” to defer the sunset date of ASC 848 from December 31, 2022 to December 31, 2024. As of December 31, 2024, this guidance had no impact on our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w:rPr>
          <w:rFonts w:ascii="Arial;sans-serif" w:hAnsi="Arial;sans-serif"/>
          <w:b/>
          <w:color w:val="000000"/>
          <w:sz w:val="20"/>
        </w:rPr>
        <w:t>3.    Leases</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Lessor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geography:</w:t>
      </w:r>
    </w:p>
    <w:tbl>
      <w:tblPr>
        <w:tblW w:w="6747" w:type="dxa"/>
        <w:jc w:val="left"/>
        <w:tblInd w:w="0" w:type="dxa"/>
        <w:tblLayout w:type="fixed"/>
        <w:tblCellMar>
          <w:top w:w="28" w:type="dxa"/>
          <w:left w:w="28" w:type="dxa"/>
          <w:bottom w:w="28" w:type="dxa"/>
          <w:right w:w="28" w:type="dxa"/>
        </w:tblCellMar>
      </w:tblPr>
      <w:tblGrid>
        <w:gridCol w:w="1025"/>
        <w:gridCol w:w="902"/>
        <w:gridCol w:w="908"/>
        <w:gridCol w:w="211"/>
        <w:gridCol w:w="751"/>
        <w:gridCol w:w="109"/>
        <w:gridCol w:w="109"/>
        <w:gridCol w:w="109"/>
        <w:gridCol w:w="109"/>
        <w:gridCol w:w="211"/>
        <w:gridCol w:w="751"/>
        <w:gridCol w:w="109"/>
        <w:gridCol w:w="109"/>
        <w:gridCol w:w="109"/>
        <w:gridCol w:w="109"/>
        <w:gridCol w:w="211"/>
        <w:gridCol w:w="751"/>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9,401 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Europe, Middle East and Africa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Asia and Australasia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our lease revenues disaggregated by brand:</w:t>
      </w:r>
    </w:p>
    <w:tbl>
      <w:tblPr>
        <w:tblW w:w="5846" w:type="dxa"/>
        <w:jc w:val="left"/>
        <w:tblInd w:w="0" w:type="dxa"/>
        <w:tblLayout w:type="fixed"/>
        <w:tblCellMar>
          <w:top w:w="28" w:type="dxa"/>
          <w:left w:w="28" w:type="dxa"/>
          <w:bottom w:w="28" w:type="dxa"/>
          <w:right w:w="28" w:type="dxa"/>
        </w:tblCellMar>
      </w:tblPr>
      <w:tblGrid>
        <w:gridCol w:w="699"/>
        <w:gridCol w:w="610"/>
        <w:gridCol w:w="625"/>
        <w:gridCol w:w="211"/>
        <w:gridCol w:w="751"/>
        <w:gridCol w:w="109"/>
        <w:gridCol w:w="109"/>
        <w:gridCol w:w="109"/>
        <w:gridCol w:w="109"/>
        <w:gridCol w:w="211"/>
        <w:gridCol w:w="751"/>
        <w:gridCol w:w="109"/>
        <w:gridCol w:w="109"/>
        <w:gridCol w:w="109"/>
        <w:gridCol w:w="109"/>
        <w:gridCol w:w="211"/>
        <w:gridCol w:w="751"/>
        <w:gridCol w:w="154"/>
      </w:tblGrid>
      <w:tr>
        <w:trPr/>
        <w:tc>
          <w:tcPr>
            <w:tcW w:w="69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Avis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Budget</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revenues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Other includes Zipcar and other operating brands.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8"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Lessee</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lease a portion of our vehicles under operating leases. As of December 31, 2024 and 2023, we have guaranteed up to $30 million and $52 million, respectively, of residual values for these vehicles at the end of their respective lease terms. We believe that, based on current market conditions, the net proceeds from the sale of these vehicles at the end of their lease terms will equal or exceed their net book values and therefore have not recorded a liability related to guaranteed residual values.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components of lease expense are as follows:</w:t>
      </w:r>
    </w:p>
    <w:tbl>
      <w:tblPr>
        <w:tblW w:w="6611" w:type="dxa"/>
        <w:jc w:val="left"/>
        <w:tblInd w:w="0" w:type="dxa"/>
        <w:tblLayout w:type="fixed"/>
        <w:tblCellMar>
          <w:top w:w="28" w:type="dxa"/>
          <w:left w:w="28" w:type="dxa"/>
          <w:bottom w:w="28" w:type="dxa"/>
          <w:right w:w="28" w:type="dxa"/>
        </w:tblCellMar>
      </w:tblPr>
      <w:tblGrid>
        <w:gridCol w:w="1092"/>
        <w:gridCol w:w="957"/>
        <w:gridCol w:w="965"/>
        <w:gridCol w:w="211"/>
        <w:gridCol w:w="646"/>
        <w:gridCol w:w="109"/>
        <w:gridCol w:w="109"/>
        <w:gridCol w:w="109"/>
        <w:gridCol w:w="109"/>
        <w:gridCol w:w="211"/>
        <w:gridCol w:w="646"/>
        <w:gridCol w:w="109"/>
        <w:gridCol w:w="109"/>
        <w:gridCol w:w="109"/>
        <w:gridCol w:w="109"/>
        <w:gridCol w:w="211"/>
        <w:gridCol w:w="646"/>
        <w:gridCol w:w="154"/>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leases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expense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Variable lease expense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Sublease income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Total property lease expense </w:t>
            </w:r>
            <w:r>
              <w:rPr>
                <w:rFonts w:ascii="Arial;sans-serif" w:hAnsi="Arial;sans-serif"/>
                <w:b/>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Vehicle leases </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expense: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ROU assets </w:t>
            </w:r>
            <w:r>
              <w:rPr>
                <w:rFonts w:ascii="Arial;sans-serif" w:hAnsi="Arial;sans-serif"/>
                <w:b w:val="false"/>
                <w:color w:val="000000"/>
                <w:sz w:val="13"/>
              </w:rPr>
              <w:t>(b)</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on lease liabilities </w:t>
            </w:r>
            <w:r>
              <w:rPr>
                <w:rFonts w:ascii="Arial;sans-serif" w:hAnsi="Arial;sans-serif"/>
                <w:b w:val="false"/>
                <w:color w:val="000000"/>
                <w:sz w:val="13"/>
              </w:rPr>
              <w:t>(c)</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lease expense </w:t>
            </w:r>
            <w:r>
              <w:rPr>
                <w:rFonts w:ascii="Arial;sans-serif" w:hAnsi="Arial;sans-serif"/>
                <w:b w:val="false"/>
                <w:color w:val="000000"/>
                <w:sz w:val="13"/>
              </w:rPr>
              <w:t>(b)</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vehicle lease expense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Primarily included in operating expenses and for the year ended December 31, 2022, includes $(9) million of minimum annual guaranteed rent in excess of concession fees as defined in our rental concession agreements.</w:t>
      </w:r>
    </w:p>
    <w:p>
      <w:pPr>
        <w:pStyle w:val="TextBody"/>
        <w:bidi w:val="0"/>
        <w:spacing w:lineRule="auto" w:line="288" w:before="0" w:after="0"/>
        <w:ind w:left="0" w:right="0" w:hanging="360"/>
        <w:jc w:val="left"/>
        <w:rPr/>
      </w:pPr>
      <w:r>
        <w:rPr>
          <w:rFonts w:ascii="Arial;sans-serif" w:hAnsi="Arial;sans-serif"/>
          <w:b w:val="false"/>
          <w:color w:val="000000"/>
          <w:sz w:val="10"/>
        </w:rPr>
        <w:t>(b)</w:t>
      </w:r>
      <w:r>
        <w:rPr>
          <w:color w:val="000000"/>
        </w:rPr>
        <w:t>    </w:t>
      </w:r>
      <w:r>
        <w:rPr>
          <w:rFonts w:ascii="Arial;sans-serif" w:hAnsi="Arial;sans-serif"/>
          <w:b w:val="false"/>
          <w:color w:val="000000"/>
          <w:sz w:val="16"/>
        </w:rPr>
        <w:t>Included in vehicle depreciation and lease charges, net.</w:t>
      </w:r>
    </w:p>
    <w:p>
      <w:pPr>
        <w:pStyle w:val="TextBody"/>
        <w:bidi w:val="0"/>
        <w:spacing w:lineRule="auto" w:line="288" w:before="0" w:after="0"/>
        <w:ind w:left="0" w:right="0" w:hanging="360"/>
        <w:jc w:val="left"/>
        <w:rPr/>
      </w:pPr>
      <w:r>
        <w:rPr>
          <w:rFonts w:ascii="Arial;sans-serif" w:hAnsi="Arial;sans-serif"/>
          <w:b w:val="false"/>
          <w:color w:val="000000"/>
          <w:sz w:val="10"/>
        </w:rPr>
        <w:t>(c)</w:t>
      </w:r>
      <w:r>
        <w:rPr>
          <w:color w:val="000000"/>
        </w:rPr>
        <w:t>    </w:t>
      </w:r>
      <w:r>
        <w:rPr>
          <w:rFonts w:ascii="Arial;sans-serif" w:hAnsi="Arial;sans-serif"/>
          <w:b w:val="false"/>
          <w:color w:val="000000"/>
          <w:sz w:val="16"/>
        </w:rPr>
        <w:t>Included in vehicle interest, net.</w:t>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89"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balance sheet information related to leases is as follows:</w:t>
      </w:r>
    </w:p>
    <w:tbl>
      <w:tblPr>
        <w:tblW w:w="6204" w:type="dxa"/>
        <w:jc w:val="left"/>
        <w:tblInd w:w="0" w:type="dxa"/>
        <w:tblLayout w:type="fixed"/>
        <w:tblCellMar>
          <w:top w:w="28" w:type="dxa"/>
          <w:left w:w="28" w:type="dxa"/>
          <w:bottom w:w="28" w:type="dxa"/>
          <w:right w:w="28" w:type="dxa"/>
        </w:tblCellMar>
      </w:tblPr>
      <w:tblGrid>
        <w:gridCol w:w="1413"/>
        <w:gridCol w:w="1239"/>
        <w:gridCol w:w="1248"/>
        <w:gridCol w:w="211"/>
        <w:gridCol w:w="646"/>
        <w:gridCol w:w="109"/>
        <w:gridCol w:w="109"/>
        <w:gridCol w:w="109"/>
        <w:gridCol w:w="109"/>
        <w:gridCol w:w="211"/>
        <w:gridCol w:w="64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Property leases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ROU assets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Short-term operating lease liabilities </w:t>
            </w:r>
            <w:r>
              <w:rPr>
                <w:rFonts w:ascii="Arial;sans-serif" w:hAnsi="Arial;sans-serif"/>
                <w:b w:val="false"/>
                <w:color w:val="000000"/>
                <w:sz w:val="13"/>
              </w:rPr>
              <w:t>(a)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 years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4.83%</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Vehicle leases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Finance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ROU assets, gross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Finance lease ROU assets, net </w:t>
            </w:r>
            <w:r>
              <w:rPr>
                <w:rFonts w:ascii="Arial;sans-serif" w:hAnsi="Arial;sans-serif"/>
                <w:b w:val="false"/>
                <w:color w:val="000000"/>
                <w:sz w:val="13"/>
              </w:rPr>
              <w:t>(b)</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vehicle finance lease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vehicle finance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Vehicle finance lease liabilities</w:t>
            </w:r>
            <w:r>
              <w:rPr>
                <w:color w:val="000000"/>
              </w:rPr>
              <w:t xml:space="preserve"> </w:t>
            </w:r>
            <w:r>
              <w:rPr>
                <w:rFonts w:ascii="Arial;sans-serif" w:hAnsi="Arial;sans-serif"/>
                <w:b w:val="false"/>
                <w:color w:val="000000"/>
                <w:sz w:val="13"/>
              </w:rPr>
              <w:t>(c)</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years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20"/>
              </w:rPr>
            </w:pPr>
            <w:r>
              <w:rPr>
                <w:rFonts w:ascii="Arial;sans-serif" w:hAnsi="Arial;sans-serif"/>
                <w:b/>
                <w:i/>
                <w:color w:val="000000"/>
                <w:sz w:val="20"/>
              </w:rPr>
              <w:t xml:space="preserve">Operating </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Vehicle operating lease ROU assets </w:t>
            </w:r>
            <w:r>
              <w:rPr>
                <w:rFonts w:ascii="Arial;sans-serif" w:hAnsi="Arial;sans-serif"/>
                <w:b w:val="false"/>
                <w:color w:val="000000"/>
                <w:sz w:val="13"/>
              </w:rPr>
              <w:t>(d)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vehicle operating lease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vehicle operating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Vehicle operating lease liabilities </w:t>
            </w:r>
            <w:r>
              <w:rPr>
                <w:rFonts w:ascii="Arial;sans-serif" w:hAnsi="Arial;sans-serif"/>
                <w:b w:val="false"/>
                <w:color w:val="000000"/>
                <w:sz w:val="13"/>
              </w:rPr>
              <w:t>(e)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remaining lease term</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years</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discount rate</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color w:val="000000"/>
        </w:rPr>
        <w:t>    </w:t>
      </w:r>
      <w:r>
        <w:rPr>
          <w:rFonts w:ascii="Arial;sans-serif" w:hAnsi="Arial;sans-serif"/>
          <w:b w:val="false"/>
          <w:color w:val="000000"/>
          <w:sz w:val="16"/>
        </w:rPr>
        <w:t>Included in accounts payable and other current liabilities.</w:t>
      </w:r>
    </w:p>
    <w:p>
      <w:pPr>
        <w:pStyle w:val="TextBody"/>
        <w:bidi w:val="0"/>
        <w:spacing w:lineRule="auto" w:line="288" w:before="0" w:after="0"/>
        <w:ind w:left="0" w:right="0" w:hanging="360"/>
        <w:jc w:val="left"/>
        <w:rPr/>
      </w:pPr>
      <w:r>
        <w:rPr>
          <w:rFonts w:ascii="Arial;sans-serif" w:hAnsi="Arial;sans-serif"/>
          <w:b w:val="false"/>
          <w:color w:val="000000"/>
          <w:sz w:val="10"/>
        </w:rPr>
        <w:t>(b)</w:t>
      </w:r>
      <w:r>
        <w:rPr>
          <w:color w:val="000000"/>
        </w:rPr>
        <w:t>    </w:t>
      </w:r>
      <w:r>
        <w:rPr>
          <w:rFonts w:ascii="Arial;sans-serif" w:hAnsi="Arial;sans-serif"/>
          <w:b w:val="false"/>
          <w:color w:val="000000"/>
          <w:sz w:val="16"/>
        </w:rPr>
        <w:t>Included in vehicles, net within assets under vehicle programs.</w:t>
      </w:r>
    </w:p>
    <w:p>
      <w:pPr>
        <w:pStyle w:val="TextBody"/>
        <w:bidi w:val="0"/>
        <w:spacing w:lineRule="auto" w:line="288" w:before="0" w:after="0"/>
        <w:ind w:left="0" w:right="0" w:hanging="360"/>
        <w:jc w:val="left"/>
        <w:rPr/>
      </w:pPr>
      <w:r>
        <w:rPr>
          <w:rFonts w:ascii="Arial;sans-serif" w:hAnsi="Arial;sans-serif"/>
          <w:b w:val="false"/>
          <w:color w:val="000000"/>
          <w:sz w:val="10"/>
        </w:rPr>
        <w:t>(c)</w:t>
      </w:r>
      <w:r>
        <w:rPr>
          <w:color w:val="000000"/>
        </w:rPr>
        <w:t>    </w:t>
      </w:r>
      <w:r>
        <w:rPr>
          <w:rFonts w:ascii="Arial;sans-serif" w:hAnsi="Arial;sans-serif"/>
          <w:b w:val="false"/>
          <w:color w:val="000000"/>
          <w:sz w:val="16"/>
        </w:rPr>
        <w:t>Included in debt within liabilities under vehicle programs.</w:t>
      </w:r>
    </w:p>
    <w:p>
      <w:pPr>
        <w:pStyle w:val="TextBody"/>
        <w:bidi w:val="0"/>
        <w:spacing w:lineRule="auto" w:line="288" w:before="0" w:after="0"/>
        <w:ind w:left="0" w:right="0" w:hanging="360"/>
        <w:jc w:val="left"/>
        <w:rPr/>
      </w:pPr>
      <w:r>
        <w:rPr>
          <w:rFonts w:ascii="Arial;sans-serif" w:hAnsi="Arial;sans-serif"/>
          <w:b w:val="false"/>
          <w:color w:val="000000"/>
          <w:sz w:val="10"/>
        </w:rPr>
        <w:t>(d)</w:t>
      </w:r>
      <w:r>
        <w:rPr>
          <w:color w:val="000000"/>
        </w:rPr>
        <w:t>    </w:t>
      </w:r>
      <w:r>
        <w:rPr>
          <w:rFonts w:ascii="Arial;sans-serif" w:hAnsi="Arial;sans-serif"/>
          <w:b w:val="false"/>
          <w:color w:val="000000"/>
          <w:sz w:val="16"/>
        </w:rPr>
        <w:t>Included in receivables from vehicle manufacturers and other within assets under vehicle programs.</w:t>
      </w:r>
    </w:p>
    <w:p>
      <w:pPr>
        <w:pStyle w:val="TextBody"/>
        <w:bidi w:val="0"/>
        <w:spacing w:lineRule="auto" w:line="288" w:before="0" w:after="0"/>
        <w:ind w:left="0" w:right="0" w:hanging="360"/>
        <w:jc w:val="left"/>
        <w:rPr/>
      </w:pPr>
      <w:r>
        <w:rPr>
          <w:rFonts w:ascii="Arial;sans-serif" w:hAnsi="Arial;sans-serif"/>
          <w:b w:val="false"/>
          <w:color w:val="000000"/>
          <w:sz w:val="10"/>
        </w:rPr>
        <w:t>(e)</w:t>
      </w:r>
      <w:r>
        <w:rPr>
          <w:color w:val="000000"/>
        </w:rPr>
        <w:t>    </w:t>
      </w:r>
      <w:r>
        <w:rPr>
          <w:rFonts w:ascii="Arial;sans-serif" w:hAnsi="Arial;sans-serif"/>
          <w:b w:val="false"/>
          <w:color w:val="000000"/>
          <w:sz w:val="16"/>
        </w:rPr>
        <w:t>Included in other within liabilities under vehicle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0"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Supplemental cash flow information related to leases is as follows:</w:t>
      </w:r>
    </w:p>
    <w:tbl>
      <w:tblPr>
        <w:tblW w:w="10205" w:type="dxa"/>
        <w:jc w:val="left"/>
        <w:tblInd w:w="0" w:type="dxa"/>
        <w:tblLayout w:type="fixed"/>
        <w:tblCellMar>
          <w:top w:w="28" w:type="dxa"/>
          <w:left w:w="28" w:type="dxa"/>
          <w:bottom w:w="28" w:type="dxa"/>
          <w:right w:w="28" w:type="dxa"/>
        </w:tblCellMar>
      </w:tblPr>
      <w:tblGrid>
        <w:gridCol w:w="2449"/>
        <w:gridCol w:w="2157"/>
        <w:gridCol w:w="2165"/>
        <w:gridCol w:w="211"/>
        <w:gridCol w:w="646"/>
        <w:gridCol w:w="109"/>
        <w:gridCol w:w="109"/>
        <w:gridCol w:w="109"/>
        <w:gridCol w:w="109"/>
        <w:gridCol w:w="211"/>
        <w:gridCol w:w="646"/>
        <w:gridCol w:w="109"/>
        <w:gridCol w:w="109"/>
        <w:gridCol w:w="109"/>
        <w:gridCol w:w="109"/>
        <w:gridCol w:w="211"/>
        <w:gridCol w:w="481"/>
        <w:gridCol w:w="156"/>
      </w:tblGrid>
      <w:tr>
        <w:trPr/>
        <w:tc>
          <w:tcPr>
            <w:tcW w:w="2449"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for lease liabilities within operating activities: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finance leases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operating leases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 for lease liabilities within financing activities: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finance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activities - increase in ROU assets in exchange for lease liabilities: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operating leases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Vehicle finance leases </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operating leases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Maturities of lease liabilities as of December 31, 2024 are as follows:</w:t>
      </w:r>
    </w:p>
    <w:tbl>
      <w:tblPr>
        <w:tblW w:w="9414" w:type="dxa"/>
        <w:jc w:val="left"/>
        <w:tblInd w:w="0" w:type="dxa"/>
        <w:tblLayout w:type="fixed"/>
        <w:tblCellMar>
          <w:top w:w="28" w:type="dxa"/>
          <w:left w:w="28" w:type="dxa"/>
          <w:bottom w:w="28" w:type="dxa"/>
          <w:right w:w="28" w:type="dxa"/>
        </w:tblCellMar>
      </w:tblPr>
      <w:tblGrid>
        <w:gridCol w:w="764"/>
        <w:gridCol w:w="672"/>
        <w:gridCol w:w="679"/>
        <w:gridCol w:w="563"/>
        <w:gridCol w:w="1724"/>
        <w:gridCol w:w="293"/>
        <w:gridCol w:w="109"/>
        <w:gridCol w:w="109"/>
        <w:gridCol w:w="109"/>
        <w:gridCol w:w="406"/>
        <w:gridCol w:w="928"/>
        <w:gridCol w:w="211"/>
        <w:gridCol w:w="109"/>
        <w:gridCol w:w="109"/>
        <w:gridCol w:w="109"/>
        <w:gridCol w:w="716"/>
        <w:gridCol w:w="1277"/>
        <w:gridCol w:w="527"/>
      </w:tblGrid>
      <w:tr>
        <w:trPr/>
        <w:tc>
          <w:tcPr>
            <w:tcW w:w="764"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Property 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Vehicle</w:t>
              <w:b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Vehicle Operating Leases</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Within 1 year</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1 and 2 years</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2 and 3 years</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3 and 4 years</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Between 4 and 5 years</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1,221 </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lease payments</w:t>
            </w:r>
          </w:p>
        </w:tc>
        <w:tc>
          <w:tcPr>
            <w:tcW w:w="22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3,805 </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22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w:t>
            </w:r>
          </w:p>
        </w:tc>
        <w:tc>
          <w:tcPr>
            <w:tcW w:w="2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3,112 </w:t>
            </w:r>
          </w:p>
        </w:tc>
        <w:tc>
          <w:tcPr>
            <w:tcW w:w="2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4.    Earnings Per Share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sets forth the computation of basic and diluted earnings (loss) per share (“EPS”) (shares in millions):</w:t>
      </w:r>
    </w:p>
    <w:tbl>
      <w:tblPr>
        <w:tblW w:w="10205" w:type="dxa"/>
        <w:jc w:val="left"/>
        <w:tblInd w:w="0" w:type="dxa"/>
        <w:tblLayout w:type="fixed"/>
        <w:tblCellMar>
          <w:top w:w="28" w:type="dxa"/>
          <w:left w:w="28" w:type="dxa"/>
          <w:bottom w:w="28" w:type="dxa"/>
          <w:right w:w="28" w:type="dxa"/>
        </w:tblCellMar>
      </w:tblPr>
      <w:tblGrid>
        <w:gridCol w:w="2404"/>
        <w:gridCol w:w="2071"/>
        <w:gridCol w:w="2080"/>
        <w:gridCol w:w="211"/>
        <w:gridCol w:w="698"/>
        <w:gridCol w:w="109"/>
        <w:gridCol w:w="109"/>
        <w:gridCol w:w="109"/>
        <w:gridCol w:w="109"/>
        <w:gridCol w:w="211"/>
        <w:gridCol w:w="646"/>
        <w:gridCol w:w="109"/>
        <w:gridCol w:w="109"/>
        <w:gridCol w:w="109"/>
        <w:gridCol w:w="109"/>
        <w:gridCol w:w="211"/>
        <w:gridCol w:w="646"/>
        <w:gridCol w:w="155"/>
      </w:tblGrid>
      <w:tr>
        <w:trPr/>
        <w:tc>
          <w:tcPr>
            <w:tcW w:w="24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Arial;sans-serif" w:hAnsi="Arial;sans-serif"/>
                <w:b/>
                <w:color w:val="000000"/>
                <w:sz w:val="20"/>
              </w:rPr>
            </w:pPr>
            <w:r>
              <w:rPr>
                <w:rFonts w:ascii="Arial;sans-serif" w:hAnsi="Arial;sans-serif"/>
                <w:b/>
                <w:color w:val="000000"/>
                <w:sz w:val="20"/>
              </w:rPr>
              <w:t>2022</w:t>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Avis Budget Group, Inc. for basic and diluted EPS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weighted average shares outstanding</w:t>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stock</w:t>
            </w:r>
          </w:p>
        </w:tc>
        <w:tc>
          <w:tcPr>
            <w:tcW w:w="9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weighted average shares outstanding</w:t>
            </w:r>
          </w:p>
        </w:tc>
        <w:tc>
          <w:tcPr>
            <w:tcW w:w="9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Earnings (loss) per share</w:t>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58.41 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1"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Diluted EPS was computed using the treasury stock method for non-vested stock. In computing diluted loss per share for the year ended December 31, 2024, our number of diluted weighted average shares outstanding excludes the effect of non-vested stock as the effect would have been anti-dilutive. This occurs when a net loss is reported and the effect of using dilutive shares would be anti-dilutive.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summarizes our outstanding common stock equivalents that were anti-dilutive and therefore excluded from the computation of diluted EPS (shares in millions):</w:t>
      </w:r>
    </w:p>
    <w:tbl>
      <w:tblPr>
        <w:tblW w:w="4527" w:type="dxa"/>
        <w:jc w:val="left"/>
        <w:tblInd w:w="0" w:type="dxa"/>
        <w:tblLayout w:type="fixed"/>
        <w:tblCellMar>
          <w:top w:w="28" w:type="dxa"/>
          <w:left w:w="28" w:type="dxa"/>
          <w:bottom w:w="28" w:type="dxa"/>
          <w:right w:w="28" w:type="dxa"/>
        </w:tblCellMar>
      </w:tblPr>
      <w:tblGrid>
        <w:gridCol w:w="678"/>
        <w:gridCol w:w="597"/>
        <w:gridCol w:w="599"/>
        <w:gridCol w:w="218"/>
        <w:gridCol w:w="218"/>
        <w:gridCol w:w="176"/>
        <w:gridCol w:w="126"/>
        <w:gridCol w:w="126"/>
        <w:gridCol w:w="126"/>
        <w:gridCol w:w="218"/>
        <w:gridCol w:w="218"/>
        <w:gridCol w:w="176"/>
        <w:gridCol w:w="126"/>
        <w:gridCol w:w="126"/>
        <w:gridCol w:w="126"/>
        <w:gridCol w:w="218"/>
        <w:gridCol w:w="218"/>
        <w:gridCol w:w="237"/>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Non-vested stock </w:t>
            </w:r>
            <w:r>
              <w:rPr>
                <w:rFonts w:ascii="Arial;sans-serif" w:hAnsi="Arial;sans-serif"/>
                <w:b w:val="false"/>
                <w:color w:val="000000"/>
                <w:sz w:val="13"/>
              </w:rPr>
              <w:t>(a)</w:t>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2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The weighted average grant date fair value for anti-dilutive non-vested stock for 2024, 2023 and 2022 was $134.69, $198.92 and $177.70,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5.    Restructuring and Other Related Charges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$70 million related to this initiative to be incurred in 2025.</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2022, we initiated a restructuring plan to focus on consolidating our global operations by designing new processes and implementing new systems (“Cost Optimization”). In 2021, we initiated a global restructuring plan to focus on cost discipline by reviewing headcounts, facilities and contractor agreements. We transformed our business as we exited the COVID-19 crisis by controlling fixed costs and matching variable costs to demand (“T21”). In 2020, we initiated a global restructuring plan to reduce operating costs, such as headcount and facilities, due to declining reservations and revenue resulting from the COVID-19 outbreak (“2020 Optimization”). In 2019, we initiated a restructuring plan to exit our operations in Brazil by closing rental facilities, disposing of assets and terminating personnel (“Brazil”). We also initiated a restructuring plan in that same year to drive global efficiency by improving processes and consolidating functions, and to create new objectives and strategies for our truck rental operations in the United States by reducing headcount, large vehicles and rental locations (“T19”). These initiatives are complete.</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2"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tables summarize the changes to our restructuring-related liabilities and identify the amounts recorded within our reportable segments for restructuring charges and corresponding payments and utilizations:</w:t>
      </w:r>
    </w:p>
    <w:tbl>
      <w:tblPr>
        <w:tblW w:w="6631" w:type="dxa"/>
        <w:jc w:val="left"/>
        <w:tblInd w:w="0" w:type="dxa"/>
        <w:tblLayout w:type="fixed"/>
        <w:tblCellMar>
          <w:top w:w="28" w:type="dxa"/>
          <w:left w:w="28" w:type="dxa"/>
          <w:bottom w:w="28" w:type="dxa"/>
          <w:right w:w="28" w:type="dxa"/>
        </w:tblCellMar>
      </w:tblPr>
      <w:tblGrid>
        <w:gridCol w:w="939"/>
        <w:gridCol w:w="825"/>
        <w:gridCol w:w="831"/>
        <w:gridCol w:w="290"/>
        <w:gridCol w:w="491"/>
        <w:gridCol w:w="163"/>
        <w:gridCol w:w="109"/>
        <w:gridCol w:w="109"/>
        <w:gridCol w:w="109"/>
        <w:gridCol w:w="198"/>
        <w:gridCol w:w="411"/>
        <w:gridCol w:w="110"/>
        <w:gridCol w:w="109"/>
        <w:gridCol w:w="109"/>
        <w:gridCol w:w="109"/>
        <w:gridCol w:w="196"/>
        <w:gridCol w:w="406"/>
        <w:gridCol w:w="109"/>
        <w:gridCol w:w="109"/>
        <w:gridCol w:w="109"/>
        <w:gridCol w:w="109"/>
        <w:gridCol w:w="196"/>
        <w:gridCol w:w="33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Personnel </w:t>
              <w:br/>
              <w:t>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Facility </w:t>
              <w:br/>
              <w:t>Related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January 1, 2022</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T21</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T21</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2020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T19</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2022</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2023</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Global Rightsizing </w:t>
            </w:r>
            <w:r>
              <w:rPr>
                <w:rFonts w:ascii="Arial;sans-serif" w:hAnsi="Arial;sans-serif"/>
                <w:b w:val="false"/>
                <w:color w:val="000000"/>
                <w:sz w:val="10"/>
              </w:rPr>
              <w:t>(a)</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Global Rightsizing </w:t>
            </w:r>
            <w:r>
              <w:rPr>
                <w:rFonts w:ascii="Arial;sans-serif" w:hAnsi="Arial;sans-serif"/>
                <w:b w:val="false"/>
                <w:color w:val="000000"/>
                <w:sz w:val="10"/>
              </w:rPr>
              <w:t>(a)</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7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20"/>
        <w:ind w:left="0" w:right="0" w:hanging="360"/>
        <w:jc w:val="left"/>
        <w:rPr/>
      </w:pPr>
      <w:r>
        <w:rPr>
          <w:rFonts w:ascii="Arial;sans-serif" w:hAnsi="Arial;sans-serif"/>
          <w:b w:val="false"/>
          <w:color w:val="000000"/>
          <w:sz w:val="10"/>
        </w:rPr>
        <w:t>(a)</w:t>
      </w:r>
      <w:r>
        <w:rPr>
          <w:color w:val="000000"/>
        </w:rPr>
        <w:t>    </w:t>
      </w:r>
      <w:r>
        <w:rPr>
          <w:rFonts w:ascii="Arial;sans-serif" w:hAnsi="Arial;sans-serif"/>
          <w:b w:val="false"/>
          <w:color w:val="000000"/>
          <w:sz w:val="16"/>
        </w:rPr>
        <w:t>Other includes the disposition of vehicles.</w:t>
      </w:r>
    </w:p>
    <w:tbl>
      <w:tblPr>
        <w:tblW w:w="5882" w:type="dxa"/>
        <w:jc w:val="left"/>
        <w:tblInd w:w="0" w:type="dxa"/>
        <w:tblLayout w:type="fixed"/>
        <w:tblCellMar>
          <w:top w:w="28" w:type="dxa"/>
          <w:left w:w="28" w:type="dxa"/>
          <w:bottom w:w="28" w:type="dxa"/>
          <w:right w:w="28" w:type="dxa"/>
        </w:tblCellMar>
      </w:tblPr>
      <w:tblGrid>
        <w:gridCol w:w="939"/>
        <w:gridCol w:w="825"/>
        <w:gridCol w:w="831"/>
        <w:gridCol w:w="301"/>
        <w:gridCol w:w="371"/>
        <w:gridCol w:w="169"/>
        <w:gridCol w:w="109"/>
        <w:gridCol w:w="109"/>
        <w:gridCol w:w="109"/>
        <w:gridCol w:w="398"/>
        <w:gridCol w:w="490"/>
        <w:gridCol w:w="223"/>
        <w:gridCol w:w="109"/>
        <w:gridCol w:w="109"/>
        <w:gridCol w:w="109"/>
        <w:gridCol w:w="196"/>
        <w:gridCol w:w="33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January 1, 2022</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T21</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T21</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2020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T19</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2022</w:t>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Brazil</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2023</w:t>
            </w:r>
          </w:p>
        </w:tc>
        <w:tc>
          <w:tcPr>
            <w:tcW w:w="6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expense:</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Rightsizing</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payment/utilization:</w:t>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Rightsizing</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Optimization</w:t>
            </w:r>
          </w:p>
        </w:tc>
        <w:tc>
          <w:tcPr>
            <w:tcW w:w="6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as of December 31, 2024</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3"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Other Related Charges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April 2022, we announced the departure of Veresh Sita as Executive Vice President and Chief Digital and Innovation Officer effective May 13, 2022. In connection with Mr. Sita’s separation, we recorded other related charges of approximately $1 million, inclusive of accelerated stock-based compensation expense, 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6.    Acquisitions</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McNicoll Vehicle Hire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2023, we completed the acquisition of McNicoll Vehicle Hire, a vehicle rental company in Scotland specializing in van and car rentals, for approximately $17 million, net of acquired cash. The investment enabled us to expand our footprint of vehicle rental services in Scotland. The excess of the purchase price over preliminary fair value of net assets acquired was allocated to goodwill, which was assigned to our International reportable segment. In connection with this acquisition, approximately $10 million was recorded to goodwill, $4 million was recorded to trade names, and $1 million was recorded to customer relationships. The trade names and customer relationships will be amortized over a weighted average useful life of approximately 10 years. The goodwill was not deductible for tax purposes. In 2024, we finalized our accounting for this acquisition. As a result, we recorded an additional $2 million to the goodwill connected to this acquisition during the year ended December 31, 2024, which represents the additional excess of the purchase price over the fair value of the identifiable net assets acquired.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Licensees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June 2023, we completed the acquisition of a licensee in North America for approximately $14 million, plus approximately $20 million for acquired fleet. In October 2023, we completed the acquisition of a second licensee in North America for approximately $10 million, plus approximately $4 million for acquired fleet. These investments were in-line with our strategy to re-acquire licensees when advantageous to expand our footprint of Company-operated locations. The acquired fleet for each acquisition was financed under our existing financing arrangements. In connection with these acquisitions in June 2023 and October 2023, approximately $14 million and $10 million, respectively, was recorded to other intangibles related to license agreements, which are being amortized over weighted average useful lives of approximately five years and three years, respectively. Differences between the preliminary allocation of purchase prices and the final allocations for these acquisitions were not material.</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7.    Intangible Assets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Intangible assets consisted of:</w:t>
      </w:r>
    </w:p>
    <w:tbl>
      <w:tblPr>
        <w:tblW w:w="10205" w:type="dxa"/>
        <w:jc w:val="left"/>
        <w:tblInd w:w="0" w:type="dxa"/>
        <w:tblLayout w:type="fixed"/>
        <w:tblCellMar>
          <w:top w:w="28" w:type="dxa"/>
          <w:left w:w="28" w:type="dxa"/>
          <w:bottom w:w="28" w:type="dxa"/>
          <w:right w:w="28" w:type="dxa"/>
        </w:tblCellMar>
      </w:tblPr>
      <w:tblGrid>
        <w:gridCol w:w="722"/>
        <w:gridCol w:w="395"/>
        <w:gridCol w:w="397"/>
        <w:gridCol w:w="245"/>
        <w:gridCol w:w="750"/>
        <w:gridCol w:w="126"/>
        <w:gridCol w:w="109"/>
        <w:gridCol w:w="109"/>
        <w:gridCol w:w="109"/>
        <w:gridCol w:w="367"/>
        <w:gridCol w:w="838"/>
        <w:gridCol w:w="190"/>
        <w:gridCol w:w="109"/>
        <w:gridCol w:w="109"/>
        <w:gridCol w:w="109"/>
        <w:gridCol w:w="301"/>
        <w:gridCol w:w="538"/>
        <w:gridCol w:w="157"/>
        <w:gridCol w:w="109"/>
        <w:gridCol w:w="109"/>
        <w:gridCol w:w="109"/>
        <w:gridCol w:w="247"/>
        <w:gridCol w:w="721"/>
        <w:gridCol w:w="127"/>
        <w:gridCol w:w="109"/>
        <w:gridCol w:w="109"/>
        <w:gridCol w:w="109"/>
        <w:gridCol w:w="374"/>
        <w:gridCol w:w="827"/>
        <w:gridCol w:w="195"/>
        <w:gridCol w:w="109"/>
        <w:gridCol w:w="109"/>
        <w:gridCol w:w="109"/>
        <w:gridCol w:w="263"/>
        <w:gridCol w:w="584"/>
        <w:gridCol w:w="206"/>
      </w:tblGrid>
      <w:tr>
        <w:trPr/>
        <w:tc>
          <w:tcPr>
            <w:tcW w:w="72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2023</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Carrying Amount</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Amortized Intangible Assets</w:t>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License agreements </w:t>
            </w:r>
            <w:r>
              <w:rPr>
                <w:rFonts w:ascii="Arial;sans-serif" w:hAnsi="Arial;sans-serif"/>
                <w:b w:val="false"/>
                <w:color w:val="000000"/>
                <w:sz w:val="13"/>
              </w:rPr>
              <w:t>(a)</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Customer relationships </w:t>
            </w:r>
            <w:r>
              <w:rPr>
                <w:rFonts w:ascii="Arial;sans-serif" w:hAnsi="Arial;sans-serif"/>
                <w:b w:val="false"/>
                <w:color w:val="000000"/>
                <w:sz w:val="13"/>
              </w:rPr>
              <w:t>(b)</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(c)</w:t>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Unamortized Intangible Assets</w:t>
            </w:r>
          </w:p>
        </w:tc>
        <w:tc>
          <w:tcPr>
            <w:tcW w:w="1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2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Primarily amortized over a period ranging from 0 to 40 years with a weighted average life of 15 years.</w:t>
      </w:r>
    </w:p>
    <w:p>
      <w:pPr>
        <w:pStyle w:val="TextBody"/>
        <w:bidi w:val="0"/>
        <w:spacing w:lineRule="auto" w:line="288" w:before="0" w:after="0"/>
        <w:ind w:left="0" w:right="0" w:hanging="360"/>
        <w:jc w:val="left"/>
        <w:rPr/>
      </w:pPr>
      <w:r>
        <w:rPr>
          <w:rFonts w:ascii="Arial;sans-serif" w:hAnsi="Arial;sans-serif"/>
          <w:b w:val="false"/>
          <w:color w:val="000000"/>
          <w:sz w:val="10"/>
        </w:rPr>
        <w:t>(b)</w:t>
      </w:r>
      <w:r>
        <w:rPr>
          <w:rFonts w:ascii="Arial;sans-serif" w:hAnsi="Arial;sans-serif"/>
          <w:b w:val="false"/>
          <w:color w:val="000000"/>
          <w:sz w:val="16"/>
        </w:rPr>
        <w:t>Primarily amortized over a period ranging from 1 to 20 years with a weighted average life of 11 years.</w:t>
      </w:r>
    </w:p>
    <w:p>
      <w:pPr>
        <w:pStyle w:val="TextBody"/>
        <w:bidi w:val="0"/>
        <w:spacing w:lineRule="auto" w:line="288" w:before="0" w:after="0"/>
        <w:ind w:left="0" w:right="0" w:hanging="360"/>
        <w:jc w:val="left"/>
        <w:rPr/>
      </w:pPr>
      <w:r>
        <w:rPr>
          <w:rFonts w:ascii="Arial;sans-serif" w:hAnsi="Arial;sans-serif"/>
          <w:b w:val="false"/>
          <w:color w:val="000000"/>
          <w:sz w:val="10"/>
        </w:rPr>
        <w:t>(c)</w:t>
      </w:r>
      <w:r>
        <w:rPr>
          <w:rFonts w:ascii="Arial;sans-serif" w:hAnsi="Arial;sans-serif"/>
          <w:b w:val="false"/>
          <w:color w:val="000000"/>
          <w:sz w:val="16"/>
        </w:rPr>
        <w:t xml:space="preserve">Primarily amortized over a period ranging from 3 to 10 years with a weighted average life of 9 years.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4"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2024, we recorded an impairment related to our unamortized Zipcar trademark of $28 million. See Note 2 –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expense relating to all intangible assets was as follows:</w:t>
      </w:r>
    </w:p>
    <w:tbl>
      <w:tblPr>
        <w:tblW w:w="4902" w:type="dxa"/>
        <w:jc w:val="left"/>
        <w:tblInd w:w="0" w:type="dxa"/>
        <w:tblLayout w:type="fixed"/>
        <w:tblCellMar>
          <w:top w:w="28" w:type="dxa"/>
          <w:left w:w="28" w:type="dxa"/>
          <w:bottom w:w="28" w:type="dxa"/>
          <w:right w:w="28" w:type="dxa"/>
        </w:tblCellMar>
      </w:tblPr>
      <w:tblGrid>
        <w:gridCol w:w="766"/>
        <w:gridCol w:w="672"/>
        <w:gridCol w:w="677"/>
        <w:gridCol w:w="211"/>
        <w:gridCol w:w="376"/>
        <w:gridCol w:w="109"/>
        <w:gridCol w:w="109"/>
        <w:gridCol w:w="109"/>
        <w:gridCol w:w="109"/>
        <w:gridCol w:w="211"/>
        <w:gridCol w:w="376"/>
        <w:gridCol w:w="109"/>
        <w:gridCol w:w="109"/>
        <w:gridCol w:w="109"/>
        <w:gridCol w:w="109"/>
        <w:gridCol w:w="211"/>
        <w:gridCol w:w="37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agreements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relationships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Arial;sans-serif" w:hAnsi="Arial;sans-serif"/>
          <w:b w:val="false"/>
          <w:color w:val="000000"/>
          <w:sz w:val="20"/>
        </w:rPr>
        <w:t>Based on our amortizable intangible assets at December 31, 2024, we expect amortization expens</w:t>
      </w:r>
      <w:r>
        <w:rPr>
          <w:rFonts w:ascii="Arial;sans-serif" w:hAnsi="Arial;sans-serif"/>
          <w:b w:val="false"/>
          <w:color w:val="000000"/>
          <w:sz w:val="20"/>
          <w:shd w:fill="FFFFFF" w:val="clear"/>
        </w:rPr>
        <w:t xml:space="preserve">e of approximately </w:t>
      </w:r>
      <w:r>
        <w:rPr>
          <w:rFonts w:ascii="Arial;sans-serif" w:hAnsi="Arial;sans-serif"/>
          <w:b w:val="false"/>
          <w:color w:val="000000"/>
          <w:sz w:val="20"/>
        </w:rPr>
        <w:t>$22 million for 2025, $21 million for 2026, $15 million for 2027, $9 million for 2028 and $7 million for 2029 excluding effects of currency exchange rates.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carrying amounts of goodwill and related changes are as follows:</w:t>
      </w:r>
    </w:p>
    <w:tbl>
      <w:tblPr>
        <w:tblW w:w="9325" w:type="dxa"/>
        <w:jc w:val="left"/>
        <w:tblInd w:w="0" w:type="dxa"/>
        <w:tblLayout w:type="fixed"/>
        <w:tblCellMar>
          <w:top w:w="28" w:type="dxa"/>
          <w:left w:w="28" w:type="dxa"/>
          <w:bottom w:w="28" w:type="dxa"/>
          <w:right w:w="28" w:type="dxa"/>
        </w:tblCellMar>
      </w:tblPr>
      <w:tblGrid>
        <w:gridCol w:w="1759"/>
        <w:gridCol w:w="1548"/>
        <w:gridCol w:w="1553"/>
        <w:gridCol w:w="213"/>
        <w:gridCol w:w="652"/>
        <w:gridCol w:w="111"/>
        <w:gridCol w:w="109"/>
        <w:gridCol w:w="109"/>
        <w:gridCol w:w="109"/>
        <w:gridCol w:w="278"/>
        <w:gridCol w:w="853"/>
        <w:gridCol w:w="145"/>
        <w:gridCol w:w="109"/>
        <w:gridCol w:w="109"/>
        <w:gridCol w:w="109"/>
        <w:gridCol w:w="325"/>
        <w:gridCol w:w="995"/>
        <w:gridCol w:w="239"/>
      </w:tblGrid>
      <w:tr>
        <w:trPr/>
        <w:tc>
          <w:tcPr>
            <w:tcW w:w="1759"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 Company</w:t>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as of January 1, 2023</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3,188 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Accumulated impairment losses as of January 1, 2023</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(2,118)</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as of January 1, 2023</w:t>
            </w:r>
          </w:p>
        </w:tc>
        <w:tc>
          <w:tcPr>
            <w:tcW w:w="8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1,070 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 and other</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as of December 31, 2023</w:t>
            </w:r>
          </w:p>
        </w:tc>
        <w:tc>
          <w:tcPr>
            <w:tcW w:w="8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2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 and other</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Goodwill as of December 31, 2024</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1,071 </w:t>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8.    Vehicle Rental Activities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components of vehicles, net within assets under vehicle programs are as follows: </w:t>
      </w:r>
    </w:p>
    <w:tbl>
      <w:tblPr>
        <w:tblW w:w="5753" w:type="dxa"/>
        <w:jc w:val="left"/>
        <w:tblInd w:w="0" w:type="dxa"/>
        <w:tblLayout w:type="fixed"/>
        <w:tblCellMar>
          <w:top w:w="28" w:type="dxa"/>
          <w:left w:w="28" w:type="dxa"/>
          <w:bottom w:w="28" w:type="dxa"/>
          <w:right w:w="28" w:type="dxa"/>
        </w:tblCellMar>
      </w:tblPr>
      <w:tblGrid>
        <w:gridCol w:w="1171"/>
        <w:gridCol w:w="1032"/>
        <w:gridCol w:w="1036"/>
        <w:gridCol w:w="211"/>
        <w:gridCol w:w="751"/>
        <w:gridCol w:w="109"/>
        <w:gridCol w:w="109"/>
        <w:gridCol w:w="109"/>
        <w:gridCol w:w="109"/>
        <w:gridCol w:w="211"/>
        <w:gridCol w:w="751"/>
        <w:gridCol w:w="154"/>
      </w:tblGrid>
      <w:tr>
        <w:trPr/>
        <w:tc>
          <w:tcPr>
            <w:tcW w:w="117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Rental vehicles</w:t>
            </w:r>
            <w:r>
              <w:rPr>
                <w:color w:val="000000"/>
              </w:rPr>
              <w:t xml:space="preserve"> </w:t>
            </w:r>
            <w:r>
              <w:rPr>
                <w:rFonts w:ascii="Arial;sans-serif" w:hAnsi="Arial;sans-serif"/>
                <w:b w:val="false"/>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Vehicles held for sale </w:t>
            </w:r>
            <w:r>
              <w:rPr>
                <w:rFonts w:ascii="Arial;sans-serif" w:hAnsi="Arial;sans-serif"/>
                <w:b w:val="false"/>
                <w:color w:val="000000"/>
                <w:sz w:val="12"/>
              </w:rPr>
              <w:t>(a)</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Vehicles, net investment in lease </w:t>
            </w:r>
            <w:r>
              <w:rPr>
                <w:rFonts w:ascii="Arial;sans-serif" w:hAnsi="Arial;sans-serif"/>
                <w:b w:val="false"/>
                <w:color w:val="000000"/>
                <w:sz w:val="13"/>
              </w:rPr>
              <w:t>(b)</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For the year ended December 31, 2024, reflects long-lived asset impairment and other related charges, which reduced the carrying value of our rental vehicles and vehicles held for sale to fair value. See Note 2 – Summary of Significant Accounting Policies.</w:t>
      </w:r>
    </w:p>
    <w:p>
      <w:pPr>
        <w:pStyle w:val="TextBody"/>
        <w:bidi w:val="0"/>
        <w:spacing w:lineRule="auto" w:line="288" w:before="0" w:after="0"/>
        <w:ind w:left="0" w:right="0" w:hanging="360"/>
        <w:jc w:val="both"/>
        <w:rPr/>
      </w:pPr>
      <w:r>
        <w:rPr>
          <w:rFonts w:ascii="Arial;sans-serif" w:hAnsi="Arial;sans-serif"/>
          <w:b w:val="false"/>
          <w:color w:val="000000"/>
          <w:sz w:val="10"/>
        </w:rPr>
        <w:t>(b)</w:t>
      </w:r>
      <w:r>
        <w:rPr>
          <w:color w:val="000000"/>
        </w:rPr>
        <w:t>    </w:t>
      </w:r>
      <w:r>
        <w:rPr>
          <w:rFonts w:ascii="Arial;sans-serif" w:hAnsi="Arial;sans-serif"/>
          <w:b w:val="false"/>
          <w:color w:val="000000"/>
          <w:sz w:val="16"/>
        </w:rPr>
        <w:t>See Note 17 – Related Party Transactions.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5"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components of vehicle depreciation and lease charges, net are summarized below:</w:t>
      </w:r>
    </w:p>
    <w:tbl>
      <w:tblPr>
        <w:tblW w:w="7511" w:type="dxa"/>
        <w:jc w:val="left"/>
        <w:tblInd w:w="0" w:type="dxa"/>
        <w:tblLayout w:type="fixed"/>
        <w:tblCellMar>
          <w:top w:w="28" w:type="dxa"/>
          <w:left w:w="28" w:type="dxa"/>
          <w:bottom w:w="28" w:type="dxa"/>
          <w:right w:w="28" w:type="dxa"/>
        </w:tblCellMar>
      </w:tblPr>
      <w:tblGrid>
        <w:gridCol w:w="1417"/>
        <w:gridCol w:w="1244"/>
        <w:gridCol w:w="1253"/>
        <w:gridCol w:w="211"/>
        <w:gridCol w:w="646"/>
        <w:gridCol w:w="109"/>
        <w:gridCol w:w="109"/>
        <w:gridCol w:w="109"/>
        <w:gridCol w:w="109"/>
        <w:gridCol w:w="211"/>
        <w:gridCol w:w="646"/>
        <w:gridCol w:w="109"/>
        <w:gridCol w:w="109"/>
        <w:gridCol w:w="109"/>
        <w:gridCol w:w="109"/>
        <w:gridCol w:w="211"/>
        <w:gridCol w:w="646"/>
        <w:gridCol w:w="154"/>
      </w:tblGrid>
      <w:tr>
        <w:trPr/>
        <w:tc>
          <w:tcPr>
            <w:tcW w:w="14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charges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sale of vehicles, net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December 31, 2024, 2023 and 2022, we had payables related to vehicle purchases included in liabilities under vehicle programs - other of $203 million, $287 million, and $265 million, respectively, and receivables related to vehicle sales included in assets under vehicle programs - receivables from vehicle manufacturers and other of $287 million, $237 million, and $212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9.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provision for (benefit from) income taxes consists of the following:</w:t>
      </w:r>
    </w:p>
    <w:tbl>
      <w:tblPr>
        <w:tblW w:w="7091" w:type="dxa"/>
        <w:jc w:val="left"/>
        <w:tblInd w:w="0" w:type="dxa"/>
        <w:tblLayout w:type="fixed"/>
        <w:tblCellMar>
          <w:top w:w="28" w:type="dxa"/>
          <w:left w:w="28" w:type="dxa"/>
          <w:bottom w:w="28" w:type="dxa"/>
          <w:right w:w="28" w:type="dxa"/>
        </w:tblCellMar>
      </w:tblPr>
      <w:tblGrid>
        <w:gridCol w:w="1418"/>
        <w:gridCol w:w="1246"/>
        <w:gridCol w:w="1265"/>
        <w:gridCol w:w="211"/>
        <w:gridCol w:w="541"/>
        <w:gridCol w:w="109"/>
        <w:gridCol w:w="109"/>
        <w:gridCol w:w="109"/>
        <w:gridCol w:w="109"/>
        <w:gridCol w:w="211"/>
        <w:gridCol w:w="481"/>
        <w:gridCol w:w="109"/>
        <w:gridCol w:w="109"/>
        <w:gridCol w:w="109"/>
        <w:gridCol w:w="109"/>
        <w:gridCol w:w="211"/>
        <w:gridCol w:w="481"/>
        <w:gridCol w:w="154"/>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Current</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 income tax provision</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Deferred</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Federal</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provision</w:t>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Provision for (benefit from) income taxes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Income (loss) before income taxes is comprised of the following:</w:t>
      </w:r>
    </w:p>
    <w:tbl>
      <w:tblPr>
        <w:tblW w:w="6792" w:type="dxa"/>
        <w:jc w:val="left"/>
        <w:tblInd w:w="0" w:type="dxa"/>
        <w:tblLayout w:type="fixed"/>
        <w:tblCellMar>
          <w:top w:w="28" w:type="dxa"/>
          <w:left w:w="28" w:type="dxa"/>
          <w:bottom w:w="28" w:type="dxa"/>
          <w:right w:w="28" w:type="dxa"/>
        </w:tblCellMar>
      </w:tblPr>
      <w:tblGrid>
        <w:gridCol w:w="1134"/>
        <w:gridCol w:w="999"/>
        <w:gridCol w:w="1002"/>
        <w:gridCol w:w="211"/>
        <w:gridCol w:w="706"/>
        <w:gridCol w:w="109"/>
        <w:gridCol w:w="109"/>
        <w:gridCol w:w="109"/>
        <w:gridCol w:w="109"/>
        <w:gridCol w:w="211"/>
        <w:gridCol w:w="646"/>
        <w:gridCol w:w="109"/>
        <w:gridCol w:w="109"/>
        <w:gridCol w:w="109"/>
        <w:gridCol w:w="109"/>
        <w:gridCol w:w="211"/>
        <w:gridCol w:w="646"/>
        <w:gridCol w:w="154"/>
      </w:tblGrid>
      <w:tr>
        <w:trPr/>
        <w:tc>
          <w:tcPr>
            <w:tcW w:w="113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 (U.S.)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3,114 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6"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income tax assets, net is comprised of the following:</w:t>
      </w:r>
    </w:p>
    <w:tbl>
      <w:tblPr>
        <w:tblW w:w="5843" w:type="dxa"/>
        <w:jc w:val="left"/>
        <w:tblInd w:w="0" w:type="dxa"/>
        <w:tblLayout w:type="fixed"/>
        <w:tblCellMar>
          <w:top w:w="28" w:type="dxa"/>
          <w:left w:w="28" w:type="dxa"/>
          <w:bottom w:w="28" w:type="dxa"/>
          <w:right w:w="28" w:type="dxa"/>
        </w:tblCellMar>
      </w:tblPr>
      <w:tblGrid>
        <w:gridCol w:w="1281"/>
        <w:gridCol w:w="1125"/>
        <w:gridCol w:w="1133"/>
        <w:gridCol w:w="211"/>
        <w:gridCol w:w="646"/>
        <w:gridCol w:w="109"/>
        <w:gridCol w:w="109"/>
        <w:gridCol w:w="109"/>
        <w:gridCol w:w="109"/>
        <w:gridCol w:w="211"/>
        <w:gridCol w:w="646"/>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Deferred income tax assets: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tax loss carryforwards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operating lease liabilities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credits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Deferred interest expense </w:t>
            </w:r>
            <w:r>
              <w:rPr>
                <w:rFonts w:ascii="Arial;sans-serif" w:hAnsi="Arial;sans-serif"/>
                <w:b w:val="false"/>
                <w:color w:val="000000"/>
                <w:sz w:val="13"/>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doubtful accounts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Valuation allowance </w:t>
            </w:r>
            <w:r>
              <w:rPr>
                <w:rFonts w:ascii="Arial;sans-serif" w:hAnsi="Arial;sans-serif"/>
                <w:b w:val="false"/>
                <w:color w:val="000000"/>
                <w:sz w:val="13"/>
              </w:rPr>
              <w:t>(b)</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assets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Deferred income tax liabilities: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 of use assets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income tax assets,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color w:val="000000"/>
        </w:rPr>
        <w:t>    </w:t>
      </w:r>
      <w:r>
        <w:rPr>
          <w:rFonts w:ascii="Arial;sans-serif" w:hAnsi="Arial;sans-serif"/>
          <w:b w:val="false"/>
          <w:color w:val="000000"/>
          <w:sz w:val="16"/>
        </w:rPr>
        <w:t>For the year ended December 31, 2023, we reclassified $179 million of deferred interest expense to conform to the current year presentation. This reclassification had no impact to our reported deferred income tax assets.</w:t>
      </w:r>
    </w:p>
    <w:p>
      <w:pPr>
        <w:pStyle w:val="TextBody"/>
        <w:bidi w:val="0"/>
        <w:spacing w:lineRule="auto" w:line="288" w:before="0" w:after="0"/>
        <w:ind w:left="0" w:right="0" w:hanging="360"/>
        <w:jc w:val="both"/>
        <w:rPr/>
      </w:pPr>
      <w:r>
        <w:rPr>
          <w:rFonts w:ascii="Arial;sans-serif" w:hAnsi="Arial;sans-serif"/>
          <w:b w:val="false"/>
          <w:color w:val="000000"/>
          <w:sz w:val="10"/>
        </w:rPr>
        <w:t xml:space="preserve">(b) </w:t>
      </w:r>
      <w:r>
        <w:rPr>
          <w:color w:val="000000"/>
        </w:rPr>
        <w:t>    </w:t>
      </w:r>
      <w:r>
        <w:rPr>
          <w:rFonts w:ascii="Arial;sans-serif" w:hAnsi="Arial;sans-serif"/>
          <w:b w:val="false"/>
          <w:color w:val="000000"/>
          <w:sz w:val="16"/>
        </w:rPr>
        <w:t>The valuation allowance at December 31, 2024 relates to tax loss carryforwards and certain deferred tax assets of $80 million and $3 million, respectively. The valuation allowance at December 31, 2023 relates to tax loss carryforwards and certain deferred tax assets of $100 million and $3 million, respectively. The valuation allowances will be reduced when and if we determine it is more likely than not that the related deferred income tax assets will be realized.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Deferred income tax assets and liabilities related to vehicle programs are comprised of the following:</w:t>
      </w:r>
    </w:p>
    <w:p>
      <w:pPr>
        <w:pStyle w:val="TextBody"/>
        <w:bidi w:val="0"/>
        <w:spacing w:before="0" w:after="0"/>
        <w:jc w:val="left"/>
        <w:rPr/>
      </w:pPr>
      <w:r>
        <w:rPr/>
      </w:r>
    </w:p>
    <w:tbl>
      <w:tblPr>
        <w:tblW w:w="7883" w:type="dxa"/>
        <w:jc w:val="left"/>
        <w:tblInd w:w="0" w:type="dxa"/>
        <w:tblLayout w:type="fixed"/>
        <w:tblCellMar>
          <w:top w:w="28" w:type="dxa"/>
          <w:left w:w="28" w:type="dxa"/>
          <w:bottom w:w="28" w:type="dxa"/>
          <w:right w:w="28" w:type="dxa"/>
        </w:tblCellMar>
      </w:tblPr>
      <w:tblGrid>
        <w:gridCol w:w="2020"/>
        <w:gridCol w:w="1772"/>
        <w:gridCol w:w="1787"/>
        <w:gridCol w:w="211"/>
        <w:gridCol w:w="646"/>
        <w:gridCol w:w="109"/>
        <w:gridCol w:w="109"/>
        <w:gridCol w:w="109"/>
        <w:gridCol w:w="109"/>
        <w:gridCol w:w="211"/>
        <w:gridCol w:w="646"/>
        <w:gridCol w:w="154"/>
      </w:tblGrid>
      <w:tr>
        <w:trPr/>
        <w:tc>
          <w:tcPr>
            <w:tcW w:w="2020"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Deferred income tax assets:</w:t>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assets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Deferred income tax liabilities:</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Deferred income tax liabilities under vehicle programs, net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At December 31, 2024, we had U.S. federal net operating loss carryforwards of approximately $3.0 billion. The net operating loss carryforwards have an indefinite utilization period pursuant to the Tax Act. Such net operating loss carryforwards are primarily related to accelerated depreciation of our U.S. vehicles. Currently, we do not record valuation allowances on the majority of our U.S. federal tax loss carryforwards as there are adequate deferred tax liabilities that could be realized within the carryforward period. At December 31,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7"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2024, we had foreign net operating loss carryforwards of approximately $890 million, the majority of which has an indefinite utilization period.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At December 31, 2024, we had undistributed earnings of certain foreign subsidiaries of approximately $1.6 billion that we have indefinitely reinvested, and on which we have not recognized deferred taxes. Estimating the amount of potential tax is not practicable because of the complexity and variety of assumptions necessary to compute the tax.</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reconciliation between the U.S. federal income tax statutory rate and our effective income tax rate is as follows:</w:t>
      </w:r>
    </w:p>
    <w:tbl>
      <w:tblPr>
        <w:tblW w:w="10205" w:type="dxa"/>
        <w:jc w:val="left"/>
        <w:tblInd w:w="0" w:type="dxa"/>
        <w:tblLayout w:type="fixed"/>
        <w:tblCellMar>
          <w:top w:w="28" w:type="dxa"/>
          <w:left w:w="28" w:type="dxa"/>
          <w:bottom w:w="28" w:type="dxa"/>
          <w:right w:w="28" w:type="dxa"/>
        </w:tblCellMar>
      </w:tblPr>
      <w:tblGrid>
        <w:gridCol w:w="2450"/>
        <w:gridCol w:w="2141"/>
        <w:gridCol w:w="2149"/>
        <w:gridCol w:w="281"/>
        <w:gridCol w:w="260"/>
        <w:gridCol w:w="327"/>
        <w:gridCol w:w="124"/>
        <w:gridCol w:w="124"/>
        <w:gridCol w:w="124"/>
        <w:gridCol w:w="311"/>
        <w:gridCol w:w="287"/>
        <w:gridCol w:w="327"/>
        <w:gridCol w:w="124"/>
        <w:gridCol w:w="124"/>
        <w:gridCol w:w="124"/>
        <w:gridCol w:w="281"/>
        <w:gridCol w:w="260"/>
        <w:gridCol w:w="387"/>
      </w:tblGrid>
      <w:tr>
        <w:trPr/>
        <w:tc>
          <w:tcPr>
            <w:tcW w:w="2450"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federal statutory rate</w:t>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to our effective rate:</w:t>
            </w:r>
          </w:p>
        </w:tc>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and local income taxes, net of federal tax benefits</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Changes in valuation allowances </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38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Taxes on foreign operations at rates different than U.S. federal statutory rates</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Tax credits </w:t>
            </w:r>
            <w:r>
              <w:rPr>
                <w:rFonts w:ascii="Arial;sans-serif" w:hAnsi="Arial;sans-serif"/>
                <w:b w:val="false"/>
                <w:color w:val="000000"/>
                <w:sz w:val="13"/>
              </w:rPr>
              <w:t>(a)</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non-deductible (non-taxable) items</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Other </w:t>
            </w:r>
            <w:r>
              <w:rPr>
                <w:rFonts w:ascii="Arial;sans-serif" w:hAnsi="Arial;sans-serif"/>
                <w:b w:val="false"/>
                <w:color w:val="000000"/>
                <w:sz w:val="13"/>
              </w:rPr>
              <w:t>(a)</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3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30.8 </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3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24.2 </w:t>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year ended December 31, 2022, we reclassified (0.4%) of certain tax credits to conform to the current year presentation. This reclassification had no impact to our reported effective income tax rate.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Organisation for Economic Cooperation and Development (“OECD”) published a proposal for the establishment of a global minimum tax rate of 15% (the “Pillar Two rule”), effective for fiscal 2024. We are closely monitoring developments of the Pillar Two rule as the OECD continues to refine its technical guidance and member states implement tax laws and regulations based on Pillar Two proposals. Pillar Two did not have a material impact on our Consolidated Financial Statements for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is a reconciliation of the gross amount of unrecognized tax benefits:</w:t>
      </w:r>
    </w:p>
    <w:tbl>
      <w:tblPr>
        <w:tblW w:w="7181" w:type="dxa"/>
        <w:jc w:val="left"/>
        <w:tblInd w:w="0" w:type="dxa"/>
        <w:tblLayout w:type="fixed"/>
        <w:tblCellMar>
          <w:top w:w="28" w:type="dxa"/>
          <w:left w:w="28" w:type="dxa"/>
          <w:bottom w:w="28" w:type="dxa"/>
          <w:right w:w="28" w:type="dxa"/>
        </w:tblCellMar>
      </w:tblPr>
      <w:tblGrid>
        <w:gridCol w:w="1592"/>
        <w:gridCol w:w="1399"/>
        <w:gridCol w:w="1403"/>
        <w:gridCol w:w="211"/>
        <w:gridCol w:w="376"/>
        <w:gridCol w:w="109"/>
        <w:gridCol w:w="109"/>
        <w:gridCol w:w="109"/>
        <w:gridCol w:w="109"/>
        <w:gridCol w:w="211"/>
        <w:gridCol w:w="376"/>
        <w:gridCol w:w="109"/>
        <w:gridCol w:w="109"/>
        <w:gridCol w:w="109"/>
        <w:gridCol w:w="109"/>
        <w:gridCol w:w="211"/>
        <w:gridCol w:w="376"/>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January 1</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current year</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for tax positions related to prior years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Reductions for tax positions related to prior years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Statute of limitations</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w:t>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December 31</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We do not anticipate the gross amount of unrecognized tax benefits to change significantly in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are subject to taxation in the U.S. and various foreign jurisdictions. As of December 31, 2024, the 2007 through 2023 tax years generally remain subject to examination by the federal tax authorities. The 2012 through 2023 tax years generally remain subject to examination by various state tax authorities. In significant foreign jurisdictions, the 2012 through 2023 tax years generally remain subject to examination by their respective tax authorities.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8"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Substantially all of the gross amount of unrecognized tax benefits at December 31, 2024, 2023 and 2022, if recognized, would affect our provision for (benefit from) income taxes. As of December 31, 2024, our unrecognized tax benefits were offset by tax loss carryforwards and other deferred tax assets in the amount of $27 million.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unrecognized tax benefits:</w:t>
      </w:r>
    </w:p>
    <w:tbl>
      <w:tblPr>
        <w:tblW w:w="7766" w:type="dxa"/>
        <w:jc w:val="left"/>
        <w:tblInd w:w="0" w:type="dxa"/>
        <w:tblLayout w:type="fixed"/>
        <w:tblCellMar>
          <w:top w:w="28" w:type="dxa"/>
          <w:left w:w="28" w:type="dxa"/>
          <w:bottom w:w="28" w:type="dxa"/>
          <w:right w:w="28" w:type="dxa"/>
        </w:tblCellMar>
      </w:tblPr>
      <w:tblGrid>
        <w:gridCol w:w="2108"/>
        <w:gridCol w:w="1854"/>
        <w:gridCol w:w="1858"/>
        <w:gridCol w:w="233"/>
        <w:gridCol w:w="415"/>
        <w:gridCol w:w="120"/>
        <w:gridCol w:w="120"/>
        <w:gridCol w:w="120"/>
        <w:gridCol w:w="120"/>
        <w:gridCol w:w="233"/>
        <w:gridCol w:w="415"/>
        <w:gridCol w:w="170"/>
      </w:tblGrid>
      <w:tr>
        <w:trPr/>
        <w:tc>
          <w:tcPr>
            <w:tcW w:w="2108" w:type="dxa"/>
            <w:tcBorders/>
            <w:vAlign w:val="center"/>
          </w:tcPr>
          <w:p>
            <w:pPr>
              <w:pStyle w:val="TableContents"/>
              <w:bidi w:val="0"/>
              <w:spacing w:before="0" w:after="283"/>
              <w:jc w:val="left"/>
              <w:rPr>
                <w:sz w:val="4"/>
                <w:szCs w:val="4"/>
              </w:rPr>
            </w:pPr>
            <w:r>
              <w:rPr>
                <w:sz w:val="4"/>
                <w:szCs w:val="4"/>
              </w:rPr>
            </w:r>
          </w:p>
        </w:tc>
        <w:tc>
          <w:tcPr>
            <w:tcW w:w="1854"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Unrecognized tax benefits in current income taxes payable </w:t>
            </w:r>
            <w:r>
              <w:rPr>
                <w:rFonts w:ascii="Arial;sans-serif" w:hAnsi="Arial;sans-serif"/>
                <w:b w:val="false"/>
                <w:color w:val="000000"/>
                <w:sz w:val="13"/>
              </w:rPr>
              <w:t>(a)</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Unrecognized tax benefits in non-current income taxes payable </w:t>
            </w:r>
            <w:r>
              <w:rPr>
                <w:rFonts w:ascii="Arial;sans-serif" w:hAnsi="Arial;sans-serif"/>
                <w:b w:val="false"/>
                <w:color w:val="000000"/>
                <w:sz w:val="13"/>
              </w:rPr>
              <w:t>(a)</w:t>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Accrued interest payable on potential tax liabilities </w:t>
            </w:r>
            <w:r>
              <w:rPr>
                <w:rFonts w:ascii="Arial;sans-serif" w:hAnsi="Arial;sans-serif"/>
                <w:b w:val="false"/>
                <w:color w:val="000000"/>
                <w:sz w:val="13"/>
              </w:rPr>
              <w:t>(b)</w:t>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Pursuant to the agreements governing the disposition of certain subsidiaries in 2006, we are entitled to indemnification for certain predisposition tax contingencies. As of December 31, 2024 and 2023, liabilities for unrecognized tax benefits associated with these tax contingencies are included in current income taxes payable.</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We recognize potential interest expense related to unrecognized tax benefits within interest expense related to corporate debt, net on the accompanying Consolidated Statements of Operations. Penalties incurred during the years ended December 31, 2024, 2023 and 2022, were not significant and were recognized in the provision for (benefit from) income taxes</w:t>
      </w:r>
      <w:r>
        <w:rPr>
          <w:rFonts w:ascii="Arial;sans-serif" w:hAnsi="Arial;sans-serif"/>
          <w:b w:val="false"/>
          <w:color w:val="000000"/>
          <w:sz w:val="18"/>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10.    Other Current Assets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Other current assets consisted of:</w:t>
      </w:r>
    </w:p>
    <w:tbl>
      <w:tblPr>
        <w:tblW w:w="3878" w:type="dxa"/>
        <w:jc w:val="left"/>
        <w:tblInd w:w="0" w:type="dxa"/>
        <w:tblLayout w:type="fixed"/>
        <w:tblCellMar>
          <w:top w:w="28" w:type="dxa"/>
          <w:left w:w="28" w:type="dxa"/>
          <w:bottom w:w="28" w:type="dxa"/>
          <w:right w:w="28" w:type="dxa"/>
        </w:tblCellMar>
      </w:tblPr>
      <w:tblGrid>
        <w:gridCol w:w="689"/>
        <w:gridCol w:w="606"/>
        <w:gridCol w:w="609"/>
        <w:gridCol w:w="211"/>
        <w:gridCol w:w="481"/>
        <w:gridCol w:w="109"/>
        <w:gridCol w:w="109"/>
        <w:gridCol w:w="109"/>
        <w:gridCol w:w="109"/>
        <w:gridCol w:w="211"/>
        <w:gridCol w:w="481"/>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 and use taxes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current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11.    Property and Equipment, net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Property and equipment, net consisted of:</w:t>
      </w:r>
    </w:p>
    <w:tbl>
      <w:tblPr>
        <w:tblW w:w="6409" w:type="dxa"/>
        <w:jc w:val="left"/>
        <w:tblInd w:w="0" w:type="dxa"/>
        <w:tblLayout w:type="fixed"/>
        <w:tblCellMar>
          <w:top w:w="28" w:type="dxa"/>
          <w:left w:w="28" w:type="dxa"/>
          <w:bottom w:w="28" w:type="dxa"/>
          <w:right w:w="28" w:type="dxa"/>
        </w:tblCellMar>
      </w:tblPr>
      <w:tblGrid>
        <w:gridCol w:w="1596"/>
        <w:gridCol w:w="1400"/>
        <w:gridCol w:w="1413"/>
        <w:gridCol w:w="215"/>
        <w:gridCol w:w="490"/>
        <w:gridCol w:w="109"/>
        <w:gridCol w:w="109"/>
        <w:gridCol w:w="109"/>
        <w:gridCol w:w="109"/>
        <w:gridCol w:w="215"/>
        <w:gridCol w:w="490"/>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Land</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Buildings and leasehold improvements</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Capitalized software</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Furniture, fixtures and equipment</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Projects in process</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Buses and support vehicles</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Depreciation and amortization expense relating to property and equipment during 2024, 2023 and 2022 was $207 million, $187 million, and $181 million, respectively (including $102 million, $101 million, and $115 million, respectively, of amortization expense relating to capitalized software). At December 31, 2024, we had payables related to property and equipment included in accounts payable and other current liabilities of $10 million. At December 31, 2023, we had payables related to property and equipment included in accounts payable and other current liabilities and in other non-current liabilities of $18 million and $6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99"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12.    Accounts Payable and Other Current Liabilities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 consisted of:</w:t>
      </w:r>
    </w:p>
    <w:tbl>
      <w:tblPr>
        <w:tblW w:w="8048" w:type="dxa"/>
        <w:jc w:val="left"/>
        <w:tblInd w:w="0" w:type="dxa"/>
        <w:tblLayout w:type="fixed"/>
        <w:tblCellMar>
          <w:top w:w="28" w:type="dxa"/>
          <w:left w:w="28" w:type="dxa"/>
          <w:bottom w:w="28" w:type="dxa"/>
          <w:right w:w="28" w:type="dxa"/>
        </w:tblCellMar>
      </w:tblPr>
      <w:tblGrid>
        <w:gridCol w:w="2079"/>
        <w:gridCol w:w="1830"/>
        <w:gridCol w:w="1835"/>
        <w:gridCol w:w="211"/>
        <w:gridCol w:w="646"/>
        <w:gridCol w:w="109"/>
        <w:gridCol w:w="109"/>
        <w:gridCol w:w="109"/>
        <w:gridCol w:w="109"/>
        <w:gridCol w:w="211"/>
        <w:gridCol w:w="646"/>
        <w:gridCol w:w="154"/>
      </w:tblGrid>
      <w:tr>
        <w:trPr/>
        <w:tc>
          <w:tcPr>
            <w:tcW w:w="2079"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operating lease liabilities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sales and use taxes</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advertising and marketing</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Public liability and property damage insurance liabilities – current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Accrued interest</w:t>
            </w:r>
            <w:r>
              <w:rPr>
                <w:color w:val="000000"/>
              </w:rPr>
              <w:t xml:space="preserve"> </w:t>
            </w:r>
            <w:r>
              <w:rPr>
                <w:rFonts w:ascii="Arial;sans-serif" w:hAnsi="Arial;sans-serif"/>
                <w:b w:val="false"/>
                <w:color w:val="000000"/>
                <w:sz w:val="13"/>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lease revenues – current</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payroll and related</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Other</w:t>
            </w:r>
            <w:r>
              <w:rPr>
                <w:color w:val="000000"/>
              </w:rPr>
              <w:t xml:space="preserve"> </w:t>
            </w:r>
            <w:r>
              <w:rPr>
                <w:rFonts w:ascii="Arial;sans-serif" w:hAnsi="Arial;sans-serif"/>
                <w:b w:val="false"/>
                <w:color w:val="000000"/>
                <w:sz w:val="13"/>
              </w:rPr>
              <w:t>(a)</w:t>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other current liabilities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year ended December 31, 2023, we reclassified $141 million of accrued interest to conform to the current year presentation. This reclassification had no impact to accounts payable and other current liabilities.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13.    Long-term Corporate Debt and Borrowing Arrangements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Long-term debt and other borrowing arrangements consisted of:</w:t>
      </w:r>
    </w:p>
    <w:tbl>
      <w:tblPr>
        <w:tblW w:w="8750" w:type="dxa"/>
        <w:jc w:val="left"/>
        <w:tblInd w:w="0" w:type="dxa"/>
        <w:tblLayout w:type="fixed"/>
        <w:tblCellMar>
          <w:top w:w="28" w:type="dxa"/>
          <w:left w:w="28" w:type="dxa"/>
          <w:bottom w:w="28" w:type="dxa"/>
          <w:right w:w="28" w:type="dxa"/>
        </w:tblCellMar>
      </w:tblPr>
      <w:tblGrid>
        <w:gridCol w:w="1766"/>
        <w:gridCol w:w="1551"/>
        <w:gridCol w:w="1558"/>
        <w:gridCol w:w="434"/>
        <w:gridCol w:w="434"/>
        <w:gridCol w:w="436"/>
        <w:gridCol w:w="109"/>
        <w:gridCol w:w="109"/>
        <w:gridCol w:w="109"/>
        <w:gridCol w:w="211"/>
        <w:gridCol w:w="616"/>
        <w:gridCol w:w="109"/>
        <w:gridCol w:w="109"/>
        <w:gridCol w:w="109"/>
        <w:gridCol w:w="109"/>
        <w:gridCol w:w="211"/>
        <w:gridCol w:w="616"/>
        <w:gridCol w:w="154"/>
      </w:tblGrid>
      <w:tr>
        <w:trPr/>
        <w:tc>
          <w:tcPr>
            <w:tcW w:w="1766"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Maturity</w:t>
              <w:br/>
              <w:t>Date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w:t>
            </w:r>
          </w:p>
        </w:tc>
      </w:tr>
      <w:tr>
        <w:trP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4.750% euro-denominated Senior Notes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5.750%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4.750%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7.000% euro-denominated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5.375%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8.250%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January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7.250% euro-denominated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July 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8.000% Senior Notes</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February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Floating Rate Term Loan</w:t>
            </w:r>
            <w:r>
              <w:rPr>
                <w:color w:val="000000"/>
              </w:rPr>
              <w:t xml:space="preserve"> </w:t>
            </w:r>
            <w:r>
              <w:rPr>
                <w:rFonts w:ascii="Arial;sans-serif" w:hAnsi="Arial;sans-serif"/>
                <w:b w:val="false"/>
                <w:color w:val="000000"/>
                <w:sz w:val="12"/>
              </w:rPr>
              <w:t>(a)</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August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Floating Rate Term Loan </w:t>
            </w:r>
            <w:r>
              <w:rPr>
                <w:rFonts w:ascii="Arial;sans-serif" w:hAnsi="Arial;sans-serif"/>
                <w:b w:val="false"/>
                <w:color w:val="000000"/>
                <w:sz w:val="12"/>
              </w:rPr>
              <w:t>(a)</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March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w:t>
            </w:r>
            <w:r>
              <w:rPr>
                <w:rFonts w:ascii="Arial;sans-serif" w:hAnsi="Arial;sans-serif"/>
                <w:b w:val="false"/>
                <w:color w:val="000000"/>
                <w:sz w:val="12"/>
              </w:rPr>
              <w:t>(b)</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financing fees</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Short-term debt and current portion of long-term debt</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8"/>
        </w:rPr>
      </w:pPr>
      <w:r>
        <w:rPr>
          <w:rFonts w:ascii="Arial;sans-serif" w:hAnsi="Arial;sans-serif"/>
          <w:b w:val="false"/>
          <w:color w:val="000000"/>
          <w:sz w:val="18"/>
        </w:rPr>
        <w:t>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rPr>
        <w:t>The floating rate term loan due August 2027 is, and the floating rate term loan due March 2029 was, part of our senior revolving credit facility, which is secured by pledges of capital stock of certain of our subsidiaries, and liens on substantially all of our intellectual property and certain other real and personal property.</w:t>
      </w:r>
    </w:p>
    <w:p>
      <w:pPr>
        <w:pStyle w:val="TextBody"/>
        <w:bidi w:val="0"/>
        <w:spacing w:lineRule="auto" w:line="288" w:before="0" w:after="0"/>
        <w:ind w:left="0" w:right="0" w:hanging="360"/>
        <w:jc w:val="left"/>
        <w:rPr/>
      </w:pPr>
      <w:r>
        <w:rPr>
          <w:rFonts w:ascii="Arial;sans-serif" w:hAnsi="Arial;sans-serif"/>
          <w:b w:val="false"/>
          <w:color w:val="000000"/>
          <w:sz w:val="10"/>
        </w:rPr>
        <w:t>(b)</w:t>
      </w:r>
      <w:r>
        <w:rPr>
          <w:rFonts w:ascii="Arial;sans-serif" w:hAnsi="Arial;sans-serif"/>
          <w:b w:val="false"/>
          <w:color w:val="000000"/>
          <w:sz w:val="16"/>
        </w:rPr>
        <w:t>Primarily includes finance leases which are secured by liens on the related assets.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Term Loan</w:t>
      </w:r>
    </w:p>
    <w:p>
      <w:pPr>
        <w:pStyle w:val="TextBody"/>
        <w:bidi w:val="0"/>
        <w:spacing w:lineRule="auto" w:line="288" w:before="180" w:after="283"/>
        <w:jc w:val="both"/>
        <w:rPr/>
      </w:pPr>
      <w:r>
        <w:rPr>
          <w:rFonts w:ascii="Arial;sans-serif" w:hAnsi="Arial;sans-serif"/>
          <w:b w:val="false"/>
          <w:i/>
          <w:color w:val="000000"/>
          <w:sz w:val="20"/>
        </w:rPr>
        <w:t xml:space="preserve">Floating Rate Term Loan due 2027. </w:t>
      </w:r>
      <w:r>
        <w:rPr>
          <w:rFonts w:ascii="Arial;sans-serif" w:hAnsi="Arial;sans-serif"/>
          <w:b w:val="false"/>
          <w:color w:val="000000"/>
          <w:sz w:val="20"/>
        </w:rPr>
        <w:t>In February 2020, we amended our Floating Rate Term Loan and extended its maturity term to 2027. As of December 31, 2024, the loan bears interest at one-month Secured Overnight Financing Rate (“SOFR”) plus 1.75%, for an aggregate rate of 6.22%. We have entered into an interest rate swap to hedge $750 million of our interest rate exposure related to the floating rate term loan at an aggregate rate of 3.26%.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0"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pPr>
      <w:r>
        <w:rPr>
          <w:rFonts w:ascii="Arial;sans-serif" w:hAnsi="Arial;sans-serif"/>
          <w:b w:val="false"/>
          <w:i/>
          <w:color w:val="000000"/>
          <w:sz w:val="20"/>
        </w:rPr>
        <w:t xml:space="preserve">Floating Rate Term Loan due 2029. </w:t>
      </w:r>
      <w:r>
        <w:rPr>
          <w:rFonts w:ascii="Arial;sans-serif" w:hAnsi="Arial;sans-serif"/>
          <w:b w:val="false"/>
          <w:color w:val="000000"/>
          <w:sz w:val="20"/>
        </w:rPr>
        <w:t>In March 2022, we entered into a $750 million Floating Rate Term Loan due March 2029, at a price of 97% of the aggregate principal amount, with interest paid monthly. In December 2023, we repaid approximately $200 million of our outstanding balance using the proceeds from the issuance of our 8.000% Senior Notes due February 2031. In October 2024, we fully repaid the outstanding borrowings under our floating rate term loan due 2029 using the proceeds from the issuance of our 8.250% Senior Notes due January 2030.</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Senior Notes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 xml:space="preserve">4.750% euro-denominated Senior Notes due 2026. </w:t>
      </w:r>
      <w:r>
        <w:rPr>
          <w:rFonts w:ascii="Arial;sans-serif" w:hAnsi="Arial;sans-serif"/>
          <w:b w:val="false"/>
          <w:color w:val="000000"/>
          <w:sz w:val="20"/>
        </w:rPr>
        <w:t>In October 2018, we issued €350 million of 4.750% euro-denominated Senior Notes due 2026, at par, with interest payable semi-annually. We had the right to redeem these notes in whole or in part on or after September 30, 2021 at specified redemption prices plus accrued interest. Net proceeds from the offering were used to redeem our 5.125% Senior Notes due June 2022 for $410 million plus accrued interest. In April 2024, we redeemed these notes using the proceeds from our 7.000% euro-denominated Senior Notes due February 2029.</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 xml:space="preserve">5.750% Senior Notes due 2027. </w:t>
      </w:r>
      <w:r>
        <w:rPr>
          <w:rFonts w:ascii="Arial;sans-serif" w:hAnsi="Arial;sans-serif"/>
          <w:b w:val="false"/>
          <w:color w:val="000000"/>
          <w:sz w:val="20"/>
        </w:rPr>
        <w:t>In July 2019, we issued $400 million of 5.750% Senior Notes due July 2027, at par, with interest payable semi-annually. We used the net proceeds from the offering to redeem $400 million principal amount of our 5.500% Senior Notes due April 2023. In August 2020, we issued $350 million of additional 5.750% Senior Notes due July 2027, at 92% of face value, under the indenture governing our existing 5.750% Senior Notes. We used the proceeds from this offering to redeem the outstanding $100 million in aggregate principal amount of our 5.500% Senior Notes due 2023, with the remainder being used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4.750% Senior Notes due 2028.</w:t>
      </w:r>
      <w:r>
        <w:rPr>
          <w:color w:val="000000"/>
        </w:rPr>
        <w:t xml:space="preserve"> </w:t>
      </w:r>
      <w:r>
        <w:rPr>
          <w:rFonts w:ascii="Arial;sans-serif" w:hAnsi="Arial;sans-serif"/>
          <w:b w:val="false"/>
          <w:color w:val="000000"/>
          <w:sz w:val="20"/>
        </w:rPr>
        <w:t>In March 2021, we issued $500 million of 4.750% Senior Notes du</w:t>
      </w:r>
      <w:r>
        <w:rPr>
          <w:rFonts w:ascii="Arial;sans-serif" w:hAnsi="Arial;sans-serif"/>
          <w:b w:val="false"/>
          <w:color w:val="000000"/>
          <w:sz w:val="20"/>
          <w:shd w:fill="FFFFFF" w:val="clear"/>
        </w:rPr>
        <w:t>e April 2</w:t>
      </w:r>
      <w:r>
        <w:rPr>
          <w:rFonts w:ascii="Arial;sans-serif" w:hAnsi="Arial;sans-serif"/>
          <w:b w:val="false"/>
          <w:color w:val="000000"/>
          <w:sz w:val="20"/>
        </w:rPr>
        <w:t>028, at par, with interest paid semi-annually. We have the right to redeem these notes in whole or in part at any time on or after April 1, 2024 at specified redemption prices plus accrued interest. Net proceeds, together with cash on hand, were used to redeem all of the outstanding 6.375% Senior Notes due 2024 for $356 million plus accrued interest and a portion of our outstanding 5.250% Senior Notes due 2025 for $142 million plus accrued interest.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5.375% Senior Notes due 2029.</w:t>
      </w:r>
      <w:r>
        <w:rPr>
          <w:color w:val="000000"/>
        </w:rPr>
        <w:t xml:space="preserve"> </w:t>
      </w:r>
      <w:r>
        <w:rPr>
          <w:rFonts w:ascii="Arial;sans-serif" w:hAnsi="Arial;sans-serif"/>
          <w:b w:val="false"/>
          <w:color w:val="000000"/>
          <w:sz w:val="20"/>
        </w:rPr>
        <w:t xml:space="preserve">In March 2021, we issued $600 million of 5.375% Senior Notes due March 2029, at par, with interest paid semi-annually. We have the right to redeem these notes in whole or in part at any time on or after March 1, 2024 at specified redemption prices plus accrued interest. Net proceeds, together with cash on hand, were used to redeem all of the outstanding 10.500% Senior Secured Notes due 2025 for $599 million plus accrued interest.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7.250% euro-denominated Senior Notes due July 2030</w:t>
      </w:r>
      <w:r>
        <w:rPr>
          <w:rFonts w:ascii="Arial;sans-serif" w:hAnsi="Arial;sans-serif"/>
          <w:b w:val="false"/>
          <w:color w:val="000000"/>
          <w:sz w:val="20"/>
        </w:rPr>
        <w:t>. In July 2023, we issued €400 million of 7.250% euro-denominated Senior Notes due July 2030, at par, with interest payable semi-annually. We have the right to redeem these notes in whole or in part at any time on or after July 2026 at a specified redemption price plus accrued interest. Net proceeds from the offering were used primarily to redeem all of the €300 million of our outstanding 4.125% euro-denominated Senior Notes due 2024 plus accrued interest. In May 2024, we issued €200 million of additional 7.250% euro-denominated Senior Notes due July 2030, at 100.25% of face value, under the indenture governing our existing 7.250% euro-denominated Senior Notes. Net proceeds from this offering were used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8.000% Senior Notes due February 2031</w:t>
      </w:r>
      <w:r>
        <w:rPr>
          <w:rFonts w:ascii="Arial;sans-serif" w:hAnsi="Arial;sans-serif"/>
          <w:b w:val="false"/>
          <w:color w:val="000000"/>
          <w:sz w:val="20"/>
        </w:rPr>
        <w:t>. In November 2023, we issued $500 million of 8.000% Senior Notes due February 2031, at 99.3% of face value, with interest payable semi-annually. We have the right to redeem these notes in whole or in part at any time on or after November 2026 at a specified redemption price plus accrued interest. Net proceeds were used to fully redeem our 4.500% euro-denominated Senior Notes due 2025 and a portion of our outstanding balance on our Term Loan due 2029, with the remainder being used for general corporate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1"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Arial;sans-serif" w:hAnsi="Arial;sans-serif"/>
          <w:b w:val="false"/>
          <w:i/>
          <w:color w:val="000000"/>
          <w:sz w:val="20"/>
        </w:rPr>
        <w:t>7.000%</w:t>
      </w:r>
      <w:r>
        <w:rPr>
          <w:color w:val="000000"/>
        </w:rPr>
        <w:t xml:space="preserve"> </w:t>
      </w:r>
      <w:r>
        <w:rPr>
          <w:rFonts w:ascii="Arial;sans-serif" w:hAnsi="Arial;sans-serif"/>
          <w:b w:val="false"/>
          <w:i/>
          <w:color w:val="000000"/>
          <w:sz w:val="20"/>
        </w:rPr>
        <w:t xml:space="preserve">euro-denominated Senior Notes due February 2029. </w:t>
      </w:r>
      <w:r>
        <w:rPr>
          <w:rFonts w:ascii="Arial;sans-serif" w:hAnsi="Arial;sans-serif"/>
          <w:b w:val="false"/>
          <w:color w:val="000000"/>
          <w:sz w:val="20"/>
        </w:rPr>
        <w:t>In February 2024, we issued €600 million of 7.000% euro-denominated Senior Notes due February 2029, at par, with interest payable semi-annually. We have the right to redeem these notes in whole or in part at any time prior to February 28, 2026 at their principal amount plus accrued interest and a make-whole premium, or at any time on or after February 28, 2026 at a specified redemption price plus accrued interest. Net proceeds from the offering were used primarily to redeem all of our outstanding 4.750% euro-denominated Senior Notes due January 2026 plus accrued interest, with the remainder being used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8.250%</w:t>
      </w:r>
      <w:r>
        <w:rPr>
          <w:color w:val="000000"/>
        </w:rPr>
        <w:t xml:space="preserve"> </w:t>
      </w:r>
      <w:r>
        <w:rPr>
          <w:rFonts w:ascii="Arial;sans-serif" w:hAnsi="Arial;sans-serif"/>
          <w:b w:val="false"/>
          <w:i/>
          <w:color w:val="000000"/>
          <w:sz w:val="20"/>
        </w:rPr>
        <w:t xml:space="preserve">Senior Notes due January 2030. </w:t>
      </w:r>
      <w:r>
        <w:rPr>
          <w:rFonts w:ascii="Arial;sans-serif" w:hAnsi="Arial;sans-serif"/>
          <w:b w:val="false"/>
          <w:color w:val="000000"/>
          <w:sz w:val="20"/>
        </w:rPr>
        <w:t>In September 2024, we issued $700 million of 8.250% Senior Notes due January 2030, at par, with interest payable semi-annually. We have the right to redeem these notes in whole or in part, at any time prior to September 15, 2026 at the principal amount plus accrued interest and a make-whole premium, or at any time on or after September 15, 2026 at a specified redemption price plus accrued interest. Net proceeds from the offering were used to repay the outstanding borrowings under our floating rate term loan due 2029, with the remainder being used to repay maturing vehicle-backed debt and for general corporate purposes.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In connection with the debt amendments and repayments for the years ended December 31, 2024 and 2023, we record</w:t>
      </w:r>
      <w:r>
        <w:rPr>
          <w:rFonts w:ascii="Arial;sans-serif" w:hAnsi="Arial;sans-serif"/>
          <w:b w:val="false"/>
          <w:color w:val="000000"/>
          <w:sz w:val="20"/>
          <w:shd w:fill="FFFFFF" w:val="clear"/>
        </w:rPr>
        <w:t xml:space="preserve">ed </w:t>
      </w:r>
      <w:r>
        <w:rPr>
          <w:rFonts w:ascii="Arial;sans-serif" w:hAnsi="Arial;sans-serif"/>
          <w:b w:val="false"/>
          <w:color w:val="000000"/>
          <w:sz w:val="20"/>
        </w:rPr>
        <w:t>$19 million</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 xml:space="preserve">$5 million, respectively, in early extinguishment of debt costs.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5.750% Senior Notes, the 4.750% Senior Notes, the 5.375% Senior Notes, the 8.000% Senior Notes and the 8.250% Senior Notes are senior unsecured obligations of our Avis Budget Car Rental, LLC (“ABCR”) subsidiary, are guaranteed by us and certain of our domestic subsidiaries and rank equally in right of payment with all of our existing and future senior unsecured indebtedness.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4.750% euro-denominated Senior Notes were, and the 7.250% euro-denominated Senior Notes and the 7.000% euro-denominated Senior Notes are, unsecured obligations of our Avis Budget Finance plc subsidiary, and are (or were) guaranteed on a senior basis by us and certain of our domestic subsidiaries and rank (or ranked) equally with all of our existing senior unsecured debt.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Debt Maturities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following table provides contractual maturities of our corporate debt at December 31, 2024:</w:t>
      </w:r>
    </w:p>
    <w:tbl>
      <w:tblPr>
        <w:tblW w:w="2017" w:type="dxa"/>
        <w:jc w:val="left"/>
        <w:tblInd w:w="0" w:type="dxa"/>
        <w:tblLayout w:type="fixed"/>
        <w:tblCellMar>
          <w:top w:w="28" w:type="dxa"/>
          <w:left w:w="28" w:type="dxa"/>
          <w:bottom w:w="28" w:type="dxa"/>
          <w:right w:w="28" w:type="dxa"/>
        </w:tblCellMar>
      </w:tblPr>
      <w:tblGrid>
        <w:gridCol w:w="364"/>
        <w:gridCol w:w="319"/>
        <w:gridCol w:w="323"/>
        <w:gridCol w:w="211"/>
        <w:gridCol w:w="64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Year</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2025 </w:t>
            </w:r>
            <w:r>
              <w:rPr>
                <w:rFonts w:ascii="Arial;sans-serif" w:hAnsi="Arial;sans-serif"/>
                <w:b w:val="false"/>
                <w:color w:val="000000"/>
                <w:sz w:val="13"/>
              </w:rPr>
              <w:t>(a)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These short-term borrowings have weighted average interest rates which range from 5.39% to 5.80% as of December 31, 2024.</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Committed Credit Facilities And Available Funding Arrangements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At December 31, 2024, the committed corporate credit facilities available to us and/or our subsidiaries were as follows:</w:t>
      </w:r>
    </w:p>
    <w:tbl>
      <w:tblPr>
        <w:tblW w:w="10205" w:type="dxa"/>
        <w:jc w:val="left"/>
        <w:tblInd w:w="0" w:type="dxa"/>
        <w:tblLayout w:type="fixed"/>
        <w:tblCellMar>
          <w:top w:w="28" w:type="dxa"/>
          <w:left w:w="28" w:type="dxa"/>
          <w:bottom w:w="28" w:type="dxa"/>
          <w:right w:w="28" w:type="dxa"/>
        </w:tblCellMar>
      </w:tblPr>
      <w:tblGrid>
        <w:gridCol w:w="1065"/>
        <w:gridCol w:w="936"/>
        <w:gridCol w:w="943"/>
        <w:gridCol w:w="272"/>
        <w:gridCol w:w="794"/>
        <w:gridCol w:w="140"/>
        <w:gridCol w:w="109"/>
        <w:gridCol w:w="109"/>
        <w:gridCol w:w="109"/>
        <w:gridCol w:w="534"/>
        <w:gridCol w:w="1029"/>
        <w:gridCol w:w="277"/>
        <w:gridCol w:w="109"/>
        <w:gridCol w:w="109"/>
        <w:gridCol w:w="109"/>
        <w:gridCol w:w="391"/>
        <w:gridCol w:w="1142"/>
        <w:gridCol w:w="201"/>
        <w:gridCol w:w="109"/>
        <w:gridCol w:w="109"/>
        <w:gridCol w:w="109"/>
        <w:gridCol w:w="379"/>
        <w:gridCol w:w="837"/>
        <w:gridCol w:w="284"/>
      </w:tblGrid>
      <w:tr>
        <w:trPr/>
        <w:tc>
          <w:tcPr>
            <w:tcW w:w="106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Outstanding 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Letters of Credit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Available Capacity</w:t>
            </w:r>
          </w:p>
        </w:tc>
      </w:tr>
      <w:tr>
        <w:trPr/>
        <w:tc>
          <w:tcPr>
            <w:tcW w:w="29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Senior revolving credit facility maturing 2028 </w:t>
            </w:r>
            <w:r>
              <w:rPr>
                <w:rFonts w:ascii="Arial;sans-serif" w:hAnsi="Arial;sans-serif"/>
                <w:b w:val="false"/>
                <w:color w:val="000000"/>
                <w:sz w:val="12"/>
              </w:rPr>
              <w:t>(a)</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2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shd w:fill="FFFFFF" w:val="clear"/>
        </w:rPr>
        <w:t>(a)</w:t>
      </w:r>
      <w:r>
        <w:rPr>
          <w:rFonts w:ascii="Arial;sans-serif" w:hAnsi="Arial;sans-serif"/>
          <w:b w:val="false"/>
          <w:color w:val="000000"/>
          <w:sz w:val="16"/>
          <w:shd w:fill="FFFFFF" w:val="clear"/>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and liens on substantially all of our intellectual property and certain other real and personal property.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2"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pPr>
      <w:r>
        <w:rPr>
          <w:rFonts w:ascii="Arial;sans-serif" w:hAnsi="Arial;sans-serif"/>
          <w:b w:val="false"/>
          <w:i/>
          <w:color w:val="000000"/>
          <w:sz w:val="20"/>
        </w:rPr>
        <w:t xml:space="preserve">Uncommitted Standby Letter of Credit Facilities. </w:t>
      </w:r>
      <w:r>
        <w:rPr>
          <w:rFonts w:ascii="Arial;sans-serif" w:hAnsi="Arial;sans-serif"/>
          <w:b w:val="false"/>
          <w:color w:val="000000"/>
          <w:sz w:val="20"/>
        </w:rPr>
        <w:t>We have other uncommitted standby letter of credit facilities (“SBLC facilities”) with an additional letter of credit capacity of up to $455 million. As of December 31, 2024, letters of credit totaling $400 million have been issued on our SBLC facilities, which results in a remaining available capacity of approximately $55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Debt Covenants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December 31, 2024, we were in compliance with the financial covenants governing our indebtedness.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14.    Debt Under Vehicle Programs and Borrowing Arrangements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Debt under vehicle programs, including related party debt due to Avis Budget Rental Car Funding (AESOP) LLC (“Avis Budget Rental Car Funding”), consisted of:</w:t>
      </w:r>
    </w:p>
    <w:tbl>
      <w:tblPr>
        <w:tblW w:w="7763" w:type="dxa"/>
        <w:jc w:val="left"/>
        <w:tblInd w:w="0" w:type="dxa"/>
        <w:tblLayout w:type="fixed"/>
        <w:tblCellMar>
          <w:top w:w="28" w:type="dxa"/>
          <w:left w:w="28" w:type="dxa"/>
          <w:bottom w:w="28" w:type="dxa"/>
          <w:right w:w="28" w:type="dxa"/>
        </w:tblCellMar>
      </w:tblPr>
      <w:tblGrid>
        <w:gridCol w:w="1898"/>
        <w:gridCol w:w="1670"/>
        <w:gridCol w:w="1681"/>
        <w:gridCol w:w="211"/>
        <w:gridCol w:w="751"/>
        <w:gridCol w:w="109"/>
        <w:gridCol w:w="109"/>
        <w:gridCol w:w="109"/>
        <w:gridCol w:w="109"/>
        <w:gridCol w:w="211"/>
        <w:gridCol w:w="751"/>
        <w:gridCol w:w="154"/>
      </w:tblGrid>
      <w:tr>
        <w:trPr/>
        <w:tc>
          <w:tcPr>
            <w:tcW w:w="1898"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5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Americas – Debt due to Avis Budget Rental Car Funding </w:t>
            </w:r>
            <w:r>
              <w:rPr>
                <w:rFonts w:ascii="Arial;sans-serif" w:hAnsi="Arial;sans-serif"/>
                <w:b w:val="false"/>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Americas – Debt borrowings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 Debt borrowings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International – Finance leases</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Deferred financing fees </w:t>
            </w:r>
            <w:r>
              <w:rPr>
                <w:rFonts w:ascii="Arial;sans-serif" w:hAnsi="Arial;sans-serif"/>
                <w:b w:val="false"/>
                <w:color w:val="000000"/>
                <w:sz w:val="13"/>
              </w:rPr>
              <w:t>(b)</w:t>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18,937 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Includes $751 million and $841 million of Class R notes as of December 31, 2024 and December 31, 2023, respectively, which are held by us.</w:t>
      </w:r>
    </w:p>
    <w:p>
      <w:pPr>
        <w:pStyle w:val="TextBody"/>
        <w:bidi w:val="0"/>
        <w:spacing w:lineRule="auto" w:line="256"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shd w:fill="FFFFFF" w:val="clear"/>
        </w:rPr>
        <w:t xml:space="preserve">Deferred financing fees related to Debt due to Avis Budget Rental Car Funding as of </w:t>
      </w:r>
      <w:r>
        <w:rPr>
          <w:rFonts w:ascii="Arial;sans-serif" w:hAnsi="Arial;sans-serif"/>
          <w:b w:val="false"/>
          <w:color w:val="000000"/>
          <w:sz w:val="16"/>
        </w:rPr>
        <w:t>December 31, 2024</w:t>
      </w:r>
      <w:r>
        <w:rPr>
          <w:color w:val="000000"/>
          <w:shd w:fill="FFFFFF" w:val="clear"/>
        </w:rPr>
        <w:t xml:space="preserve"> </w:t>
      </w:r>
      <w:r>
        <w:rPr>
          <w:rFonts w:ascii="Arial;sans-serif" w:hAnsi="Arial;sans-serif"/>
          <w:b w:val="false"/>
          <w:color w:val="000000"/>
          <w:sz w:val="16"/>
          <w:shd w:fill="FFFFFF" w:val="clear"/>
        </w:rPr>
        <w:t xml:space="preserve">and </w:t>
      </w:r>
      <w:r>
        <w:rPr>
          <w:rFonts w:ascii="Arial;sans-serif" w:hAnsi="Arial;sans-serif"/>
          <w:b w:val="false"/>
          <w:color w:val="000000"/>
          <w:sz w:val="16"/>
        </w:rPr>
        <w:t>2023</w:t>
      </w:r>
      <w:r>
        <w:rPr>
          <w:color w:val="000000"/>
          <w:shd w:fill="FFFFFF" w:val="clear"/>
        </w:rPr>
        <w:t xml:space="preserve"> </w:t>
      </w:r>
      <w:r>
        <w:rPr>
          <w:rFonts w:ascii="Arial;sans-serif" w:hAnsi="Arial;sans-serif"/>
          <w:b w:val="false"/>
          <w:color w:val="000000"/>
          <w:sz w:val="16"/>
          <w:shd w:fill="FFFFFF" w:val="clear"/>
        </w:rPr>
        <w:t>were $60 million and $61 million,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Americas</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i/>
          <w:color w:val="000000"/>
          <w:sz w:val="20"/>
        </w:rPr>
        <w:t>Debt due to Avis Budget Rental Car Funding</w:t>
      </w:r>
      <w:r>
        <w:rPr>
          <w:rFonts w:ascii="Arial;sans-serif" w:hAnsi="Arial;sans-serif"/>
          <w:b w:val="false"/>
          <w:color w:val="000000"/>
          <w:sz w:val="20"/>
        </w:rPr>
        <w:t>. Avis Budget Rental Car Funding, an unconsolidated bankruptcy remote qualifying special purpose limited liability company, issues privately placed notes to investors as well as to banks and bank-sponsored conduit entities. Avis Budget Rental Car Funding uses the proceeds from its note issuances to make loans to our wholly-owned subsidiary, AESOP Leasing LP (“AESOP Leasing”), on a continuing basis. AESOP Leasing is required to use the proceeds of such loans to acquire or finance the acquisition of vehicles used in our rental car operations. By issuing debt through the Avis Budget Rental Car Funding program, we pay a lower rate of interest than if we had issued debt directly to third parties. Avis Budget Rental Car Funding is not consolidated, as we are not the “primary beneficiary” of Avis Budget Rental Car Funding. We determined that we are not the primary beneficiary because we do not have the obligation to absorb the potential losses or receive the benefits of Avis Budget Rental Car Funding’s activities since our only significant source of variability in the earnings, losses or cash flows of Avis Budget Rental Car Funding is exposure to our own creditworthiness, due to our loan from Avis Budget Rental Car Funding. Because Avis Budget Rental Car Funding is not consolidated, AESOP Leasing’s loan obligations to Avis Budget Rental Car Funding are reflected as related party debt on our Consolidated Balance Sheets. We also have an asset within Assets under vehicle programs on our Consolidated Balance Sheets which represents securities issued to us by Avis Budget Rental Car Funding. AESOP Leasing is consolidated, as we are the “primary beneficiary” of AESOP Leasing; as a result, the vehicles purchased by AESOP Leasing remain on our Consolidated Balance Sheets. We determined we are the primary beneficiary of AESOP Leasing, as we have the ability to direct its activities, an obligation to absorb a majority of its expected losses and the right to receive the benefits of AESOP Leasing’s activities. AESOP Leasing’s vehicles and related assets, which as of December 31, 2024, appro</w:t>
      </w:r>
      <w:r>
        <w:rPr>
          <w:rFonts w:ascii="Arial;sans-serif" w:hAnsi="Arial;sans-serif"/>
          <w:b w:val="false"/>
          <w:color w:val="000000"/>
          <w:sz w:val="20"/>
          <w:shd w:fill="FFFFFF" w:val="clear"/>
        </w:rPr>
        <w:t>xim</w:t>
      </w:r>
      <w:r>
        <w:rPr>
          <w:rFonts w:ascii="Arial;sans-serif" w:hAnsi="Arial;sans-serif"/>
          <w:b w:val="false"/>
          <w:color w:val="000000"/>
          <w:sz w:val="20"/>
        </w:rPr>
        <w:t xml:space="preserve">ate $17 billion and some of which are subject to manufacturer repurchase and guaranteed depreciation agreements, collateralize the debt issued by Avis Budget Rental Car Funding. The assets and liabilities of AESOP Leasing are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3"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on our Consolidated Balance Sheets within assets under vehicle programs and liabilities under vehicle programs, respectively. The assets of AESOP Leasing, included within assets under vehicle programs (excluding the investment in Avis Budget Rental Car Funding (AESOP) LLC—related party) are restricted. Such assets may be used only to repay the respective AESOP Leasing liabilities, included within Liabilities under vehicle programs, and to purchase new vehicles, although if certain collateral coverage requirements are met, AESOP Leasing may pay dividends from excess cash. The creditors of AESOP Leasing and Avis Budget Rental Car Funding have no recourse to our general credit. We periodically provide Avis Budget Rental Car Funding with non-contractually required support, in the form of equity and loans, to serve as additional collateral for the debt issued by Avis Budget Rental Car Funding.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business activities of Avis Budget Rental Car Funding are limited primarily to issuing indebtedness and using the proceeds thereof to make loans to AESOP Leasing for the purpose of acquiring or financing the acquisition of vehicles to be leased to our rental car subsidiaries and pledging its assets to secure the indebtedness. Because Avis Budget Rental Car Funding is not consolidated by us, its results of operations and cash flows are not reflected within our financial statements.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a summary of debt issued by Avis Budget Rental Car Funding during the years ended December 31, 2024 and 2023:</w:t>
      </w:r>
    </w:p>
    <w:tbl>
      <w:tblPr>
        <w:tblW w:w="6956" w:type="dxa"/>
        <w:jc w:val="left"/>
        <w:tblInd w:w="0" w:type="dxa"/>
        <w:tblLayout w:type="fixed"/>
        <w:tblCellMar>
          <w:top w:w="28" w:type="dxa"/>
          <w:left w:w="28" w:type="dxa"/>
          <w:bottom w:w="28" w:type="dxa"/>
          <w:right w:w="28" w:type="dxa"/>
        </w:tblCellMar>
      </w:tblPr>
      <w:tblGrid>
        <w:gridCol w:w="619"/>
        <w:gridCol w:w="544"/>
        <w:gridCol w:w="547"/>
        <w:gridCol w:w="109"/>
        <w:gridCol w:w="109"/>
        <w:gridCol w:w="109"/>
        <w:gridCol w:w="489"/>
        <w:gridCol w:w="489"/>
        <w:gridCol w:w="491"/>
        <w:gridCol w:w="109"/>
        <w:gridCol w:w="109"/>
        <w:gridCol w:w="109"/>
        <w:gridCol w:w="386"/>
        <w:gridCol w:w="386"/>
        <w:gridCol w:w="1013"/>
        <w:gridCol w:w="109"/>
        <w:gridCol w:w="109"/>
        <w:gridCol w:w="109"/>
        <w:gridCol w:w="211"/>
        <w:gridCol w:w="646"/>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Weighted Average</w:t>
              <w:b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Amount</w:t>
              <w:br/>
              <w:t>Issued</w:t>
            </w:r>
          </w:p>
        </w:tc>
      </w:tr>
      <w:tr>
        <w:trPr/>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March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9.61 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9.65 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20"/>
              </w:rPr>
              <w:t>December 2024</w:t>
            </w:r>
            <w:r>
              <w:rPr>
                <w:color w:val="000000"/>
              </w:rPr>
              <w:t xml:space="preserve"> </w:t>
            </w:r>
            <w:r>
              <w:rPr>
                <w:rFonts w:ascii="Arial;sans-serif" w:hAnsi="Arial;sans-serif"/>
                <w:b w:val="false"/>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6.04 </w:t>
            </w:r>
          </w:p>
        </w:tc>
        <w:tc>
          <w:tcPr>
            <w:tcW w:w="10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January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October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5.31 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5.76 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April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June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December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5.98 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August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September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February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6.21 </w:t>
            </w:r>
          </w:p>
        </w:tc>
        <w:tc>
          <w:tcPr>
            <w:tcW w:w="101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5.81 </w:t>
            </w:r>
          </w:p>
        </w:tc>
        <w:tc>
          <w:tcPr>
            <w:tcW w:w="10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During December 2024, Avis Budget Rental Car Funding issued additional notes under several previously outstanding series of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used the proceeds from these borrowings to fund the repayment of maturing vehicle-backed debt and the acquisition of rental cars in the United States. Borrowings under the Avis Budget Rental Car Funding program primarily represent fixed rate notes and had a weighted average interest rate of 5.04% and 4.99% as of December 31,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050"/>
                <wp:effectExtent l="0" t="0" r="0" b="0"/>
                <wp:wrapNone/>
                <wp:docPr id="104"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pPr>
      <w:r>
        <w:rPr>
          <w:rFonts w:ascii="Arial;sans-serif" w:hAnsi="Arial;sans-serif"/>
          <w:b w:val="false"/>
          <w:i/>
          <w:color w:val="000000"/>
          <w:sz w:val="20"/>
        </w:rPr>
        <w:t>Debt borrowings</w:t>
      </w:r>
      <w:r>
        <w:rPr>
          <w:rFonts w:ascii="Arial;sans-serif" w:hAnsi="Arial;sans-serif"/>
          <w:b w:val="false"/>
          <w:color w:val="000000"/>
          <w:sz w:val="20"/>
        </w:rPr>
        <w:t>. We finance the acquisition of vehicles used in our Canadian rental operations through a consolidated, bankruptcy remote special-purpose entity, which issues privately placed notes to investors and bank-sponsored conduits. We finance the acquisition of fleet for our truck rental operations in the United States through a combination of debt facilities and leases. These debt borrowings represent a mix of fixed and floating rate debt and had a weighted average interest rate of 5.78% and 5.77% as of December 31, 2024 and 2023 respectively.</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entered into a repurchase agreement (the “Repurchase Facility”) in September 2024, whereby we may sell our Class D notes issued by Avis Budget Rental Car Funding to the Repurchase Facility counterparty and repurchase such notes. Transactions under the Repurchase Facility have a 180-day tenor. As of December 31, 2024, $116 million was outstanding under the Repurchase Facility, which bears interest at a rate of 6.64%. As of December 31, 2024, we had $195 million of securities pledged as collateral for the Repurchase Facility, included within investment in Avis Budget Rental Car Funding (AESOP) LLC—related party on our Consolidated Balance Sheets.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International</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Debt borrowings</w:t>
      </w:r>
      <w:r>
        <w:rPr>
          <w:rFonts w:ascii="Arial;sans-serif" w:hAnsi="Arial;sans-serif"/>
          <w:b w:val="false"/>
          <w:color w:val="000000"/>
          <w:sz w:val="20"/>
        </w:rPr>
        <w:t>. In EMEA we operate a European rental fleet securitization program which is used to finance fleet purchases for certain of our European operations. In February 2024, we amended our European rental fleet securitization program to increase its capacity from €1.7 billion to €1.9 billion, to add £200 million to our capacity within the program, and to extend the maturity of the program from 2024 to 2026. The International borrowings primarily represent floating rate notes and had a weighted average interest rate of 5.07% and 5.51% as of December 31, 2024 and 2023, respectively.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i/>
          <w:color w:val="000000"/>
          <w:sz w:val="20"/>
        </w:rPr>
        <w:t>Finance leases. </w:t>
      </w:r>
      <w:r>
        <w:rPr>
          <w:rFonts w:ascii="Arial;sans-serif" w:hAnsi="Arial;sans-serif"/>
          <w:b w:val="false"/>
          <w:color w:val="000000"/>
          <w:sz w:val="20"/>
        </w:rPr>
        <w:t>We obtain a portion of our International vehicles under finance lease arrangements. For the years ended December 31, 2024 and 2023, the weighted average interest rate on these borrowings was 5.07% and 3.68% respectively. All finance leases are on a fixed repayment basis and interest rates are fixed at the contract date.</w:t>
      </w:r>
    </w:p>
    <w:p>
      <w:pPr>
        <w:pStyle w:val="TextBody"/>
        <w:bidi w:val="0"/>
        <w:spacing w:before="0" w:after="0"/>
        <w:jc w:val="both"/>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Debt Maturities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provides the contractual maturities of our debt under vehicle programs, including related party debt due to Avis Budget Rental Car Funding, at December 31, 2024:</w:t>
      </w:r>
    </w:p>
    <w:tbl>
      <w:tblPr>
        <w:tblW w:w="4126" w:type="dxa"/>
        <w:jc w:val="left"/>
        <w:tblInd w:w="0" w:type="dxa"/>
        <w:tblLayout w:type="fixed"/>
        <w:tblCellMar>
          <w:top w:w="28" w:type="dxa"/>
          <w:left w:w="28" w:type="dxa"/>
          <w:bottom w:w="28" w:type="dxa"/>
          <w:right w:w="28" w:type="dxa"/>
        </w:tblCellMar>
      </w:tblPr>
      <w:tblGrid>
        <w:gridCol w:w="364"/>
        <w:gridCol w:w="319"/>
        <w:gridCol w:w="323"/>
        <w:gridCol w:w="590"/>
        <w:gridCol w:w="2100"/>
        <w:gridCol w:w="430"/>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Debt under Vehicle Programs </w:t>
            </w:r>
            <w:r>
              <w:rPr>
                <w:rFonts w:ascii="Arial;sans-serif" w:hAnsi="Arial;sans-serif"/>
                <w:b w:val="false"/>
                <w:color w:val="000000"/>
                <w:sz w:val="13"/>
              </w:rPr>
              <w:t>(a)</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2025 </w:t>
            </w:r>
            <w:r>
              <w:rPr>
                <w:rFonts w:ascii="Arial;sans-serif" w:hAnsi="Arial;sans-serif"/>
                <w:b w:val="false"/>
                <w:color w:val="000000"/>
                <w:sz w:val="13"/>
              </w:rPr>
              <w:t>(b)</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2026 </w:t>
            </w:r>
            <w:r>
              <w:rPr>
                <w:rFonts w:ascii="Arial;sans-serif" w:hAnsi="Arial;sans-serif"/>
                <w:b w:val="false"/>
                <w:color w:val="000000"/>
                <w:sz w:val="13"/>
              </w:rPr>
              <w:t>(c)</w:t>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2027 </w:t>
            </w:r>
            <w:r>
              <w:rPr>
                <w:rFonts w:ascii="Arial;sans-serif" w:hAnsi="Arial;sans-serif"/>
                <w:b w:val="false"/>
                <w:color w:val="000000"/>
                <w:sz w:val="13"/>
              </w:rPr>
              <w:t>(d)</w:t>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2028 </w:t>
            </w:r>
            <w:r>
              <w:rPr>
                <w:rFonts w:ascii="Arial;sans-serif" w:hAnsi="Arial;sans-serif"/>
                <w:b w:val="false"/>
                <w:color w:val="000000"/>
                <w:sz w:val="13"/>
              </w:rPr>
              <w:t>(e)</w:t>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2029</w:t>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2,749 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2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17,613 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color w:val="000000"/>
        </w:rPr>
        <w:t>    </w:t>
      </w:r>
      <w:r>
        <w:rPr>
          <w:rFonts w:ascii="Arial;sans-serif" w:hAnsi="Arial;sans-serif"/>
          <w:b w:val="false"/>
          <w:color w:val="000000"/>
          <w:sz w:val="16"/>
        </w:rPr>
        <w:t>Vehicle-backed debt primarily represents asset-backed securities.</w:t>
      </w:r>
    </w:p>
    <w:p>
      <w:pPr>
        <w:pStyle w:val="TextBody"/>
        <w:bidi w:val="0"/>
        <w:spacing w:lineRule="auto" w:line="288" w:before="0" w:after="0"/>
        <w:ind w:left="0" w:right="0" w:hanging="360"/>
        <w:jc w:val="left"/>
        <w:rPr/>
      </w:pPr>
      <w:r>
        <w:rPr>
          <w:rFonts w:ascii="Arial;sans-serif" w:hAnsi="Arial;sans-serif"/>
          <w:b w:val="false"/>
          <w:color w:val="000000"/>
          <w:sz w:val="10"/>
        </w:rPr>
        <w:t>(b)</w:t>
      </w:r>
      <w:r>
        <w:rPr>
          <w:color w:val="000000"/>
        </w:rPr>
        <w:t>    </w:t>
      </w:r>
      <w:r>
        <w:rPr>
          <w:rFonts w:ascii="Arial;sans-serif" w:hAnsi="Arial;sans-serif"/>
          <w:b w:val="false"/>
          <w:color w:val="000000"/>
          <w:sz w:val="16"/>
        </w:rPr>
        <w:t>Includes $0.5 billion of bank and bank-sponsored facilities. These short-term borrowings have a weighted average interest rate of 4.04% as of December 31, 2024.</w:t>
      </w:r>
    </w:p>
    <w:p>
      <w:pPr>
        <w:pStyle w:val="TextBody"/>
        <w:bidi w:val="0"/>
        <w:spacing w:lineRule="auto" w:line="288" w:before="0" w:after="0"/>
        <w:ind w:left="0" w:right="0" w:hanging="360"/>
        <w:jc w:val="left"/>
        <w:rPr/>
      </w:pPr>
      <w:r>
        <w:rPr>
          <w:rFonts w:ascii="Arial;sans-serif" w:hAnsi="Arial;sans-serif"/>
          <w:b w:val="false"/>
          <w:color w:val="000000"/>
          <w:sz w:val="10"/>
        </w:rPr>
        <w:t>(c)</w:t>
      </w:r>
      <w:r>
        <w:rPr>
          <w:color w:val="000000"/>
        </w:rPr>
        <w:t>    </w:t>
      </w:r>
      <w:r>
        <w:rPr>
          <w:rFonts w:ascii="Arial;sans-serif" w:hAnsi="Arial;sans-serif"/>
          <w:b w:val="false"/>
          <w:color w:val="000000"/>
          <w:sz w:val="16"/>
        </w:rPr>
        <w:t>Includes $3.2 billion of bank and bank-sponsored facilities.</w:t>
      </w:r>
    </w:p>
    <w:p>
      <w:pPr>
        <w:pStyle w:val="TextBody"/>
        <w:bidi w:val="0"/>
        <w:spacing w:lineRule="auto" w:line="288" w:before="0" w:after="0"/>
        <w:ind w:left="0" w:right="0" w:hanging="360"/>
        <w:jc w:val="left"/>
        <w:rPr/>
      </w:pPr>
      <w:r>
        <w:rPr>
          <w:rFonts w:ascii="Arial;sans-serif" w:hAnsi="Arial;sans-serif"/>
          <w:b w:val="false"/>
          <w:color w:val="000000"/>
          <w:sz w:val="10"/>
        </w:rPr>
        <w:t>(d)</w:t>
      </w:r>
      <w:r>
        <w:rPr>
          <w:color w:val="000000"/>
        </w:rPr>
        <w:t>    </w:t>
      </w:r>
      <w:r>
        <w:rPr>
          <w:rFonts w:ascii="Arial;sans-serif" w:hAnsi="Arial;sans-serif"/>
          <w:b w:val="false"/>
          <w:color w:val="000000"/>
          <w:sz w:val="16"/>
        </w:rPr>
        <w:t>Includes $0.1 billion of bank and bank-sponsored facilities.</w:t>
      </w:r>
    </w:p>
    <w:p>
      <w:pPr>
        <w:pStyle w:val="TextBody"/>
        <w:bidi w:val="0"/>
        <w:spacing w:lineRule="auto" w:line="288" w:before="0" w:after="0"/>
        <w:ind w:left="0" w:right="0" w:hanging="360"/>
        <w:jc w:val="left"/>
        <w:rPr/>
      </w:pPr>
      <w:r>
        <w:rPr>
          <w:rFonts w:ascii="Arial;sans-serif" w:hAnsi="Arial;sans-serif"/>
          <w:b w:val="false"/>
          <w:color w:val="000000"/>
          <w:sz w:val="10"/>
        </w:rPr>
        <w:t>(e)</w:t>
      </w:r>
      <w:r>
        <w:rPr>
          <w:color w:val="000000"/>
        </w:rPr>
        <w:t>    </w:t>
      </w:r>
      <w:r>
        <w:rPr>
          <w:rFonts w:ascii="Arial;sans-serif" w:hAnsi="Arial;sans-serif"/>
          <w:b w:val="false"/>
          <w:color w:val="000000"/>
          <w:sz w:val="16"/>
        </w:rPr>
        <w:t>Includes $0.1 billion of bank and bank-sponsored facilities.</w:t>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050"/>
                <wp:effectExtent l="0" t="0" r="0" b="0"/>
                <wp:wrapNone/>
                <wp:docPr id="105"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Committed Credit Facilities And Available Funding Arrangements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following table presents available funding under our debt arrangements related to our vehicle programs, including related party debt due to Avis Budget Rental Car Funding, at December 31, 2024:</w:t>
      </w:r>
    </w:p>
    <w:tbl>
      <w:tblPr>
        <w:tblW w:w="10205" w:type="dxa"/>
        <w:jc w:val="left"/>
        <w:tblInd w:w="0" w:type="dxa"/>
        <w:tblLayout w:type="fixed"/>
        <w:tblCellMar>
          <w:top w:w="28" w:type="dxa"/>
          <w:left w:w="28" w:type="dxa"/>
          <w:bottom w:w="28" w:type="dxa"/>
          <w:right w:w="28" w:type="dxa"/>
        </w:tblCellMar>
      </w:tblPr>
      <w:tblGrid>
        <w:gridCol w:w="1531"/>
        <w:gridCol w:w="1297"/>
        <w:gridCol w:w="1305"/>
        <w:gridCol w:w="294"/>
        <w:gridCol w:w="1050"/>
        <w:gridCol w:w="152"/>
        <w:gridCol w:w="109"/>
        <w:gridCol w:w="109"/>
        <w:gridCol w:w="109"/>
        <w:gridCol w:w="445"/>
        <w:gridCol w:w="1587"/>
        <w:gridCol w:w="232"/>
        <w:gridCol w:w="109"/>
        <w:gridCol w:w="109"/>
        <w:gridCol w:w="109"/>
        <w:gridCol w:w="344"/>
        <w:gridCol w:w="1056"/>
        <w:gridCol w:w="258"/>
      </w:tblGrid>
      <w:tr>
        <w:trPr/>
        <w:tc>
          <w:tcPr>
            <w:tcW w:w="153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88" w:before="0" w:after="120"/>
              <w:jc w:val="center"/>
              <w:rPr/>
            </w:pPr>
            <w:r>
              <w:rPr>
                <w:rFonts w:ascii="Arial;sans-serif" w:hAnsi="Arial;sans-serif"/>
                <w:b/>
                <w:color w:val="000000"/>
                <w:sz w:val="19"/>
              </w:rPr>
              <w:t>Total Capacity </w:t>
            </w:r>
            <w:r>
              <w:rPr>
                <w:rFonts w:ascii="Arial;sans-serif" w:hAnsi="Arial;sans-serif"/>
                <w:b w:val="false"/>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88" w:before="0" w:after="120"/>
              <w:jc w:val="center"/>
              <w:rPr/>
            </w:pPr>
            <w:r>
              <w:rPr>
                <w:rFonts w:ascii="Arial;sans-serif" w:hAnsi="Arial;sans-serif"/>
                <w:b/>
                <w:color w:val="000000"/>
                <w:sz w:val="19"/>
              </w:rPr>
              <w:t xml:space="preserve">Outstanding Borrowings </w:t>
            </w:r>
            <w:r>
              <w:rPr>
                <w:rFonts w:ascii="Arial;sans-serif" w:hAnsi="Arial;sans-serif"/>
                <w:b w:val="false"/>
                <w:color w:val="000000"/>
                <w:sz w:val="12"/>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Arial;sans-serif" w:hAnsi="Arial;sans-serif"/>
                <w:b/>
                <w:color w:val="000000"/>
                <w:sz w:val="19"/>
              </w:rPr>
            </w:pPr>
            <w:r>
              <w:rPr>
                <w:rFonts w:ascii="Arial;sans-serif" w:hAnsi="Arial;sans-serif"/>
                <w:b/>
                <w:color w:val="000000"/>
                <w:sz w:val="19"/>
              </w:rPr>
              <w:t>Available Capacity</w:t>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Americas – Debt due to Avis Budget Rental Car Funding</w:t>
            </w:r>
            <w:r>
              <w:rPr>
                <w:color w:val="000000"/>
              </w:rPr>
              <w:t xml:space="preserve"> </w:t>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15,720 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14,143 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1,577 </w:t>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Americas – Debt borrowings</w:t>
            </w:r>
            <w:r>
              <w:rPr>
                <w:color w:val="000000"/>
              </w:rPr>
              <w:t xml:space="preserve"> </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1,424 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1,160 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264 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9"/>
              </w:rPr>
              <w:t>International – Debt borrowings</w:t>
            </w:r>
            <w:r>
              <w:rPr>
                <w:color w:val="000000"/>
              </w:rPr>
              <w:t xml:space="preserve"> </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3,031 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2,159 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872 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 xml:space="preserve">International – Finance leases </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242 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143 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99 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Other</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Total</w:t>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20,425 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5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17,613 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9"/>
              </w:rPr>
            </w:pPr>
            <w:r>
              <w:rPr>
                <w:rFonts w:ascii="Arial;sans-serif" w:hAnsi="Arial;sans-serif"/>
                <w:b w:val="false"/>
                <w:color w:val="000000"/>
                <w:sz w:val="19"/>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9"/>
              </w:rPr>
            </w:pPr>
            <w:r>
              <w:rPr>
                <w:rFonts w:ascii="Arial;sans-serif" w:hAnsi="Arial;sans-serif"/>
                <w:b w:val="false"/>
                <w:color w:val="000000"/>
                <w:sz w:val="19"/>
              </w:rPr>
              <w:t>2,812 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Capacity is subject to maintaining sufficient assets to collateralize debt. The total capacity for Americas — Debt due to Avis Budget Rental Car Funding includes increases from amendments of our asset-backed variable funding financing facilities, which were most recently amended and extended in December 2024.</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The outstanding debt is collateralized by vehicles and related assets of $14 billion for Americas - Debt due to Avis Budget Rental Car Funding; $1.5 billion for Americas - Debt borrowings; $2.7 billion for International - Debt borrowings; and $0.2 billion for International - Finance leases.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Debt Covenants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December 31, 2024, we are not aware of any instances of non-compliance with any of the financial or restrictive covenants contained in the debt agreements under our vehicle-backed funding programs.</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15.    Commitments and Contingencies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Contingencies</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filed a petition for rehearing, which was denied in April 2024, and the tax assessment is expected to become payable, even if judicial relief is sought.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also named in litigation that is primarily related to the businesses of our former subsidiaries, including Realogy and Wyndham. We are entitled to indemnification from such entities for any liability resulting from such litigation.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050"/>
                <wp:effectExtent l="0" t="0" r="0" b="0"/>
                <wp:wrapNone/>
                <wp:docPr id="106"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In October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two class actions filed against us in New Jersey, one seeking damages in connection with a breach of contract claim and another related to ancillary charges at our Payless subsidiary. However, the Company intends to vigorously defend them.</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are a defendant in a number of legal proceedings for personal injury arising from the operation of our vehicles. In June 2023, two of our subsidiaries were named as defendants in a lawsuit filed in Dallas, Texas alleging that one of our employees caused the death of an individual with one of our vehicles: Peggy Dawson Edwards, Individually and as Anticipated Representative of the Estate of Michael Edwards, Sr., et. al. v. Avis Budget Car Rental, LLC; PV Holding Corp.; and Kevin Barnes, Cause No. CC-23-03188-E, pending in County Court at Law No. 5 for Dallas County, Texas. The complaint alleges that our subsidiaries are responsible for Mr. Edwards’ death and seeks compensatory and punitive damages in an unspecified amount exceeding $1 million. The court has set a trial date in May 2025 for this lawsuit. Given the early stages of the legal proceedings, it is not possible to predict the outcome of the claim. However, the Company intends to vigorously defend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December 31, 2024. We do not believe that the impact should result in a material liability to us in relation to our consolidated financial condition or results of operations.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Commitments to Purchase Vehicles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maintain agreements with vehicle manufacturers under which we have agreed to purchase approximately $6.3 billion of vehicles from manufacturers over the next 12 months, a $0.5 billion decrease compared to December 31, 2023,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Other Purchase Commitments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the normal course of business, we make various commitments to purchase other goods or services from specific suppliers, including those related to marketing, advertising, computer services and capital expenditures. As of December 31, 2024, we had approximately $145 million of purchase obligations, which extend through 2029.</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Concentrations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Concentrations of credit risk at December 31, 2024,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$39 million and $24 million, respectively, related to certain contingent, income tax and other corporate liabilities assumed by Realogy and Wyndham in connection with their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050"/>
                <wp:effectExtent l="0" t="0" r="0" b="0"/>
                <wp:wrapNone/>
                <wp:docPr id="107"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Asset Retirement Obligations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maintain a liability for asset retirement obligations. An asset retirement obligation is a legal obligation to perform certain activities in connection with the retirement, disposal or abandonment of assets. Our asset retirement obligations, which are measured at discounted fair values, are primarily related to the removal of underground fuel storage tanks at our rental facilities. The Consolidated Balance Sheets include liabilities for asset retirement obligations of $25 million and $27 million at December 31, 2024 and 2023,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Standard Guarantees/Indemnifications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In the ordinary course of business, we enter into numerous agreements that contain standard guarantees and indemnities whereby we agree to indemnify another party, among other things, for performance under contracts and any breaches of representations and warranties thereunder. In addition, many of these parties are also indemnified against any third-party claim resulting from the transaction that is contemplated in the underlying agreement. Such guarantees or indemnifications are granted under various agreements, including those governing (i) purchases, sales or outsourcing of assets, businesses or activities, (ii) leases of real estate, (iii) licensing of trademarks, (iv) access to credit facilities and use of derivatives and (v) issuances of debt or equity securities. The guarantees or indemnifications issued are for the benefit of the (i) buyers in sale agreements and sellers in purchase agreements, (ii) landlords in lease contracts, (iii) licensees under licensing agreements, (iv) financial institutions in credit facility arrangements and derivative contracts and (v) underwriters and placement agents in debt or equity security issuances. While some of these guarantees extend only for the duration of the underlying agreement, many may survive the expiration of the term of the agreement or extend into perpetuity (unless subject to a legal statute of limitations). There are no specific limitations on the maximum potential amount of future payments that we could be required to make under these guarantees, nor are we able to develop an estimate of the maximum potential amount of future payments to be made under these guarantees as the triggering events are not subject to predictability. With respect to certain of the aforementioned guarantees, such as indemnifications provided to landlords against third-party claims for the use of real estate property leased by us, we maintain insurance coverage that mitigates our potential exposure.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16.    Stockholders' Equity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Dividend Payments</w:t>
      </w:r>
    </w:p>
    <w:p>
      <w:pPr>
        <w:pStyle w:val="TextBody"/>
        <w:bidi w:val="0"/>
        <w:spacing w:lineRule="auto" w:line="288" w:before="180" w:after="283"/>
        <w:jc w:val="both"/>
        <w:rPr/>
      </w:pPr>
      <w:r>
        <w:rPr>
          <w:rFonts w:ascii="Arial;sans-serif" w:hAnsi="Arial;sans-serif"/>
          <w:b w:val="false"/>
          <w:color w:val="000000"/>
          <w:sz w:val="20"/>
        </w:rPr>
        <w:t xml:space="preserve">During 2024 and 2022, we did not declare or pay any cash dividends. In December 2023, we paid a special cash dividend of $10.00 per share to all holders of our common stock as of December 15, 2023, totaling </w:t>
      </w:r>
      <w:r>
        <w:rPr>
          <w:rFonts w:ascii="Arial;sans-serif" w:hAnsi="Arial;sans-serif"/>
          <w:b w:val="false"/>
          <w:color w:val="262626"/>
          <w:sz w:val="20"/>
        </w:rPr>
        <w:t>$355 million</w:t>
      </w:r>
      <w:r>
        <w:rPr>
          <w:rFonts w:ascii="Arial;sans-serif" w:hAnsi="Arial;sans-serif"/>
          <w:b w:val="false"/>
          <w:color w:val="000000"/>
          <w:sz w:val="20"/>
        </w:rPr>
        <w:t xml:space="preserve">. Our ability to pay dividends to holders of our common stock is limited by our senior credit facility, the indentures governing our senior notes and our vehicle financing programs.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Share Repurchases</w:t>
      </w:r>
    </w:p>
    <w:p>
      <w:pPr>
        <w:pStyle w:val="TextBody"/>
        <w:bidi w:val="0"/>
        <w:spacing w:lineRule="auto" w:line="288" w:before="180" w:after="283"/>
        <w:jc w:val="both"/>
        <w:rPr/>
      </w:pPr>
      <w:r>
        <w:rPr>
          <w:rFonts w:ascii="Arial;sans-serif" w:hAnsi="Arial;sans-serif"/>
          <w:b w:val="false"/>
          <w:color w:val="262626"/>
          <w:sz w:val="20"/>
        </w:rPr>
        <w:t>Our Board of Directors has authorized the repurchase of up to approximately $8.1 billion of our common stock under a plan originally approved in 2013 and subsequently expanded most recently in February 2023 (the “Stock Repurchase Program”).</w:t>
      </w:r>
      <w:r>
        <w:rPr>
          <w:color w:val="000000"/>
        </w:rPr>
        <w:t xml:space="preserve"> </w:t>
      </w:r>
      <w:r>
        <w:rPr>
          <w:rFonts w:ascii="Arial;sans-serif" w:hAnsi="Arial;sans-serif"/>
          <w:b w:val="false"/>
          <w:color w:val="000000"/>
          <w:sz w:val="20"/>
        </w:rPr>
        <w:t xml:space="preserve">During 2024, 2023 and 2022, we repurchased </w:t>
      </w:r>
      <w:r>
        <w:rPr>
          <w:rFonts w:ascii="Arial;sans-serif" w:hAnsi="Arial;sans-serif"/>
          <w:b w:val="false"/>
          <w:color w:val="262626"/>
          <w:sz w:val="20"/>
        </w:rPr>
        <w:t>21.6 million</w:t>
      </w:r>
      <w:r>
        <w:rPr>
          <w:color w:val="000000"/>
        </w:rPr>
        <w:t xml:space="preserve"> </w:t>
      </w:r>
      <w:r>
        <w:rPr>
          <w:rFonts w:ascii="Arial;sans-serif" w:hAnsi="Arial;sans-serif"/>
          <w:b w:val="false"/>
          <w:color w:val="000000"/>
          <w:sz w:val="20"/>
        </w:rPr>
        <w:t xml:space="preserve">shares of common stock under the Stock Repurchase Program at a cost of approximately </w:t>
      </w:r>
      <w:r>
        <w:rPr>
          <w:rFonts w:ascii="Arial;sans-serif" w:hAnsi="Arial;sans-serif"/>
          <w:b w:val="false"/>
          <w:color w:val="262626"/>
          <w:sz w:val="20"/>
        </w:rPr>
        <w:t>$4.2 billion</w:t>
      </w:r>
      <w:r>
        <w:rPr>
          <w:color w:val="000000"/>
        </w:rPr>
        <w:t xml:space="preserve"> </w:t>
      </w:r>
      <w:r>
        <w:rPr>
          <w:rFonts w:ascii="Arial;sans-serif" w:hAnsi="Arial;sans-serif"/>
          <w:b w:val="false"/>
          <w:color w:val="000000"/>
          <w:sz w:val="20"/>
        </w:rPr>
        <w:t xml:space="preserve">(excluding excise taxes due for 2024 and 2023 repurchases under the Inflation Reduction Act of 2022). As of December 31, 2024, approximately </w:t>
      </w:r>
      <w:r>
        <w:rPr>
          <w:rFonts w:ascii="Arial;sans-serif" w:hAnsi="Arial;sans-serif"/>
          <w:b w:val="false"/>
          <w:color w:val="262626"/>
          <w:sz w:val="20"/>
        </w:rPr>
        <w:t>$757 million</w:t>
      </w:r>
      <w:r>
        <w:rPr>
          <w:color w:val="000000"/>
        </w:rPr>
        <w:t xml:space="preserve"> </w:t>
      </w:r>
      <w:r>
        <w:rPr>
          <w:rFonts w:ascii="Arial;sans-serif" w:hAnsi="Arial;sans-serif"/>
          <w:b w:val="false"/>
          <w:color w:val="000000"/>
          <w:sz w:val="20"/>
        </w:rPr>
        <w:t>of authorization remained available to repurchase common stock under the Stock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050"/>
                <wp:effectExtent l="0" t="0" r="0" b="0"/>
                <wp:wrapNone/>
                <wp:docPr id="108"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Accumulated Other Comprehensive Income (Loss)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components of accumulated other comprehensive income (loss) were as follows:</w:t>
      </w:r>
    </w:p>
    <w:tbl>
      <w:tblPr>
        <w:tblW w:w="10205" w:type="dxa"/>
        <w:jc w:val="left"/>
        <w:tblInd w:w="0" w:type="dxa"/>
        <w:tblLayout w:type="fixed"/>
        <w:tblCellMar>
          <w:top w:w="28" w:type="dxa"/>
          <w:left w:w="28" w:type="dxa"/>
          <w:bottom w:w="28" w:type="dxa"/>
          <w:right w:w="28" w:type="dxa"/>
        </w:tblCellMar>
      </w:tblPr>
      <w:tblGrid>
        <w:gridCol w:w="1143"/>
        <w:gridCol w:w="845"/>
        <w:gridCol w:w="797"/>
        <w:gridCol w:w="305"/>
        <w:gridCol w:w="635"/>
        <w:gridCol w:w="184"/>
        <w:gridCol w:w="109"/>
        <w:gridCol w:w="109"/>
        <w:gridCol w:w="109"/>
        <w:gridCol w:w="602"/>
        <w:gridCol w:w="1002"/>
        <w:gridCol w:w="365"/>
        <w:gridCol w:w="109"/>
        <w:gridCol w:w="109"/>
        <w:gridCol w:w="109"/>
        <w:gridCol w:w="109"/>
        <w:gridCol w:w="109"/>
        <w:gridCol w:w="323"/>
        <w:gridCol w:w="672"/>
        <w:gridCol w:w="196"/>
        <w:gridCol w:w="109"/>
        <w:gridCol w:w="109"/>
        <w:gridCol w:w="109"/>
        <w:gridCol w:w="490"/>
        <w:gridCol w:w="1019"/>
        <w:gridCol w:w="428"/>
      </w:tblGrid>
      <w:tr>
        <w:trPr/>
        <w:tc>
          <w:tcPr>
            <w:tcW w:w="114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 Translation</w:t>
              <w:br/>
              <w:t>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 xml:space="preserve">Net Unrealized Gains (Losses) on Cash Flow Hedges </w:t>
            </w:r>
            <w:r>
              <w:rPr>
                <w:rFonts w:ascii="Arial;sans-serif" w:hAnsi="Arial;sans-serif"/>
                <w:b/>
                <w:color w:val="000000"/>
                <w:sz w:val="9"/>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Minimum Pension Liability </w:t>
            </w:r>
          </w:p>
          <w:p>
            <w:pPr>
              <w:pStyle w:val="TableContents"/>
              <w:bidi w:val="0"/>
              <w:spacing w:lineRule="auto" w:line="240" w:before="0" w:after="0"/>
              <w:jc w:val="center"/>
              <w:rPr/>
            </w:pPr>
            <w:r>
              <w:rPr>
                <w:rFonts w:ascii="Arial;sans-serif" w:hAnsi="Arial;sans-serif"/>
                <w:b/>
                <w:color w:val="000000"/>
                <w:sz w:val="14"/>
              </w:rPr>
              <w:t xml:space="preserve">Adjustment </w:t>
            </w:r>
            <w:r>
              <w:rPr>
                <w:rFonts w:ascii="Arial;sans-serif" w:hAnsi="Arial;sans-serif"/>
                <w:b/>
                <w:color w:val="000000"/>
                <w:sz w:val="9"/>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 Comprehensive Income (Loss)</w:t>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January 1, 2022</w:t>
            </w:r>
          </w:p>
        </w:tc>
        <w:tc>
          <w:tcPr>
            <w:tcW w:w="3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(133)</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w:t>
            </w:r>
          </w:p>
        </w:tc>
        <w:tc>
          <w:tcPr>
            <w:tcW w:w="42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64 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December 31, 2022</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(101)</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42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27 </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December 31, 2023</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(130)</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(loss) before reclassifications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7" w:type="dxa"/>
            <w:gridSpan w:val="3"/>
            <w:tcBorders/>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Gross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w:t>
            </w:r>
          </w:p>
        </w:tc>
        <w:tc>
          <w:tcPr>
            <w:tcW w:w="4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Tax on (gains) losses reclassified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7 </w:t>
            </w:r>
          </w:p>
        </w:tc>
        <w:tc>
          <w:tcPr>
            <w:tcW w:w="3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42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(Gains) losses reclassified from accumulated other comprehensive income (loss), net of tax</w:t>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current-period other comprehensive income (loss)</w:t>
            </w:r>
          </w:p>
        </w:tc>
        <w:tc>
          <w:tcPr>
            <w:tcW w:w="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(122)</w:t>
            </w:r>
          </w:p>
        </w:tc>
        <w:tc>
          <w:tcPr>
            <w:tcW w:w="18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w:t>
            </w:r>
          </w:p>
        </w:tc>
        <w:tc>
          <w:tcPr>
            <w:tcW w:w="3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 December 31, 2024</w:t>
            </w:r>
          </w:p>
        </w:tc>
        <w:tc>
          <w:tcPr>
            <w:tcW w:w="3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31 </w:t>
            </w:r>
          </w:p>
        </w:tc>
        <w:tc>
          <w:tcPr>
            <w:tcW w:w="3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10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(210)</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__________</w:t>
      </w:r>
    </w:p>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 xml:space="preserve">All components of accumulated other comprehensive income (loss) are net of tax, except currency translation adjustments, which exclude income taxes related to indefinite investments in foreign subsidiaries (see Note 9 – Income Taxes) and include a $148 million gain, net of tax, related to our hedge of our investment in euro-denominated foreign operations (See Note 20 – Financial Instruments).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Amounts reclassified to interest expense.</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Amounts reclassified to selling, general and administrative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17.    Related Party Transactions</w:t>
      </w:r>
    </w:p>
    <w:p>
      <w:pPr>
        <w:pStyle w:val="TextBody"/>
        <w:bidi w:val="0"/>
        <w:spacing w:before="0" w:after="0"/>
        <w:ind w:left="0" w:right="0" w:hanging="540"/>
        <w:jc w:val="both"/>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SRS Mobility Ventures,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2021, SRS Mobility Ventures, LLC acquired a 33 1/3% Class A Membership Interest in one of our subsidiaries at fair value of $37.5 million. SRS Mobility Ventures, LLC is an affiliate of our largest shareholder, SRS Investment Management, LLC.</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September 1, 2022, through the issuance of Class B Preferred Voting Membership Interests, SRS Mobility Ventures, LLC increased their ownership in this subsidiary to 51% at fair value of $62 million. 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As a result, we deconsolidated our former subsidiary, Avis Mobility Ventures LLC (“AMV”), from our financial statements and began to report our proportional share of the former subsidiary’s income or loss within other (income) expense, net in our Consolidated Statements of Operations as we no longer had the ability to direct the significant activities of the former subsidiary and were no longer primary beneficiary of the VIE. Upon deconsolidation in 2022, our former subsidiary had a net asset carrying amount of $49 million and we recorded a gain within other (income) expense, net. In August and October 2023, SRS Mobility Ventures, LLC made capital contributions to AMV, increasing their ownership to approximately 65%. In June 2024, SRS Mobility Ventures, LLC made a capital contribution of approximately $22 million to AMV, and we simultaneously settled approximately $12 million in receivables from AMV related to services we provided. SRS Mobility Ventures, LLC’s ownership percentage remained at approximately 65% following these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050"/>
                <wp:effectExtent l="0" t="0" r="0" b="0"/>
                <wp:wrapNone/>
                <wp:docPr id="109" name="Frame9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continue to provide vehicles, related fleet services, and certain administrative services to AMV to support their operations. The following table provides amounts reported within our Consolidated Balance Sheets related to our equity method investment in AMV and these services.</w:t>
      </w:r>
    </w:p>
    <w:p>
      <w:pPr>
        <w:pStyle w:val="TextBody"/>
        <w:bidi w:val="0"/>
        <w:spacing w:before="0" w:after="0"/>
        <w:jc w:val="both"/>
        <w:rPr/>
      </w:pPr>
      <w:r>
        <w:rPr/>
      </w:r>
    </w:p>
    <w:tbl>
      <w:tblPr>
        <w:tblW w:w="6085" w:type="dxa"/>
        <w:jc w:val="left"/>
        <w:tblInd w:w="0" w:type="dxa"/>
        <w:tblLayout w:type="fixed"/>
        <w:tblCellMar>
          <w:top w:w="28" w:type="dxa"/>
          <w:left w:w="28" w:type="dxa"/>
          <w:bottom w:w="28" w:type="dxa"/>
          <w:right w:w="28" w:type="dxa"/>
        </w:tblCellMar>
      </w:tblPr>
      <w:tblGrid>
        <w:gridCol w:w="1502"/>
        <w:gridCol w:w="1315"/>
        <w:gridCol w:w="1323"/>
        <w:gridCol w:w="264"/>
        <w:gridCol w:w="340"/>
        <w:gridCol w:w="136"/>
        <w:gridCol w:w="136"/>
        <w:gridCol w:w="136"/>
        <w:gridCol w:w="136"/>
        <w:gridCol w:w="264"/>
        <w:gridCol w:w="340"/>
        <w:gridCol w:w="193"/>
      </w:tblGrid>
      <w:tr>
        <w:trPr/>
        <w:tc>
          <w:tcPr>
            <w:tcW w:w="1502"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Receivables from AMV </w:t>
            </w:r>
            <w:r>
              <w:rPr>
                <w:rFonts w:ascii="Arial;sans-serif" w:hAnsi="Arial;sans-serif"/>
                <w:b w:val="false"/>
                <w:color w:val="000000"/>
                <w:sz w:val="13"/>
              </w:rPr>
              <w:t>(a)</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Equity method investment in AMV</w:t>
            </w:r>
            <w:r>
              <w:rPr>
                <w:color w:val="000000"/>
              </w:rPr>
              <w:t xml:space="preserve"> </w:t>
            </w:r>
            <w:r>
              <w:rPr>
                <w:rFonts w:ascii="Arial;sans-serif" w:hAnsi="Arial;sans-serif"/>
                <w:b w:val="false"/>
                <w:color w:val="000000"/>
                <w:sz w:val="13"/>
              </w:rPr>
              <w:t>(b)</w:t>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Vehicles, net investment in lease with AMV </w:t>
            </w:r>
            <w:r>
              <w:rPr>
                <w:rFonts w:ascii="Arial;sans-serif" w:hAnsi="Arial;sans-serif"/>
                <w:b w:val="false"/>
                <w:color w:val="000000"/>
                <w:sz w:val="13"/>
              </w:rPr>
              <w:t>(c)</w:t>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
        <w:jc w:val="left"/>
        <w:rPr>
          <w:rFonts w:ascii="Arial;sans-serif" w:hAnsi="Arial;sans-serif"/>
          <w:b w:val="false"/>
          <w:color w:val="000000"/>
          <w:sz w:val="18"/>
        </w:rPr>
      </w:pPr>
      <w:r>
        <w:rPr>
          <w:rFonts w:ascii="Arial;sans-serif" w:hAnsi="Arial;sans-serif"/>
          <w:b w:val="false"/>
          <w:color w:val="000000"/>
          <w:sz w:val="18"/>
        </w:rPr>
        <w:t>________</w:t>
      </w:r>
    </w:p>
    <w:p>
      <w:pPr>
        <w:pStyle w:val="TextBody"/>
        <w:bidi w:val="0"/>
        <w:spacing w:lineRule="auto" w:line="288" w:before="0" w:after="0"/>
        <w:ind w:left="0" w:right="0" w:hanging="360"/>
        <w:jc w:val="both"/>
        <w:rPr/>
      </w:pPr>
      <w:r>
        <w:rPr>
          <w:rFonts w:ascii="Arial;sans-serif" w:hAnsi="Arial;sans-serif"/>
          <w:b w:val="false"/>
          <w:color w:val="000000"/>
          <w:sz w:val="10"/>
        </w:rPr>
        <w:t>(a)    </w:t>
      </w:r>
      <w:r>
        <w:rPr>
          <w:rFonts w:ascii="Arial;sans-serif" w:hAnsi="Arial;sans-serif"/>
          <w:b w:val="false"/>
          <w:color w:val="000000"/>
          <w:sz w:val="16"/>
        </w:rPr>
        <w:t>Included within other current assets.</w:t>
      </w:r>
    </w:p>
    <w:p>
      <w:pPr>
        <w:pStyle w:val="TextBody"/>
        <w:bidi w:val="0"/>
        <w:spacing w:lineRule="auto" w:line="288" w:before="0" w:after="0"/>
        <w:ind w:left="0" w:right="0" w:hanging="360"/>
        <w:jc w:val="both"/>
        <w:rPr/>
      </w:pPr>
      <w:r>
        <w:rPr>
          <w:rFonts w:ascii="Arial;sans-serif" w:hAnsi="Arial;sans-serif"/>
          <w:b w:val="false"/>
          <w:color w:val="000000"/>
          <w:sz w:val="10"/>
        </w:rPr>
        <w:t>(b)    </w:t>
      </w:r>
      <w:r>
        <w:rPr>
          <w:rFonts w:ascii="Arial;sans-serif" w:hAnsi="Arial;sans-serif"/>
          <w:b w:val="false"/>
          <w:color w:val="000000"/>
          <w:sz w:val="16"/>
        </w:rPr>
        <w:t>Included within other non-current assets.</w:t>
      </w:r>
    </w:p>
    <w:p>
      <w:pPr>
        <w:pStyle w:val="TextBody"/>
        <w:bidi w:val="0"/>
        <w:spacing w:lineRule="auto" w:line="288" w:before="0" w:after="0"/>
        <w:ind w:left="0" w:right="0" w:hanging="360"/>
        <w:jc w:val="both"/>
        <w:rPr/>
      </w:pPr>
      <w:r>
        <w:rPr>
          <w:rFonts w:ascii="Arial;sans-serif" w:hAnsi="Arial;sans-serif"/>
          <w:b w:val="false"/>
          <w:color w:val="000000"/>
          <w:sz w:val="10"/>
        </w:rPr>
        <w:t>(c)    </w:t>
      </w:r>
      <w:r>
        <w:rPr>
          <w:rFonts w:ascii="Arial;sans-serif" w:hAnsi="Arial;sans-serif"/>
          <w:b w:val="false"/>
          <w:color w:val="000000"/>
          <w:sz w:val="16"/>
        </w:rPr>
        <w:t>Included within vehicles, net. See Note 8 – Vehicle Rental Activities.</w:t>
      </w:r>
    </w:p>
    <w:p>
      <w:pPr>
        <w:pStyle w:val="TextBody"/>
        <w:bidi w:val="0"/>
        <w:spacing w:before="0" w:after="0"/>
        <w:ind w:left="0" w:right="0" w:hanging="36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components of other (income) expense, net are summarized below:</w:t>
      </w:r>
    </w:p>
    <w:p>
      <w:pPr>
        <w:pStyle w:val="TextBody"/>
        <w:bidi w:val="0"/>
        <w:spacing w:before="0" w:after="0"/>
        <w:ind w:left="0" w:right="0" w:hanging="360"/>
        <w:jc w:val="both"/>
        <w:rPr/>
      </w:pPr>
      <w:r>
        <w:rPr/>
      </w:r>
    </w:p>
    <w:tbl>
      <w:tblPr>
        <w:tblW w:w="8003" w:type="dxa"/>
        <w:jc w:val="left"/>
        <w:tblInd w:w="0" w:type="dxa"/>
        <w:tblLayout w:type="fixed"/>
        <w:tblCellMar>
          <w:top w:w="28" w:type="dxa"/>
          <w:left w:w="28" w:type="dxa"/>
          <w:bottom w:w="28" w:type="dxa"/>
          <w:right w:w="28" w:type="dxa"/>
        </w:tblCellMar>
      </w:tblPr>
      <w:tblGrid>
        <w:gridCol w:w="1804"/>
        <w:gridCol w:w="1585"/>
        <w:gridCol w:w="1590"/>
        <w:gridCol w:w="109"/>
        <w:gridCol w:w="109"/>
        <w:gridCol w:w="109"/>
        <w:gridCol w:w="211"/>
        <w:gridCol w:w="271"/>
        <w:gridCol w:w="109"/>
        <w:gridCol w:w="109"/>
        <w:gridCol w:w="109"/>
        <w:gridCol w:w="109"/>
        <w:gridCol w:w="211"/>
        <w:gridCol w:w="436"/>
        <w:gridCol w:w="109"/>
        <w:gridCol w:w="109"/>
        <w:gridCol w:w="109"/>
        <w:gridCol w:w="109"/>
        <w:gridCol w:w="211"/>
        <w:gridCol w:w="331"/>
        <w:gridCol w:w="154"/>
      </w:tblGrid>
      <w:tr>
        <w:trPr/>
        <w:tc>
          <w:tcPr>
            <w:tcW w:w="1804"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Year Ended December 31,</w:t>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expense for services to AMV,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on equity method investment in AMV,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on deconsolidation of former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18.    Stock-Based Compensation</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Our Amended and Restated Equity and Incentive Plan provides for the grant of options, stock appreciation rights, restricted stock, restricted stock units (“RSUs”) and other stock- or cash-based awards to employees, directors and other individuals who perform services for us and our subsidiaries. The maximum number of shares reserved for grant of awards under the plan is </w:t>
      </w:r>
      <w:r>
        <w:rPr>
          <w:rFonts w:ascii="Arial;sans-serif" w:hAnsi="Arial;sans-serif"/>
          <w:b w:val="false"/>
          <w:color w:val="000000"/>
          <w:sz w:val="20"/>
          <w:shd w:fill="FFFFFF" w:val="clear"/>
        </w:rPr>
        <w:t>22.5 million</w:t>
      </w:r>
      <w:r>
        <w:rPr>
          <w:rFonts w:ascii="Arial;sans-serif" w:hAnsi="Arial;sans-serif"/>
          <w:b w:val="false"/>
          <w:color w:val="000000"/>
          <w:sz w:val="20"/>
        </w:rPr>
        <w:t>, with 3.6 million shares available as of December 31, 2024. We typically settle stock-based awards with treasury shares.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Time-based awards generally vest ratably over a three-year period following the date of grant, and performance-based awards generally vest three years following the date of grant based on the attainment of performance goals, both of which are subject to a service condition.</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Stock Unit Awards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Stock unit awards entitle the holder to receive shares of common stock upon vesting on a one-to-one basis, and certain performance-based RSUs vest based upon the level of performance attained.</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part of our declaration and payment of a special cash dividend in December 2023, we granted additional RSUs to our award holders with unvested shares as a dividend equivalent, which has been deferred until, and will not be paid unless, the shares of stock underlying the award vest.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050"/>
                <wp:effectExtent l="0" t="0" r="0" b="0"/>
                <wp:wrapNone/>
                <wp:docPr id="110" name="Frame9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Annual activity related to stock units consisted of (in thousands of shares):    </w:t>
      </w:r>
    </w:p>
    <w:tbl>
      <w:tblPr>
        <w:tblW w:w="10205" w:type="dxa"/>
        <w:jc w:val="left"/>
        <w:tblInd w:w="0" w:type="dxa"/>
        <w:tblLayout w:type="fixed"/>
        <w:tblCellMar>
          <w:top w:w="28" w:type="dxa"/>
          <w:left w:w="28" w:type="dxa"/>
          <w:bottom w:w="28" w:type="dxa"/>
          <w:right w:w="28" w:type="dxa"/>
        </w:tblCellMar>
      </w:tblPr>
      <w:tblGrid>
        <w:gridCol w:w="1251"/>
        <w:gridCol w:w="784"/>
        <w:gridCol w:w="790"/>
        <w:gridCol w:w="356"/>
        <w:gridCol w:w="356"/>
        <w:gridCol w:w="358"/>
        <w:gridCol w:w="109"/>
        <w:gridCol w:w="109"/>
        <w:gridCol w:w="109"/>
        <w:gridCol w:w="196"/>
        <w:gridCol w:w="648"/>
        <w:gridCol w:w="109"/>
        <w:gridCol w:w="109"/>
        <w:gridCol w:w="109"/>
        <w:gridCol w:w="109"/>
        <w:gridCol w:w="826"/>
        <w:gridCol w:w="826"/>
        <w:gridCol w:w="829"/>
        <w:gridCol w:w="109"/>
        <w:gridCol w:w="109"/>
        <w:gridCol w:w="109"/>
        <w:gridCol w:w="541"/>
        <w:gridCol w:w="917"/>
        <w:gridCol w:w="437"/>
      </w:tblGrid>
      <w:tr>
        <w:trPr/>
        <w:tc>
          <w:tcPr>
            <w:tcW w:w="125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Aggregate Intrinsic Value (in millions)</w:t>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Time-based RSUs</w:t>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January 1, 2024</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Vested </w:t>
            </w:r>
            <w:r>
              <w:rPr>
                <w:rFonts w:ascii="Arial;sans-serif" w:hAnsi="Arial;sans-serif"/>
                <w:b w:val="false"/>
                <w:color w:val="000000"/>
                <w:sz w:val="10"/>
              </w:rPr>
              <w:t>(b)</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Outstanding and expected to vest at December 31, 2024 </w:t>
            </w:r>
            <w:r>
              <w:rPr>
                <w:rFonts w:ascii="Arial;sans-serif" w:hAnsi="Arial;sans-serif"/>
                <w:b w:val="false"/>
                <w:color w:val="000000"/>
                <w:sz w:val="10"/>
              </w:rPr>
              <w:t>(c)</w:t>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Performance-based RSUs</w:t>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January 1, 2024</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Granted </w:t>
            </w:r>
            <w:r>
              <w:rPr>
                <w:rFonts w:ascii="Arial;sans-serif" w:hAnsi="Arial;sans-serif"/>
                <w:b w:val="false"/>
                <w:color w:val="000000"/>
                <w:sz w:val="10"/>
              </w:rPr>
              <w:t>(a)</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Vested </w:t>
            </w:r>
            <w:r>
              <w:rPr>
                <w:rFonts w:ascii="Arial;sans-serif" w:hAnsi="Arial;sans-serif"/>
                <w:b w:val="false"/>
                <w:color w:val="000000"/>
                <w:sz w:val="10"/>
              </w:rPr>
              <w:t>(b)</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7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Outstanding at December 31, 2024</w:t>
            </w:r>
          </w:p>
        </w:tc>
        <w:tc>
          <w:tcPr>
            <w:tcW w:w="71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6"/>
              </w:rPr>
              <w:t xml:space="preserve">Outstanding and expected to vest at December 31, 2024 </w:t>
            </w:r>
            <w:r>
              <w:rPr>
                <w:rFonts w:ascii="Arial;sans-serif" w:hAnsi="Arial;sans-serif"/>
                <w:b w:val="false"/>
                <w:color w:val="000000"/>
                <w:sz w:val="10"/>
              </w:rPr>
              <w:t>(c)</w:t>
            </w:r>
          </w:p>
        </w:tc>
        <w:tc>
          <w:tcPr>
            <w:tcW w:w="71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64 </w:t>
            </w:r>
          </w:p>
        </w:tc>
        <w:tc>
          <w:tcPr>
            <w:tcW w:w="3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Reflects the maximum number of stock units assuming achievement of all time- and performance-vesting criteria and does not include those for non-employee directors, which are discussed separately below. The weighted-average fair value of time- and performance-based RSUs granted in 2023 was $204.17 and $204.13, respectively, and the weighted-average fair value of time-and performance-based RSUs granted in 2022 was $172.34 and $193.48, respectively.</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The total fair value of time- and performance-based RSUs vested during 2024 was $32 million. The total fair value of time-, performance-</w:t>
      </w:r>
      <w:r>
        <w:rPr>
          <w:rFonts w:ascii="Arial;sans-serif" w:hAnsi="Arial;sans-serif"/>
          <w:b/>
          <w:color w:val="000000"/>
          <w:sz w:val="16"/>
        </w:rPr>
        <w:t xml:space="preserve">, </w:t>
      </w:r>
      <w:r>
        <w:rPr>
          <w:rFonts w:ascii="Arial;sans-serif" w:hAnsi="Arial;sans-serif"/>
          <w:b w:val="false"/>
          <w:color w:val="000000"/>
          <w:sz w:val="16"/>
        </w:rPr>
        <w:t xml:space="preserve">and market-based RSUs vested during 2023 and 2022 was $21 million and $22 million, respectively. </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Aggregate unrecognized compensation expense related to time- and performance-based RSUs amounted to $26 million and will be recognized over a weighted average vesting period of 1.3 years.</w:t>
      </w:r>
    </w:p>
    <w:p>
      <w:pPr>
        <w:pStyle w:val="TextBody"/>
        <w:bidi w:val="0"/>
        <w:spacing w:before="0" w:after="0"/>
        <w:jc w:val="both"/>
        <w:rPr/>
      </w:pPr>
      <w:r>
        <w:rPr/>
      </w:r>
    </w:p>
    <w:p>
      <w:pPr>
        <w:pStyle w:val="TextBody"/>
        <w:bidi w:val="0"/>
        <w:spacing w:lineRule="auto" w:line="417" w:before="0" w:after="0"/>
        <w:jc w:val="left"/>
        <w:rPr>
          <w:rFonts w:ascii="Arial;sans-serif" w:hAnsi="Arial;sans-serif"/>
          <w:b/>
          <w:i/>
          <w:color w:val="000000"/>
          <w:sz w:val="20"/>
        </w:rPr>
      </w:pPr>
      <w:r>
        <w:rPr>
          <w:rFonts w:ascii="Arial;sans-serif" w:hAnsi="Arial;sans-serif"/>
          <w:b/>
          <w:i/>
          <w:color w:val="000000"/>
          <w:sz w:val="20"/>
        </w:rPr>
        <w:t>Non-employee Directors Deferred Compensation Plan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grant stock awards on an annual basis to non-employee directors representing between 50% and 100% of a director’s annual compensation and such awards could be deferred under the Non-employee Directors Deferred Compensation Plan. During 2024, 2023 and 2022, we granted approximately 4,400, 4,000, and 2,500 awards, respectively, to non-employee directors.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Stock-Compensation Expense</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During 2024, 2023 and 2022, we recorded stock-based compensation expense of $19 million ($14 million, net of tax), $30 million ($21 million, net of tax), and $25 million ($17 million, net of tax), respectively.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19.    Employee Benefit Plans</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Defined Contribution Savings Plans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sponsor several defined contribution savings plans in the United States and certain foreign subsidiaries that provide certain of our eligible employees an opportunity to accumulate funds for retirement. We match portions of the contributions of participating employees on the basis specified by the plans. Our contributions to these plans were $31 million, $29 million, and $26 million during 2024, 2023 and 2022, respectively.</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Defined Benefit Pension Plans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We sponsor defined benefit pension plans in the United States and in certain foreign subsidiaries with some plans offering participation in the plans at the employees’ option. Under these plans, benefits are based on an employee’s years of credited service and a percentage of final average compensation. However, the majority of the plans are closed to new employees and participants are no longer accruing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050"/>
                <wp:effectExtent l="0" t="0" r="0" b="0"/>
                <wp:wrapNone/>
                <wp:docPr id="111" name="Frame9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funded status of the defined benefit pension plans is recognized on the Consolidated Balance Sheets and the gains or losses and prior service costs or credits that arise during the period, but are not recognized as components of net periodic benefit cost, are recognized as a component of accumulated other comprehensive income (loss), net of tax.</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components of net periodic (benefit) cost consisted of the following:</w:t>
      </w:r>
    </w:p>
    <w:tbl>
      <w:tblPr>
        <w:tblW w:w="6327" w:type="dxa"/>
        <w:jc w:val="left"/>
        <w:tblInd w:w="0" w:type="dxa"/>
        <w:tblLayout w:type="fixed"/>
        <w:tblCellMar>
          <w:top w:w="28" w:type="dxa"/>
          <w:left w:w="28" w:type="dxa"/>
          <w:bottom w:w="28" w:type="dxa"/>
          <w:right w:w="28" w:type="dxa"/>
        </w:tblCellMar>
      </w:tblPr>
      <w:tblGrid>
        <w:gridCol w:w="1338"/>
        <w:gridCol w:w="1171"/>
        <w:gridCol w:w="1181"/>
        <w:gridCol w:w="211"/>
        <w:gridCol w:w="271"/>
        <w:gridCol w:w="109"/>
        <w:gridCol w:w="109"/>
        <w:gridCol w:w="109"/>
        <w:gridCol w:w="109"/>
        <w:gridCol w:w="211"/>
        <w:gridCol w:w="271"/>
        <w:gridCol w:w="109"/>
        <w:gridCol w:w="109"/>
        <w:gridCol w:w="109"/>
        <w:gridCol w:w="109"/>
        <w:gridCol w:w="211"/>
        <w:gridCol w:w="436"/>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Service cost </w:t>
            </w:r>
            <w:r>
              <w:rPr>
                <w:rFonts w:ascii="Arial;sans-serif" w:hAnsi="Arial;sans-serif"/>
                <w:b w:val="false"/>
                <w:color w:val="000000"/>
                <w:sz w:val="13"/>
              </w:rPr>
              <w:t>(a)</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Interest cost </w:t>
            </w:r>
            <w:r>
              <w:rPr>
                <w:rFonts w:ascii="Arial;sans-serif" w:hAnsi="Arial;sans-serif"/>
                <w:b w:val="false"/>
                <w:color w:val="000000"/>
                <w:sz w:val="13"/>
              </w:rPr>
              <w:t>(b)</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Expected return on plan assets </w:t>
            </w:r>
            <w:r>
              <w:rPr>
                <w:rFonts w:ascii="Arial;sans-serif" w:hAnsi="Arial;sans-serif"/>
                <w:b w:val="false"/>
                <w:color w:val="000000"/>
                <w:sz w:val="13"/>
              </w:rPr>
              <w:t>(b)</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Amortization of unrecognized amounts </w:t>
            </w:r>
            <w:r>
              <w:rPr>
                <w:rFonts w:ascii="Arial;sans-serif" w:hAnsi="Arial;sans-serif"/>
                <w:b w:val="false"/>
                <w:color w:val="000000"/>
                <w:sz w:val="13"/>
              </w:rPr>
              <w:t>(b)</w:t>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periodic cost (benefit)</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Arial;sans-serif" w:hAnsi="Arial;sans-serif"/>
          <w:b w:val="false"/>
          <w:color w:val="000000"/>
          <w:sz w:val="16"/>
        </w:rPr>
      </w:pPr>
      <w:r>
        <w:rPr>
          <w:rFonts w:ascii="Arial;sans-serif" w:hAnsi="Arial;sans-serif"/>
          <w:b w:val="false"/>
          <w:color w:val="000000"/>
          <w:sz w:val="16"/>
        </w:rPr>
        <w:t>__________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For the years ended December 31, 2024, 2023, and 2022, $3 million, $3 million, and $4 million was included in operating expenses, respectively. For the year ended December 31, 2022, $1 million was included in selling, general and administrative expenses.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Included in selling, general and administrative expenses.</w:t>
      </w:r>
    </w:p>
    <w:p>
      <w:pPr>
        <w:pStyle w:val="TextBody"/>
        <w:bidi w:val="0"/>
        <w:spacing w:lineRule="auto" w:line="288" w:before="180" w:after="283"/>
        <w:jc w:val="both"/>
        <w:rPr/>
      </w:pPr>
      <w:r>
        <w:rPr>
          <w:rFonts w:ascii="Arial;sans-serif" w:hAnsi="Arial;sans-serif"/>
          <w:b w:val="false"/>
          <w:color w:val="000000"/>
          <w:sz w:val="20"/>
        </w:rPr>
        <w:t>We use a measurement date of December 31</w:t>
      </w:r>
      <w:r>
        <w:rPr>
          <w:rFonts w:ascii="Arial;sans-serif" w:hAnsi="Arial;sans-serif"/>
          <w:b w:val="false"/>
          <w:color w:val="000000"/>
          <w:sz w:val="13"/>
        </w:rPr>
        <w:t>st</w:t>
      </w:r>
      <w:r>
        <w:rPr>
          <w:color w:val="000000"/>
        </w:rPr>
        <w:t xml:space="preserve"> </w:t>
      </w:r>
      <w:r>
        <w:rPr>
          <w:rFonts w:ascii="Arial;sans-serif" w:hAnsi="Arial;sans-serif"/>
          <w:b w:val="false"/>
          <w:color w:val="000000"/>
          <w:sz w:val="20"/>
        </w:rPr>
        <w:t xml:space="preserve">for our pension plans. The funded status of the pension plans were as follows: </w:t>
      </w:r>
    </w:p>
    <w:tbl>
      <w:tblPr>
        <w:tblW w:w="5934" w:type="dxa"/>
        <w:jc w:val="left"/>
        <w:tblInd w:w="0" w:type="dxa"/>
        <w:tblLayout w:type="fixed"/>
        <w:tblCellMar>
          <w:top w:w="28" w:type="dxa"/>
          <w:left w:w="28" w:type="dxa"/>
          <w:bottom w:w="28" w:type="dxa"/>
          <w:right w:w="28" w:type="dxa"/>
        </w:tblCellMar>
      </w:tblPr>
      <w:tblGrid>
        <w:gridCol w:w="1435"/>
        <w:gridCol w:w="1260"/>
        <w:gridCol w:w="1265"/>
        <w:gridCol w:w="211"/>
        <w:gridCol w:w="481"/>
        <w:gridCol w:w="109"/>
        <w:gridCol w:w="109"/>
        <w:gridCol w:w="109"/>
        <w:gridCol w:w="109"/>
        <w:gridCol w:w="211"/>
        <w:gridCol w:w="481"/>
        <w:gridCol w:w="154"/>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Benefit Obligation</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obligation at end of prior year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Actuarial (gain) loss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 amendments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benefits paid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Benefit obligation at end of current year</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Change in Plan Assets</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Fair value of assets at end of prior year</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Actual return on plan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Employer contributions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Currency translation adjustment</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benefits paid</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of assets at end of current year</w:t>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Amounts recognized in the statement of financial position consist of the following:</w:t>
      </w:r>
    </w:p>
    <w:tbl>
      <w:tblPr>
        <w:tblW w:w="6700" w:type="dxa"/>
        <w:jc w:val="left"/>
        <w:tblInd w:w="0" w:type="dxa"/>
        <w:tblLayout w:type="fixed"/>
        <w:tblCellMar>
          <w:top w:w="28" w:type="dxa"/>
          <w:left w:w="28" w:type="dxa"/>
          <w:bottom w:w="28" w:type="dxa"/>
          <w:right w:w="28" w:type="dxa"/>
        </w:tblCellMar>
      </w:tblPr>
      <w:tblGrid>
        <w:gridCol w:w="1721"/>
        <w:gridCol w:w="1514"/>
        <w:gridCol w:w="1520"/>
        <w:gridCol w:w="218"/>
        <w:gridCol w:w="451"/>
        <w:gridCol w:w="112"/>
        <w:gridCol w:w="112"/>
        <w:gridCol w:w="112"/>
        <w:gridCol w:w="112"/>
        <w:gridCol w:w="218"/>
        <w:gridCol w:w="451"/>
        <w:gridCol w:w="159"/>
      </w:tblGrid>
      <w:tr>
        <w:trPr/>
        <w:tc>
          <w:tcPr>
            <w:tcW w:w="1721"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Funded Status</w:t>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Classification of net balance sheet assets (liabilities):</w:t>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assets</w:t>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Non-current liabilities</w:t>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funded status</w:t>
            </w:r>
          </w:p>
        </w:tc>
        <w:tc>
          <w:tcPr>
            <w:tcW w:w="2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1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5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050"/>
                <wp:effectExtent l="0" t="0" r="0" b="0"/>
                <wp:wrapNone/>
                <wp:docPr id="112" name="Frame9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following assumptions were used to determine pension obligations and pension costs for the principal plans in which our employees participated: </w:t>
      </w:r>
    </w:p>
    <w:tbl>
      <w:tblPr>
        <w:tblW w:w="7416" w:type="dxa"/>
        <w:jc w:val="left"/>
        <w:tblInd w:w="0" w:type="dxa"/>
        <w:tblLayout w:type="fixed"/>
        <w:tblCellMar>
          <w:top w:w="28" w:type="dxa"/>
          <w:left w:w="28" w:type="dxa"/>
          <w:bottom w:w="28" w:type="dxa"/>
          <w:right w:w="28" w:type="dxa"/>
        </w:tblCellMar>
      </w:tblPr>
      <w:tblGrid>
        <w:gridCol w:w="1267"/>
        <w:gridCol w:w="1112"/>
        <w:gridCol w:w="1116"/>
        <w:gridCol w:w="270"/>
        <w:gridCol w:w="271"/>
        <w:gridCol w:w="422"/>
        <w:gridCol w:w="160"/>
        <w:gridCol w:w="160"/>
        <w:gridCol w:w="160"/>
        <w:gridCol w:w="270"/>
        <w:gridCol w:w="271"/>
        <w:gridCol w:w="422"/>
        <w:gridCol w:w="160"/>
        <w:gridCol w:w="160"/>
        <w:gridCol w:w="160"/>
        <w:gridCol w:w="270"/>
        <w:gridCol w:w="271"/>
        <w:gridCol w:w="49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For the Year Ended December 31,</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U.S. Pension Benefit Plans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obligation</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4.96 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rate of return on plan assets</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Non-U.S. Pension Benefit Plans</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Discount rate:</w:t>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obligation</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4.40 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4.79 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rate of return on plan assets</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5.59 </w:t>
            </w:r>
          </w:p>
        </w:tc>
        <w:tc>
          <w:tcPr>
            <w:tcW w:w="4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49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To select discount rates for our defined benefit pension plans, we use a modeling process that involves matching the expected cash outflows of such plans, to yield curves constructed from portfolios of AA-rated fixed-income debt instruments. We use the average yields of the hypothetical portfolios as a discount rate benchmark.</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expected rate of return on plan assets of 6.25% and 5.97% for the U.S. plans and non-U.S. plans, respectively, used to determine pension obligations and pension costs, are long-term rates based on historic plan asset returns in individual jurisdictions, over varying long-term periods combined with current market expectations and broad asset mix considerations.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of December 31, 2024 and 2023, plans with projected benefit obligations in excess of plan assets had projected benefit obligations of $330 million and $350 million, respectively, and plan assets of $236 million and $246 million, respectively. As of December 31, 2024 and 2023, plans with accumulated benefit obligations in excess of plan assets had accumulated benefit obligations of $327 million and $346 million, respectively, and plan assets of $236 million and $246 million, respectively. The accumulated benefit obligation for all plans was $561 million and $615 million as of December 31, 2024 and 2023, respectively. We expect to contribute approximately $3 million to the plans in 2025.</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defined benefit pension plans’ assets are invested primarily in mutual funds and may change in value due to various risks, such as interest rate and credit risk and overall market volatility. Due to the level of risk associated with investment securities, it is reasonably possible that changes in the values of the pension plans’ investment securities will occur in the near term and that such changes would materially affect the amounts reported in our financial statements.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defined benefit pension plans’ investment goals and objectives are managed by us or Company-appointed and member-appointed trustees with consultation from independent investment advisors. While the objectives may vary slightly by country and jurisdiction, collectively we seek to produce returns on pension plan investments, which are based on levels of liquidity and investment risk that we believe are prudent and reasonable, given prevailing capital market conditions. The pension plans’ assets are managed in the long-term interests of the participants and the beneficiaries of the plans. A suitable strategic asset allocation benchmark is determined for each plan to maintain a diversified portfolio, taking into account government requirements, if any, regarding unnecessary investment risk and protection of pension plans’ assets. We believe that diversification of the pension plans’ assets is an important investment strategy to provide reasonable assurance that no single security or class of securities will have a disproportionate impact on the pension plans. As such, we allocate assets among traditional equity, fixed income (government issued securities, corporate bonds and short-term cash investments) and other investment strategies.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The equity component’s purpose is to provide a total return that will help preserve the purchasing power of the assets. The pension plans hold various mutual funds that invest in equity securities and are diversified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050"/>
                <wp:effectExtent l="0" t="0" r="0" b="0"/>
                <wp:wrapNone/>
                <wp:docPr id="113" name="Frame9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among funds that invest in large cap, small cap, growth, value and international stocks as well as funds that are intended to “track” an index, such as the S&amp;P 500. The equity investments in the portfolios will represent a greater assumption of market volatility and risk as well as provide higher anticipated total return over the long term. The equity component is expected to approximate 35%-55% of the plans’ assets.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purpose of the fixed income component is to provide a deflation hedge, to reduce the overall volatility of the pension plans’ assets in relation to the liability and to produce current income. The pension plans hold mutual funds that invest in securities issued by governments, government agencies and corporations. The fixed income component is expected to approximate 35%-55% of the plans’ assets.</w:t>
      </w:r>
    </w:p>
    <w:p>
      <w:pPr>
        <w:pStyle w:val="TextBody"/>
        <w:bidi w:val="0"/>
        <w:spacing w:lineRule="auto" w:line="288" w:before="180" w:after="283"/>
        <w:jc w:val="both"/>
        <w:rPr/>
      </w:pPr>
      <w:r>
        <w:rPr>
          <w:rFonts w:ascii="Arial;sans-serif" w:hAnsi="Arial;sans-serif"/>
          <w:b w:val="false"/>
          <w:color w:val="000000"/>
          <w:sz w:val="20"/>
        </w:rPr>
        <w:t>The purpose of the alternative investment component is to provide diversification and risk reduction through less correlated investment strategies with the goal of enhanced returns and downside protection. Alternative strategies will not be used if they are designed solely to enhance return and/or employ significant leverage. Diversification of asset categories, investment styles and managers is central to managing investment risk. The alternative investment component is expected to approximate 5%-15% of the pl</w:t>
      </w:r>
      <w:r>
        <w:rPr>
          <w:rFonts w:ascii="Arial;sans-serif" w:hAnsi="Arial;sans-serif"/>
          <w:b w:val="false"/>
          <w:color w:val="000000"/>
          <w:sz w:val="20"/>
          <w:shd w:fill="FFFFFF" w:val="clear"/>
        </w:rPr>
        <w:t>ans’ assets.</w:t>
      </w:r>
    </w:p>
    <w:p>
      <w:pPr>
        <w:pStyle w:val="TextBody"/>
        <w:bidi w:val="0"/>
        <w:spacing w:lineRule="auto" w:line="288" w:before="180" w:after="283"/>
        <w:jc w:val="both"/>
        <w:rPr/>
      </w:pPr>
      <w:r>
        <w:rPr>
          <w:rFonts w:ascii="Arial;sans-serif" w:hAnsi="Arial;sans-serif"/>
          <w:b w:val="false"/>
          <w:color w:val="000000"/>
          <w:sz w:val="20"/>
          <w:shd w:fill="FFFFFF" w:val="clear"/>
        </w:rPr>
        <w:t>The following table presents the defined benefit pension plans’ assets measured at fair v</w:t>
      </w:r>
      <w:r>
        <w:rPr>
          <w:rFonts w:ascii="Arial;sans-serif" w:hAnsi="Arial;sans-serif"/>
          <w:b w:val="false"/>
          <w:color w:val="000000"/>
          <w:sz w:val="20"/>
        </w:rPr>
        <w:t>alue:</w:t>
      </w:r>
    </w:p>
    <w:tbl>
      <w:tblPr>
        <w:tblW w:w="8259" w:type="dxa"/>
        <w:jc w:val="left"/>
        <w:tblInd w:w="0" w:type="dxa"/>
        <w:tblLayout w:type="fixed"/>
        <w:tblCellMar>
          <w:top w:w="28" w:type="dxa"/>
          <w:left w:w="28" w:type="dxa"/>
          <w:bottom w:w="28" w:type="dxa"/>
          <w:right w:w="28" w:type="dxa"/>
        </w:tblCellMar>
      </w:tblPr>
      <w:tblGrid>
        <w:gridCol w:w="1468"/>
        <w:gridCol w:w="1295"/>
        <w:gridCol w:w="1302"/>
        <w:gridCol w:w="211"/>
        <w:gridCol w:w="481"/>
        <w:gridCol w:w="109"/>
        <w:gridCol w:w="109"/>
        <w:gridCol w:w="109"/>
        <w:gridCol w:w="109"/>
        <w:gridCol w:w="211"/>
        <w:gridCol w:w="481"/>
        <w:gridCol w:w="109"/>
        <w:gridCol w:w="109"/>
        <w:gridCol w:w="109"/>
        <w:gridCol w:w="109"/>
        <w:gridCol w:w="222"/>
        <w:gridCol w:w="428"/>
        <w:gridCol w:w="115"/>
        <w:gridCol w:w="109"/>
        <w:gridCol w:w="109"/>
        <w:gridCol w:w="109"/>
        <w:gridCol w:w="211"/>
        <w:gridCol w:w="481"/>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2024</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 Class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and short-term investments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equities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equities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bonds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259" w:type="dxa"/>
        <w:jc w:val="left"/>
        <w:tblInd w:w="0" w:type="dxa"/>
        <w:tblLayout w:type="fixed"/>
        <w:tblCellMar>
          <w:top w:w="28" w:type="dxa"/>
          <w:left w:w="28" w:type="dxa"/>
          <w:bottom w:w="28" w:type="dxa"/>
          <w:right w:w="28" w:type="dxa"/>
        </w:tblCellMar>
      </w:tblPr>
      <w:tblGrid>
        <w:gridCol w:w="1468"/>
        <w:gridCol w:w="1295"/>
        <w:gridCol w:w="1302"/>
        <w:gridCol w:w="211"/>
        <w:gridCol w:w="481"/>
        <w:gridCol w:w="109"/>
        <w:gridCol w:w="109"/>
        <w:gridCol w:w="109"/>
        <w:gridCol w:w="109"/>
        <w:gridCol w:w="211"/>
        <w:gridCol w:w="481"/>
        <w:gridCol w:w="109"/>
        <w:gridCol w:w="109"/>
        <w:gridCol w:w="109"/>
        <w:gridCol w:w="109"/>
        <w:gridCol w:w="222"/>
        <w:gridCol w:w="428"/>
        <w:gridCol w:w="115"/>
        <w:gridCol w:w="109"/>
        <w:gridCol w:w="109"/>
        <w:gridCol w:w="109"/>
        <w:gridCol w:w="211"/>
        <w:gridCol w:w="481"/>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As of December 31, 2023</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 Class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and short-term investments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equities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Non-U.S. equities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Government bonds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bonds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Arial;sans-serif" w:hAnsi="Arial;sans-serif"/>
          <w:b w:val="false"/>
          <w:color w:val="000000"/>
          <w:sz w:val="16"/>
        </w:rPr>
      </w:pPr>
      <w:r>
        <w:rPr>
          <w:rFonts w:ascii="Arial;sans-serif" w:hAnsi="Arial;sans-serif"/>
          <w:b w:val="false"/>
          <w:color w:val="000000"/>
          <w:sz w:val="16"/>
        </w:rPr>
        <w:t>__________</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For the years ended December 31, 2024 and 2023, we purchased and classified investments of $2 million and $11 million, respectively, as Level 3.</w:t>
      </w:r>
    </w:p>
    <w:p>
      <w:pPr>
        <w:pStyle w:val="TextBody"/>
        <w:bidi w:val="0"/>
        <w:spacing w:lineRule="auto" w:line="288" w:before="180" w:after="283"/>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We estimate that future benefit payments from plan assets will be $33 million, $34 million, $35 million, $36 million, $37 million and $197 million for 2025, 2026, 2027, 2028, 2029 and 2030 to 2034, respectively.</w:t>
      </w:r>
    </w:p>
    <w:p>
      <w:pPr>
        <w:pStyle w:val="TextBody"/>
        <w:bidi w:val="0"/>
        <w:spacing w:lineRule="auto" w:line="288" w:before="180" w:after="283"/>
        <w:jc w:val="both"/>
        <w:rPr>
          <w:rFonts w:ascii="Arial;sans-serif" w:hAnsi="Arial;sans-serif"/>
          <w:b/>
          <w:i/>
          <w:color w:val="000000"/>
          <w:sz w:val="20"/>
          <w:shd w:fill="FFFFFF" w:val="clear"/>
        </w:rPr>
      </w:pPr>
      <w:r>
        <w:rPr>
          <w:rFonts w:ascii="Arial;sans-serif" w:hAnsi="Arial;sans-serif"/>
          <w:b/>
          <w:i/>
          <w:color w:val="000000"/>
          <w:sz w:val="20"/>
          <w:shd w:fill="FFFFFF" w:val="clear"/>
        </w:rPr>
        <w:t>Multiemployer Plans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We contribute to a number of multiemployer plans under the terms of collective-bargaining agreements that cover a portion of our employees. The risks of participating in these multiemployer plans are different from single-employer plans in the following aspects: (i) assets contributed to the multiemployer plan by one employer may be used to provide benefits to employees of other participating employers; (ii) if a participating employer stops contributing to the plan, the unfunded obligations of the plan may be borne by the remaining participating employers; (iii) if we elect to stop participating in a multiemployer plan, we may be required to contribute to such plan an amount based on the under-funded status of the plan; and (iv) we have no involvement in the management of the multiemployer plans’ investments. For the years ended December 31, 2024, 2023, and 2022, we contributed $10 million, $10 million and $8 million, respectively, to multiemployer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050"/>
                <wp:effectExtent l="0" t="0" r="0" b="0"/>
                <wp:wrapNone/>
                <wp:docPr id="114" name="Frame9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20.    Financial Instruments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Risk Management</w:t>
      </w:r>
    </w:p>
    <w:p>
      <w:pPr>
        <w:pStyle w:val="TextBody"/>
        <w:bidi w:val="0"/>
        <w:spacing w:lineRule="auto" w:line="288" w:before="180" w:after="283"/>
        <w:jc w:val="both"/>
        <w:rPr/>
      </w:pPr>
      <w:r>
        <w:rPr>
          <w:rFonts w:ascii="Arial;sans-serif" w:hAnsi="Arial;sans-serif"/>
          <w:b w:val="false"/>
          <w:i/>
          <w:color w:val="000000"/>
          <w:sz w:val="20"/>
        </w:rPr>
        <w:t>Currency Risk</w:t>
      </w:r>
      <w:r>
        <w:rPr>
          <w:rFonts w:ascii="Arial;sans-serif" w:hAnsi="Arial;sans-serif"/>
          <w:b w:val="false"/>
          <w:color w:val="000000"/>
          <w:sz w:val="20"/>
        </w:rPr>
        <w:t xml:space="preserve">. We use currency exchange contracts to manage our exposure to changes in currency exchange rates associated with certain of our non-U.S.-dollar denominated receivables and forecasted royalties, forecasted earnings of non-U.S. subsidiaries and forecasted non-U.S. 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 estimated net amount of existing gains or losses we expect to reclassify from accumulated other comprehensive income (loss) to earnings for cash flow and net investment hedges over the next 12 months is not material.</w:t>
      </w:r>
    </w:p>
    <w:p>
      <w:pPr>
        <w:pStyle w:val="TextBody"/>
        <w:bidi w:val="0"/>
        <w:spacing w:lineRule="auto" w:line="288" w:before="180" w:after="283"/>
        <w:jc w:val="both"/>
        <w:rPr/>
      </w:pPr>
      <w:r>
        <w:rPr>
          <w:rFonts w:ascii="Arial;sans-serif" w:hAnsi="Arial;sans-serif"/>
          <w:b w:val="false"/>
          <w:i/>
          <w:color w:val="000000"/>
          <w:sz w:val="20"/>
        </w:rPr>
        <w:t>Interest Rate Risk</w:t>
      </w:r>
      <w:r>
        <w:rPr>
          <w:rFonts w:ascii="Arial;sans-serif" w:hAnsi="Arial;sans-serif"/>
          <w:b w:val="false"/>
          <w:color w:val="000000"/>
          <w:sz w:val="20"/>
        </w:rPr>
        <w:t xml:space="preserve">. We use various hedging strategies including interest rate swaps and interest rate caps to create what we deem an 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$20 million of gain currently recorded in accumulated other comprehensive income (loss) will be recognized in earnings over the next 12 months. </w:t>
      </w:r>
    </w:p>
    <w:p>
      <w:pPr>
        <w:pStyle w:val="TextBody"/>
        <w:bidi w:val="0"/>
        <w:spacing w:lineRule="auto" w:line="288" w:before="180" w:after="283"/>
        <w:jc w:val="both"/>
        <w:rPr/>
      </w:pPr>
      <w:r>
        <w:rPr>
          <w:rFonts w:ascii="Arial;sans-serif" w:hAnsi="Arial;sans-serif"/>
          <w:b w:val="false"/>
          <w:i/>
          <w:color w:val="000000"/>
          <w:sz w:val="20"/>
        </w:rPr>
        <w:t>Commodity Risk.</w:t>
      </w:r>
      <w:r>
        <w:rPr>
          <w:color w:val="000000"/>
        </w:rPr>
        <w:t> </w:t>
      </w:r>
      <w:r>
        <w:rPr>
          <w:rFonts w:ascii="Arial;sans-serif" w:hAnsi="Arial;sans-serif"/>
          <w:b w:val="false"/>
          <w:color w:val="000000"/>
          <w:sz w:val="20"/>
        </w:rPr>
        <w:t>We periodically enter into derivative commodity contracts to manage our exposure to changes in the price of fuel. These instruments were designated as freestanding derivatives and the changes in fair value are recorded in earnings and are presented in the same line of the income statement expected for the hedged item.</w:t>
      </w:r>
    </w:p>
    <w:p>
      <w:pPr>
        <w:pStyle w:val="TextBody"/>
        <w:bidi w:val="0"/>
        <w:spacing w:lineRule="auto" w:line="288" w:before="180" w:after="283"/>
        <w:jc w:val="both"/>
        <w:rPr/>
      </w:pPr>
      <w:r>
        <w:rPr>
          <w:rFonts w:ascii="Arial;sans-serif" w:hAnsi="Arial;sans-serif"/>
          <w:b w:val="false"/>
          <w:i/>
          <w:color w:val="000000"/>
          <w:sz w:val="20"/>
        </w:rPr>
        <w:t>Credit Risk and Exposure</w:t>
      </w:r>
      <w:r>
        <w:rPr>
          <w:rFonts w:ascii="Arial;sans-serif" w:hAnsi="Arial;sans-serif"/>
          <w:b w:val="false"/>
          <w:color w:val="000000"/>
          <w:sz w:val="20"/>
        </w:rPr>
        <w:t>. We are exposed to counterparty credit risks in the event of nonperformance by counterparties to various agreements and sales transactions. We manage such risk by evaluating the financial position and creditworthiness of such counterparties and by requiring collateral in certain instances in which financing is provided. We mitigate counterparty credit risk associated with our derivative contracts by monitoring the amount for which we are at risk with each counterparty, periodically evaluating counterparty creditworthiness and financial position, and where possible, dispersing our risk among multiple counterparties.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There were no significant concentrations of credit risk with any individual counterparty or groups of counterparties at December 31, 2024 or 2023, other than (i) risks related to our repurchase and guaranteed depreciation agreements with domestic and foreign car manufacturers, and primarily with respect to receivables for program cars that were disposed but for which we have not yet received payment from the manufacturers (see Note 2 – Summary of Significant Accounting Policies), (ii) receivables from Realogy and Wyndham related to certain contingent, income tax and other corporate liabilities assumed by Realogy and Wyndham in connection with their disposition, and (iii) risks related to leases which have been assumed by Realogy but of which we are a guarantor. Concentrations of credit risk associated with trade receivables are considered minimal due to our diverse customer base. We do not normally require collateral or other security to support credit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050"/>
                <wp:effectExtent l="0" t="0" r="0" b="0"/>
                <wp:wrapNone/>
                <wp:docPr id="115" name="Frame10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Fair Value</w:t>
      </w:r>
    </w:p>
    <w:p>
      <w:pPr>
        <w:pStyle w:val="TextBody"/>
        <w:bidi w:val="0"/>
        <w:spacing w:lineRule="auto" w:line="288" w:before="180" w:after="283"/>
        <w:jc w:val="both"/>
        <w:rPr>
          <w:rFonts w:ascii="Arial;sans-serif" w:hAnsi="Arial;sans-serif"/>
          <w:b/>
          <w:i/>
          <w:color w:val="000000"/>
          <w:sz w:val="20"/>
        </w:rPr>
      </w:pPr>
      <w:r>
        <w:rPr>
          <w:rFonts w:ascii="Arial;sans-serif" w:hAnsi="Arial;sans-serif"/>
          <w:b/>
          <w:i/>
          <w:color w:val="000000"/>
          <w:sz w:val="20"/>
        </w:rPr>
        <w:t>Derivative instruments and hedging activities</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As described above, derivative assets and liabilities consist principally of currency exchange contracts, interest rate swaps, interest rate caps and commodity contracts. We held derivative instruments with absolute notional values as follows:</w:t>
      </w:r>
    </w:p>
    <w:tbl>
      <w:tblPr>
        <w:tblW w:w="4628"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contracts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Represents $8.9 billion of interest rate caps sold and approximately $3.1 billion of interest rate caps purchased at December 31, 2024 and $10.3 billion of interest rate caps sold and approximately $4.9 billion of interest rate caps purchased at December 31, 2023. These amounts exclude $5.8 billion and $5.9 billion of interest rate caps purchased by our Avis Budget Rental Car Funding subsidiary at December 31, 2024 and 2023, respectively, as it is not consolidated by us.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Estimated fair values (Level 2) of derivative instruments are as follows:</w:t>
      </w:r>
    </w:p>
    <w:tbl>
      <w:tblPr>
        <w:tblW w:w="10205" w:type="dxa"/>
        <w:jc w:val="left"/>
        <w:tblInd w:w="0" w:type="dxa"/>
        <w:tblLayout w:type="fixed"/>
        <w:tblCellMar>
          <w:top w:w="28" w:type="dxa"/>
          <w:left w:w="28" w:type="dxa"/>
          <w:bottom w:w="28" w:type="dxa"/>
          <w:right w:w="28" w:type="dxa"/>
        </w:tblCellMar>
      </w:tblPr>
      <w:tblGrid>
        <w:gridCol w:w="1167"/>
        <w:gridCol w:w="1025"/>
        <w:gridCol w:w="1027"/>
        <w:gridCol w:w="436"/>
        <w:gridCol w:w="747"/>
        <w:gridCol w:w="228"/>
        <w:gridCol w:w="129"/>
        <w:gridCol w:w="129"/>
        <w:gridCol w:w="129"/>
        <w:gridCol w:w="436"/>
        <w:gridCol w:w="841"/>
        <w:gridCol w:w="227"/>
        <w:gridCol w:w="109"/>
        <w:gridCol w:w="109"/>
        <w:gridCol w:w="109"/>
        <w:gridCol w:w="436"/>
        <w:gridCol w:w="747"/>
        <w:gridCol w:w="228"/>
        <w:gridCol w:w="128"/>
        <w:gridCol w:w="128"/>
        <w:gridCol w:w="128"/>
        <w:gridCol w:w="424"/>
        <w:gridCol w:w="816"/>
        <w:gridCol w:w="322"/>
      </w:tblGrid>
      <w:tr>
        <w:trPr/>
        <w:tc>
          <w:tcPr>
            <w:tcW w:w="116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2023</w:t>
            </w:r>
          </w:p>
        </w:tc>
      </w:tr>
      <w:tr>
        <w:trPr/>
        <w:tc>
          <w:tcPr>
            <w:tcW w:w="3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Asset </w:t>
              <w:br/>
              <w:t>Derivatives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Liability </w:t>
              <w:br/>
              <w:t>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Asset </w:t>
              <w:br/>
              <w:t>Derivatives</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Fair Value, Liability </w:t>
              <w:br/>
              <w:t>Derivatives</w:t>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Derivatives designated as hedging instruments</w:t>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swaps </w:t>
            </w:r>
            <w:r>
              <w:rPr>
                <w:rFonts w:ascii="Arial;sans-serif" w:hAnsi="Arial;sans-serif"/>
                <w:b w:val="false"/>
                <w:color w:val="000000"/>
                <w:sz w:val="12"/>
              </w:rPr>
              <w:t>(a)</w:t>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Derivatives not designated as hedging instruments</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Foreign exchange contracts </w:t>
            </w:r>
            <w:r>
              <w:rPr>
                <w:rFonts w:ascii="Arial;sans-serif" w:hAnsi="Arial;sans-serif"/>
                <w:b w:val="false"/>
                <w:color w:val="000000"/>
                <w:sz w:val="12"/>
              </w:rPr>
              <w:t>(b)</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(c)</w:t>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3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9"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r>
      <w:tr>
        <w:trPr/>
        <w:tc>
          <w:tcPr>
            <w:tcW w:w="3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3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16 – Stockholders' Equity.</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Included in other non-current assets or other non-current liabilities.</w:t>
      </w:r>
    </w:p>
    <w:p>
      <w:pPr>
        <w:pStyle w:val="TextBody"/>
        <w:bidi w:val="0"/>
        <w:spacing w:lineRule="auto" w:line="288" w:before="0" w:after="0"/>
        <w:ind w:left="0" w:right="0" w:hanging="360"/>
        <w:jc w:val="left"/>
        <w:rPr/>
      </w:pPr>
      <w:r>
        <w:rPr>
          <w:rFonts w:ascii="Arial;sans-serif" w:hAnsi="Arial;sans-serif"/>
          <w:b w:val="false"/>
          <w:color w:val="000000"/>
          <w:sz w:val="10"/>
        </w:rPr>
        <w:t>(b)</w:t>
      </w:r>
      <w:r>
        <w:rPr>
          <w:rFonts w:ascii="Arial;sans-serif" w:hAnsi="Arial;sans-serif"/>
          <w:b w:val="false"/>
          <w:color w:val="000000"/>
          <w:sz w:val="16"/>
        </w:rPr>
        <w:t>Included in other current assets or other current liabilities.</w:t>
      </w:r>
    </w:p>
    <w:p>
      <w:pPr>
        <w:pStyle w:val="TextBody"/>
        <w:bidi w:val="0"/>
        <w:spacing w:lineRule="auto" w:line="288" w:before="0" w:after="0"/>
        <w:ind w:left="0" w:right="0" w:hanging="360"/>
        <w:jc w:val="left"/>
        <w:rPr/>
      </w:pPr>
      <w:r>
        <w:rPr>
          <w:rFonts w:ascii="Arial;sans-serif" w:hAnsi="Arial;sans-serif"/>
          <w:b w:val="false"/>
          <w:color w:val="000000"/>
          <w:sz w:val="10"/>
        </w:rPr>
        <w:t>(c)</w:t>
      </w:r>
      <w:r>
        <w:rPr>
          <w:rFonts w:ascii="Arial;sans-serif" w:hAnsi="Arial;sans-serif"/>
          <w:b w:val="false"/>
          <w:color w:val="000000"/>
          <w:sz w:val="16"/>
        </w:rPr>
        <w:t>Included in assets under vehicle programs or liabilities under vehicle programs.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050"/>
                <wp:effectExtent l="0" t="0" r="0" b="0"/>
                <wp:wrapNone/>
                <wp:docPr id="116" name="Frame10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effects of derivatives recognized in our Consolidated Financial Statements are as follows:</w:t>
      </w:r>
    </w:p>
    <w:tbl>
      <w:tblPr>
        <w:tblW w:w="8411" w:type="dxa"/>
        <w:jc w:val="left"/>
        <w:tblInd w:w="0" w:type="dxa"/>
        <w:tblLayout w:type="fixed"/>
        <w:tblCellMar>
          <w:top w:w="28" w:type="dxa"/>
          <w:left w:w="28" w:type="dxa"/>
          <w:bottom w:w="28" w:type="dxa"/>
          <w:right w:w="28" w:type="dxa"/>
        </w:tblCellMar>
      </w:tblPr>
      <w:tblGrid>
        <w:gridCol w:w="2000"/>
        <w:gridCol w:w="1757"/>
        <w:gridCol w:w="1762"/>
        <w:gridCol w:w="211"/>
        <w:gridCol w:w="331"/>
        <w:gridCol w:w="109"/>
        <w:gridCol w:w="109"/>
        <w:gridCol w:w="109"/>
        <w:gridCol w:w="109"/>
        <w:gridCol w:w="211"/>
        <w:gridCol w:w="436"/>
        <w:gridCol w:w="109"/>
        <w:gridCol w:w="109"/>
        <w:gridCol w:w="109"/>
        <w:gridCol w:w="109"/>
        <w:gridCol w:w="211"/>
        <w:gridCol w:w="466"/>
        <w:gridCol w:w="154"/>
      </w:tblGrid>
      <w:tr>
        <w:trPr/>
        <w:tc>
          <w:tcPr>
            <w:tcW w:w="200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 Ended December 31,</w:t>
            </w:r>
          </w:p>
        </w:tc>
      </w:tr>
      <w:tr>
        <w:trPr/>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2022</w:t>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Financial instruments designated as hedging instruments </w:t>
            </w:r>
            <w:r>
              <w:rPr>
                <w:rFonts w:ascii="Arial;sans-serif" w:hAnsi="Arial;sans-serif"/>
                <w:b w:val="false"/>
                <w:color w:val="000000"/>
                <w:sz w:val="12"/>
              </w:rPr>
              <w:t>(a)</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swaps </w:t>
            </w:r>
            <w:r>
              <w:rPr>
                <w:rFonts w:ascii="Arial;sans-serif" w:hAnsi="Arial;sans-serif"/>
                <w:b w:val="false"/>
                <w:color w:val="000000"/>
                <w:sz w:val="12"/>
              </w:rPr>
              <w:t>(b)</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Euro-denominated notes </w:t>
            </w:r>
            <w:r>
              <w:rPr>
                <w:rFonts w:ascii="Arial;sans-serif" w:hAnsi="Arial;sans-serif"/>
                <w:b w:val="false"/>
                <w:color w:val="000000"/>
                <w:sz w:val="12"/>
              </w:rPr>
              <w:t>(c)</w:t>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Financial instruments not designated as hedging instruments </w:t>
            </w:r>
            <w:r>
              <w:rPr>
                <w:rFonts w:ascii="Arial;sans-serif" w:hAnsi="Arial;sans-serif"/>
                <w:b w:val="false"/>
                <w:color w:val="000000"/>
                <w:sz w:val="12"/>
              </w:rPr>
              <w:t>(d)</w:t>
            </w:r>
          </w:p>
        </w:tc>
        <w:tc>
          <w:tcPr>
            <w:tcW w:w="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Foreign exchange contracts </w:t>
            </w:r>
            <w:r>
              <w:rPr>
                <w:rFonts w:ascii="Arial;sans-serif" w:hAnsi="Arial;sans-serif"/>
                <w:b w:val="false"/>
                <w:color w:val="000000"/>
                <w:sz w:val="12"/>
              </w:rPr>
              <w:t>(e)</w:t>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caps </w:t>
            </w:r>
            <w:r>
              <w:rPr>
                <w:rFonts w:ascii="Arial;sans-serif" w:hAnsi="Arial;sans-serif"/>
                <w:b w:val="false"/>
                <w:color w:val="000000"/>
                <w:sz w:val="12"/>
              </w:rPr>
              <w:t>(f)</w:t>
            </w:r>
          </w:p>
        </w:tc>
        <w:tc>
          <w:tcPr>
            <w:tcW w:w="5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9"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Recognized, net of tax, as a component of accumulated other comprehensive income (loss) within stockholders’ equity.</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Classified as a net unrealized gain (loss) on cash flow hedges in accumulated other comprehensive income (loss). Refer to Note 16 – Stockholders' Equity for amounts reclassified from accumulated other comprehensive income (loss) into earnings.</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Classified as a net investment hedge within currency translation adjustments in accumulated other comprehensive income (loss).</w:t>
      </w:r>
    </w:p>
    <w:p>
      <w:pPr>
        <w:pStyle w:val="TextBody"/>
        <w:bidi w:val="0"/>
        <w:spacing w:lineRule="auto" w:line="288" w:before="0" w:after="0"/>
        <w:ind w:left="0" w:right="0" w:hanging="360"/>
        <w:jc w:val="both"/>
        <w:rPr/>
      </w:pPr>
      <w:r>
        <w:rPr>
          <w:rFonts w:ascii="Arial;sans-serif" w:hAnsi="Arial;sans-serif"/>
          <w:b w:val="false"/>
          <w:color w:val="000000"/>
          <w:sz w:val="10"/>
        </w:rPr>
        <w:t>(d)</w:t>
      </w:r>
      <w:r>
        <w:rPr>
          <w:rFonts w:ascii="Arial;sans-serif" w:hAnsi="Arial;sans-serif"/>
          <w:b w:val="false"/>
          <w:color w:val="000000"/>
          <w:sz w:val="16"/>
        </w:rPr>
        <w:t>Gains (losses) related to derivative instruments are expected to be largely offset by (losses) gains on the underlying exposures being hedged.</w:t>
      </w:r>
    </w:p>
    <w:p>
      <w:pPr>
        <w:pStyle w:val="TextBody"/>
        <w:bidi w:val="0"/>
        <w:spacing w:lineRule="auto" w:line="288" w:before="0" w:after="0"/>
        <w:ind w:left="0" w:right="0" w:hanging="360"/>
        <w:jc w:val="both"/>
        <w:rPr/>
      </w:pPr>
      <w:r>
        <w:rPr>
          <w:rFonts w:ascii="Arial;sans-serif" w:hAnsi="Arial;sans-serif"/>
          <w:b w:val="false"/>
          <w:color w:val="000000"/>
          <w:sz w:val="10"/>
        </w:rPr>
        <w:t>(e)</w:t>
      </w:r>
      <w:r>
        <w:rPr>
          <w:rFonts w:ascii="Arial;sans-serif" w:hAnsi="Arial;sans-serif"/>
          <w:b w:val="false"/>
          <w:color w:val="000000"/>
          <w:sz w:val="16"/>
        </w:rPr>
        <w:t>For the year ended December 31, 2024, included a $47 million loss in interest expense. For the year ended December 31, 2023, included a $14 million loss in interest expense and a $2 million gain in operating expenses. For the year ended December 31, 2022, included a $39 million gain in interest expense and a $3 million loss in operating expenses.</w:t>
      </w:r>
    </w:p>
    <w:p>
      <w:pPr>
        <w:pStyle w:val="TextBody"/>
        <w:bidi w:val="0"/>
        <w:spacing w:lineRule="auto" w:line="288" w:before="0" w:after="0"/>
        <w:ind w:left="0" w:right="0" w:hanging="360"/>
        <w:jc w:val="both"/>
        <w:rPr/>
      </w:pPr>
      <w:r>
        <w:rPr>
          <w:rFonts w:ascii="Arial;sans-serif" w:hAnsi="Arial;sans-serif"/>
          <w:b w:val="false"/>
          <w:color w:val="000000"/>
          <w:sz w:val="10"/>
        </w:rPr>
        <w:t>(f)</w:t>
      </w:r>
      <w:r>
        <w:rPr>
          <w:rFonts w:ascii="Arial;sans-serif" w:hAnsi="Arial;sans-serif"/>
          <w:b w:val="false"/>
          <w:color w:val="000000"/>
          <w:sz w:val="16"/>
        </w:rPr>
        <w:t>Primarily included in vehicle interest, net.</w:t>
      </w:r>
    </w:p>
    <w:p>
      <w:pPr>
        <w:pStyle w:val="TextBody"/>
        <w:bidi w:val="0"/>
        <w:spacing w:lineRule="auto" w:line="288" w:before="180" w:after="283"/>
        <w:jc w:val="both"/>
        <w:rPr>
          <w:rFonts w:ascii="Arial;sans-serif" w:hAnsi="Arial;sans-serif"/>
          <w:b/>
          <w:color w:val="000000"/>
          <w:sz w:val="20"/>
        </w:rPr>
      </w:pPr>
      <w:r>
        <w:rPr>
          <w:rFonts w:ascii="Arial;sans-serif" w:hAnsi="Arial;sans-serif"/>
          <w:b/>
          <w:color w:val="000000"/>
          <w:sz w:val="20"/>
        </w:rPr>
        <w:t>Debt Instruments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carrying amounts and estimated fair values (Level 2) of debt instruments are as follows:</w:t>
      </w:r>
    </w:p>
    <w:tbl>
      <w:tblPr>
        <w:tblW w:w="10205" w:type="dxa"/>
        <w:jc w:val="left"/>
        <w:tblInd w:w="0" w:type="dxa"/>
        <w:tblLayout w:type="fixed"/>
        <w:tblCellMar>
          <w:top w:w="28" w:type="dxa"/>
          <w:left w:w="28" w:type="dxa"/>
          <w:bottom w:w="28" w:type="dxa"/>
          <w:right w:w="28" w:type="dxa"/>
        </w:tblCellMar>
      </w:tblPr>
      <w:tblGrid>
        <w:gridCol w:w="1365"/>
        <w:gridCol w:w="1043"/>
        <w:gridCol w:w="1050"/>
        <w:gridCol w:w="272"/>
        <w:gridCol w:w="931"/>
        <w:gridCol w:w="140"/>
        <w:gridCol w:w="109"/>
        <w:gridCol w:w="109"/>
        <w:gridCol w:w="109"/>
        <w:gridCol w:w="307"/>
        <w:gridCol w:w="1049"/>
        <w:gridCol w:w="158"/>
        <w:gridCol w:w="109"/>
        <w:gridCol w:w="109"/>
        <w:gridCol w:w="109"/>
        <w:gridCol w:w="272"/>
        <w:gridCol w:w="931"/>
        <w:gridCol w:w="140"/>
        <w:gridCol w:w="109"/>
        <w:gridCol w:w="109"/>
        <w:gridCol w:w="109"/>
        <w:gridCol w:w="303"/>
        <w:gridCol w:w="1036"/>
        <w:gridCol w:w="227"/>
      </w:tblGrid>
      <w:tr>
        <w:trPr/>
        <w:tc>
          <w:tcPr>
            <w:tcW w:w="136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As of December 31, 2023</w:t>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Estimated Fair Value</w:t>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debt</w:t>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and current portion of long-term debt</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4,812 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Debt under vehicle programs</w:t>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Vehicle-backed debt due to Avis Budget Rental Car Funding</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15,441 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15,238 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Vehicle-backed debt</w:t>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3,435 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Interest rate swaps and interest rate caps </w:t>
            </w:r>
            <w:r>
              <w:rPr>
                <w:rFonts w:ascii="Arial;sans-serif" w:hAnsi="Arial;sans-serif"/>
                <w:b w:val="false"/>
                <w:color w:val="000000"/>
                <w:sz w:val="12"/>
              </w:rPr>
              <w:t>(a)</w:t>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2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Derivatives in a liability position.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21.    Segment Information</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Our chief executive officer who also serves as our chief operating decision-maker (“CODM”) assesses performance and allocates resources based upon the separate financial information of our operating segments. We aggregate certain of our operating segments into our reportable segments. In identifying our reportable segments, we also consider the management structure of the organization, the nature of services provided by our operating segments, the geographical areas and economic characteristics in which the segments operate, and other relevant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050"/>
                <wp:effectExtent l="0" t="0" r="0" b="0"/>
                <wp:wrapNone/>
                <wp:docPr id="117" name="Frame10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 xml:space="preserve">Our CODM evaluates the operating results of each of our reportable segments based upon revenues and Adjusted EBITDA, which we define as income (loss) from continuing operations before non-vehicle related depreciation and amortization; long-lived asset impairment and other related charges; restructuring and other related charges; early extinguishment of debt costs; non-vehicle related interest; transaction-related costs, net; legal matters, net, which includes amounts recorded in excess of $5 million, related primarily to unprecedented self-insurance reserves for allocated loss adjustment expense, class action lawsuits and personal injury matters; non-operational charges related to shareholder activist activity, which includes third-party advisory, legal and other professional fees; COVID-19 charges, net; cloud computing costs; other (income) expense, net; severe weather-related damages in excess of $5 million, net of insurance proceeds; and income taxes. </w:t>
      </w:r>
    </w:p>
    <w:p>
      <w:pPr>
        <w:pStyle w:val="TextBody"/>
        <w:bidi w:val="0"/>
        <w:spacing w:lineRule="auto" w:line="268" w:before="180" w:after="283"/>
        <w:jc w:val="both"/>
        <w:rPr>
          <w:rFonts w:ascii="Arial;sans-serif" w:hAnsi="Arial;sans-serif"/>
          <w:b w:val="false"/>
          <w:color w:val="000000"/>
          <w:sz w:val="20"/>
        </w:rPr>
      </w:pPr>
      <w:r>
        <w:rPr>
          <w:rFonts w:ascii="Arial;sans-serif" w:hAnsi="Arial;sans-serif"/>
          <w:b w:val="false"/>
          <w:color w:val="000000"/>
          <w:sz w:val="20"/>
        </w:rPr>
        <w:t>We have revised our definition of Adjusted EBITDA to exclude severe weather-related damages in excess of $5 million, net of insurance proceeds. We did not revise prior years' Adjusted EBITDA amounts because there were no other charges similar in nature to these. 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w:t>
      </w:r>
    </w:p>
    <w:p>
      <w:pPr>
        <w:pStyle w:val="TextBody"/>
        <w:bidi w:val="0"/>
        <w:spacing w:lineRule="auto" w:line="288" w:before="180" w:after="283"/>
        <w:jc w:val="both"/>
        <w:rPr>
          <w:rFonts w:ascii="Arial;sans-serif" w:hAnsi="Arial;sans-serif"/>
          <w:b w:val="false"/>
          <w:color w:val="000000"/>
          <w:sz w:val="20"/>
        </w:rPr>
      </w:pPr>
      <w:r>
        <w:rPr>
          <w:rFonts w:ascii="Arial;sans-serif" w:hAnsi="Arial;sans-serif"/>
          <w:b w:val="false"/>
          <w:color w:val="000000"/>
          <w:sz w:val="20"/>
        </w:rPr>
        <w:t>Provided below is information about our revenues, significant segment expenses, reportable segment Adjusted EBITDA and a reconciliation of reportable segment Adjusted EBITDA to income (loss) before income taxes.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Year Ended December 31, 2024</w:t>
      </w:r>
    </w:p>
    <w:tbl>
      <w:tblPr>
        <w:tblW w:w="10205" w:type="dxa"/>
        <w:jc w:val="left"/>
        <w:tblInd w:w="0" w:type="dxa"/>
        <w:tblLayout w:type="fixed"/>
        <w:tblCellMar>
          <w:top w:w="28" w:type="dxa"/>
          <w:left w:w="28" w:type="dxa"/>
          <w:bottom w:w="28" w:type="dxa"/>
          <w:right w:w="28" w:type="dxa"/>
        </w:tblCellMar>
      </w:tblPr>
      <w:tblGrid>
        <w:gridCol w:w="2389"/>
        <w:gridCol w:w="1887"/>
        <w:gridCol w:w="1905"/>
        <w:gridCol w:w="213"/>
        <w:gridCol w:w="652"/>
        <w:gridCol w:w="111"/>
        <w:gridCol w:w="109"/>
        <w:gridCol w:w="109"/>
        <w:gridCol w:w="109"/>
        <w:gridCol w:w="278"/>
        <w:gridCol w:w="853"/>
        <w:gridCol w:w="145"/>
        <w:gridCol w:w="109"/>
        <w:gridCol w:w="109"/>
        <w:gridCol w:w="109"/>
        <w:gridCol w:w="211"/>
        <w:gridCol w:w="751"/>
        <w:gridCol w:w="156"/>
      </w:tblGrid>
      <w:tr>
        <w:trPr/>
        <w:tc>
          <w:tcPr>
            <w:tcW w:w="238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2,678 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Significant segment expenses: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w:t>
            </w:r>
            <w:r>
              <w:rPr>
                <w:rFonts w:ascii="Arial;sans-serif" w:hAnsi="Arial;sans-serif"/>
                <w:b w:val="false"/>
                <w:color w:val="000000"/>
                <w:sz w:val="13"/>
              </w:rPr>
              <w:t>(a)</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Reportable segment Adjusted EBITDA</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reportable segment Adjusted EBITDA to 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Long-lived asset impairment and other related charges</w:t>
            </w:r>
            <w:r>
              <w:rPr>
                <w:color w:val="000000"/>
              </w:rPr>
              <w:t xml:space="preserve"> </w:t>
            </w:r>
            <w:r>
              <w:rPr>
                <w:rFonts w:ascii="Arial;sans-serif" w:hAnsi="Arial;sans-serif"/>
                <w:b w:val="false"/>
                <w:color w:val="000000"/>
                <w:sz w:val="13"/>
              </w:rPr>
              <w:t>(b)</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matters, net; cloud computing costs; and severe weather-related damages,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(c)</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(2,627)</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Excludes legal matters, net; cloud computing costs; and severe weather-related damages, net.</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Includes an impairment charge of approximately $2.3 billion related to the acceleration of the rotation of our fleet and a charge of $180 million related to the write-down of the carrying value of certain vehicles held for sale within our Americas reportable segment. See Note 2 – Summary of Significant Accounting Policies – Impairment of Long-Lived Assets.</w:t>
      </w:r>
    </w:p>
    <w:p>
      <w:pPr>
        <w:pStyle w:val="TextBody"/>
        <w:bidi w:val="0"/>
        <w:spacing w:lineRule="auto" w:line="288" w:before="0" w:after="0"/>
        <w:ind w:left="0" w:right="0" w:hanging="360"/>
        <w:jc w:val="both"/>
        <w:rPr/>
      </w:pPr>
      <w:r>
        <w:rPr>
          <w:rFonts w:ascii="Arial;sans-serif" w:hAnsi="Arial;sans-serif"/>
          <w:b w:val="false"/>
          <w:color w:val="000000"/>
          <w:sz w:val="10"/>
        </w:rPr>
        <w:t>(c)</w:t>
      </w:r>
      <w:r>
        <w:rPr>
          <w:rFonts w:ascii="Arial;sans-serif" w:hAnsi="Arial;sans-serif"/>
          <w:b w:val="false"/>
          <w:color w:val="000000"/>
          <w:sz w:val="16"/>
        </w:rPr>
        <w:t>Includes unallocated corporate expenses, including $354 million and $19 million in interest expense and early extinguishment of debt, respectively, which are not attributable to a particular reportable segment.</w:t>
      </w:r>
    </w:p>
    <w:p>
      <w:pPr>
        <w:pStyle w:val="TextBody"/>
        <w:bidi w:val="0"/>
        <w:spacing w:before="0" w:after="0"/>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050"/>
                <wp:effectExtent l="0" t="0" r="0" b="0"/>
                <wp:wrapNone/>
                <wp:docPr id="118" name="Frame10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Year Ended December 31, 2023</w:t>
      </w:r>
    </w:p>
    <w:tbl>
      <w:tblPr>
        <w:tblW w:w="10205" w:type="dxa"/>
        <w:jc w:val="left"/>
        <w:tblInd w:w="0" w:type="dxa"/>
        <w:tblLayout w:type="fixed"/>
        <w:tblCellMar>
          <w:top w:w="28" w:type="dxa"/>
          <w:left w:w="28" w:type="dxa"/>
          <w:bottom w:w="28" w:type="dxa"/>
          <w:right w:w="28" w:type="dxa"/>
        </w:tblCellMar>
      </w:tblPr>
      <w:tblGrid>
        <w:gridCol w:w="2389"/>
        <w:gridCol w:w="1887"/>
        <w:gridCol w:w="1905"/>
        <w:gridCol w:w="213"/>
        <w:gridCol w:w="652"/>
        <w:gridCol w:w="111"/>
        <w:gridCol w:w="109"/>
        <w:gridCol w:w="109"/>
        <w:gridCol w:w="109"/>
        <w:gridCol w:w="278"/>
        <w:gridCol w:w="853"/>
        <w:gridCol w:w="145"/>
        <w:gridCol w:w="109"/>
        <w:gridCol w:w="109"/>
        <w:gridCol w:w="109"/>
        <w:gridCol w:w="211"/>
        <w:gridCol w:w="751"/>
        <w:gridCol w:w="156"/>
      </w:tblGrid>
      <w:tr>
        <w:trPr/>
        <w:tc>
          <w:tcPr>
            <w:tcW w:w="238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9,347 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2,661 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Significant segment expenses: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w:t>
            </w:r>
            <w:r>
              <w:rPr>
                <w:rFonts w:ascii="Arial;sans-serif" w:hAnsi="Arial;sans-serif"/>
                <w:b w:val="false"/>
                <w:color w:val="000000"/>
                <w:sz w:val="13"/>
              </w:rPr>
              <w:t>(a)</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Reportable segment Adjusted EBITDA</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reportable segment Adjusted EBITDA to 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Legal matters, net and cloud computing costs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1,914 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Excludes legal matters, net and cloud computing costs.</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Includes unallocated corporate expenses, including $302 million and $5 million in interest expense and early extinguishment of debt, respectively, which are not attributable to a particular reportable segment.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Year Ended December 31, 2022</w:t>
      </w:r>
    </w:p>
    <w:tbl>
      <w:tblPr>
        <w:tblW w:w="10205" w:type="dxa"/>
        <w:jc w:val="left"/>
        <w:tblInd w:w="0" w:type="dxa"/>
        <w:tblLayout w:type="fixed"/>
        <w:tblCellMar>
          <w:top w:w="28" w:type="dxa"/>
          <w:left w:w="28" w:type="dxa"/>
          <w:bottom w:w="28" w:type="dxa"/>
          <w:right w:w="28" w:type="dxa"/>
        </w:tblCellMar>
      </w:tblPr>
      <w:tblGrid>
        <w:gridCol w:w="2389"/>
        <w:gridCol w:w="1887"/>
        <w:gridCol w:w="1905"/>
        <w:gridCol w:w="213"/>
        <w:gridCol w:w="652"/>
        <w:gridCol w:w="111"/>
        <w:gridCol w:w="109"/>
        <w:gridCol w:w="109"/>
        <w:gridCol w:w="109"/>
        <w:gridCol w:w="278"/>
        <w:gridCol w:w="853"/>
        <w:gridCol w:w="145"/>
        <w:gridCol w:w="109"/>
        <w:gridCol w:w="109"/>
        <w:gridCol w:w="109"/>
        <w:gridCol w:w="211"/>
        <w:gridCol w:w="751"/>
        <w:gridCol w:w="156"/>
      </w:tblGrid>
      <w:tr>
        <w:trPr/>
        <w:tc>
          <w:tcPr>
            <w:tcW w:w="238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9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9,474 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11,994 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Significant segment expenses: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Operating </w:t>
            </w:r>
            <w:r>
              <w:rPr>
                <w:rFonts w:ascii="Arial;sans-serif" w:hAnsi="Arial;sans-serif"/>
                <w:b w:val="false"/>
                <w:color w:val="000000"/>
                <w:sz w:val="13"/>
              </w:rPr>
              <w:t>(a)</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depreciation and lease charges,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Vehicle interest, net</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Reportable segment Adjusted EBITDA</w:t>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4,220 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Reconciliation of reportable segment Adjusted EBITDA to 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Non-vehicle related depreciation and amortization</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related to corporate debt,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other related charges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Transaction-related costs,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6"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Cloud computing costs; COVID-19 charges, net; and legal matters, net</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Corporate and other </w:t>
            </w:r>
            <w:r>
              <w:rPr>
                <w:rFonts w:ascii="Arial;sans-serif" w:hAnsi="Arial;sans-serif"/>
                <w:b w:val="false"/>
                <w:color w:val="000000"/>
                <w:sz w:val="13"/>
              </w:rPr>
              <w:t>(b)</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(loss) before income taxes</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3,636 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both"/>
        <w:rPr/>
      </w:pPr>
      <w:r>
        <w:rPr>
          <w:rFonts w:ascii="Arial;sans-serif" w:hAnsi="Arial;sans-serif"/>
          <w:b w:val="false"/>
          <w:color w:val="000000"/>
          <w:sz w:val="10"/>
        </w:rPr>
        <w:t>(a)</w:t>
      </w:r>
      <w:r>
        <w:rPr>
          <w:rFonts w:ascii="Arial;sans-serif" w:hAnsi="Arial;sans-serif"/>
          <w:b w:val="false"/>
          <w:color w:val="000000"/>
          <w:sz w:val="16"/>
        </w:rPr>
        <w:t>Excludes cloud computing costs; COVID-19 charges, net; and legal matters, net.</w:t>
      </w:r>
    </w:p>
    <w:p>
      <w:pPr>
        <w:pStyle w:val="TextBody"/>
        <w:bidi w:val="0"/>
        <w:spacing w:lineRule="auto" w:line="288" w:before="0" w:after="0"/>
        <w:ind w:left="0" w:right="0" w:hanging="360"/>
        <w:jc w:val="both"/>
        <w:rPr/>
      </w:pPr>
      <w:r>
        <w:rPr>
          <w:rFonts w:ascii="Arial;sans-serif" w:hAnsi="Arial;sans-serif"/>
          <w:b w:val="false"/>
          <w:color w:val="000000"/>
          <w:sz w:val="10"/>
        </w:rPr>
        <w:t>(b)</w:t>
      </w:r>
      <w:r>
        <w:rPr>
          <w:rFonts w:ascii="Arial;sans-serif" w:hAnsi="Arial;sans-serif"/>
          <w:b w:val="false"/>
          <w:color w:val="000000"/>
          <w:sz w:val="16"/>
        </w:rPr>
        <w:t>Includes unallocated corporate expenses, including $247 million in interest expense, which are not attributable to a particular reportable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050"/>
                <wp:effectExtent l="0" t="0" r="0" b="0"/>
                <wp:wrapNone/>
                <wp:docPr id="119" name="Frame10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Provided below is information about our segment assets.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9"/>
        <w:gridCol w:w="1297"/>
        <w:gridCol w:w="1313"/>
        <w:gridCol w:w="257"/>
        <w:gridCol w:w="586"/>
        <w:gridCol w:w="133"/>
        <w:gridCol w:w="109"/>
        <w:gridCol w:w="109"/>
        <w:gridCol w:w="109"/>
        <w:gridCol w:w="386"/>
        <w:gridCol w:w="689"/>
        <w:gridCol w:w="201"/>
        <w:gridCol w:w="109"/>
        <w:gridCol w:w="109"/>
        <w:gridCol w:w="109"/>
        <w:gridCol w:w="519"/>
        <w:gridCol w:w="1187"/>
        <w:gridCol w:w="269"/>
        <w:gridCol w:w="109"/>
        <w:gridCol w:w="109"/>
        <w:gridCol w:w="109"/>
        <w:gridCol w:w="228"/>
        <w:gridCol w:w="523"/>
        <w:gridCol w:w="157"/>
      </w:tblGrid>
      <w:tr>
        <w:trPr/>
        <w:tc>
          <w:tcPr>
            <w:tcW w:w="147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 xml:space="preserve">Unallocated Assets </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additions</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16,058 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additions</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6,533 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additions</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57"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14,269 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8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761 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 </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Includes unallocated corporate assets which are not attributable to a particular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Provided below is information classified based on the geographic location of our subsidiaries.</w:t>
      </w:r>
    </w:p>
    <w:p>
      <w:pPr>
        <w:pStyle w:val="TextBody"/>
        <w:bidi w:val="0"/>
        <w:spacing w:before="0" w:after="0"/>
        <w:jc w:val="both"/>
        <w:rPr/>
      </w:pPr>
      <w:r>
        <w:rPr/>
      </w:r>
    </w:p>
    <w:tbl>
      <w:tblPr>
        <w:tblW w:w="9568" w:type="dxa"/>
        <w:jc w:val="left"/>
        <w:tblInd w:w="0" w:type="dxa"/>
        <w:tblLayout w:type="fixed"/>
        <w:tblCellMar>
          <w:top w:w="28" w:type="dxa"/>
          <w:left w:w="28" w:type="dxa"/>
          <w:bottom w:w="28" w:type="dxa"/>
          <w:right w:w="28" w:type="dxa"/>
        </w:tblCellMar>
      </w:tblPr>
      <w:tblGrid>
        <w:gridCol w:w="1657"/>
        <w:gridCol w:w="1454"/>
        <w:gridCol w:w="1463"/>
        <w:gridCol w:w="291"/>
        <w:gridCol w:w="893"/>
        <w:gridCol w:w="150"/>
        <w:gridCol w:w="109"/>
        <w:gridCol w:w="109"/>
        <w:gridCol w:w="109"/>
        <w:gridCol w:w="411"/>
        <w:gridCol w:w="1263"/>
        <w:gridCol w:w="216"/>
        <w:gridCol w:w="109"/>
        <w:gridCol w:w="109"/>
        <w:gridCol w:w="109"/>
        <w:gridCol w:w="211"/>
        <w:gridCol w:w="751"/>
        <w:gridCol w:w="154"/>
      </w:tblGrid>
      <w:tr>
        <w:trPr/>
        <w:tc>
          <w:tcPr>
            <w:tcW w:w="1657"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All Other Countries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Total</w:t>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2024</w:t>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6,720 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15,295 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4,078 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19,373 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3,233 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12,008 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18,228 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22,979 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981 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2022</w:t>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29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8,975 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6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exclusive of 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5,622 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2,877 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 under vehicle programs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17,428 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long-lived assets</w:t>
            </w:r>
          </w:p>
        </w:tc>
        <w:tc>
          <w:tcPr>
            <w:tcW w:w="11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050"/>
                <wp:effectExtent l="0" t="0" r="0" b="0"/>
                <wp:wrapNone/>
                <wp:docPr id="120" name="Frame10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540"/>
        <w:jc w:val="left"/>
        <w:rPr>
          <w:color w:val="000000"/>
        </w:rPr>
      </w:pPr>
      <w:r>
        <w:rPr>
          <w:color w:val="000000"/>
        </w:rPr>
        <w:t> </w:t>
      </w:r>
      <w:r>
        <w:rPr>
          <w:rFonts w:ascii="Arial;sans-serif" w:hAnsi="Arial;sans-serif"/>
          <w:b/>
          <w:color w:val="000000"/>
          <w:sz w:val="20"/>
        </w:rPr>
        <w:t>22.    Subsequent Events</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January 2025, our Avis Budget Rental Car Funding (AESOP) LLC subsidiary issued an additional $358 million of asset-backed notes to investors with expected final payment dates ranging from August 2027 to February 2029 and a weighted average interest rate of 8.01%. These notes were issued under previously outstanding series of debt.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February 2025, we borrowed $500 million under a floating rate term loan due December 2025, which is part of our senior revolving credit facilities.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050"/>
                <wp:effectExtent l="0" t="0" r="0" b="0"/>
                <wp:wrapNone/>
                <wp:docPr id="121" name="Frame10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F-55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Schedule II – Valuation and Qualifying Accounts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646"/>
        <w:gridCol w:w="566"/>
        <w:gridCol w:w="569"/>
        <w:gridCol w:w="109"/>
        <w:gridCol w:w="109"/>
        <w:gridCol w:w="109"/>
        <w:gridCol w:w="427"/>
        <w:gridCol w:w="977"/>
        <w:gridCol w:w="222"/>
        <w:gridCol w:w="109"/>
        <w:gridCol w:w="109"/>
        <w:gridCol w:w="109"/>
        <w:gridCol w:w="345"/>
        <w:gridCol w:w="615"/>
        <w:gridCol w:w="179"/>
        <w:gridCol w:w="109"/>
        <w:gridCol w:w="109"/>
        <w:gridCol w:w="109"/>
        <w:gridCol w:w="460"/>
        <w:gridCol w:w="821"/>
        <w:gridCol w:w="239"/>
        <w:gridCol w:w="109"/>
        <w:gridCol w:w="109"/>
        <w:gridCol w:w="109"/>
        <w:gridCol w:w="335"/>
        <w:gridCol w:w="646"/>
        <w:gridCol w:w="175"/>
        <w:gridCol w:w="109"/>
        <w:gridCol w:w="109"/>
        <w:gridCol w:w="109"/>
        <w:gridCol w:w="381"/>
        <w:gridCol w:w="680"/>
        <w:gridCol w:w="287"/>
      </w:tblGrid>
      <w:tr>
        <w:trPr/>
        <w:tc>
          <w:tcPr>
            <w:tcW w:w="6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 at 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20"/>
              </w:rPr>
              <w:t>Other Adjustments</w:t>
            </w:r>
            <w:r>
              <w:rPr>
                <w:rFonts w:ascii="Arial;sans-serif" w:hAnsi="Arial;sans-serif"/>
                <w:b/>
                <w:color w:val="000000"/>
                <w:sz w:val="13"/>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Balance at End of Period</w:t>
            </w:r>
          </w:p>
        </w:tc>
      </w:tr>
      <w:tr>
        <w:trPr/>
        <w:tc>
          <w:tcPr>
            <w:tcW w:w="1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Allowance for Doubtful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Tax Valuation 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w:t>
      </w:r>
    </w:p>
    <w:p>
      <w:pPr>
        <w:pStyle w:val="TextBody"/>
        <w:bidi w:val="0"/>
        <w:spacing w:lineRule="auto" w:line="288" w:before="0" w:after="0"/>
        <w:ind w:left="0" w:right="0" w:hanging="360"/>
        <w:jc w:val="left"/>
        <w:rPr/>
      </w:pPr>
      <w:r>
        <w:rPr>
          <w:rFonts w:ascii="Arial;sans-serif" w:hAnsi="Arial;sans-serif"/>
          <w:b w:val="false"/>
          <w:color w:val="000000"/>
          <w:sz w:val="10"/>
        </w:rPr>
        <w:t>(a)</w:t>
      </w:r>
      <w:r>
        <w:rPr>
          <w:rFonts w:ascii="Arial;sans-serif" w:hAnsi="Arial;sans-serif"/>
          <w:b w:val="false"/>
          <w:color w:val="000000"/>
          <w:sz w:val="16"/>
        </w:rPr>
        <w:t>Primarily currency translation adjustments.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050"/>
                <wp:effectExtent l="0" t="0" r="0" b="0"/>
                <wp:wrapNone/>
                <wp:docPr id="122" name="Frame10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G-1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23"/>
        <w:gridCol w:w="284"/>
        <w:gridCol w:w="285"/>
        <w:gridCol w:w="109"/>
        <w:gridCol w:w="109"/>
        <w:gridCol w:w="109"/>
        <w:gridCol w:w="2628"/>
        <w:gridCol w:w="2628"/>
        <w:gridCol w:w="3730"/>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30" w:type="dxa"/>
            <w:tcBorders/>
            <w:vAlign w:val="center"/>
          </w:tcPr>
          <w:p>
            <w:pPr>
              <w:pStyle w:val="TableContents"/>
              <w:bidi w:val="0"/>
              <w:spacing w:before="0" w:after="283"/>
              <w:jc w:val="left"/>
              <w:rPr>
                <w:sz w:val="4"/>
                <w:szCs w:val="4"/>
              </w:rPr>
            </w:pPr>
            <w:r>
              <w:rPr>
                <w:sz w:val="4"/>
                <w:szCs w:val="4"/>
              </w:rPr>
            </w:r>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EXHIBIT NO.</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DESCRIPTION</w:t>
            </w:r>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7">
              <w:r>
                <w:rPr>
                  <w:rStyle w:val="InternetLink"/>
                  <w:rFonts w:ascii="Arial;sans-serif" w:hAnsi="Arial;sans-serif"/>
                  <w:b w:val="false"/>
                  <w:color w:val="0000FF"/>
                  <w:sz w:val="18"/>
                  <w:u w:val="single"/>
                </w:rPr>
                <w:t>Separation and Distribution Agreement by and among Cendant Corporation*, Realogy Corporation, Wyndham Worldwide Corporation and Travelport Inc., dated as of July 27, 2006 (Incorporated by reference to Exhibit 2.1 to the Company’s Current Report on Form 8-K, dated August 1, 2006).</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8">
              <w:r>
                <w:rPr>
                  <w:rStyle w:val="InternetLink"/>
                  <w:rFonts w:ascii="Arial;sans-serif" w:hAnsi="Arial;sans-serif"/>
                  <w:b w:val="false"/>
                  <w:color w:val="0000FF"/>
                  <w:sz w:val="18"/>
                  <w:u w:val="single"/>
                </w:rPr>
                <w:t>Letter Agreement dated August 17, 2006, related to the Separation and Distribution Agreement by and among Realogy Corporation, Cendant Corporation*, Wyndham Worldwide Corporation and Travelport Inc. dated as of July 27, 2006 (Incorporated by reference to Exhibit 2.2 to the Company’s Quarterly Report on Form 10-Q for the period ended June 30, 2007, dated August 8, 2007).</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9">
              <w:r>
                <w:rPr>
                  <w:rStyle w:val="InternetLink"/>
                  <w:rFonts w:ascii="Arial;sans-serif" w:hAnsi="Arial;sans-serif"/>
                  <w:b w:val="false"/>
                  <w:color w:val="0000FF"/>
                  <w:sz w:val="18"/>
                  <w:u w:val="single"/>
                </w:rPr>
                <w:t>Amended and Restated Certificate of Incorporation of Avis Budget Group, Inc. (Incorporated by reference to Exhibit 3.1 to the Company’s Current Report on Form 8-K, dated September 5, 2006).</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0">
              <w:r>
                <w:rPr>
                  <w:rStyle w:val="InternetLink"/>
                  <w:rFonts w:ascii="Arial;sans-serif" w:hAnsi="Arial;sans-serif"/>
                  <w:b w:val="false"/>
                  <w:color w:val="0000FF"/>
                  <w:sz w:val="18"/>
                  <w:u w:val="single"/>
                </w:rPr>
                <w:t>Amended and Restated Bylaws of Avis Budget Group, Inc., dated August 10, 2020 (Incorporated by reference to Exhibit 3.2 to the Company’s Current Report on Form 8-K, dated August 13, 2020).</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1">
              <w:r>
                <w:rPr>
                  <w:rStyle w:val="InternetLink"/>
                  <w:rFonts w:ascii="Arial;sans-serif" w:hAnsi="Arial;sans-serif"/>
                  <w:b w:val="false"/>
                  <w:color w:val="0000FF"/>
                  <w:sz w:val="18"/>
                  <w:u w:val="single"/>
                </w:rPr>
                <w:t>Indenture dated as of July 3, 2019, among Avis Budget Car Rental, LLC and Avis Budget Finance, Inc., as Issuers, the Guarantors from time to time parties thereto and Deutsche Bank Trust Company Americas, as Trustee, governing the 5.75% Senior Notes due 2027 (Incorporated by reference to Exhibit 4.1 to the Company’s Quarterly Report on Form 10-Q for the quarterly period ended June 30, 2019, dated August 6, 2019).</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2">
              <w:r>
                <w:rPr>
                  <w:rStyle w:val="InternetLink"/>
                  <w:rFonts w:ascii="Arial;sans-serif" w:hAnsi="Arial;sans-serif"/>
                  <w:b w:val="false"/>
                  <w:color w:val="0000FF"/>
                  <w:sz w:val="18"/>
                  <w:u w:val="single"/>
                </w:rPr>
                <w:t>First Supplemental Indenture, dated as of August 6, 2020, to the indenture dated as of July 3, 2019 by and among Avis Budget Car Rental, LLC and Avis Budget Finance, Inc., as issuers, the guarantors party thereto and Deutsche Bank Trust Company Americas, as trustee (Incorporated by reference to Exhibit 4.1 to the Company's Current Report on Form 8-K, dated August 7, 2020).</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3">
              <w:r>
                <w:rPr>
                  <w:rStyle w:val="InternetLink"/>
                  <w:rFonts w:ascii="Arial;sans-serif" w:hAnsi="Arial;sans-serif"/>
                  <w:b w:val="false"/>
                  <w:color w:val="0000FF"/>
                  <w:sz w:val="18"/>
                  <w:u w:val="single"/>
                </w:rPr>
                <w:t>Indenture, dated as of March 1, 2021, by and among Avis Budget Car Rental, LLC and Avis Budget Finance, Inc., as issuers, the guarantors party thereto and Deutsche Bank Trust Company Americas, as trustee, governing the 5.375% Senior Notes due 2029 (incorporated by reference to Exhibit 4.1 to the Company's Current Report on Form 8-K, dated March 1, 2021).</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4">
              <w:r>
                <w:rPr>
                  <w:rStyle w:val="InternetLink"/>
                  <w:rFonts w:ascii="Arial;sans-serif" w:hAnsi="Arial;sans-serif"/>
                  <w:b w:val="false"/>
                  <w:color w:val="0000FF"/>
                  <w:sz w:val="18"/>
                  <w:u w:val="single"/>
                </w:rPr>
                <w:t>Indenture, dated as of March 23, 2021, by and among Avis Budget Car Rental, LLC and Avis Budget Finance, Inc., as issuers, the guarantors party thereto and Deutsche Bank Trust Company Americas, as trustee, governing the 4.75% Senior Notes due 2028 (Incorporated by reference to Exhibit 4.1 to the Company's Current Report on Form 8-K, dated March 23, 2021).</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5">
              <w:r>
                <w:rPr>
                  <w:rStyle w:val="InternetLink"/>
                  <w:rFonts w:ascii="Arial;sans-serif" w:hAnsi="Arial;sans-serif"/>
                  <w:b w:val="false"/>
                  <w:color w:val="0000FF"/>
                  <w:sz w:val="18"/>
                  <w:u w:val="single"/>
                </w:rPr>
                <w:t>Indenture, dated as of July 13, 2023, by and among Avis Budget Finance plc, as issuer, the guarantors party thereto, Deutsche Bank Trust Company Americas, as trustee and registrar, and Deutsche Bank AG, London Branch, as paying agent (Incorporated by reference to Exhibit 4.1 to the Company’s Current Report on Form 8-K dated July 14, 2023).</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6">
              <w:r>
                <w:rPr>
                  <w:rStyle w:val="InternetLink"/>
                  <w:rFonts w:ascii="Arial;sans-serif" w:hAnsi="Arial;sans-serif"/>
                  <w:b w:val="false"/>
                  <w:color w:val="0000FF"/>
                  <w:sz w:val="18"/>
                  <w:u w:val="single"/>
                </w:rPr>
                <w:t>First Supplemental Indenture, dated as of May 21, 2024, to the indenture dated as of July 13, 2023 by and among Avis Budget Finance plc, as issuer, the guarantors party thereto, Deutsche Bank Trust Company Americas, as trustee and registrar, and Deutsche Bank AG, London Branch, as paying agent (incorporated by reference to Exhibit 4.1 to the Company’s Current Report on Form 8-K dated May 21, 2024).</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7">
              <w:r>
                <w:rPr>
                  <w:rStyle w:val="InternetLink"/>
                  <w:rFonts w:ascii="Arial;sans-serif" w:hAnsi="Arial;sans-serif"/>
                  <w:b w:val="false"/>
                  <w:color w:val="0000FF"/>
                  <w:sz w:val="18"/>
                  <w:u w:val="single"/>
                </w:rPr>
                <w:t>Indenture, dated as of November 22, 2023, by and among Avis Budget Car Rental, LLC and Avis Budget Finance, Inc., together as issuers, the guarantors party thereto and Citibank, N.A., as trustee (incorporated by reference to Exhibit 4.1 to the Company’s Current Report on Form 8-K dated November 22, 2023).</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8">
              <w:r>
                <w:rPr>
                  <w:rStyle w:val="InternetLink"/>
                  <w:rFonts w:ascii="Arial;sans-serif" w:hAnsi="Arial;sans-serif"/>
                  <w:b w:val="false"/>
                  <w:color w:val="0000FF"/>
                  <w:sz w:val="18"/>
                  <w:u w:val="single"/>
                </w:rPr>
                <w:t>Indenture, dated as of February 28, 2024, by and among Avis Budget Finance plc, as issuer, the guarantors party thereto, U.S. Bank Trust Company, National Association, as trustee, Elavon Financial Services DAC, as registrar and transfer agent, and Elavon Financial Services DAC, UK Branch, as paying agent (incorporated by reference to Exhibit 4.1 to the Company’s Current Report on Form 8-K dated February 29, 2024).</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29">
              <w:r>
                <w:rPr>
                  <w:rStyle w:val="InternetLink"/>
                  <w:rFonts w:ascii="Arial;sans-serif" w:hAnsi="Arial;sans-serif"/>
                  <w:b w:val="false"/>
                  <w:color w:val="0000FF"/>
                  <w:sz w:val="18"/>
                  <w:u w:val="single"/>
                </w:rPr>
                <w:t>Indenture, dated as of September 13, 2024, by and among Avis Budget Car Rental, LLC and Avis Budget Finance, Inc., together as issuers, the guarantors party thereto and U.S. Bank Trust Company, National Association, as trustee (incorporated by reference to Exhibit 4.1 to the Company’s Current Report on Form 8-K dated September 13, 2024).</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4.10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0">
              <w:r>
                <w:rPr>
                  <w:rStyle w:val="InternetLink"/>
                  <w:rFonts w:ascii="Arial;sans-serif" w:hAnsi="Arial;sans-serif"/>
                  <w:b w:val="false"/>
                  <w:color w:val="0000FF"/>
                  <w:sz w:val="18"/>
                  <w:u w:val="single"/>
                </w:rPr>
                <w:t>Description of the Company’s Securities Registered Pursuant to Section 12 of the Securities Exchange Act of 1934 (Incorporated by reference to Exhibit 4.8 to the Company’s Annual Report on Form 10-K for the year ended December 31, 2021, dated February 17, 2022).</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1">
              <w:r>
                <w:rPr>
                  <w:rStyle w:val="InternetLink"/>
                  <w:rFonts w:ascii="Arial;sans-serif" w:hAnsi="Arial;sans-serif"/>
                  <w:b w:val="false"/>
                  <w:color w:val="0000FF"/>
                  <w:sz w:val="18"/>
                  <w:u w:val="single"/>
                </w:rPr>
                <w:t>Agreement between Avis Budget Group, Inc. and Joseph Ferraro (Incorporated by reference to Exhibit 10.5 to the Company’s Annual Report on Form 10-K for the year ended December 31, 2015, dated February 24, 2016).†</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2">
              <w:r>
                <w:rPr>
                  <w:rStyle w:val="InternetLink"/>
                  <w:rFonts w:ascii="Arial;sans-serif" w:hAnsi="Arial;sans-serif"/>
                  <w:b w:val="false"/>
                  <w:color w:val="0000FF"/>
                  <w:sz w:val="18"/>
                  <w:u w:val="single"/>
                </w:rPr>
                <w:t>Agreement between Avis Budget Group, Inc. and Edward Linnen, dated April 20, 2015 (Incorporated by reference to Exhibit 10.10 to the Company's Annual Report on Form 10-K for the fiscal year ended December 31, 2019, dated February 20, 2020). †</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3">
              <w:r>
                <w:rPr>
                  <w:rStyle w:val="InternetLink"/>
                  <w:rFonts w:ascii="Arial;sans-serif" w:hAnsi="Arial;sans-serif"/>
                  <w:b w:val="false"/>
                  <w:color w:val="0000FF"/>
                  <w:sz w:val="18"/>
                  <w:u w:val="single"/>
                </w:rPr>
                <w:t>Offer Letter, dated August 12, 2020, between Brian Choi and Avis Budget Group, Inc. (incorporated by reference to Exhibit 10.2 to the Company's Current Report on Form 8-K, dated August 13, 2020). †</w:t>
              </w:r>
            </w:hyperlink>
          </w:p>
        </w:tc>
      </w:tr>
      <w:tr>
        <w:trPr/>
        <w:tc>
          <w:tcPr>
            <w:tcW w:w="89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4">
              <w:r>
                <w:rPr>
                  <w:rStyle w:val="InternetLink"/>
                  <w:rFonts w:ascii="Arial;sans-serif" w:hAnsi="Arial;sans-serif"/>
                  <w:b w:val="false"/>
                  <w:color w:val="0000FF"/>
                  <w:sz w:val="18"/>
                  <w:u w:val="single"/>
                </w:rPr>
                <w:t>Offer Letter, dated May 17, 2022, between Ravi Simhambhatla and Avis Budget Group, Inc. (incorporated by reference to Exhibit 10.75 to the Company’s Annual Report on Form 10-K for the year ended December 31, 2022, dated February 16, 2023).†</w:t>
              </w:r>
            </w:hyperlink>
          </w:p>
        </w:tc>
      </w:tr>
      <w:tr>
        <w:trPr/>
        <w:tc>
          <w:tcPr>
            <w:tcW w:w="89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8986"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35">
              <w:r>
                <w:rPr>
                  <w:rStyle w:val="InternetLink"/>
                  <w:rFonts w:ascii="Arial;sans-serif" w:hAnsi="Arial;sans-serif"/>
                  <w:b w:val="false"/>
                  <w:color w:val="0000FF"/>
                  <w:sz w:val="18"/>
                  <w:u w:val="single"/>
                </w:rPr>
                <w:t>Avis Budget Group, Inc. Executive Severance Pay Plan for Grade A and B Employees and Summary Plan Description (Incorporated by reference to Exhibit 10.1 to the Company's Current Report on Form 8-K, dated December 14, 2020). †</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050"/>
                <wp:effectExtent l="0" t="0" r="0" b="0"/>
                <wp:wrapNone/>
                <wp:docPr id="123" name="Frame10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11"/>
        <w:gridCol w:w="186"/>
        <w:gridCol w:w="189"/>
        <w:gridCol w:w="109"/>
        <w:gridCol w:w="109"/>
        <w:gridCol w:w="109"/>
        <w:gridCol w:w="2774"/>
        <w:gridCol w:w="2691"/>
        <w:gridCol w:w="3827"/>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4"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3827"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6">
              <w:r>
                <w:rPr>
                  <w:rStyle w:val="InternetLink"/>
                  <w:rFonts w:ascii="Arial;sans-serif" w:hAnsi="Arial;sans-serif"/>
                  <w:b w:val="false"/>
                  <w:color w:val="0000FF"/>
                  <w:sz w:val="18"/>
                  <w:u w:val="single"/>
                </w:rPr>
                <w:t>Fourth Amended and Restated Cooperation Agreement, dated as of December 23, 2022, by and among Avis Budget Group, Inc., SRS Investment Management, LLC and certain of its affiliates (Incorporated by reference to Exhibit 10.1 to the Company's Current Report on Form 8-K dated December 27,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7">
              <w:r>
                <w:rPr>
                  <w:rStyle w:val="InternetLink"/>
                  <w:rFonts w:ascii="Arial;sans-serif" w:hAnsi="Arial;sans-serif"/>
                  <w:b w:val="false"/>
                  <w:color w:val="0000FF"/>
                  <w:sz w:val="18"/>
                  <w:u w:val="single"/>
                </w:rPr>
                <w:t>Avis Budget Group, Inc. Amended and Restated Equity and Incentive Plan (Incorporated by reference to Annex A to the Company's Definitive Proxy Statement on Schedule 14A, dated March 26,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8">
              <w:r>
                <w:rPr>
                  <w:rStyle w:val="InternetLink"/>
                  <w:rFonts w:ascii="Arial;sans-serif" w:hAnsi="Arial;sans-serif"/>
                  <w:b w:val="false"/>
                  <w:color w:val="0000FF"/>
                  <w:sz w:val="18"/>
                  <w:u w:val="single"/>
                </w:rPr>
                <w:t>Amendment to the Avis Budget Group, Inc. Amended and Restated Equity and Incentive Plan dated October 26, 2021 (Incorporated by reference to Exhibit 10.3 to the Company’s Quarterly Report on Form 10-Q for the quarterly period ended September 30, 2021, dated November 2, 2021).†</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39">
              <w:r>
                <w:rPr>
                  <w:rStyle w:val="InternetLink"/>
                  <w:rFonts w:ascii="Arial;sans-serif" w:hAnsi="Arial;sans-serif"/>
                  <w:b w:val="false"/>
                  <w:color w:val="0000FF"/>
                  <w:sz w:val="18"/>
                  <w:u w:val="single"/>
                </w:rPr>
                <w:t>Form of Award Agreement - Restricted Stock Units (Incorporated by reference to Exhibit 10.12 to the Company’s Annual Report on Form 10-K for the year ended December 31, 2018 dated February 21,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0">
              <w:r>
                <w:rPr>
                  <w:rStyle w:val="InternetLink"/>
                  <w:rFonts w:ascii="Arial;sans-serif" w:hAnsi="Arial;sans-serif"/>
                  <w:b w:val="false"/>
                  <w:color w:val="0000FF"/>
                  <w:sz w:val="18"/>
                  <w:u w:val="single"/>
                </w:rPr>
                <w:t>Form of Award Agreement - Performance Based Restricted Stock Units (Incorporated by reference to Exhibit 10.13 to the Company’s Annual Report on Form 10-K for the year ended December 31, 2018, dated February 21,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1">
              <w:r>
                <w:rPr>
                  <w:rStyle w:val="InternetLink"/>
                  <w:rFonts w:ascii="Arial;sans-serif" w:hAnsi="Arial;sans-serif"/>
                  <w:b w:val="false"/>
                  <w:color w:val="0000FF"/>
                  <w:sz w:val="18"/>
                  <w:u w:val="single"/>
                </w:rPr>
                <w:t>Form of Non-Employee Director Award Agreement - Restricted Stock Units (Incorporated by reference to Exhibit 10.14 to the Company’s Annual Report on Form 10-K for the year ended December 31, 2018, dated February 21,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2">
              <w:r>
                <w:rPr>
                  <w:rStyle w:val="InternetLink"/>
                  <w:rFonts w:ascii="Arial;sans-serif" w:hAnsi="Arial;sans-serif"/>
                  <w:b w:val="false"/>
                  <w:color w:val="0000FF"/>
                  <w:sz w:val="18"/>
                  <w:u w:val="single"/>
                </w:rPr>
                <w:t>Form of Avis Budget Group, Inc. Severance Agreement (Incorporated by reference to Exhibit 10.15 to the Company’s Annual Report on Form 10-K for the year ended December 31, 2018, dated February 21,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3">
              <w:r>
                <w:rPr>
                  <w:rStyle w:val="InternetLink"/>
                  <w:rFonts w:ascii="Arial;sans-serif" w:hAnsi="Arial;sans-serif"/>
                  <w:b w:val="false"/>
                  <w:color w:val="0000FF"/>
                  <w:sz w:val="18"/>
                  <w:u w:val="single"/>
                </w:rPr>
                <w:t>Avis Budget Group, Inc. Non-Employee Directors Deferred Compensation Plan, amended and restated as of January 1, 2019 (Incorporated by reference to Exhibit 10.16 to the Company’s Annual Report on Form 10-K for the year ended December 31, 2018 dated February 21, 2019).†</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4">
              <w:r>
                <w:rPr>
                  <w:rStyle w:val="InternetLink"/>
                  <w:rFonts w:ascii="Arial;sans-serif" w:hAnsi="Arial;sans-serif"/>
                  <w:b w:val="false"/>
                  <w:color w:val="0000FF"/>
                  <w:sz w:val="18"/>
                  <w:u w:val="single"/>
                </w:rPr>
                <w:t>Amendment No. 1 dated as of December 8, 2022, to the Avis Budget Group, Inc. Non-Employee Directors Deferred Compensation Plan, amended and restated as of January 1, 2019 (incorporated by reference to Exhibit 10.17 to the Company’s Annual Report on Form 10-K for the year ended December 31, 2022, dated February 16, 2023). †</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5">
              <w:r>
                <w:rPr>
                  <w:rStyle w:val="InternetLink"/>
                  <w:rFonts w:ascii="Arial;sans-serif" w:hAnsi="Arial;sans-serif"/>
                  <w:b w:val="false"/>
                  <w:color w:val="0000FF"/>
                  <w:sz w:val="18"/>
                  <w:u w:val="single"/>
                </w:rPr>
                <w:t>Avis Budget Group, Inc. Supplemental Savings Plan, amended and restated as of January 1, 2023 (incorporated by reference to Exhibit 10.18 to the Company’s Annual Report on Form 10-K for the year ended December 31, 2022, dated February 16, 2023). †</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6">
              <w:r>
                <w:rPr>
                  <w:rStyle w:val="InternetLink"/>
                  <w:rFonts w:ascii="Arial;sans-serif" w:hAnsi="Arial;sans-serif"/>
                  <w:b w:val="false"/>
                  <w:color w:val="0000FF"/>
                  <w:sz w:val="18"/>
                  <w:u w:val="single"/>
                </w:rPr>
                <w:t>Cendant Corporation* Officer Personal Financial Services Policy (Incorporated by reference to Exhibit 10.3 to the Company’s Current Report on Form 8-K, dated January 26, 2005).</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7">
              <w:r>
                <w:rPr>
                  <w:rStyle w:val="InternetLink"/>
                  <w:rFonts w:ascii="Arial;sans-serif" w:hAnsi="Arial;sans-serif"/>
                  <w:b w:val="false"/>
                  <w:color w:val="0000FF"/>
                  <w:sz w:val="18"/>
                  <w:u w:val="single"/>
                </w:rPr>
                <w:t>Tax Sharing Agreement among Cendant Corporation*, Realogy Corporation, Wyndham Worldwide Corporation and Travelport Inc., dated as of July 28, 2006 (Incorporated by reference to Exhibit 10.2 to the Company’s Current Report on Form 8-K, dated August 1, 2006).</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8">
              <w:r>
                <w:rPr>
                  <w:rStyle w:val="InternetLink"/>
                  <w:rFonts w:ascii="Arial;sans-serif" w:hAnsi="Arial;sans-serif"/>
                  <w:b w:val="false"/>
                  <w:color w:val="0000FF"/>
                  <w:sz w:val="18"/>
                  <w:u w:val="single"/>
                </w:rPr>
                <w:t>Amendment to the Tax Sharing Agreement, dated July 28, 2006, among Avis Budget Group, Inc., Realogy Corporation, Wyndham Worldwide Corporation and Travelport Inc. (Incorporated by reference to Exhibit 10.4 to the Company’s Quarterly Report on Form 10-Q for the quarterly period ended June 30, 2008, dated August 7, 2008).</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49">
              <w:r>
                <w:rPr>
                  <w:rStyle w:val="InternetLink"/>
                  <w:rFonts w:ascii="Arial;sans-serif" w:hAnsi="Arial;sans-serif"/>
                  <w:b w:val="false"/>
                  <w:color w:val="0000FF"/>
                  <w:sz w:val="18"/>
                  <w:u w:val="single"/>
                </w:rPr>
                <w:t>Second Amended and Restated Base Indenture, dated as of June 3, 2004, among Cendant Rental Car Funding (AESOP) LLC***, as Issuer, and The Bank of New York, as Trustee (Incorporated by reference to Exhibit 10.7 to the Company’s Quarterly Report on Form 10-Q for the quarterly period ended June 30, 2004, dated August 2, 2004).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0">
              <w:r>
                <w:rPr>
                  <w:rStyle w:val="InternetLink"/>
                  <w:rFonts w:ascii="Arial;sans-serif" w:hAnsi="Arial;sans-serif"/>
                  <w:b w:val="false"/>
                  <w:color w:val="0000FF"/>
                  <w:sz w:val="18"/>
                  <w:u w:val="single"/>
                </w:rPr>
                <w:t>Supplemental Indenture No. 1, dated as of December 23, 2005, among Cendant Rental Car Funding (AESOP) LLC***, as Issuer, and The Bank of New York, as Trustee, to the Second Amended and Restated Base Indenture, dated as of June 3, 2004 (Incorporated by reference to Exhibit 10.1 to the Company’s Current Report on Form 8-K, dated January 20, 2006).</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1">
              <w:r>
                <w:rPr>
                  <w:rStyle w:val="InternetLink"/>
                  <w:rFonts w:ascii="Arial;sans-serif" w:hAnsi="Arial;sans-serif"/>
                  <w:b w:val="false"/>
                  <w:color w:val="0000FF"/>
                  <w:sz w:val="18"/>
                  <w:u w:val="single"/>
                </w:rPr>
                <w:t>Supplemental Indenture No. 2, dated as of May 9, 2007, among Avis Budget Rental Car Funding (AESOP) LLC, as Issuer, and The Bank of New York Trust Company, N.A. (as successor in interest to The Bank of New York), as Trustee, to the Second Amended and Restated Base Indenture, dated as of June 3, 2004 (Incorporated by reference to Exhibit 10.6 to the Company’s Quarterly Report on Form 10-Q for the quarterly period ended June 30, 2007, dated August 8,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2">
              <w:r>
                <w:rPr>
                  <w:rStyle w:val="InternetLink"/>
                  <w:rFonts w:ascii="Arial;sans-serif" w:hAnsi="Arial;sans-serif"/>
                  <w:b w:val="false"/>
                  <w:color w:val="0000FF"/>
                  <w:sz w:val="18"/>
                  <w:u w:val="single"/>
                </w:rPr>
                <w:t>Supplemental Indenture No. 3, dated as of August 16, 2013, among Avis Budget Rental Car Funding (AESOP) LLC, as Issuer, and The Bank of New York Trust Company, N.A. (as successor in interest to The Bank of New York), as Trustee, to the Second Amended and Restated Base Indenture, dated as of June 3, 2004 (Incorporated by reference to Exhibit 10.35(c)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3">
              <w:r>
                <w:rPr>
                  <w:rStyle w:val="InternetLink"/>
                  <w:rFonts w:ascii="Arial;sans-serif" w:hAnsi="Arial;sans-serif"/>
                  <w:b w:val="false"/>
                  <w:color w:val="0000FF"/>
                  <w:sz w:val="18"/>
                  <w:u w:val="single"/>
                </w:rPr>
                <w:t>Second Amended and Restated Loan Agreement, dated as of June 3, 2004, among AESOP Leasing L.P., as Borrower, Quartx Fleet Management, Inc., as a Permitted Nominee, PV Holding Corp., as a Permitted Nominee, and Cendant Rental Car Funding (AESOP) LLC***, as Lender (Incorporated by reference to Exhibit</w:t>
              </w:r>
            </w:hyperlink>
          </w:p>
          <w:p>
            <w:pPr>
              <w:pStyle w:val="TableContents"/>
              <w:bidi w:val="0"/>
              <w:spacing w:lineRule="auto" w:line="240" w:before="0" w:after="0"/>
              <w:jc w:val="left"/>
              <w:rPr/>
            </w:pPr>
            <w:hyperlink r:id="rId54">
              <w:r>
                <w:rPr>
                  <w:rStyle w:val="InternetLink"/>
                  <w:rFonts w:ascii="Arial;sans-serif" w:hAnsi="Arial;sans-serif"/>
                  <w:b w:val="false"/>
                  <w:color w:val="0000FF"/>
                  <w:sz w:val="18"/>
                  <w:u w:val="single"/>
                </w:rPr>
                <w:t>10.8 to the Company’s Quarterly Report on Form 10-Q for the quarterly period ended June 30, 2004, dated August 2, 2004).</w:t>
              </w:r>
            </w:hyperlink>
          </w:p>
        </w:tc>
      </w:tr>
      <w:tr>
        <w:trPr/>
        <w:tc>
          <w:tcPr>
            <w:tcW w:w="5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10.24</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55">
              <w:r>
                <w:rPr>
                  <w:rStyle w:val="InternetLink"/>
                  <w:rFonts w:ascii="Arial;sans-serif" w:hAnsi="Arial;sans-serif"/>
                  <w:b w:val="false"/>
                  <w:color w:val="0000FF"/>
                  <w:sz w:val="18"/>
                  <w:u w:val="single"/>
                </w:rPr>
                <w:t>First Amendment, dated as of December 23, 2005, among AESOP Leasing L.P., as Borrower, Quartx Fleet Management, Inc., as a Permitted Nominee, PV Holding Corp., as a Permitted Nominee, and Cendant Rental Car Funding (AESOP) LLC***, as Lender, to the Second Amended and Restated Loan Agreement, dated as of June 3, 2004 (Incorporated by reference to Exhibit 10.2 to the Company’s Current Report on Form 8-K, dated January 20, 2006).</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050"/>
                <wp:effectExtent l="0" t="0" r="0" b="0"/>
                <wp:wrapNone/>
                <wp:docPr id="124" name="Frame10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16"/>
        <w:gridCol w:w="2716"/>
        <w:gridCol w:w="3860"/>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6">
              <w:r>
                <w:rPr>
                  <w:rStyle w:val="InternetLink"/>
                  <w:rFonts w:ascii="Arial;sans-serif" w:hAnsi="Arial;sans-serif"/>
                  <w:b w:val="false"/>
                  <w:color w:val="0000FF"/>
                  <w:sz w:val="18"/>
                  <w:u w:val="single"/>
                </w:rPr>
                <w:t>Second Amendment, dated as of May 9, 2007, among AESOP Leasing L.P., as Borrower, PV Holding Corp., as a Permitted Nominee, Quartx Fleet Management, Inc., as a Permitted Nominee, and Avis Budget Rental Car Funding (AESOP) LLC, as Lender, to the Second Amended and Restated Loan Agreement, dated as of June 3, 2004 (Incorporated by reference to Exhibit 10.8 to the Company’s Quarterly Report on Form 10-Q for the quarterly period ended June 30, 2007, dated August 8,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7">
              <w:r>
                <w:rPr>
                  <w:rStyle w:val="InternetLink"/>
                  <w:rFonts w:ascii="Arial;sans-serif" w:hAnsi="Arial;sans-serif"/>
                  <w:b w:val="false"/>
                  <w:color w:val="0000FF"/>
                  <w:sz w:val="18"/>
                  <w:u w:val="single"/>
                </w:rPr>
                <w:t>Third Amendment, dated as of August 16, 2013, among AESOP Leasing L.P., as Borrower, PV Holding Corp., as a Permitted Nominee, Quartx Fleet Management, Inc., as a Permitted Nominee, and Avis Budget Rental Car Funding (AESOP) LLC, as Lender, to the Second Amended and Restated Loan Agreement, dated as of June 3, 2004 (Incorporated by reference to Exhibit 10.36(c)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8">
              <w:r>
                <w:rPr>
                  <w:rStyle w:val="InternetLink"/>
                  <w:rFonts w:ascii="Arial;sans-serif" w:hAnsi="Arial;sans-serif"/>
                  <w:b w:val="false"/>
                  <w:color w:val="0000FF"/>
                  <w:sz w:val="18"/>
                  <w:u w:val="single"/>
                </w:rPr>
                <w:t>Fourth Amendment, dated as of July 28, 2022, among AESOP Leasing L.P., as Borrower, PV Holding Corp., as a Permitted Nominee, Quartx Fleet Management, Inc., as a Permitted Nominee, and Avis Budget Rental Car Funding (AESOP) LLC, as Lender, to the Second Amended and Restated Loan Agreement, dated as of June 3, 2004 (Incorporated by reference to Exhibit 10.2 to the Company’s Quarterly Report on Form 10-Q for the quarterly period ended September 30, 2022, dated November 1,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59">
              <w:r>
                <w:rPr>
                  <w:rStyle w:val="InternetLink"/>
                  <w:rFonts w:ascii="Arial;sans-serif" w:hAnsi="Arial;sans-serif"/>
                  <w:b w:val="false"/>
                  <w:color w:val="0000FF"/>
                  <w:sz w:val="18"/>
                  <w:u w:val="single"/>
                </w:rPr>
                <w:t>Amended and Restated Loan Agreement, dated as of June 3, 2004, among AESOP Leasing L.P., as Borrower, and Cendant Rental Car Funding (AESOP) LLC***, as Lender (Incorporated by reference to Exhibit 10.29(a) to the Company’s Annual Report on Form 10-K for the year ended December 31, 2006, dated March 1,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10.29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0">
              <w:r>
                <w:rPr>
                  <w:rStyle w:val="InternetLink"/>
                  <w:rFonts w:ascii="Arial;sans-serif" w:hAnsi="Arial;sans-serif"/>
                  <w:b w:val="false"/>
                  <w:color w:val="0000FF"/>
                  <w:sz w:val="18"/>
                  <w:u w:val="single"/>
                </w:rPr>
                <w:t>First Amendment, dated as of December 23, 2005, among AESOP Leasing L.P., as Borrower, and Cendant Rental Car Funding (AESOP) LLC***, as Lender, to the Amended and Restated Loan Agreement, dated as of June 3, 2004 (Incorporated by reference to Exhibit 10.29(b) to the Company’s Annual Report on Form 10-K for the year ended December 31, 2006, dated March 1,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1">
              <w:r>
                <w:rPr>
                  <w:rStyle w:val="InternetLink"/>
                  <w:rFonts w:ascii="Arial;sans-serif" w:hAnsi="Arial;sans-serif"/>
                  <w:b w:val="false"/>
                  <w:color w:val="0000FF"/>
                  <w:sz w:val="18"/>
                  <w:u w:val="single"/>
                </w:rPr>
                <w:t>Second Amendment, dated as of the May 9, 2007, among AESOP Leasing L.P., as Borrower, and Avis Budget Rental Car Funding (AESOP) LLC, as Lender, to the Amended and Restated Loan Agreement, dated as of June 3, 2004 (Incorporated by reference to Exhibit 10.7 to the Company’s Quarterly Report on Form 10-Q for the quarterly period ended June 30, 2007, dated August 8,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2">
              <w:r>
                <w:rPr>
                  <w:rStyle w:val="InternetLink"/>
                  <w:rFonts w:ascii="Arial;sans-serif" w:hAnsi="Arial;sans-serif"/>
                  <w:b w:val="false"/>
                  <w:color w:val="0000FF"/>
                  <w:sz w:val="18"/>
                  <w:u w:val="single"/>
                </w:rPr>
                <w:t>Third Amendment, dated as of August 16, 2013, among AESOP Leasing L.P., as Borrower, and Avis Budget Rental Car Funding (AESOP) LLC, as Lender, to the Amended and Restated Loan Agreement, dated as of June 3, 2004 (Incorporated by reference to Exhibit 10.37(c)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3">
              <w:r>
                <w:rPr>
                  <w:rStyle w:val="InternetLink"/>
                  <w:rFonts w:ascii="Arial;sans-serif" w:hAnsi="Arial;sans-serif"/>
                  <w:b w:val="false"/>
                  <w:color w:val="0000FF"/>
                  <w:sz w:val="18"/>
                  <w:u w:val="single"/>
                </w:rPr>
                <w:t>Fourth Amendment, dated as of July 28, 2022, between AESOP Leasing L.P., as Borrower, and Avis Budget Rental Car Funding (AESOP) LLC, as Lender, to the Amended and Restated Loan Agreement, dated as of June 3, 2004 (Incorporated by reference to Exhibit 10.5 to the Company’s Quarterly Report on Form 10-Q for the quarterly period ended September 30, 2022, dated November 1,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4">
              <w:r>
                <w:rPr>
                  <w:rStyle w:val="InternetLink"/>
                  <w:rFonts w:ascii="Arial;sans-serif" w:hAnsi="Arial;sans-serif"/>
                  <w:b w:val="false"/>
                  <w:color w:val="0000FF"/>
                  <w:sz w:val="18"/>
                  <w:u w:val="single"/>
                </w:rPr>
                <w:t>Second Amended and Restated Master Motor Vehicle Operating Lease Agreement, dated as of June 3, 2004, among AESOP Leasing L.P., as Lessor, and Cendant Car Rental Group, Inc.**, as Lessee and as Administrator (Incorporated by reference to Exhibit 10.9 to the Company’s Quarterly Report on Form 10-Q for the quarterly period ended June 30, 2004, dated August 2, 2004).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5">
              <w:r>
                <w:rPr>
                  <w:rStyle w:val="InternetLink"/>
                  <w:rFonts w:ascii="Arial;sans-serif" w:hAnsi="Arial;sans-serif"/>
                  <w:b w:val="false"/>
                  <w:color w:val="0000FF"/>
                  <w:sz w:val="18"/>
                  <w:u w:val="single"/>
                </w:rPr>
                <w:t>First Amendment, dated December 23, 2005, among AESOP Leasing L.P., as Lessor, and Cendant Car Rental Group, Inc.**, as Lessee and as Administrator, to the Second Amended and Restated Master Motor Vehicle Operating Lease Agreement, dated as of June 3, 2004 (Incorporated by reference to Exhibit 10.3 to the Company’s Current Report on Form 8-K, dated January 20, 2006).</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6">
              <w:r>
                <w:rPr>
                  <w:rStyle w:val="InternetLink"/>
                  <w:rFonts w:ascii="Arial;sans-serif" w:hAnsi="Arial;sans-serif"/>
                  <w:b w:val="false"/>
                  <w:color w:val="0000FF"/>
                  <w:sz w:val="18"/>
                  <w:u w:val="single"/>
                </w:rPr>
                <w:t>Third Amendment, dated as of May 9, 2007, among AESOP Leasing L.P., as Lessor and Avis Budget Car Rental, LLC, as Lessee and as the Administrator, to the Second Amended and Restated Master Motor Vehicle Operating Lease Agreement, dated as of June 3, 2004 (Incorporated by reference to Exhibit 10.9 to the Company’s Quarterly Report on Form 10-Q for the quarterly period ended June 30, 2007, dated August 8,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7">
              <w:r>
                <w:rPr>
                  <w:rStyle w:val="InternetLink"/>
                  <w:rFonts w:ascii="Arial;sans-serif" w:hAnsi="Arial;sans-serif"/>
                  <w:b w:val="false"/>
                  <w:color w:val="0000FF"/>
                  <w:sz w:val="18"/>
                  <w:u w:val="single"/>
                </w:rPr>
                <w:t>Fourth Amendment, dated as of August 16, 2013, among AESOP Leasing L.P., as Lessor and Avis Budget Car Rental, LLC, as Lessee and as the Administrator, to the Second Amended and Restated Master Motor Vehicle Operating Lease Agreement, dated as of June 3, 2004 (Incorporated by reference to Exhibit 10.38(c)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8">
              <w:r>
                <w:rPr>
                  <w:rStyle w:val="InternetLink"/>
                  <w:rFonts w:ascii="Arial;sans-serif" w:hAnsi="Arial;sans-serif"/>
                  <w:b w:val="false"/>
                  <w:color w:val="0000FF"/>
                  <w:sz w:val="18"/>
                  <w:u w:val="single"/>
                </w:rPr>
                <w:t>Fifth Amendment, dated as of July 28, 2022, among AESOP Leasing L.P., as Lessor and Avis Budget Car Rental, LLC, as Lessee and as the Administrator, to the Second Amended and Restated Master Motor Vehicle Operating Lease Agreement, dated as of June 3, 2004 (Incorporated by reference to Exhibit 10.3 to the Company’s Quarterly Report on Form 10-Q for the quarterly period ended September 30, 2022, dated November 1,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69">
              <w:r>
                <w:rPr>
                  <w:rStyle w:val="InternetLink"/>
                  <w:rFonts w:ascii="Arial;sans-serif" w:hAnsi="Arial;sans-serif"/>
                  <w:b w:val="false"/>
                  <w:color w:val="0000FF"/>
                  <w:sz w:val="18"/>
                  <w:u w:val="single"/>
                </w:rPr>
                <w:t>Amended and Restated Master Motor Vehicle Finance Lease Agreement, dated as of June 3, 2004, among AESOP Leasing L.P., as Lessor, Cendant Car Rental Group, Inc.**, as Lessee, as Administrator and as Finance Lease Guarantor, Avis Rent A Car System, Inc.****, as Lessee, and Budget Rent A Car System, Inc., as Lessee (Incorporated by reference to Exhibit 10.30(a) to the Company’s Annual Report on Form 10-K for the year ended December 31, 2006, dated March 1, 2007).</w:t>
              </w:r>
            </w:hyperlink>
          </w:p>
        </w:tc>
      </w:tr>
      <w:tr>
        <w:trPr/>
        <w:tc>
          <w:tcPr>
            <w:tcW w:w="5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10.39</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70">
              <w:r>
                <w:rPr>
                  <w:rStyle w:val="InternetLink"/>
                  <w:rFonts w:ascii="Arial;sans-serif" w:hAnsi="Arial;sans-serif"/>
                  <w:b w:val="false"/>
                  <w:color w:val="0000FF"/>
                  <w:sz w:val="18"/>
                  <w:u w:val="single"/>
                </w:rPr>
                <w:t>First Amendment, dated as of December 23, 2005, among AESOP Leasing L.P., as Lessor, Cendant Car Rental Group, Inc.**, as Lessee, as Administrator and as Finance Lease Guarantor, Avis Rent A Car System, Inc.****, as Lessee, and Budget Rent A Car System, Inc., as Lessee, to the Amended and Restated Master Motor Vehicle Finance Lease Agreement, dated as of June 3, 2004 (Incorporated by reference to Exhibit 10.30(b) to the Company’s Annual Report on Form 10-K for the year ended December 31, 2006, dated March 1, 2007).</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050"/>
                <wp:effectExtent l="0" t="0" r="0" b="0"/>
                <wp:wrapNone/>
                <wp:docPr id="125" name="Frame1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66"/>
        <w:gridCol w:w="2703"/>
        <w:gridCol w:w="3823"/>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3823"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1">
              <w:r>
                <w:rPr>
                  <w:rStyle w:val="InternetLink"/>
                  <w:rFonts w:ascii="Arial;sans-serif" w:hAnsi="Arial;sans-serif"/>
                  <w:b w:val="false"/>
                  <w:color w:val="0000FF"/>
                  <w:sz w:val="18"/>
                  <w:u w:val="single"/>
                </w:rPr>
                <w:t>Third Amendment, dated as of May 9, 2007, among AESOP Leasing L.P., as Lessor, Avis Budget Car Rental, LLC, as Lessee, as Administrator and as Finance Lease Guarantor, Avis Rent A Car System, LLC, as Lessee, and Budget Rent A Car System, Inc., as Lessee, to the Amended and Restated Master Motor Vehicle Finance Lease Agreement, dated as of June 3, 2004 (Incorporated by reference to Exhibit 10.11 to the Company’s Quarterly Report on Form 10-Q for the quarterly period ended June 30, 2007, dated August 8, 2007).</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2">
              <w:r>
                <w:rPr>
                  <w:rStyle w:val="InternetLink"/>
                  <w:rFonts w:ascii="Arial;sans-serif" w:hAnsi="Arial;sans-serif"/>
                  <w:b w:val="false"/>
                  <w:color w:val="0000FF"/>
                  <w:sz w:val="18"/>
                  <w:u w:val="single"/>
                </w:rPr>
                <w:t>Fourth Amendment, dated as of August 16, 2013, among AESOP Leasing L.P., as Lessor, Avis Budget Car Rental, LLC, as Lessee, as Administrator and as Finance Lease Guarantor, Avis Rent A Car System, LLC, as Lessee, and Budget Rent A Car System, Inc., as Lessee, to the Amended and Restated Master Motor Vehicle Finance Lease Agreement, dated as of June 3, 2004 (Incorporated by reference to Exhibit 10.39(c)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3">
              <w:r>
                <w:rPr>
                  <w:rStyle w:val="InternetLink"/>
                  <w:rFonts w:ascii="Arial;sans-serif" w:hAnsi="Arial;sans-serif"/>
                  <w:b w:val="false"/>
                  <w:color w:val="0000FF"/>
                  <w:sz w:val="18"/>
                  <w:u w:val="single"/>
                </w:rPr>
                <w:t>Fifth Amendment, dated as of July 28, 2022, among AESOP Leasing L.P., as Lessor, Avis Budget Car Rental, LLC, as Lessee, as Administrator and as Finance Lease Guarantor, Avis Rent A Car System, LLC, as Lessee, and Budget Rent A Car System, Inc., as Lessee, to the Amended and Restated Master Motor Vehicle Finance Lease Agreement, dated as of June 3, 2004 (Incorporated by reference to Exhibit 10.4 to the Company’s Quarterly Report on Form 10-Q for the quarterly period ended September 30, 2022, dated November 1,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4">
              <w:r>
                <w:rPr>
                  <w:rStyle w:val="InternetLink"/>
                  <w:rFonts w:ascii="Arial;sans-serif" w:hAnsi="Arial;sans-serif"/>
                  <w:b w:val="false"/>
                  <w:color w:val="0000FF"/>
                  <w:sz w:val="18"/>
                  <w:u w:val="single"/>
                </w:rPr>
                <w:t>AESOP I Operating Sublease Agreement dated as of March 26, 2013, between Zipcar, Inc., as Sublessee and Avis Budget Car Rental, LLC, as Sublessor (Incorporated by reference to Exhibit 10.1 to the Company’s Quarterly Report on Form 10-Q for the quarterly period ended March 31, 2013, dated May 8, 2013).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5">
              <w:r>
                <w:rPr>
                  <w:rStyle w:val="InternetLink"/>
                  <w:rFonts w:ascii="Arial;sans-serif" w:hAnsi="Arial;sans-serif"/>
                  <w:b w:val="false"/>
                  <w:color w:val="0000FF"/>
                  <w:sz w:val="18"/>
                  <w:u w:val="single"/>
                </w:rPr>
                <w:t>Second Amended and Restated Administration Agreement, dated as of June 3, 2004, among Cendant Rental Car Funding (AESOP) LLC***, AESOP Leasing L.P., AESOP Leasing Corp. II, Avis Rent A Car System, Inc.****, Budget Rent A Car System, Inc., Cendant Car Rental Group, Inc.** and The Bank of New York, as Trustee (Incorporated by reference to Exhibit 10.34 to the Company’s Annual Report on Form 10-K for the year ended December 31, 2005, dated March 1, 2006).</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6">
              <w:r>
                <w:rPr>
                  <w:rStyle w:val="InternetLink"/>
                  <w:rFonts w:ascii="Arial;sans-serif" w:hAnsi="Arial;sans-serif"/>
                  <w:b w:val="false"/>
                  <w:color w:val="0000FF"/>
                  <w:sz w:val="18"/>
                  <w:u w:val="single"/>
                </w:rPr>
                <w:t>First Amendment, dated as of August 16, 2013, among Avis Budget Rental Car Funding (AESOP) LLC, AESOP Leasing L.P., AESOP Leasing Corp. II, Avis Rent A Car System, LLC, Budget Rent A Car System, Inc. and Avis Budget Car Rental, LLC, as Administrator, to the Second Amended and Restated Administration Agreement dated as of June 3, 2004 (Incorporated by reference to Exhibit 10.41(a) to the Company’s Annual Report on Form 10-K for the year ended December 31, 2013, dated February 20, 2014).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7">
              <w:r>
                <w:rPr>
                  <w:rStyle w:val="InternetLink"/>
                  <w:rFonts w:ascii="Arial;sans-serif" w:hAnsi="Arial;sans-serif"/>
                  <w:b w:val="false"/>
                  <w:color w:val="0000FF"/>
                  <w:sz w:val="18"/>
                  <w:u w:val="single"/>
                </w:rPr>
                <w:t>Sixth Amended and Restated Series 2010-6 Supplement, dated as of March 4, 2024,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2010-6 Agent (incorporated by reference to Exhibit 10.1 to the Company’s Current Report on Form 8-K dated March 8, 2024).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8">
              <w:r>
                <w:rPr>
                  <w:rStyle w:val="InternetLink"/>
                  <w:rFonts w:ascii="Arial;sans-serif" w:hAnsi="Arial;sans-serif"/>
                  <w:b w:val="false"/>
                  <w:color w:val="0000FF"/>
                  <w:sz w:val="18"/>
                  <w:u w:val="single"/>
                </w:rPr>
                <w:t>Fourth Amended and Restated Series 2015-3 Supplement, dated as of March 4, 2024, by and among Avis Budget Rental Car Funding (AESOP) LLC, as Issuer, Avis Budget Car Rental, LLC, as Administrator, JPMorgan Chase Bank, N.A., as Administrative Agent, the Non-Conduit Purchasers, the CP Conduit Purchasers, the Committed Note Purchasers, the APA Banks and the Funding Agents named therein and The Bank of New York Mellon Trust Company, N.A., as Trustee and as Series 2015-3 Agent (incorporated by reference to Exhibit 10.2 to the Company’s Current Report on Form 8-K dated March 8, 2024).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79">
              <w:r>
                <w:rPr>
                  <w:rStyle w:val="InternetLink"/>
                  <w:rFonts w:ascii="Arial;sans-serif" w:hAnsi="Arial;sans-serif"/>
                  <w:b w:val="false"/>
                  <w:color w:val="0000FF"/>
                  <w:sz w:val="18"/>
                  <w:u w:val="single"/>
                </w:rPr>
                <w:t>Amended and Restated Series 2019-3 Supplement, dated as of May 26, 2022, between Avis Budget Rental Car Funding (AESOP) LLC and The Bank of New York Mellon Trust Company, N.A., as trustee and Series 2019-3 Agent (Incorporated by reference to Exhibit 10.2 to the Company’s Current Report on Form 8-K, dated June 10,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0">
              <w:r>
                <w:rPr>
                  <w:rStyle w:val="InternetLink"/>
                  <w:rFonts w:ascii="Arial;sans-serif" w:hAnsi="Arial;sans-serif"/>
                  <w:b w:val="false"/>
                  <w:color w:val="0000FF"/>
                  <w:sz w:val="18"/>
                  <w:u w:val="single"/>
                </w:rPr>
                <w:t>Amended and Restated Series 2020-1 Supplement, dated as of June 18, 2021, between Avis Budget Rental Car Funding (AESOP) LLC and The Bank of New York Mellon Trust Company, N.A., as trustee and as Series 2020-1 Agent. (Incorporated by reference to Exhibit 10.3 to the Company’s Current Report on Form 8-K, dated June 23, 2021).</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06-ex1050xaesop2020x2xcla.htm">
              <w:r>
                <w:rPr>
                  <w:rStyle w:val="InternetLink"/>
                  <w:rFonts w:ascii="Arial;sans-serif" w:hAnsi="Arial;sans-serif"/>
                  <w:b w:val="false"/>
                  <w:color w:val="0000FF"/>
                  <w:sz w:val="18"/>
                  <w:u w:val="single"/>
                </w:rPr>
                <w:t>Amended and Restated Series 2020-2 Supplement, dated as of December 27, 2024, between Avis Budget Rental Car Funding (AESOP) LLC and The Bank of New York Mellon Trust Company, N.A., as trustee and as Series 2020-2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1">
              <w:r>
                <w:rPr>
                  <w:rStyle w:val="InternetLink"/>
                  <w:rFonts w:ascii="Arial;sans-serif" w:hAnsi="Arial;sans-serif"/>
                  <w:b w:val="false"/>
                  <w:color w:val="0000FF"/>
                  <w:sz w:val="18"/>
                  <w:u w:val="single"/>
                </w:rPr>
                <w:t>Series 2021-1 Supplement dated as of May 18, 2021, between Avis Budget Rental Car Funding (AESOP) LLC and The Bank of New York Mellon Trust Company, N.A., as trustee and Series 2021-1 Agent (Incorporated by reference to Exhibit 10.1 to the Company’s Current Report on Form 8-K, dated May 21, 2021).</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2">
              <w:r>
                <w:rPr>
                  <w:rStyle w:val="InternetLink"/>
                  <w:rFonts w:ascii="Arial;sans-serif" w:hAnsi="Arial;sans-serif"/>
                  <w:b w:val="false"/>
                  <w:color w:val="0000FF"/>
                  <w:sz w:val="18"/>
                  <w:u w:val="single"/>
                </w:rPr>
                <w:t>Series 2021-2 Supplement, dated as of November 17, 2021, between Avis Budget Rental Car Funding (AESOP) LLC and The Bank of New York Mellon Trust Company, N.A., as trustee and Series 2021-2 Agent (incorporated by reference to Exhibit 10.1 to the Company's Current Report on Form 8-K, dated November 19, 2021).</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3">
              <w:r>
                <w:rPr>
                  <w:rStyle w:val="InternetLink"/>
                  <w:rFonts w:ascii="Arial;sans-serif" w:hAnsi="Arial;sans-serif"/>
                  <w:b w:val="false"/>
                  <w:color w:val="0000FF"/>
                  <w:sz w:val="18"/>
                  <w:u w:val="single"/>
                </w:rPr>
                <w:t>Series 2022-1 Supplement, dated as of April 14, 2022, between Avis Budget Rental Car Funding (AESOP) LLC and The Bank of New York Mellon Trust Company, N.A., as trustee and Series 2022-1 Agent (Incorporated by reference to Exhibit 10.1 to the Company’s Current Report on Form 8-K, dated April 19,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4">
              <w:r>
                <w:rPr>
                  <w:rStyle w:val="InternetLink"/>
                  <w:rFonts w:ascii="Arial;sans-serif" w:hAnsi="Arial;sans-serif"/>
                  <w:b w:val="false"/>
                  <w:color w:val="0000FF"/>
                  <w:sz w:val="18"/>
                  <w:u w:val="single"/>
                </w:rPr>
                <w:t>Series 2022-3 Supplement, dated as of July 21, 2022, between Avis Budget Rental Car Funding (AESOP) LLC and The Bank of New York Mellon Trust Company, N.A., as trustee and as Series 2022-3 Agent (Incorporated by reference to Exhibit 10.1 to the Company’s Current Report on Form 8-K, dated July 22, 2022).</w:t>
              </w:r>
            </w:hyperlink>
          </w:p>
        </w:tc>
      </w:tr>
      <w:tr>
        <w:trPr/>
        <w:tc>
          <w:tcPr>
            <w:tcW w:w="5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10.55</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85">
              <w:r>
                <w:rPr>
                  <w:rStyle w:val="InternetLink"/>
                  <w:rFonts w:ascii="Arial;sans-serif" w:hAnsi="Arial;sans-serif"/>
                  <w:b w:val="false"/>
                  <w:color w:val="0000FF"/>
                  <w:sz w:val="18"/>
                  <w:u w:val="single"/>
                </w:rPr>
                <w:t>Series 2022-4 Supplement, dated as of July 21, 2022, between Avis Budget Rental Car Funding (AESOP) LLC and The Bank of New York Mellon Trust Company, N.A., as trustee and Series 2022-4 Agent (Incorporated by reference to Exhibit 10.2 to the Company’s Current Report on Form 8-K, dated July 22, 2022).</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050"/>
                <wp:effectExtent l="0" t="0" r="0" b="0"/>
                <wp:wrapNone/>
                <wp:docPr id="126" name="Frame1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2788"/>
        <w:gridCol w:w="2689"/>
        <w:gridCol w:w="381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1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07-ex1056xaesop2022x5xcla.htm">
              <w:r>
                <w:rPr>
                  <w:rStyle w:val="InternetLink"/>
                  <w:rFonts w:ascii="Arial;sans-serif" w:hAnsi="Arial;sans-serif"/>
                  <w:b w:val="false"/>
                  <w:color w:val="0000FF"/>
                  <w:sz w:val="18"/>
                  <w:u w:val="single"/>
                </w:rPr>
                <w:t>Amended and Restated Series 2022-5 Supplement, dated as of December 27, 2024, between Avis Budget Rental Car Funding (AESOP) LLC and The Bank of New York Mellon Trust Company, N.A., as trustee and as Series 2022-5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6">
              <w:r>
                <w:rPr>
                  <w:rStyle w:val="InternetLink"/>
                  <w:rFonts w:ascii="Arial;sans-serif" w:hAnsi="Arial;sans-serif"/>
                  <w:b w:val="false"/>
                  <w:color w:val="0000FF"/>
                  <w:sz w:val="18"/>
                  <w:u w:val="single"/>
                </w:rPr>
                <w:t>Series 2023-1 Supplement, dated as of January 17, 2023, between Avis Budget Rental Car Funding (AESOP) LLC and The Bank of New York Mellon Trust Company, N.A., as trustee and as Series 2023-1 Agent (incorporated by reference to Exhibit 10.1 to the Company's Current Report on Form 8-K dated January 20, 2023).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7">
              <w:r>
                <w:rPr>
                  <w:rStyle w:val="InternetLink"/>
                  <w:rFonts w:ascii="Arial;sans-serif" w:hAnsi="Arial;sans-serif"/>
                  <w:b w:val="false"/>
                  <w:color w:val="0000FF"/>
                  <w:sz w:val="18"/>
                  <w:u w:val="single"/>
                </w:rPr>
                <w:t>First Amendment to Series 2023-1 Supplement, dated as of February 5, 2024, between Avis Budget Rental Car Funding (AESOP) LLC and The Bank of New York Mellon Trust Company, N.A., as trustee and as Series 2023-1 Agent. (Incorporated by reference to Exhibit 10.5 to the Company’s Current Report on Form 10-Q, for the quarterly period ended March 31, 2024, dated May 2, 2024).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10.59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08-ex1059xaesop2023x2xcla.htm">
              <w:r>
                <w:rPr>
                  <w:rStyle w:val="InternetLink"/>
                  <w:rFonts w:ascii="Arial;sans-serif" w:hAnsi="Arial;sans-serif"/>
                  <w:b w:val="false"/>
                  <w:color w:val="0000FF"/>
                  <w:sz w:val="18"/>
                  <w:u w:val="single"/>
                </w:rPr>
                <w:t>Amended and Restated Series 2023-2 Supplement, dated as of December 27, 2024, between Avis Budget Rental Car Funding (AESOP) LLC and The Bank of New York Mellon Trust Company, N.A., as trustee and as Series 2023-2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09-ex1060xaesop2023x3xcla.htm">
              <w:r>
                <w:rPr>
                  <w:rStyle w:val="InternetLink"/>
                  <w:rFonts w:ascii="Arial;sans-serif" w:hAnsi="Arial;sans-serif"/>
                  <w:b w:val="false"/>
                  <w:color w:val="0000FF"/>
                  <w:sz w:val="18"/>
                  <w:u w:val="single"/>
                </w:rPr>
                <w:t>Amended and Restated Series 2023-3 Supplement, dated as of December 27, 2024, between Avis Budget Rental Car Funding (AESOP) LLC and The Bank of New York Mellon Trust Company, N.A., as trustee and as Series 2023-3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8">
              <w:r>
                <w:rPr>
                  <w:rStyle w:val="InternetLink"/>
                  <w:rFonts w:ascii="Arial;sans-serif" w:hAnsi="Arial;sans-serif"/>
                  <w:b w:val="false"/>
                  <w:color w:val="0000FF"/>
                  <w:sz w:val="18"/>
                  <w:u w:val="single"/>
                </w:rPr>
                <w:t>Series 2023-4 Supplement, dated as of April 6, 2023, between Avis Budget Rental Car Funding (AESOP) LLC and The Bank of New York Mellon Trust Company, N.A., as trustee and as Series 2023-4 Agent (Incorporated by reference to Exhibit 10.2 to the Company’s Current Report on Form 8-K dated April 11, 2023).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0-ex1062xaesop2023x5xcla.htm">
              <w:r>
                <w:rPr>
                  <w:rStyle w:val="InternetLink"/>
                  <w:rFonts w:ascii="Arial;sans-serif" w:hAnsi="Arial;sans-serif"/>
                  <w:b w:val="false"/>
                  <w:color w:val="0000FF"/>
                  <w:sz w:val="18"/>
                  <w:u w:val="single"/>
                </w:rPr>
                <w:t>Amended and Restated Series 2023-5 Supplement, dated as of December 27, 2024, between Avis Budget Rental Car Funding (AESOP) LLC and The Bank of New York Mellon Trust Company, N.A., as trustee and as Series 2023-5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10.63</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89">
              <w:r>
                <w:rPr>
                  <w:rStyle w:val="InternetLink"/>
                  <w:rFonts w:ascii="Arial;sans-serif" w:hAnsi="Arial;sans-serif"/>
                  <w:b w:val="false"/>
                  <w:color w:val="0000FF"/>
                  <w:sz w:val="18"/>
                  <w:u w:val="single"/>
                </w:rPr>
                <w:t>Series 2023-6 Supplement, dated as of June 1, 2023, between Avis Budget Rental Car Funding (AESOP) LLC and The Bank of New York Mellon Trust Company, N.A., as trustee and as Series 2023-6 Agent (Incorporated by reference to Exhibit 10.2 to the Company’s Current Report on Form 8-K dated June 6, 2023).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0">
              <w:r>
                <w:rPr>
                  <w:rStyle w:val="InternetLink"/>
                  <w:rFonts w:ascii="Arial;sans-serif" w:hAnsi="Arial;sans-serif"/>
                  <w:b w:val="false"/>
                  <w:color w:val="0000FF"/>
                  <w:sz w:val="18"/>
                  <w:u w:val="single"/>
                </w:rPr>
                <w:t>Series 2023-7 Supplement, dated as of September 18, 2023, between Avis Budget Rental Car Funding (AESOP) LLC and The Bank of New York Mellon Trust Company, N.A., as trustee and as Series 2023-7 Agent (Incorporated by reference to Exhibit 10.1 to the Company’s Current Report on Form 8-K dated September 21, 2023).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1">
              <w:r>
                <w:rPr>
                  <w:rStyle w:val="InternetLink"/>
                  <w:rFonts w:ascii="Arial;sans-serif" w:hAnsi="Arial;sans-serif"/>
                  <w:b w:val="false"/>
                  <w:color w:val="0000FF"/>
                  <w:sz w:val="18"/>
                  <w:u w:val="single"/>
                </w:rPr>
                <w:t>Series 2023-8 Supplement, dated as of September 18, 2023, between Avis Budget Rental Car Funding (AESOP) LLC and The Bank of New York Mellon Trust Company, N.A., as trustee and as Series 2023-8 Agent (Incorporated by reference to Exhibit 10.2 to the Company’s Current Report on Form 8-K dated September 21, 2023).</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2">
              <w:r>
                <w:rPr>
                  <w:rStyle w:val="InternetLink"/>
                  <w:rFonts w:ascii="Arial;sans-serif" w:hAnsi="Arial;sans-serif"/>
                  <w:b w:val="false"/>
                  <w:color w:val="0000FF"/>
                  <w:sz w:val="18"/>
                  <w:u w:val="single"/>
                </w:rPr>
                <w:t>Series 2024-1 Supplement, dated as of January 12, 2024, between Avis Budget Rental Car Funding (AESOP) LLC and The Bank of New York Mellon Trust Company, N.A., as trustee and as Series 2024-1 Agent (Incorporated by reference to Exhibit 10.1 to the Company’s Current Report on Form 8-K dated January 18, 2024).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1-ex1067xaesop2024x2xcla.htm">
              <w:r>
                <w:rPr>
                  <w:rStyle w:val="InternetLink"/>
                  <w:rFonts w:ascii="Arial;sans-serif" w:hAnsi="Arial;sans-serif"/>
                  <w:b w:val="false"/>
                  <w:color w:val="0000FF"/>
                  <w:sz w:val="18"/>
                  <w:u w:val="single"/>
                </w:rPr>
                <w:t>Amended and Restated Series 2024-2 Supplement, dated as of December 27, 2024, between Avis Budget Rental Car Funding (AESOP) LLC and The Bank of New York Mellon Trust Company, N.A., as trustee and as Series 2024-2 Agent.</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3">
              <w:r>
                <w:rPr>
                  <w:rStyle w:val="InternetLink"/>
                  <w:rFonts w:ascii="Arial;sans-serif" w:hAnsi="Arial;sans-serif"/>
                  <w:b w:val="false"/>
                  <w:color w:val="0000FF"/>
                  <w:sz w:val="18"/>
                  <w:u w:val="single"/>
                </w:rPr>
                <w:t>Series 2024-3 Supplement, dated as of March 12, 2024, between Avis Budget Rental Car Funding (AESOP) LLC and The Bank of New York Mellon Trust Company, N.A., as trustee and as Series 2024-3 Agent (incorporated by reference to Exhibit 10.2 to the Company’s Current Report on Form 8-K dated March 18, 2024).</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10.69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4">
              <w:r>
                <w:rPr>
                  <w:rStyle w:val="InternetLink"/>
                  <w:rFonts w:ascii="Arial;sans-serif" w:hAnsi="Arial;sans-serif"/>
                  <w:b w:val="false"/>
                  <w:color w:val="0000FF"/>
                  <w:sz w:val="18"/>
                  <w:u w:val="single"/>
                </w:rPr>
                <w:t>Sixth Amended and Restated Credit Agreement, dated as of July 9, 2021, among Avis Budget Holdings, LLC, Avis Budget Car Rental, LLC, Avis Budget Group, Inc., the subsidiary borrowers from time to time party thereto, the financial institutions from time to time party thereto and JPMorgan Chase Bank, N.A., as Administrative Agent (incorporated by reference to Exhibit 10.1 to the Company’s Current Report on Form 8-K, dated July 13, 2021).</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10.70</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5">
              <w:r>
                <w:rPr>
                  <w:rStyle w:val="InternetLink"/>
                  <w:rFonts w:ascii="Arial;sans-serif" w:hAnsi="Arial;sans-serif"/>
                  <w:b w:val="false"/>
                  <w:color w:val="0000FF"/>
                  <w:sz w:val="18"/>
                  <w:u w:val="single"/>
                </w:rPr>
                <w:t>First Amendment, dated as of March 16, 2022, to the Sixth Amended and Restated Credit Agreement, dated as of July 9, 2021, among Avis Budget Holdings, LLC, Avis Budget Car Rental, LLC, Avis Budget Group, Inc., the subsidiary borrowers from time to time party thereto, the financial institutions from time to time party thereto and JPMorgan Chase Bank, N.A., as Administrative Agent (Incorporated by reference to Exhibit 10.2 to the Company’s Current Report on Form 8-K, dated March 25,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6">
              <w:r>
                <w:rPr>
                  <w:rStyle w:val="InternetLink"/>
                  <w:rFonts w:ascii="Arial;sans-serif" w:hAnsi="Arial;sans-serif"/>
                  <w:b w:val="false"/>
                  <w:color w:val="0000FF"/>
                  <w:sz w:val="18"/>
                  <w:u w:val="single"/>
                </w:rPr>
                <w:t>Second Amendment, dated as of March 24, 2022, to the Sixth Amended and Restated Credit Agreement, dated as of July 9, 2021, among Avis Budget Holdings, LLC, Avis Budget Car Rental, LLC, Avis Budget Group, Inc., the subsidiary borrowers from time to time party thereto, the financial institutions from time to time party thereto and JPMorgan Chase Bank, N.A., as Administrative Agent (Incorporated by reference to Exhibit 10.1 to the Company’s Current Report on Form 8-K, dated March 25, 2022).</w:t>
              </w:r>
            </w:hyperlink>
          </w:p>
        </w:tc>
      </w:tr>
      <w:tr>
        <w:trPr/>
        <w:tc>
          <w:tcPr>
            <w:tcW w:w="58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7">
              <w:r>
                <w:rPr>
                  <w:rStyle w:val="InternetLink"/>
                  <w:rFonts w:ascii="Arial;sans-serif" w:hAnsi="Arial;sans-serif"/>
                  <w:b w:val="false"/>
                  <w:color w:val="0000FF"/>
                  <w:sz w:val="18"/>
                  <w:u w:val="single"/>
                </w:rPr>
                <w:t>Third Amendment, dated as of July 28, 2022, to the Sixth Amended and Restated Credit Agreement, dated as of July 9, 2021, among Avis Budget Holdings, LLC, Avis Budget Car Rental, LLC, as borrower, Avis Budget Group, Inc., the subsidiary borrowers from time to time party thereto, the lenders from time to time party thereto, JPMorgan Chase Bank, N.A., as Administrative Agent, and the other parties thereto (Incorporated by reference to Exhibit 10.1 to the Company’s Quarterly Report on Form 10-Q for the quarterly period ended September 30, 2022, dated November 1, 2022).</w:t>
              </w:r>
            </w:hyperlink>
          </w:p>
        </w:tc>
      </w:tr>
      <w:tr>
        <w:trPr/>
        <w:tc>
          <w:tcPr>
            <w:tcW w:w="58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10.73</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292"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left"/>
              <w:rPr/>
            </w:pPr>
            <w:hyperlink r:id="rId98">
              <w:r>
                <w:rPr>
                  <w:rStyle w:val="InternetLink"/>
                  <w:rFonts w:ascii="Arial;sans-serif" w:hAnsi="Arial;sans-serif"/>
                  <w:b w:val="false"/>
                  <w:color w:val="0000FF"/>
                  <w:sz w:val="18"/>
                  <w:u w:val="single"/>
                </w:rPr>
                <w:t>Fourth Amendment, dated as of February 6,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10.76 to the Company’s Annual Report on Form 10-K for the year ended December 31, 2022, dated February 16,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050"/>
                <wp:effectExtent l="0" t="0" r="0" b="0"/>
                <wp:wrapNone/>
                <wp:docPr id="127" name="Frame1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a59feaa1acb740469392b68b9c0dbb00_7">
        <w:r>
          <w:rPr>
            <w:rStyle w:val="InternetLink"/>
            <w:rFonts w:ascii="Arial;sans-serif" w:hAnsi="Arial;sans-serif"/>
            <w:b w:val="false"/>
            <w:color w:val="0000FF"/>
            <w:sz w:val="20"/>
            <w:u w:val="single"/>
          </w:rPr>
          <w:t>Table of Contents</w:t>
        </w:r>
      </w:hyperlink>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29"/>
        <w:gridCol w:w="201"/>
        <w:gridCol w:w="203"/>
        <w:gridCol w:w="109"/>
        <w:gridCol w:w="109"/>
        <w:gridCol w:w="109"/>
        <w:gridCol w:w="2800"/>
        <w:gridCol w:w="2663"/>
        <w:gridCol w:w="3782"/>
      </w:tblGrid>
      <w:tr>
        <w:trPr/>
        <w:tc>
          <w:tcPr>
            <w:tcW w:w="22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10.74</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99">
              <w:r>
                <w:rPr>
                  <w:rStyle w:val="InternetLink"/>
                  <w:rFonts w:ascii="Arial;sans-serif" w:hAnsi="Arial;sans-serif"/>
                  <w:b w:val="false"/>
                  <w:color w:val="0000FF"/>
                  <w:sz w:val="18"/>
                  <w:u w:val="single"/>
                </w:rPr>
                <w:t>Fifth Amendment, dated as of April 21,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10.1 to the Company’s Quarterly Report on Form 10-Q for the quarterly period ended June 30, 2023, dated August 1, 2023).</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10.75</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00">
              <w:r>
                <w:rPr>
                  <w:rStyle w:val="InternetLink"/>
                  <w:rFonts w:ascii="Arial;sans-serif" w:hAnsi="Arial;sans-serif"/>
                  <w:b w:val="false"/>
                  <w:color w:val="0000FF"/>
                  <w:sz w:val="18"/>
                  <w:u w:val="single"/>
                </w:rPr>
                <w:t>Sixth Amendment, dated as of December 8,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10.1 to the Company’s Current Report on Form 8-K, dated December 14, 2023).</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10.76</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01">
              <w:r>
                <w:rPr>
                  <w:rStyle w:val="InternetLink"/>
                  <w:rFonts w:ascii="Arial;sans-serif" w:hAnsi="Arial;sans-serif"/>
                  <w:b w:val="false"/>
                  <w:color w:val="0000FF"/>
                  <w:sz w:val="18"/>
                  <w:u w:val="single"/>
                </w:rPr>
                <w:t>Seventh Amendment, dated as of December 27,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10.1 to the Company’s Current Report on Form 8-K, dated January 3, 2024).</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02">
              <w:r>
                <w:rPr>
                  <w:rStyle w:val="InternetLink"/>
                  <w:rFonts w:ascii="Arial;sans-serif" w:hAnsi="Arial;sans-serif"/>
                  <w:b w:val="false"/>
                  <w:color w:val="0000FF"/>
                  <w:sz w:val="18"/>
                  <w:u w:val="single"/>
                </w:rPr>
                <w:t>Eighth Amendment, dated as of May 29, 2024,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10.1 to the Company’s Current Report on Form 10-Q for the quarterly period ended June 30, 2024, dated August 6, 2024).</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10.78</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03">
              <w:r>
                <w:rPr>
                  <w:rStyle w:val="InternetLink"/>
                  <w:rFonts w:ascii="Arial;sans-serif" w:hAnsi="Arial;sans-serif"/>
                  <w:b w:val="false"/>
                  <w:color w:val="0000FF"/>
                  <w:sz w:val="18"/>
                  <w:u w:val="single"/>
                </w:rPr>
                <w:t>Administrative Amendment, dated as of December 27, 2023, to the Sixth Amended and Restated Credit Agreement, dated as of July 9, 2021, among Avis Budget Holdings, LLC, Avis Budget Car Rental, LLC, as borrower, Avis Budget Group, Inc., the subsidiary borrowers from time to time party thereto, the lenders from time to time party thereto and JPMorgan Chase Bank, N.A., as Administrative Agent, and the other parties thereto (incorporated by reference to Exhibit 10.90 to the Company's Annual Report on Form 10-K for the year ended December 31, 2023, dated February 16, 2024).</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2-ex19xinsidertradingpol.htm">
              <w:r>
                <w:rPr>
                  <w:rStyle w:val="InternetLink"/>
                  <w:rFonts w:ascii="Arial;sans-serif" w:hAnsi="Arial;sans-serif"/>
                  <w:b w:val="false"/>
                  <w:color w:val="0000FF"/>
                  <w:sz w:val="18"/>
                  <w:u w:val="single"/>
                </w:rPr>
                <w:t>Securities Trading Policy.</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3-ex21xsubsidiariesxq4f24.htm">
              <w:r>
                <w:rPr>
                  <w:rStyle w:val="InternetLink"/>
                  <w:rFonts w:ascii="Arial;sans-serif" w:hAnsi="Arial;sans-serif"/>
                  <w:b w:val="false"/>
                  <w:color w:val="0000FF"/>
                  <w:sz w:val="18"/>
                  <w:u w:val="single"/>
                </w:rPr>
                <w:t>Subsidiaries of Registrant.</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23.1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4-ex231xconsentxq4f24.htm">
              <w:r>
                <w:rPr>
                  <w:rStyle w:val="InternetLink"/>
                  <w:rFonts w:ascii="Arial;sans-serif" w:hAnsi="Arial;sans-serif"/>
                  <w:b w:val="false"/>
                  <w:color w:val="0000FF"/>
                  <w:sz w:val="18"/>
                  <w:u w:val="single"/>
                </w:rPr>
                <w:t>Consent of Deloitte &amp; Touche LLP.</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5-exhibit311xsigxq4f24.htm">
              <w:r>
                <w:rPr>
                  <w:rStyle w:val="InternetLink"/>
                  <w:rFonts w:ascii="Arial;sans-serif" w:hAnsi="Arial;sans-serif"/>
                  <w:b w:val="false"/>
                  <w:color w:val="0000FF"/>
                  <w:sz w:val="18"/>
                  <w:u w:val="single"/>
                </w:rPr>
                <w:t>Certification of Chief Executive Officer pursuant to Rules 13(a)-14(a) and 15(d)-14(a) promulgated under the Securities Exchange Act of 1934, as amended.</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6-exhibit312xsigxq4f24.htm">
              <w:r>
                <w:rPr>
                  <w:rStyle w:val="InternetLink"/>
                  <w:rFonts w:ascii="Arial;sans-serif" w:hAnsi="Arial;sans-serif"/>
                  <w:b w:val="false"/>
                  <w:color w:val="0000FF"/>
                  <w:sz w:val="18"/>
                  <w:u w:val="single"/>
                </w:rPr>
                <w:t>Certification of Chief Financial Officer pursuant to Rules 13(a)-14(a) and 15(d)-14(a) promulgated under the Securities Exchange Act of 1934, as amended.</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w:anchor="a17-exhibit32xsigxq4f24.htm">
              <w:r>
                <w:rPr>
                  <w:rStyle w:val="InternetLink"/>
                  <w:rFonts w:ascii="Arial;sans-serif" w:hAnsi="Arial;sans-serif"/>
                  <w:b w:val="false"/>
                  <w:color w:val="0000FF"/>
                  <w:sz w:val="18"/>
                  <w:u w:val="single"/>
                </w:rPr>
                <w:t>Certifications Pursuant to 18 U.S.C. Section 1350, as Adopted Pursuant to Section 906 of the Sarbanes-Oxley Act of 2002.</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97</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left"/>
              <w:rPr/>
            </w:pPr>
            <w:hyperlink r:id="rId104">
              <w:r>
                <w:rPr>
                  <w:rStyle w:val="InternetLink"/>
                  <w:rFonts w:ascii="Arial;sans-serif" w:hAnsi="Arial;sans-serif"/>
                  <w:b w:val="false"/>
                  <w:color w:val="0000FF"/>
                  <w:sz w:val="18"/>
                  <w:u w:val="single"/>
                </w:rPr>
                <w:t>Avis Budget Group, Inc. Clawback Policy (incorporated by reference to Exhibit 97 to the Company's Annual Report on Form 10-K for the year ended December 31, 2023, dated February 16, 2024).</w:t>
              </w:r>
            </w:hyperlink>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101.INS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Instance Document - the instance document does not appear in the Interactive Data File because its XBRL tags are embedded within the Inline XBRL document.</w:t>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101.SCH</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Schema.</w:t>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101.CAL</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Calculation Linkbase.</w:t>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101.DEF</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Definition Linkbase.</w:t>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101.LAB</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Label Linkbase.</w:t>
            </w:r>
          </w:p>
        </w:tc>
      </w:tr>
      <w:tr>
        <w:trPr/>
        <w:tc>
          <w:tcPr>
            <w:tcW w:w="63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101.PRE</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XBRL Taxonomy Extension Presentation Linkbase.</w:t>
            </w:r>
          </w:p>
        </w:tc>
      </w:tr>
      <w:tr>
        <w:trPr/>
        <w:tc>
          <w:tcPr>
            <w:tcW w:w="63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cover page from the Company’s Annual Report on Form 10-K for the year ended December 31, 2023, formatted as Inline XBRL and contained in Exhibit 101.</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____________________</w:t>
      </w:r>
    </w:p>
    <w:tbl>
      <w:tblPr>
        <w:tblW w:w="10205" w:type="dxa"/>
        <w:jc w:val="left"/>
        <w:tblInd w:w="0" w:type="dxa"/>
        <w:tblLayout w:type="fixed"/>
        <w:tblCellMar>
          <w:top w:w="28" w:type="dxa"/>
          <w:left w:w="28" w:type="dxa"/>
          <w:bottom w:w="28" w:type="dxa"/>
          <w:right w:w="28" w:type="dxa"/>
        </w:tblCellMar>
      </w:tblPr>
      <w:tblGrid>
        <w:gridCol w:w="1698"/>
        <w:gridCol w:w="1494"/>
        <w:gridCol w:w="1494"/>
        <w:gridCol w:w="1873"/>
        <w:gridCol w:w="1494"/>
        <w:gridCol w:w="2152"/>
      </w:tblGrid>
      <w:tr>
        <w:trPr/>
        <w:tc>
          <w:tcPr>
            <w:tcW w:w="169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Arial;sans-serif" w:hAnsi="Arial;sans-serif"/>
                <w:b w:val="false"/>
                <w:color w:val="000000"/>
                <w:sz w:val="17"/>
              </w:rPr>
            </w:pPr>
            <w:r>
              <w:rPr>
                <w:rFonts w:ascii="Arial;sans-serif" w:hAnsi="Arial;sans-serif"/>
                <w:b w:val="false"/>
                <w:color w:val="000000"/>
                <w:sz w:val="17"/>
              </w:rPr>
              <w:t>Certain other long-term debt is described in Note 14 of the Notes to Consolidated Financial Statements. The Company agrees to furnish to the Securities and Exchange Commission, upon request, copies of any instruments defining the rights of holders of any such long-term debt described in Note 14 and not filed herewith.</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Cendant Corporation is now known as Avis Budget Group, Inc.</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Cendant Car Rental Group, LLC (formerly known as Cendant Car Rental Group, Inc.) is now known as Avis Budget Car Rental, LLC.</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Cendant Rental Car Funding (AESOP) LLC, formerly known as AESOP Funding II L.L.C, is now known as Avis Budget Rental Car Funding (AESOP) LLC.</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Avis Rent A Car System, Inc. is now known as Avis Rent A Car System, LLC.</w:t>
            </w:r>
          </w:p>
        </w:tc>
      </w:tr>
      <w:tr>
        <w:trPr/>
        <w:tc>
          <w:tcPr>
            <w:tcW w:w="46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7"/>
              </w:rPr>
            </w:pPr>
            <w:r>
              <w:rPr>
                <w:rFonts w:ascii="Arial;sans-serif" w:hAnsi="Arial;sans-serif"/>
                <w:b w:val="false"/>
                <w:color w:val="000000"/>
                <w:sz w:val="17"/>
              </w:rPr>
              <w:t>Denotes management contract or compensatory plan.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10.50</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050"/>
                <wp:effectExtent l="0" t="0" r="0" b="0"/>
                <wp:wrapNone/>
                <wp:docPr id="128" name="Frame1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H-6</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2020-2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2020-2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2020-2 2.02%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2020-2 2.96%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2020-2 4.25%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2020-2 9.561%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2020-2 6.40% Rental Car Asset Backed Notes, Class R</w:t>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9"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180"/>
        <w:jc w:val="both"/>
        <w:rPr/>
      </w:pPr>
      <w:r>
        <w:rPr/>
      </w:r>
    </w:p>
    <w:p>
      <w:pPr>
        <w:pStyle w:val="TextBody"/>
        <w:bidi w:val="0"/>
        <w:spacing w:lineRule="auto" w:line="288" w:before="0" w:after="0"/>
        <w:ind w:left="0" w:right="0" w:firstLine="1440"/>
        <w:jc w:val="left"/>
        <w:rPr/>
      </w:pPr>
      <w:r>
        <w:rPr>
          <w:rFonts w:ascii="Times New Roman;sans-serif" w:hAnsi="Times New Roman;sans-serif"/>
          <w:b w:val="false"/>
          <w:color w:val="000000"/>
          <w:sz w:val="24"/>
        </w:rPr>
        <w:t>AMENDED AND RESTATED SERIES 2020-2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2020-2 Agent</w:t>
      </w:r>
      <w:r>
        <w:rPr>
          <w:color w:val="000000"/>
        </w:rPr>
        <w:t>”</w:t>
      </w:r>
      <w:r>
        <w:rPr>
          <w:rFonts w:ascii="Times New Roman;sans-serif" w:hAnsi="Times New Roman;sans-serif"/>
          <w:b w:val="false"/>
          <w:color w:val="000000"/>
          <w:sz w:val="24"/>
        </w:rPr>
        <w:t>) for the benefit of the Series 2020-2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and the Trustee entered into the Series 2020-2 Supplement, dated August 12, 2020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August 12, 2020, ABRCF issued its Series 2020-2 2.02% Rental Car Asset Backed Notes, Class A, its Series 2020-2 2.96% Rental Car Asset Backed Notes, Class B, its Series 2020-2 4.25% Rental Car Asset Backed Notes, Class C, and its Series 2020-2 6.40% Rental Car Asset Backed Notes, Class R under the Prior Supplement;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18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was created a Series of Notes issued pursuant to the Base Indenture and the Prior Supplement, and such Series of Notes was designated generally as the “Series 2020-2 Rental Car Asset Backed Notes”. The Series 2020-2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0"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2020-2 2.02% Rental Car Asset Backed Notes, Class A”, (ii) one tranche of Class B Notes designated as the “Series 2020-2 2.96% Rental Car Asset Backed Notes, Class B”, (iii) one tranche of Class C Notes designated as the “Series 2020-2 4.25% Rental Car Asset Backed Notes, Class C” and (iv) one tranche of Class R Notes designated the “Series 2020-2 6.40% Rental Car Asset Backed Notes, Class R”.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2020-2 9.561% Rental Car Asset Backed Notes, Class D” and (ii) the Additional Class R Notes.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2020-2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2020-2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 xml:space="preserve">ARTICLE I </w:t>
        <w:br/>
        <w:br/>
        <w:t>DEFINITIONS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2020-2 Notes and not to any other Series of Notes issued by ABRCF. In the event that a term used herein shall be defined both herein and in the Base Indenture, the definition of such term herein shall govern.</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2020-2 Notes and the definitions of such terms are applicable to the singular as well as the plural form of such terms and to the masculine as well as the feminine and neuter genders of such terms:</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1"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2020-2 Controlled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the Series 2020-2 Letters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the Series 2020-2 Letters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the Series 2020-2 Letters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the Series 2020-2 Letters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2020-2 Notes, which may be the Class A Notes, the Class B Notes, the Class C Notes, the Class D Notes or the Class R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2020-2 Controlled Amortization Period, the Class A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2020-2 Controlled Amortization Period other than the Related Month immediately preceding the Series 2020-2 Expected Final Distribution Date, $90,458,333.33 and (ii) with respect to the Related Month immediately preceding the Series 2020-2 Expected Final Distribution Date, $90,458,333.35.</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an amount equal to the sum of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2"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Class A Controlled Amortization Amount and any Class A Carryover Controlled Amortization Amount for such Related Month.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$542,750,000.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2020-2 Interest Period, an amount equal to $1,157,263.61 and (ii) any other Series 2020-2 Interest Period, an amount equal to the product of (A) one-twelfth of the Class A Note Rate and (B) the Class A Invested Amount on the first day of such Series 2020-2 Interest Period, after giving effect to any principal payments made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2020-2 2.02%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2.02%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3"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both"/>
        <w:rPr/>
      </w:pPr>
      <w:r>
        <w:rPr>
          <w:rFonts w:ascii="Times New Roman;sans-serif" w:hAnsi="Times New Roman;sans-serif"/>
          <w:b w:val="false"/>
          <w:color w:val="000000"/>
          <w:sz w:val="24"/>
        </w:rPr>
        <w:t xml:space="preserve">on such Distribution Date and (C) the excess, if any, of the Class D Enhancement Amount (after giving effect to any withdrawal from the Series 2020-2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Series 2020-2 Letter of Credit Termination Date, the Class A/B/C Cash Collateral Account Surplus shall mean the excess, if any, of (x) the Class A/B/C Available Cash Collateral Account Amount over (y) the Series 2020-2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2020-2 Collection Account (not including amounts allocable to the Series 2020-2 Accrued Interest Account) and the Series 2020-2 Excess Collection Account as of such date. </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2020-2 Eligible Letter of Credit Provider in favor of the Trustee for the benefit of the Series 2020-2 Noteholders.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aggregate amount available to be drawn on such date under each Class A/B/C Letter of Credit (other than any Class A/B/C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2020-2 Demand Notes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Letter of Credit Expiration Date</w:t>
      </w:r>
      <w:r>
        <w:rPr>
          <w:color w:val="000000"/>
        </w:rPr>
        <w:t xml:space="preserve">” </w:t>
      </w:r>
      <w:r>
        <w:rPr>
          <w:rFonts w:ascii="Times New Roman;sans-serif" w:hAnsi="Times New Roman;sans-serif"/>
          <w:b w:val="false"/>
          <w:color w:val="000000"/>
          <w:sz w:val="24"/>
        </w:rPr>
        <w:t>means, with respect to any Class A/B/C Letter of Credit, the expiration date set forth in such Class A/B/C Letter of Credit, as such date may be extended in accordance with the terms of such Class A/B/C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 xml:space="preserve">means, as of any date of determination, the sum of (a) the aggregate amount available to be drawn on such date under each Class A/B/C Letter of Credit (other than any Class A/B/C Letter of Credit on which a draw has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4"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Class A/B/C Maximum Non-Program Vehicle Amount, the Class A/B/C Maximum Mitsubishi Amount, the Class A/B/C Maximum Individual Isuzu/Subaru Amount, the Class A/B/C Maximum Hyundai Amount, the Class A/B/C Maximum Kia Amount, the Class A/B/C Maximum Suzuki Amount, the Class A/B/C Maximum Specified States Amount, the Class A/B/C Maximum Non-Eligible Manufacturer Amount and the Class A/B/C Maximum Used Vehicle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20%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Individual Isuzu/Subaru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3%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Non-Program Vehicle Amount</w:t>
      </w:r>
      <w:r>
        <w:rPr>
          <w:color w:val="000000"/>
        </w:rPr>
        <w:t xml:space="preserve">” </w:t>
      </w:r>
      <w:r>
        <w:rPr>
          <w:rFonts w:ascii="Times New Roman;sans-serif" w:hAnsi="Times New Roman;sans-serif"/>
          <w:b w:val="false"/>
          <w:color w:val="000000"/>
          <w:sz w:val="24"/>
        </w:rPr>
        <w:t>means, as of any day, an amount equal to the Series 2020-2 Maximum Non-Program Vehicle Percentage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7.5%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7.5% of the aggregate Net Book Value of all Vehicles leased under the Leases on such day.</w:t>
      </w:r>
    </w:p>
    <w:p>
      <w:pPr>
        <w:pStyle w:val="TextBody"/>
        <w:bidi w:val="0"/>
        <w:spacing w:lineRule="auto" w:line="288" w:before="0" w:after="0"/>
        <w:ind w:left="0" w:right="0" w:firstLine="1440"/>
        <w:jc w:val="both"/>
        <w:rPr/>
      </w:pPr>
      <w:r>
        <w:rPr>
          <w:color w:val="000000"/>
        </w:rPr>
        <w:t>“</w:t>
      </w:r>
      <w:r>
        <w:rPr>
          <w:rFonts w:ascii="Times New Roman;sans-serif" w:hAnsi="Times New Roman;sans-serif"/>
          <w:b w:val="false"/>
          <w:color w:val="000000"/>
          <w:sz w:val="24"/>
          <w:u w:val="single"/>
        </w:rPr>
        <w:t>Class A/B/C Maximum Used Vehicle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br/>
        <w:br/>
        <w:br/>
        <w:t>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5"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August 12, 2020.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2020-2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2020-2 Invested Amount and the Class D Required Overcollateralization Amount and (ii) as of any other date of determination, 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2020-2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2020-2 AESOP I Operating Lease Loan Agreement Borrowing Base on such date and (2) the lesser of (a) the Class A/B/C Liquidity Amount on such date and (b) the Class A/B/C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Series 2020-2 Letter of Credit Provider as of any date, the fraction (expressed as a percentage) obtained by dividing (A) the available amount under such Series 2020-2 Letter of Credit Provider’s Class A/B/C Letter of Credit as of such date by (B) an amount equal to the aggregate available amount under all Class A/B/C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Series 2020-2 Letter of Credit Provider as of any date, if such Series 2020-2 Letter of Credit Provider has not complied with its obligation to pay the Trustee the amount of any draw under its Class A/B/C Letter of Credit made prior to such date, the available amount under such Series 2020-2 Letter of Credit Provider’s Class A/B/C Letter of Credit as of such date shall be treated as reduced (for calculation purposes only) by the amount of such unpaid demand and shall not be reinstated for purposes of such calculation unless and until the date as of which such Series 2020-2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its Series 2020-2 Letter of Credit).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6"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means, as of any date of determination, the sum, without duplication, of (i) the greater of (A) the applicable Series 2020-2 Moody’s Required Enhancement Amount as of such date and (B) the Series 2020-2 DBRS Required Enhancement Amount as of such date, (ii) the Series 2020-2 AESOP I Operating Lease Vehicle Percentage as of the immediately preceding Business Day of the excess, if any, of the Non-Program Vehicle Amount as of such date over the Class A/B/C Maximum Non-Program Vehicle Amount as of such date, (iii) the Series 2020-2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(iv) the Series 2020-2 AESOP I Operating Lease Vehicle Percentage as of the immediately preceding Business Day of the excess, if any, of the aggregate Net Book Value of all Vehicles manufactured by Isuzu or Subaru, individually, and leased under the Leases as of such date over the Class A/B/C Maximum Individual Isuzu/Subaru Amount as of such date, (v) the Series 2020-2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2020-2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2020-2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2020-2 AESOP I Operating Lease Vehicle Percentage as of the immediately preceding Business Day of the excess, if any, of the Specified States Amount as of such date over the Class A/B/C Maximum Specified States Amount as of such date, (ix) the Series 2020-2 AESOP I Operating Lease Vehicle Percentage as of the immediately preceding Business Day of the excess, if any, of the Non-Eligible Manufacturer Amount as of such date over the Class A/B/C Maximum Non-Eligible Manufacturer Amount as of such date and (x) the Series 2020-2 AESOP I Operating Lease Vehicle Percentage as of the immediately preceding Business Day of the excess, if any, of the Net Book Value of all Vehicles leased under the Leases as of such date that were used vehicles at the time of acquisition over the Class A/B/C Maximum Used Vehicle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2.00% and the Class A/B/C Senior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2020-2 Collection Account (not including amounts allocable to the Series 2020-2 Accrued Interest Account) and the Series 2020-2 Excess Collection Account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 xml:space="preserve">means, for any date of determination, an amount equal to the greatest of (a) the excess, if any, of the Class A/B/C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7"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2020-2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2020-2 Notes)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2020-2 Controlled Amortization Period, the Class B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2020-2 Controlled Amortization Period, $9,100,000.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2020-2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$54,600,000.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2020-2 Interest Period, an amount equal to $170,594.67 and (ii) any other Series 2020-2 Interest Period, an amount equal to the product of (A) one-twelfth of the Class B Note Rate and (B) the Class B Invested Amount on the first day of such Series 2020-2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2020-2 2.96% Rental Car Asset Backed Notes, Class B, executed by ABRCF and authenticated by or on behalf of the Trustee, substantially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8"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2.96%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2020-2 Controlled Amortization Period, the Class C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$8,775,000.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2020-2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$52,650,000.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with respect to (i) the initial Series 2020-2 Interest Period, an amount equal to $236,193.75 and (ii) any other Series 2020-2 Interest Period, an amount equal to the product of (A) one-twelfth of the Class C Note Rate and (B) the Class C Invested Amount on the first day of such Series 2020-2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2020-2 4.25%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4.25% per annum.</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9"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2020-2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2020-2 Controlled Amortization Period, the Class D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Series 2020-2 Letter of Credit Termination Date, the Class D Cash Collateral Account Surplus shall mean the excess, if any, of (x) the Class D Available Cash Collateral Account Amount over (y) the Series 2020-2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2020-2 Controlled Amortization Period other than the Related Month immediately preceding the Series 2020-2 Expected Final Distribution Date, $14,766,666.67 and (ii) with respect to the Related Month immediately preceding the Series 2020-2 Expected Final Distribution Date, $14,766,666.65.</w:t>
      </w:r>
    </w:p>
    <w:p>
      <w:pPr>
        <w:pStyle w:val="TextBody"/>
        <w:bidi w:val="0"/>
        <w:spacing w:before="0" w:after="20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0"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2020-2 Controlled Amortization Period, an amount equal to the sum of the Class D Controlled Amortization Amount and any Class D Carryover Controlled Amortization Amount for such Related Month.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2020-2 Collection Account (not including amounts allocable to the Series 2020-2 Accrued Interest Account) and the Series 2020-2 Excess Collection Account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 xml:space="preserve">means the aggregate initial principal amount of the Class D Notes, which is $88,600,000. </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means 9.561%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2020-2 Eligible Letter of Credit Provider in favor of the Trustee for the benefit of the Class D Noteholders.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aggregate amount available to be drawn on such date under each Class D Letter of Credit (other than any Class D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2020-2 Demand Notes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Letter of Credit Expiration Date</w:t>
      </w:r>
      <w:r>
        <w:rPr>
          <w:color w:val="000000"/>
        </w:rPr>
        <w:t xml:space="preserve">” </w:t>
      </w:r>
      <w:r>
        <w:rPr>
          <w:rFonts w:ascii="Times New Roman;sans-serif" w:hAnsi="Times New Roman;sans-serif"/>
          <w:b w:val="false"/>
          <w:color w:val="000000"/>
          <w:sz w:val="24"/>
        </w:rPr>
        <w:t>means, with respect to any Class D Letter of Credit, the expiration date set forth in such Class D Letter of Credit, as such date may be extended in accordance with the terms of such Class D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 xml:space="preserve">means, as of any date of determination, the sum of (a) the aggregate amount available to be drawn on such date under each Class D Letter of Credit (other than any Class D Letter of Credit on which any draw has been made pursuant to Section 2.8(e)), as specified therein, and (b) if the Class D Cash Collateral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has been established and funded pursuant to Section 2.8, the Class D Available Cash Collateral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means, collectively, the Class D Maximum Non-Program Vehicle Amount,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the Class D Maximum Used Vehicle Amount and the Class D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2"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Non-Program Vehicle Amount</w:t>
      </w:r>
      <w:r>
        <w:rPr>
          <w:color w:val="000000"/>
        </w:rPr>
        <w:t xml:space="preserve">” </w:t>
      </w:r>
      <w:r>
        <w:rPr>
          <w:rFonts w:ascii="Times New Roman;sans-serif" w:hAnsi="Times New Roman;sans-serif"/>
          <w:b w:val="false"/>
          <w:color w:val="000000"/>
          <w:sz w:val="24"/>
        </w:rPr>
        <w:t>means, as of any day, an amount equal to the Series 2020-2 Maximum Non-Program Vehicle Percentage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Used Vehicle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 xml:space="preserve">means, with respect to (i) the initial Series 2020-2 Interest Period for the Class D Notes, an amount equal to $1,247,126 and (ii) any other Series 2020-2 Interest Period, an amount equal to the product of (A) one-twelfth of the Class D Note Rate in effect on the first day of such Series 2020-2 Interest Period and (B) the Class D Invested Amount on the first day of such Series 2020-2 Interest Period, after giving effect to any principal payments made on such date.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 xml:space="preserve">means, with respect to (i) the initial Series 2020-2 Interest Period for the Class D Notes, an amount equal to $1,247,126 and (ii) any other Series 2020-2 Interest Period, an amount equal to the product of (A) one-twelfth of the Class D Initial Note Rate and (B) the Class D Invested Amount on the first day of such Series 2020-2 Interest Period, after giving effect to any principal payments made on such date.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means, with respect to any Series 2020-2 Interest Period, an amount equal to the excess, if any, of (x) the Class D Monthly Interest with respect to such Series 2020-2 Interest Period over (x) the Class D Monthly Senior Interest with respect to such Series 2020-2 Interest Period.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2020-2 9.561%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on and after March 19, 2025 and thereafter, (1) if any Class D Noteholder holds Subject Class D Notes in an aggregate principal amount of at least $190,000,000, the Class D Note Rate shall equal the greater of (x) the Class D Note Rate on March 18,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on March 18, 2025 and 6.50% and (2) if no Class D Noteholder holds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3"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1.00% and (y) the sum of the Interpolated Treasury Rate as of December 14, 2025 and 10.50%.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2020-2 AESOP I Operating Lease Loan Agreement Borrowing Base as of such date over (y) the Series 2020-2 Invested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distribution of the Monthly Total Principal Allocation for the Related Month if such date is a Distribution Date) over (ii) the Series 2020-2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2020-2 AESOP I Operating Lease Loan Agreement Borrowing Base on such date and (2) the lesser of (a) the Class D Liquidity Amount on such date and (b) the Class D Required Liquidity Amount on such date.</w:t>
      </w:r>
    </w:p>
    <w:p>
      <w:pPr>
        <w:pStyle w:val="TextBody"/>
        <w:bidi w:val="0"/>
        <w:spacing w:lineRule="auto" w:line="288" w:before="0" w:after="2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Series 2020-2 Letter of Credit Provider as of any date, the fraction (expressed as a percentage) obtained by dividing (A) the available amount under such Series 2020-2 Letter of Credit Provider’s Class D Letter of Credit as of such date by (B) an amount equal to the aggregate available amount under all Class D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only for purposes of calculating the Class D Pro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4"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
        <w:jc w:val="both"/>
        <w:rPr/>
      </w:pPr>
      <w:r>
        <w:rPr>
          <w:rFonts w:ascii="Times New Roman;sans-serif" w:hAnsi="Times New Roman;sans-serif"/>
          <w:b w:val="false"/>
          <w:color w:val="000000"/>
          <w:sz w:val="24"/>
        </w:rPr>
        <w:t>Rata Share with respect to any Series 2020-2 Letter of Credit Provider as of any date, if such Series 2020-2 Letter of Credit Provider has not complied with its obligation to pay the Trustee the amount of any draw under its Class D Letter of Credit made prior to such date, the available amount under such Series 2020-2 Letter of Credit Provider’s Class D Letter of Credit as of such date shall be treated as reduced (for calculation purposes only) by the amount of such unpaid demand and shall not be reinstated for purposes of such calculation unless and until the date as of which such Series 2020-2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its Series 2020-2 Letter of Credit).</w:t>
      </w:r>
    </w:p>
    <w:p>
      <w:pPr>
        <w:pStyle w:val="TextBody"/>
        <w:bidi w:val="0"/>
        <w:spacing w:before="0" w:after="20"/>
        <w:jc w:val="both"/>
        <w:rPr/>
      </w:pPr>
      <w:r>
        <w:rPr/>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2020-2 Moody’s Required Enhancement Amount as of such date, (ii) the Series 2020-2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2020-2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2020-2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2020-2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2020-2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2020-2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2020-2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2020-2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2020-2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2020-2 AESOP I Operating Lease Vehicle Percentage as of the immediately preceding Business Day of (x) prior to the satisfaction of the Springing Amendment Condition (Non-Perfected Lien), the excess, if any, of the Specified States Amount as of such date over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5"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Maximum Specified States Amount as of such date or (y) following the satisfaction of the Springing Amendment Condition (Non-Perfected Lien), the excess, if any, of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2020-2 AESOP I Operating Lease Vehicle Percentage as of the immediately preceding Business Day of the excess, if any, of the Non-Eligible Manufacturer Amount as of such date over the Class D Maximum Non-Eligible Manufacturer Amount as of such date, (xiii) the Series 2020-2 AESOP I Operating Lease Vehicle Percentage as of the immediately preceding Business Day of the excess, if any, of the Net Book Value of all Vehicles leased under the Leases as of such date that were used vehicles at the time of acquisition over the Class D Maximum Used Vehicle Amount as of such date and (xiv) the Series 2020-2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2020-2 Collection Account (not including amounts allocable to the Series 2020-2 Accrued Interest Account) and the Series 2020-2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2020-2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 .</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6"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has the meaning set forth in Section 2.3(g)(v).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2020-2 Controlled Amortization Period other than the Related Month immediately preceding the Series 2020-2 Expected Final Distribution Date, $0 and (ii) with respect to the Related Month immediately preceding the Series 2020-2 Expected Final Distribution Date, $40,650,000.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$40,650,000.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2020-2 Interest Period, an amount equal to $241,511.11, (ii) the initial Series 2020-2 Interest Period following the Class D Notes Closing Date, an amount equal to $46,169 and (iii) any other Series 2020-2 Interest Period, an amount equal to the product of (A) one-twelfth of the Class R Note Rate and (B) the Class R Invested Amount on the first day of such Series 2020-2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2020-2 6.40%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6.40%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7"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2020-2 Demand Note.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Series 2020-2 Letter of Credit, or any combination thereof, as the context may require.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Series 2020-2 Letter of Credit pursuant to a Certificate of Lease Deficit Demand.</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2020-2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2020-2 Note of the excess, if any, of (x) the sum of the Discounted Values for each Remaining Distribution Amount with respect to each Applicable Distribution Date over (y) the Series 2020-2 Invested Amount as of such Optional Repurchase Distribution Date (determined after giving effect to any payments made pursuant to Section 2.5(a)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 xml:space="preserve">means, as of any day, the percentage equivalent of a fraction, the numerator of which is the average of the Selected Fleet Market Value as of the preceding Determination Date and the two Determination Dates precedent thereto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8"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2020-2 Principal Allocations with respect to such Related Month.</w:t>
      </w:r>
    </w:p>
    <w:p>
      <w:pPr>
        <w:pStyle w:val="TextBody"/>
        <w:bidi w:val="0"/>
        <w:spacing w:lineRule="auto" w:line="288" w:before="0" w:after="14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2020-2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Manufacturer whose long-term corporate family rating is downgraded from at least “Baa3” to below “Baa3” by Moody’s or whose long-term senior unsecured debt rating is downgraded from at least “Ba1” to below “Ba1” by Moody’s, as applicable, after the Class A/B/C Notes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9"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Permanent Global Series 2020-2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2020-2 Demand Notes included in the Series 2020-2 Demand Note Payment Amount as of the Series 2020-2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0"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Pre-Preference Period Demand Note Payments as of any date after the conclusion or dismissal of such proceedings shall equal the Series 2020-2 Demand Note Payment Amount as of the date of the conclusion or dismissal of such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September 2025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September 2025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September 2025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September 2025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Requisite Class D Noteholders</w:t>
      </w:r>
      <w:r>
        <w:rPr>
          <w:color w:val="000000"/>
        </w:rPr>
        <w:t xml:space="preserve">” </w:t>
      </w:r>
      <w:r>
        <w:rPr>
          <w:rFonts w:ascii="Times New Roman;sans-serif" w:hAnsi="Times New Roman;sans-serif"/>
          <w:b w:val="false"/>
          <w:color w:val="000000"/>
          <w:sz w:val="24"/>
        </w:rPr>
        <w:t>means Class D Noteholders holding, in the aggregate, more than 50% of the Class D Invested Amount (excluding, for the purpose of making the foregoing calculation for all purposes, any Class D Notes held by ABCR or any Affiliate of ABCR unless ABCR is the sole Class D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Required Controlling Class Series 2020-2 Noteholders</w:t>
      </w:r>
      <w:r>
        <w:rPr>
          <w:color w:val="000000"/>
        </w:rPr>
        <w:t xml:space="preserve">” </w:t>
      </w:r>
      <w:r>
        <w:rPr>
          <w:rFonts w:ascii="Times New Roman;sans-serif" w:hAnsi="Times New Roman;sans-serif"/>
          <w:b w:val="false"/>
          <w:color w:val="000000"/>
          <w:sz w:val="24"/>
        </w:rPr>
        <w:t>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1"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the Class C Invested Amount, (iv) if no Class A Notes, Class B Notes or Class C Notes are outstanding, Class D Noteholders holding more than 50% of the Class D Invested Amount (excluding, for the purpose of making any of the foregoing calculations, any Series 2020-2 Notes held by ABCR or any Affiliate of ABCR unless ABCR or such Affiliate is the sole Series 2020-2 Noteholder) and (v) if no Class A Notes, Class B Notes, Class C Notes or Class D Notes are outstanding, Class R Noteholders holding more than 50% Class R Invested Amount (excluding, for the purpose of making any of the foregoing calculations, any Series 2020-2 Notes held by ABCR or any Affiliate of ABCR unless ABCR or such Affiliate is the sole Series 2020-2 Noteholder).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Requisite Series 2020-2 Noteholders</w:t>
      </w:r>
      <w:r>
        <w:rPr>
          <w:color w:val="000000"/>
        </w:rPr>
        <w:t xml:space="preserve">” </w:t>
      </w:r>
      <w:r>
        <w:rPr>
          <w:rFonts w:ascii="Times New Roman;sans-serif" w:hAnsi="Times New Roman;sans-serif"/>
          <w:b w:val="false"/>
          <w:color w:val="000000"/>
          <w:sz w:val="24"/>
        </w:rPr>
        <w:t>means Series 2020-2 Noteholders holding, in the aggregate, more than 50% of the Series 2020-2 Invested Amount (excluding, for the purposes of making the foregoing calculation, (x) any Series 2020-2 Notes held by ABCR or any Affiliate of ABCR unless ABCR is the sole Series 2020-2 Noteholder and (y) for so long as any Class A Notes, the Class B Notes or the Class C Notes are outstanding, any Class D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2"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means the Series of Notes designated as the Series 2010-6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means the Series of Notes designated as the Series 2011-4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means the Series of Notes designated as the Series 2015-3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means the Series of Notes designated as the Series 2019-2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means the Series of Notes designated as the Series 2019-3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means the Series of Notes designated as the Series 2020-1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Accounts</w:t>
      </w:r>
      <w:r>
        <w:rPr>
          <w:color w:val="000000"/>
        </w:rPr>
        <w:t xml:space="preserve">” </w:t>
      </w:r>
      <w:r>
        <w:rPr>
          <w:rFonts w:ascii="Times New Roman;sans-serif" w:hAnsi="Times New Roman;sans-serif"/>
          <w:b w:val="false"/>
          <w:color w:val="000000"/>
          <w:sz w:val="24"/>
        </w:rPr>
        <w:t>means each of the Series 2020-2 Distribution Account, the Class A/B/C Reserve Account, the Class D Reserve Account, the Series 2020-2 Collection Account, the Series 2020-2 Excess Collection Account and the Series 2020-2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2020-2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2020-2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2020-2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2020-2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2020-2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before="24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3"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2020-2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2020-2 Invested Percentage (calculated with respect to Principal Collections)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Collateral</w:t>
      </w:r>
      <w:r>
        <w:rPr>
          <w:color w:val="000000"/>
        </w:rPr>
        <w:t xml:space="preserve">” </w:t>
      </w:r>
      <w:r>
        <w:rPr>
          <w:rFonts w:ascii="Times New Roman;sans-serif" w:hAnsi="Times New Roman;sans-serif"/>
          <w:b w:val="false"/>
          <w:color w:val="000000"/>
          <w:sz w:val="24"/>
        </w:rPr>
        <w:t>means the Collateral, each Series 2020-2 Letter of Credit, each Series 2020-2 Demand Note, the Series 2020-2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Controlled Amortization Period</w:t>
      </w:r>
      <w:r>
        <w:rPr>
          <w:color w:val="000000"/>
        </w:rPr>
        <w:t xml:space="preserve">” </w:t>
      </w:r>
      <w:r>
        <w:rPr>
          <w:rFonts w:ascii="Times New Roman;sans-serif" w:hAnsi="Times New Roman;sans-serif"/>
          <w:b w:val="false"/>
          <w:color w:val="000000"/>
          <w:sz w:val="24"/>
        </w:rPr>
        <w:t>means the period commencing upon the close of business on July 31, 2025 (or, if such day is not a Business Day, the Business Day immediately preceding such day) and continuing to the earliest of (i) the commencement of the Series 2020-2 Rapid Amortization Period, (ii) the date on which the Series 2020-2 Notes are fully paid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Demand Note Payment Amount</w:t>
      </w:r>
      <w:r>
        <w:rPr>
          <w:color w:val="000000"/>
        </w:rPr>
        <w:t xml:space="preserve">” </w:t>
      </w:r>
      <w:r>
        <w:rPr>
          <w:rFonts w:ascii="Times New Roman;sans-serif" w:hAnsi="Times New Roman;sans-serif"/>
          <w:b w:val="false"/>
          <w:color w:val="000000"/>
          <w:sz w:val="24"/>
        </w:rPr>
        <w:t xml:space="preserve">means, as of the Series 2020-2 Letter of Credit Termination Date, the aggregate amount of all proceeds of demands made on the Series 2020-2 Demand Notes pursuant to Section 2.5(c)(i), (d)(i) or (e)(i) that were deposited into the Series 2020-2 Distribution Account and paid to the Series 2020-2 Noteholders during the one year period ending on the Series 2020-2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2020-2 Demand Note Payment Amount as of the Series 2020-2 Letter of Credit Termination Date shall equal the Series 2020-2 Demand Note Payment Amount as if it were calculated as of the date of such occurrence.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Series 2020-2 Letter of Credit, a long-term senior unsecured debt rating (or the equivalent thereof) of at least “A1” from Moody’s and a short term senior unsecured debt rating of at least “P-1” from Moody’s that is (a) a commercial bank having total assets in excess of $500,000,000, (b) a finance company, insurance company or other financial institution that in the ordinary course of business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4"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pPr>
      <w:r>
        <w:rPr>
          <w:rFonts w:ascii="Times New Roman;sans-serif" w:hAnsi="Times New Roman;sans-serif"/>
          <w:b w:val="false"/>
          <w:color w:val="000000"/>
          <w:sz w:val="24"/>
        </w:rPr>
        <w:t xml:space="preserve">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Series 2020-2 Letter of Credit Provider (or a letter of credit provider under the Supplement for any other Series of Notes), then such Person shall not be a Series 2020-2 Eligible Letter of Credit Provider until ABRCF has provided ten (10) days’ prior notice to the Rating Agencies that such Person has been proposed as a Series 2020-2 Letter of Credit Provider.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Class A/B/C Letters of Credit, the Class D Letters of Credit, the Series 2020-2 Demand Notes, the Class D Overcollateralization Amount and the Class A/B/C Required Reserve Account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Expected Final Distribution Date</w:t>
      </w:r>
      <w:r>
        <w:rPr>
          <w:color w:val="000000"/>
        </w:rPr>
        <w:t xml:space="preserve">” </w:t>
      </w:r>
      <w:r>
        <w:rPr>
          <w:rFonts w:ascii="Times New Roman;sans-serif" w:hAnsi="Times New Roman;sans-serif"/>
          <w:b w:val="false"/>
          <w:color w:val="000000"/>
          <w:sz w:val="24"/>
        </w:rPr>
        <w:t>means the February 2026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Final Distribution Date</w:t>
      </w:r>
      <w:r>
        <w:rPr>
          <w:color w:val="000000"/>
        </w:rPr>
        <w:t xml:space="preserve">” </w:t>
      </w:r>
      <w:r>
        <w:rPr>
          <w:rFonts w:ascii="Times New Roman;sans-serif" w:hAnsi="Times New Roman;sans-serif"/>
          <w:b w:val="false"/>
          <w:color w:val="000000"/>
          <w:sz w:val="24"/>
        </w:rPr>
        <w:t xml:space="preserve">means the February 2027 Distribution </w:t>
        <w:br/>
        <w:t>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Interest Period</w:t>
      </w:r>
      <w:r>
        <w:rPr>
          <w:color w:val="000000"/>
        </w:rPr>
        <w:t xml:space="preserve">” </w:t>
      </w:r>
      <w:r>
        <w:rPr>
          <w:rFonts w:ascii="Times New Roman;sans-serif" w:hAnsi="Times New Roman;sans-serif"/>
          <w:b w:val="false"/>
          <w:color w:val="000000"/>
          <w:sz w:val="24"/>
        </w:rPr>
        <w:t xml:space="preserve">means a period commencing on and including a Distribution Date and ending on and including the day preceding the next succeeding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2020-2 Interest Period with respect to the Class A Notes, the Class B Notes and the Class C Notes commenced on and included the Class A/B/C Notes Closing Date and ended on and included September 20, 2020 and (y) the initial Series 2020-2 Interest Period with respect to the Class D Notes shall commence on and include the Class D Closing Date and shall end on and include February 19, 2025.</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2020-2 Invested Amount and the Class D Overcollateralization Amount, determined during the Series 2020-2 Revolving Period as of the end of the Related Month (or, until the end of the Related Month during which the Class D Notes Closing Date occurs, on the Class D Notes Closing Date), or, during the Series 2020-2 Controlled Amortization Period and the Series 2020-2 Rapid Amortization Period, as of the end of the Series 2020-2 Revolving Period, and the denominator of which shall be the greater of (I) the Aggregate Asset Amount as of the end of the Related Month or, until the end of the initial Related Month, as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when used with respect to Interest Collections, the percentage equivalent (which percentage shall never exceed 100%) of a fraction, the numerator of which shall be the Accrued Amounts with respect to the Series 2020-2 Notes on such date of determination, and the denominator of which shall be the aggregate Accrued Amounts with respect to all Series of Notes on such date of determination.</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2020-2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2020-2 Accrued Interest Account (excluding any amounts paid into the Series 2020-2 Accrued Interest Account pursuant to the proviso in Sections 2.2(c)(ii) and/or 2.2(d)(ii)) from and excluding the preceding Distribution Date to and including the Business Day immediately preceding such Distribution Date over (2) the Class R Monthly Interest with respect to the Series 2020-2 Interest Period ended on the day preceding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Lease Payment Deficit</w:t>
      </w:r>
      <w:r>
        <w:rPr>
          <w:color w:val="000000"/>
        </w:rPr>
        <w:t xml:space="preserve">” </w:t>
      </w:r>
      <w:r>
        <w:rPr>
          <w:rFonts w:ascii="Times New Roman;sans-serif" w:hAnsi="Times New Roman;sans-serif"/>
          <w:b w:val="false"/>
          <w:color w:val="000000"/>
          <w:sz w:val="24"/>
        </w:rPr>
        <w:t>means either a Series 2020-2 Lease Interest Payment Deficit or a Series 2020-2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2020-2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2020-2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Lease Principal Payment Deficit</w:t>
      </w:r>
      <w:r>
        <w:rPr>
          <w:color w:val="000000"/>
        </w:rPr>
        <w:t xml:space="preserve">” </w:t>
      </w:r>
      <w:r>
        <w:rPr>
          <w:rFonts w:ascii="Times New Roman;sans-serif" w:hAnsi="Times New Roman;sans-serif"/>
          <w:b w:val="false"/>
          <w:color w:val="000000"/>
          <w:sz w:val="24"/>
        </w:rPr>
        <w:t>means on any Distribution Date, the sum of (a) the Series 2020-2 Monthly Lease Principal Payment Deficit for such Distribution Date and (b) the Series 2020-2 Lease Principal Payment Carryover Deficit for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Letter of Credit</w:t>
      </w:r>
      <w:r>
        <w:rPr>
          <w:color w:val="000000"/>
        </w:rPr>
        <w:t xml:space="preserve">” </w:t>
      </w:r>
      <w:r>
        <w:rPr>
          <w:rFonts w:ascii="Times New Roman;sans-serif" w:hAnsi="Times New Roman;sans-serif"/>
          <w:b w:val="false"/>
          <w:color w:val="000000"/>
          <w:sz w:val="24"/>
        </w:rPr>
        <w:t>means a Class A/B/C Letter of Credit or a Class D Letter of Credit, as the context may require.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D Letter of Credit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Letter of Credit Provider</w:t>
      </w:r>
      <w:r>
        <w:rPr>
          <w:color w:val="000000"/>
        </w:rPr>
        <w:t xml:space="preserve">” </w:t>
      </w:r>
      <w:r>
        <w:rPr>
          <w:rFonts w:ascii="Times New Roman;sans-serif" w:hAnsi="Times New Roman;sans-serif"/>
          <w:b w:val="false"/>
          <w:color w:val="000000"/>
          <w:sz w:val="24"/>
        </w:rPr>
        <w:t>means the issuer of a Series 2020-2 Letter of Credit.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6"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2020-2 Notes are fully paid and (b) the Series 2020-2 Termination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2020-2 Limited Liquidation Event of Default if the Trustee shall have received the written consent of the Requisite Series 2020-2 Noteholders waiving the occurrence of such Series 2020-2 Limited Liquidation Event of Default. The Trustee shall promptly (but in any event within two (2) days) provide the Rating Agencies with written notice of such waiver.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Maximum Non-Program Vehicle Percentage</w:t>
      </w:r>
      <w:r>
        <w:rPr>
          <w:color w:val="000000"/>
        </w:rPr>
        <w:t xml:space="preserve">” </w:t>
      </w:r>
      <w:r>
        <w:rPr>
          <w:rFonts w:ascii="Times New Roman;sans-serif" w:hAnsi="Times New Roman;sans-serif"/>
          <w:b w:val="false"/>
          <w:color w:val="000000"/>
          <w:sz w:val="24"/>
        </w:rPr>
        <w:t>means, as of any date of determination, the sum of (a) 85% and (b) a fraction, expressed as a percentage, the numerator of which is the aggregate Net Book Value of all Redesignated Vehicles manufactured by a Bankrupt Manufacturer or a Manufacturer with respect to which a Manufacturer Event of Default has occurred, and in each case leased under the AESOP I Operating Lease or the Finance Lease as of such date, and the denominator of which is the aggregate Net Book Value of all Vehicles leased under the Leases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2020-2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2020-2 Collection Account (without giving effect to any amounts paid into the Series 2020-2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Highest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aggregate Net Book Value of all Vehicles (with respect to calculating the Class D Required Enhancement Amount only,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2020-2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14.25% (with respect to calculating the Class D Required Enhancement Amount) or 27.10% (with respect to calculating the Class A/B/C Required Enhancement Amount), (b) the greater of (x) the highest for any calendar month within the preceding 12 calendar months,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7"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pPr>
      <w:r>
        <w:rPr>
          <w:rFonts w:ascii="Times New Roman;sans-serif" w:hAnsi="Times New Roman;sans-serif"/>
          <w:b w:val="false"/>
          <w:color w:val="000000"/>
          <w:sz w:val="24"/>
        </w:rPr>
        <w:t xml:space="preserve">Measurement Month Average for the immediately preceding Measurement Month and (y) (i) with respect to calculating the Class A/B/C Required Enhancement Amount, the highest for any calendar month within the preceding 12 calendar months and (ii) with respect to calculating the Class D Required Enhancement Amount,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(i) with respect to calculating the Class A/B/C Required Enhancement Amount only, if the Non-Program Vehicle Amount exceeds the Class A/B/C Maximum Non-Program Vehicle Amount as of such date of determination, 1.00% and (ii) with respect to calculating the Class D Required Enhancement Amount only, if (x) the Non-Program Vehicle Amount is less than or equal to the Class D Maximum Non-Program Vehicle Amount as of such date of determination, 0.00%, (y) the Non-Program Vehicle Amount exceeds the Class D Maximum Non-Program Vehicle Amount as of such date of determination but is less than or equal to 87.5% of the aggregate Net Book Value of all Vehicles leased under the Leases as of such date of determination, 0.50% and (z) the Non-Program Vehicle Amount is greater than 87.5% of the aggregate Net Book Value of all Vehicles leased under the Leases as of such date of determination, 1.00%.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sum of (a) the Series 2020-2 Moody’s Lowest Enhanced Vehicle Percentage, (b) the Series 2020-2 Moody’s Highest Enhanced Vehicle Percentage and (c) with respect to calculating the Class D Required Enhancement Amount only, the Series 2020-2 Moody’s Trucks Percentage.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2020-2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16.25%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Lowest Enhanced Vehicle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sum, without duplication, of (1) the aggregate Net Book Value of all Program Vehicles (with respect to calculating the Class D Required Enhancement Amount only,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(with respect to calculating the Class D Required Enhancement Amount only, other than “medium duty” and “heavy duty” trucks) leased under the AESOP I Operating Lease manufactured by each such Eligible Non-Program Manufacturer that are subject to a Manufacturer Program and remain eligible for repurchase thereunder as of such date and (b)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8"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12.75%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Required Enhancement Amount</w:t>
      </w:r>
      <w:r>
        <w:rPr>
          <w:color w:val="000000"/>
        </w:rPr>
        <w:t xml:space="preserve">” </w:t>
      </w:r>
      <w:r>
        <w:rPr>
          <w:rFonts w:ascii="Times New Roman;sans-serif" w:hAnsi="Times New Roman;sans-serif"/>
          <w:b w:val="false"/>
          <w:color w:val="000000"/>
          <w:sz w:val="24"/>
        </w:rPr>
        <w:t>means, as of any date of determination, the product of (i) the applicable Series 2020-2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2020-2 Senior Invested Amount minus the Series 2020-2 Allocated Cash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Required Enhancement Percentage</w:t>
      </w:r>
      <w:r>
        <w:rPr>
          <w:color w:val="000000"/>
        </w:rPr>
        <w:t xml:space="preserve">” </w:t>
      </w:r>
      <w:r>
        <w:rPr>
          <w:rFonts w:ascii="Times New Roman;sans-serif" w:hAnsi="Times New Roman;sans-serif"/>
          <w:b w:val="false"/>
          <w:color w:val="000000"/>
          <w:sz w:val="24"/>
        </w:rPr>
        <w:t>means, as of any date of determination, the sum of (i) the product of (A) the Series 2020-2 Moody’s Lowest Enhancement Rate as of such date and (B) the Series 2020-2 Moody’s Lowest Enhanced Vehicle Percentage as of such date, (ii) the product of (A) the Series 2020-2 Moody’s Intermediate Enhancement Rate as of such date and (B) the Series 2020-2 Moody’s Intermediate Enhanced Vehicle Percentage as of such date, (iii) the product of (A) the Series 2020-2 Moody’s Highest Enhancement Rate as of such date and (B) the Series 2020-2 Moody’s Highest Enhanced Vehicle Percentage as of such date and (iv) with respect to calculating the Class D Required Enhancement Amount only, the product of (A) the Series 2020-2 Moody’s Trucks Enhancement Rate as of such date and (B) the Series 2020-2 Moody’s Trucks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 Owner</w:t>
      </w:r>
      <w:r>
        <w:rPr>
          <w:color w:val="000000"/>
        </w:rPr>
        <w:t xml:space="preserve">” </w:t>
      </w:r>
      <w:r>
        <w:rPr>
          <w:rFonts w:ascii="Times New Roman;sans-serif" w:hAnsi="Times New Roman;sans-serif"/>
          <w:b w:val="false"/>
          <w:color w:val="000000"/>
          <w:sz w:val="24"/>
        </w:rPr>
        <w:t xml:space="preserve">means each beneficial owner of a Series 2020-2 Note.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9"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2020-2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2020-2 Notes and ending upon the earliest to occur of (i) the date on which the Series 2020-2 Notes are fully paid, (ii) the Series 2020-2 Final Distribution Date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Series 2020-2 Letter of Credit Provider for draws under its Series 2020-2 Letter of Credit as the same may be amended, supplemented,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2020-2 Controlled Amortization Period and (ii) the commencement of the Series 2020-2 Rapid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2020-2 Interest Period ended on the day preceding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0"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Termination Date</w:t>
      </w:r>
      <w:r>
        <w:rPr>
          <w:color w:val="000000"/>
        </w:rPr>
        <w:t xml:space="preserve">” </w:t>
      </w:r>
      <w:r>
        <w:rPr>
          <w:rFonts w:ascii="Times New Roman;sans-serif" w:hAnsi="Times New Roman;sans-serif"/>
          <w:b w:val="false"/>
          <w:color w:val="000000"/>
          <w:sz w:val="24"/>
        </w:rPr>
        <w:t>means the February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Trustee’s Fees</w:t>
      </w:r>
      <w:r>
        <w:rPr>
          <w:color w:val="000000"/>
        </w:rPr>
        <w:t xml:space="preserve">” </w:t>
      </w:r>
      <w:r>
        <w:rPr>
          <w:rFonts w:ascii="Times New Roman;sans-serif" w:hAnsi="Times New Roman;sans-serif"/>
          <w:b w:val="false"/>
          <w:color w:val="000000"/>
          <w:sz w:val="24"/>
        </w:rPr>
        <w:t xml:space="preserve">means, for any Distribution Date during the Series 2020-2 Rapid Amortization Period on which there exists a Series 2020-2 Lease Interest Payment Deficit, a portion of the fees payable to the Trustee in an amount equal to the product of (i) the Series 2020-2 Percentage as of the beginning of the Series 2020-2 Interest Period ending on the 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2020-2 Trustee’s Fees in the aggregate for all Distribution Dates shall not exceed 1.1% of the Series 2020-2 Required AESOP I Operating Lease Vehicle Amount as of the last day of the Series 2020-2 Revolving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means the Series of Notes designated as the Series 2021-1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means the Series of Notes designated as the Series 2021-2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means the Series of Notes designated as the Series 2022-1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means the Series of Notes designated as the Series 2022-3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means the Series of Notes designated as the Series 2022-4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means the Series of Notes designated as the Series 2022-5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means the Series of Notes designated as the Series 2023-1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means the Series of Notes designated as the Series 2023-2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means the Series of Notes designated as the Series 2023-3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means the Series of Notes designated as the Series 2023-4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means the Series of Notes designated as the Series 2023-5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means the Series of Notes designated as the Series 2023-6 Notes.</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1"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means the Series of Notes designated as the Series 2023-7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means the Series of Notes designated as the Series 2023-8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means the Series of Notes designated as the Series 2024-1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means the Series of Notes designated as the Series 2024-2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means the Series of Notes designated as the Series 2024-3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means (x) the Class D Notes and (y) the Classes of Notes designated as the Series 2022-5 Notes, Class D, the Series 2023-2 Notes, Class D, the Series 2023-3 Notes, Class D, the Series 2023-5 Notes, Class D, and the Series 2024-2 Notes, Class 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2020-2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Series 2020-2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Series 2020-2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Series 2020-2 Letter of Credit pursuant to a Certificate of Unpaid Demand Note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 xml:space="preserve">means the federal interagency credit risk retention rules, codified at 17 C.F.R. Part 246.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2"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2020-2 Invested Amount (or any component thereof) on any date shall, unless otherwise stated, be calculated after giving effect to any payment of principal made to the applicable Series 2020-2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2020-2 ALLOCATIONS</w:t>
      </w:r>
    </w:p>
    <w:p>
      <w:pPr>
        <w:pStyle w:val="TextBody"/>
        <w:bidi w:val="0"/>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2020-2 Notes, the following shall apply:</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2020-2 Collection Account, Series 2020-2 Excess Collection Account and Series 2020-2 Accrued Interest Account</w:t>
      </w:r>
      <w:r>
        <w:rPr>
          <w:rFonts w:ascii="Times New Roman;sans-serif" w:hAnsi="Times New Roman;sans-serif"/>
          <w:b w:val="false"/>
          <w:color w:val="000000"/>
          <w:sz w:val="24"/>
        </w:rPr>
        <w:t>. (a) All Collections allocable to the Series 2020-2 Notes shall be allocated to the Collection Account.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2020-2 Noteholders: the Series 2020-2 Collection Account (such sub-account, the “</w:t>
      </w:r>
      <w:r>
        <w:rPr>
          <w:rFonts w:ascii="Times New Roman;sans-serif" w:hAnsi="Times New Roman;sans-serif"/>
          <w:b w:val="false"/>
          <w:color w:val="000000"/>
          <w:sz w:val="24"/>
          <w:u w:val="single"/>
        </w:rPr>
        <w:t>Series 2020-2 Collection Account</w:t>
      </w:r>
      <w:r>
        <w:rPr>
          <w:color w:val="000000"/>
        </w:rPr>
        <w:t>”</w:t>
      </w:r>
      <w:r>
        <w:rPr>
          <w:rFonts w:ascii="Times New Roman;sans-serif" w:hAnsi="Times New Roman;sans-serif"/>
          <w:b w:val="false"/>
          <w:color w:val="000000"/>
          <w:sz w:val="24"/>
        </w:rPr>
        <w:t>), the Series 2020-2 Excess Collection Account (such sub-account, the “</w:t>
      </w:r>
      <w:r>
        <w:rPr>
          <w:rFonts w:ascii="Times New Roman;sans-serif" w:hAnsi="Times New Roman;sans-serif"/>
          <w:b w:val="false"/>
          <w:color w:val="000000"/>
          <w:sz w:val="24"/>
          <w:u w:val="single"/>
        </w:rPr>
        <w:t>Series 2020-2 Excess Collection Account</w:t>
      </w:r>
      <w:r>
        <w:rPr>
          <w:color w:val="000000"/>
        </w:rPr>
        <w:t>”</w:t>
      </w:r>
      <w:r>
        <w:rPr>
          <w:rFonts w:ascii="Times New Roman;sans-serif" w:hAnsi="Times New Roman;sans-serif"/>
          <w:b w:val="false"/>
          <w:color w:val="000000"/>
          <w:sz w:val="24"/>
        </w:rPr>
        <w:t>) and the Series 2020-2 Accrued Interest Account (such sub-account, the “</w:t>
      </w:r>
      <w:r>
        <w:rPr>
          <w:rFonts w:ascii="Times New Roman;sans-serif" w:hAnsi="Times New Roman;sans-serif"/>
          <w:b w:val="false"/>
          <w:color w:val="000000"/>
          <w:sz w:val="24"/>
          <w:u w:val="single"/>
        </w:rPr>
        <w:t>Series 2020-2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2020-2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2020-2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2020-2 Revolving Period</w:t>
      </w:r>
      <w:r>
        <w:rPr>
          <w:rFonts w:ascii="Times New Roman;sans-serif" w:hAnsi="Times New Roman;sans-serif"/>
          <w:b w:val="false"/>
          <w:color w:val="000000"/>
          <w:sz w:val="24"/>
        </w:rPr>
        <w:t>. During the Series 2020-2 Revolving Period, the Administrator will direct the Trustee in writing pursuant to the Administration Agreement to allocate, prior to 11:00 a.m. (New York City time) on each Series 2020-2 Deposit Date, all amounts deposited into the Collection Account as set forth 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(i)allocate to the Series 2020-2 Collection Account an amount equal to the Series 2020-2 Invested Percentage (as of such day) of the aggregate amount of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3"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Collections on such day. All such amounts allocated to the Series 2020-2 Collection Account shall be further allocated to the Series 2020-2 Accrued Interest Account; and</w:t>
      </w:r>
    </w:p>
    <w:p>
      <w:pPr>
        <w:pStyle w:val="TextBody"/>
        <w:bidi w:val="0"/>
        <w:spacing w:before="0" w:after="0"/>
        <w:ind w:left="0" w:right="0" w:firstLine="108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(ii)allocate to the Series 2020-2 Excess Collection Account an amount equal to the Series 2020-2 Invested Percentage (as of such day) of the aggregate amount of Principal Collections on such day (for any such day, the “</w:t>
      </w:r>
      <w:r>
        <w:rPr>
          <w:rFonts w:ascii="Times New Roman;sans-serif" w:hAnsi="Times New Roman;sans-serif"/>
          <w:b w:val="false"/>
          <w:color w:val="000000"/>
          <w:sz w:val="24"/>
          <w:u w:val="single"/>
        </w:rPr>
        <w:t>Series 2020-2 Principal Allocation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2020-2 Controlled Amortization Period</w:t>
      </w:r>
      <w:r>
        <w:rPr>
          <w:rFonts w:ascii="Times New Roman;sans-serif" w:hAnsi="Times New Roman;sans-serif"/>
          <w:b w:val="false"/>
          <w:color w:val="000000"/>
          <w:sz w:val="24"/>
        </w:rPr>
        <w:t>. With respect to the Series 2020-2 Controlled Amortization Period, the Administrator will direct the Trustee in writing pursuant to the Administration Agreement to allocate, prior to 11:00 a.m. (New York City time) on any Series 2020-2 Deposit Date, all amounts deposited into the Collection Account as set forth below:</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(i)allocate to the Series 2020-2 Collection Account an amount determined as set forth in Section 2.2(a)(i) above for such day, which amount shall be further allocated to the Series 2020-2 Accrued Interest Account; and</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 xml:space="preserve">(ii)allocate to the Series 2020-2 Collection Account an amount equal to the Series 2020-2 Principal Allocation for such day, which amount shall be used to make principal payments in respect of the Series 2020-2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2020-2 Excess Collection Account.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2020-2 Rapid Amortization Period</w:t>
      </w:r>
      <w:r>
        <w:rPr>
          <w:rFonts w:ascii="Times New Roman;sans-serif" w:hAnsi="Times New Roman;sans-serif"/>
          <w:b w:val="false"/>
          <w:color w:val="000000"/>
          <w:sz w:val="24"/>
        </w:rPr>
        <w:t>. With respect to the Series 2020-2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2020-2 Deposit Date, all amounts deposited into the Collection Account as set forth below:</w:t>
      </w:r>
    </w:p>
    <w:p>
      <w:pPr>
        <w:pStyle w:val="TextBody"/>
        <w:bidi w:val="0"/>
        <w:spacing w:lineRule="auto" w:line="288" w:before="0" w:after="180"/>
        <w:ind w:left="0" w:right="0" w:firstLine="630"/>
        <w:jc w:val="both"/>
        <w:rPr>
          <w:rFonts w:ascii="Times New Roman;sans-serif" w:hAnsi="Times New Roman;sans-serif"/>
          <w:b w:val="false"/>
          <w:color w:val="000000"/>
          <w:sz w:val="24"/>
        </w:rPr>
      </w:pPr>
      <w:r>
        <w:rPr>
          <w:rFonts w:ascii="Times New Roman;sans-serif" w:hAnsi="Times New Roman;sans-serif"/>
          <w:b w:val="false"/>
          <w:color w:val="000000"/>
          <w:sz w:val="24"/>
        </w:rPr>
        <w:t>(i)allocate to the Series 2020-2 Collection Account an amount determined as set forth in Section 2.2(a)(i) above for such day, which amount shall be further allocated to the Series 2020-2 Accrued Interest Account; and</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 xml:space="preserve">(ii)allocate to the Series 2020-2 Collection Account an amount equal to the Series 2020-2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 xml:space="preserve">to make principal payments in respect of the Class A Notes until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4"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provided, however, that if on any Determination Date (A) the Administrator determines that the amount anticipated to be available from Interest Collections allocable to the Series 2020-2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2020-2 Notes during the Related Month equal to the lesser of such insufficiency and the Class A/B/C Enhancement Amount to the Series 2020-2 Accrued Interest Account to be treated as Interest Collections on such Distribution Date; provided, further, however,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2020-2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2020-2 Notes during the Related Month equal to the lesser of such insufficiency and the Class D Enhancement Amount to the Series 2020-2 Accrued Interest Account to be treated as Interest Collections on such Distribution Date.</w:t>
      </w:r>
    </w:p>
    <w:p>
      <w:pPr>
        <w:pStyle w:val="TextBody"/>
        <w:bidi w:val="0"/>
        <w:spacing w:before="0" w:after="0"/>
        <w:jc w:val="left"/>
        <w:rPr/>
      </w:pPr>
      <w:r>
        <w:rPr/>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5"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2020-2 Deposit Date, all amounts attributable to the AESOP I Operating Lease Loan Agreement deposited into the Collection Account as set forth below:</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(i)allocate to the Series 2020-2 Collection Account an amount equal to the Series 2020-2 AESOP I Operating Lease Vehicle Percentage as of the date of the occurrence of such Event of Bankruptcy of the aggregate amount of Interest Collections made under the AESOP I Operating Lease Loan Agreement for such day. All such amounts allocated to the Series 2020-2 Collection Account shall be further allocated to the Series 2020-2 Accrued Interest Account; and</w:t>
      </w:r>
    </w:p>
    <w:p>
      <w:pPr>
        <w:pStyle w:val="TextBody"/>
        <w:bidi w:val="0"/>
        <w:spacing w:lineRule="auto" w:line="288" w:before="0" w:after="80"/>
        <w:ind w:left="0" w:right="0" w:firstLine="720"/>
        <w:jc w:val="both"/>
        <w:rPr/>
      </w:pPr>
      <w:r>
        <w:rPr>
          <w:rFonts w:ascii="Times New Roman;sans-serif" w:hAnsi="Times New Roman;sans-serif"/>
          <w:b w:val="false"/>
          <w:color w:val="000000"/>
          <w:sz w:val="24"/>
        </w:rPr>
        <w:t xml:space="preserve">(ii)allocate to the Series 2020-2 Collection Account an amount equal to the Series 2020-2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2020-2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2020-2 Notes during the Related Month equal to the lesser of such insufficiency and the Class A/B/C Enhancement Amount to the Series 2020-2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2020-2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D Monthly Senior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6"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2020-2 Notes during the Related Month equal to the lesser of such insufficiency and the Class D Enhancement Amount to the Series 2020-2 Accrued Interest Account to be treated as Interest Collections on such Distribution Date.</w:t>
      </w:r>
    </w:p>
    <w:p>
      <w:pPr>
        <w:pStyle w:val="TextBody"/>
        <w:bidi w:val="0"/>
        <w:spacing w:before="0" w:after="0"/>
        <w:jc w:val="both"/>
        <w:rPr/>
      </w:pPr>
      <w:r>
        <w:rPr/>
      </w:r>
    </w:p>
    <w:p>
      <w:pPr>
        <w:pStyle w:val="TextBody"/>
        <w:bidi w:val="0"/>
        <w:spacing w:lineRule="auto" w:line="288" w:before="0" w:after="1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2020-2 Excess Collection Account</w:t>
      </w:r>
      <w:r>
        <w:rPr>
          <w:rFonts w:ascii="Times New Roman;sans-serif" w:hAnsi="Times New Roman;sans-serif"/>
          <w:b w:val="false"/>
          <w:color w:val="000000"/>
          <w:sz w:val="24"/>
        </w:rPr>
        <w:t xml:space="preserve">. Amounts allocated to the Series 2020-2 Excess Collection Account on any Series 2020-2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2020-2 Enhancement Deficiency or AESOP I Operating Lease Vehicle Deficiency would result therefrom or exist immediately thereafter. Upon the occurrence of an Amortization Event and once a Trust Officer has actual knowledge of the Amortization Event, funds on deposit in the Series 2020-2 Excess Collection Account will be withdrawn by the Trustee, deposited in the Series 2020-2 Collection Account and allocated as Principal Collections to reduce the Series 2020-2 Invested Amount on the immediately succeeding Distribution Date.</w:t>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2020-2 Notes (i) during the Series 2020-2 Revolving Period shall be allocated to the Series 2020-2 Excess Collection Account and applied in accordance with Section 2.2(e) and (ii) during the Series 2020-2 Controlled Amortization Period or the Series 2020-2 Rapid Amortization Period shall be allocated to the Series 2020-2 Collection Account and applied in accordance with Section 2.2(b) or 2.2(c), as applicable, to make principal payments in respect of the Series 2020-2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Notwithstanding the foregoing, if in the case of Section 2.2(a) or (b), after the occurrence of a Series 2020-2 Lease Payment Deficit, the Lessees shall make payments of Monthly Base Rent or other amounts payable by the Lessees under the Leases on or prior to the fifth Business Day after the occurrence of such Series 2020-2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2020-2 Collection Account an amount equal to the Series 2020-2 Invested Percentage as of the date of the occurrence of such</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7"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Series 2020-2 Lease Payment Deficit of the Collections attributable to such Past Due Rent Payment (the “</w:t>
      </w:r>
      <w:r>
        <w:rPr>
          <w:rFonts w:ascii="Times New Roman;sans-serif" w:hAnsi="Times New Roman;sans-serif"/>
          <w:b w:val="false"/>
          <w:color w:val="000000"/>
          <w:sz w:val="24"/>
          <w:u w:val="single"/>
        </w:rPr>
        <w:t>Series 2020-2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2020-2 Collection Account and apply the Series 2020-2 Past Due Rent Payment in the following order:</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(i)if the occurrence of such Series 2020-2 Lease Payment Deficit resulted in one or more Lease Deficit Disbursements being made under the Class A/B/C Letters of Credit, pay to each Series 2020-2 Letter of Credit Provider who made such a Lease Deficit Disbursement under a Class A/B/C Letter of Credit for application in accordance with the provisions of the applicable Series 2020-2 Reimbursement Agreement an amount equal to the lesser of (x) the unreimbursed amount of such Series 2020-2 Letter of Credit Provider’s Lease Deficit Disbursement under a Class A/B/C Letter of Credit and (y) such Series 2020-2 Letter of Credit Provider’s Class A/B/C Pro Rata Share of the Series 2020-2 Past Due Rent Payment;</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(ii)if the occurrence of such Series 2020-2 Lease Payment Deficit resulted in a withdrawal being made from the Class A/B/C Cash Collateral Account, deposit in the Class A/B/C Cash Collateral Account an amount equal to the lesser of (x) the amount of the Series 2020-2 Past Due Rent Payment remaining after any payment pursuant to clause (i) above and (y) the amount withdrawn from the Class A/B/C Cash Collateral Account on account of such Series 2020-2 Lease Payment Deficit;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if the occurrence of such Series 2020-2 Lease Payment Deficit resulted in a withdrawal being made from the Class A/B/C Reserve Account pursuant to Section 2.3(d), deposit in the Class A/B/C Reserve Account an amount equal to the lesser of (x) the amount of the Series 2020-2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if the occurrence of such Series 2020-2 Lease Payment Deficit resulted in one or more Lease Deficit Disbursements being made under the Class D Letters of Credit, pay to each Series 2020-2 Letter of Credit Provider who made such a Lease Deficit Disbursement under a Class D Letter of Credit for application in accordance with the provisions of the applicable Series 2020-2 Reimbursement Agreement an amount equal to the lesser of (x) the unreimbursed amount of such Series 2020-2 Letter of Credit Provider’s Lease Deficit Disbursement under a Class D Letter of Credit and (y) such Series 2020-2 Letter of Credit Provider’s Class D Pro Rata Share of the amount of the Series 2020-2 Past Due Rent Payment remaining after any payment pursuant to clauses (i) through (iii) above;</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color w:val="000000"/>
          <w:sz w:val="24"/>
        </w:rPr>
        <w:t>if the occurrence of such Series 2020-2 Lease Payment Deficit resulted in a withdrawal being made from the Class D Cash Collateral Account, deposit in the Class D Cash Collateral Account an amount equal to the lesser of (x) the amount of the Series 2020-2 Past Due Rent Payment remaining after any payment pursuant to clause (i) through (iv) above and (y) the amount withdrawn from the Class D Cash Collateral Account on account of such Series 2020-2 Lease Payment Deficit;</w:t>
      </w:r>
    </w:p>
    <w:p>
      <w:pPr>
        <w:pStyle w:val="TextBody"/>
        <w:bidi w:val="0"/>
        <w:ind w:left="0" w:right="0" w:firstLine="10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8"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(vi)if the occurrence of such Series 2020-2 Lease Payment Deficit resulted in a withdrawal being made from the Class D Reserve Account pursuant to Section 2.3(d), deposit in the Class D Reserve Account an amount equal to the lesser of (x) the amount of the Series 2020-2 Past Due Rent Payment remaining after any payments pursuant to clauses (i) through (v) above and (y) the excess, if any, of the Class D Required Reserve Account Amount over the Class D Available Reserve Account Amount on such day; </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(vii)allocate to the Series 2020-2 Accrued Interest Account the amount, if any, by which the Series 2020-2 Lease Interest Payment Deficit, if any, relating to such Series 2020-2 Lease Payment Deficit exceeds the amount of the Series 2020-2 Past Due Rent Payment applied pursuant to clauses (i) (vi) above; and </w:t>
      </w:r>
    </w:p>
    <w:p>
      <w:pPr>
        <w:pStyle w:val="TextBody"/>
        <w:bidi w:val="0"/>
        <w:spacing w:lineRule="auto" w:line="288" w:before="0" w:after="1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(viii)treat the remaining amount of the Series 2020-2 Past Due Rent Payment as Principal Collections allocated to the Series 2020-2 Notes in accordance with Section 2.2(a)(ii) or 2.2(b)(ii), as the case may be.</w:t>
      </w:r>
    </w:p>
    <w:p>
      <w:pPr>
        <w:pStyle w:val="TextBody"/>
        <w:bidi w:val="0"/>
        <w:spacing w:lineRule="auto" w:line="288" w:before="0" w:after="16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2020-2 Notes.</w:t>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2020-2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2020-2 Accrued Interest Account to the extent funds are anticipated to be available from Interest Collections allocable to the Series 2020-2 Notes processed from but not including the preceding Distribution Date through the succeeding Distribution Date in respect of (i) an amount equal to the Class A Monthly Interest for the Series 2020-2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2020-2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2020-2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Senior Interest for the Series 2020-2 Interest Period ending on the day preceding the related Distribution Date, (viii) an amount equal to the amount of any unpaid Class D Senior Interest Shortfall as of the preceding Distribution Date (together with any accrued interest on such Class D Senior Interest Shortfall), (ix) if either (A) no Series 2020-2 Rapid Amortization Period is continuing as of such Determination Date or (B) no Class A Notes, Class B Notes or Class C Notes are outstanding as of such Determination Date, an amount equal to the Class D Monthly Subordinated Interest for the Series 2020-2 Interest Period ending on the day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9"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00"/>
        <w:jc w:val="both"/>
        <w:rPr>
          <w:rFonts w:ascii="Times New Roman;sans-serif" w:hAnsi="Times New Roman;sans-serif"/>
          <w:b w:val="false"/>
          <w:color w:val="000000"/>
          <w:sz w:val="24"/>
        </w:rPr>
      </w:pPr>
      <w:r>
        <w:rPr>
          <w:rFonts w:ascii="Times New Roman;sans-serif" w:hAnsi="Times New Roman;sans-serif"/>
          <w:b w:val="false"/>
          <w:color w:val="000000"/>
          <w:sz w:val="24"/>
        </w:rPr>
        <w:t>preceding the related Distribution Date, (x) if either (A) no Series 2020-2 Rapid Amortization Period is continuing as of such Determination Date or (B) no Class A Notes, Class B Notes or Class C Notes are outstanding as of such Determination Date, an amount equal to the amount of any unpaid Class D Subordinated Interest Shortfall as of the preceding Distribution Date (together with any accrued interest on such Class D Subordinated Interest Shortfall), (xi) an amount equal to the Class R Monthly Interest for the Series 2020-2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2020-2 Accrued Interest Account and deposit such amounts in the Series 2020-2 Distribution Account.</w:t>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2020-2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Series 2020-2 Letters of Credit For Series 2020-2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2020-2 Lease Interest Payment Deficit, the Administrator shall: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(i)on or prior to 3:00 p.m. (New York City time) on such Business Day, instruct the Trustee in writing to draw on the Class A/B/C Letters of Credit, if any, and, the Trustee shall, by 5:00 p.m. (New York City time) on such Business Day draw an amount as set forth in such notice equal to (I) so long as any Class A Notes, any Class B Notes or any Class C Notes remain outstanding, the least of (x) the excess, if any, of such Series 2020-2 Lease Interest Payment Deficit over the sum of (1) the amounts described in clauses (vii) and (viii) of Section 2.3(a) above and (2) during the Series 2020-2 Rapid Amortization Period, the product of the Class D Percentage and the Series 2020-2 Trustee’s Fees for such Distribution Date, (y) the excess, if any, of (A) the sum of (1) the amounts described in clauses (i) through (vi) of Section 2.3(a) above for such Distribution Date and (2) during the Series 2020-2 Rapid Amortization Period, the product of the Class A/B/C Percentage and the Series 2020-2 Trustee’s Fees for such Distribution Date, over (B) the amounts available from the Series 2020-2 Accrued Interest Account and (z) the Class A/B/C Letter of Credit Liquidity Amount or (II) if no Class A Notes, Class B Notes or Class C Notes remain outstanding, the least of (x) such Series 2020-2 Lease Interest Payment Deficit, (y) the excess, if any, of (A) the sum of (1) the amounts described in clauses (i) through (viii) of Section 2.3(a) above for such Distribution Date and (2) during the Series 2020-2 Rapid Amortization Period, the Series 2020-2 Trustee’s Fees for such Distribution Date, over (B) the amounts available from the Series 2020-2 Accrued Interest Account and (z) the Class A/B/C Letter of Credit Liquidity Amount, in either case, on the Class A/B/C Letter of Credit by presenting to each Series 2020-2 Letter of Credit Provider with respect to a Class A/B/C Letter of Credit a draft accompanied by a Certificate of Lease Deficit Demand and shall cause the Lease Deficit Disbursements to be deposited in the Series 2020-2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70"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Class A/B/C Cash Collateral Account and deposit in the Series 2020-2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Class A/B/C Letters of Credit; and</w: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on or prior to 3:00 p.m. (New York City time) on such Business Day, instruct the Trustee in writing to draw on the Class D Letters of Credit, if any, and, the Trustee shall, by 5:00 p.m. (New York City time) on such Business Day draw an amount as set forth in such notice equal to the least of (x) such Series 2020-2 Lease Interest Payment Deficit, (y) the excess, if any, of (A) the sum of (1) the amounts described in clauses (vii) through (x) of Section 2.3(a) above for such Distribution Date and (2) during the Series 2020-2 Rapid Amortization Period, the product of the Class D Percentage and the Series 2020-2 Trustee’s Fees for such Distribution Date, over (B) the excess of (1) the sum of (X) the amounts available from the Series 2020-2 Accrued Interest Account and (Y) the amount drawn on the Class A/B/C Letters of Credit (and/or withdrawn from the Class A/B/C Cash Collateral Account) pursuant to Section 2.3(c)(i) above over (2) the sum of (X) the amounts described in clauses (i) through (vi) of Section 2.3(a) above for such Distribution Date and (Y) during the Series 2020-2 Rapid Amortization Period, the product of the Class A/B/C Percentage and the Series 2020-2 Trustee’s Fees for such Distribution Date and (z) the Class D Letter of Credit Liquidity Amount on the Class D Letters of Credit by presenting to each Series 2020-2 Letter of Credit Provider with respect to a Class D Letter of Credit a draft accompanied by a Certificate of Lease Deficit Demand and shall cause the Lease Deficit Disbursements to be deposited in the Series 2020-2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2020-2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Class D Letters of Credit.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2020-2 Reserve Accounts</w:t>
      </w:r>
      <w:r>
        <w:rPr>
          <w:rFonts w:ascii="Times New Roman;sans-serif" w:hAnsi="Times New Roman;sans-serif"/>
          <w:b w:val="false"/>
          <w:color w:val="000000"/>
          <w:sz w:val="24"/>
        </w:rPr>
        <w:t xml:space="preserve">. If the Administrator determines on any Distribution Date that the amounts available from the Series 2020-2 Accrued 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to be drawn under the Series 2020-2 Letters of Credit and/or withdrawn from the Series 2020-2 Cash Collateral Accounts pursuant to Section 2.3(c) are insufficient to pay the sum of (A) the amounts described in clauses (i) through (x) of Section 2.3(a) above on such Distribution Date and (B) during the Series 2020-2 Rapid Amortization Period, the Series 2020-2 Trustee’s Fees for such Distribution Date, the Administrator shall:</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instruct the Trustee in writing to withdraw from the Class A/B/C Reserve Account and deposit in the Series 2020-2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71"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2020-2 Rapid Amortization Period, the product of the Class A/B/C Percentage and the Series 2020-2 Trustee’s Fees for such Distribution Date or (II) if no Class A Notes, Class B Notes or Class C Notes remain outstanding, the sum of (1) the amounts described in clauses (i) through (x) of Section 2.3(a) above with respect to such Distribution Date and (2) during the Series 2020-2 Rapid Amortization Period, the Series 2020-2 Trustee’s Fees for such Distribution Date over (B) the sum of (1) the amounts available from the Series 2020-2 Accrued Interest Account and (2) the amount drawn on the Class A/B/C Letters of Credit and/or withdrawn from the Class A/B/C Cash Collateral Account with respect to such Distribution Date in accordance with Section 2.3(c)(i) above. The Trustee shall withdraw such amount from the Class A/B/C Reserve Account and deposit such amount in the Series 2020-2 Distribution Account; and</w:t>
      </w:r>
    </w:p>
    <w:p>
      <w:pPr>
        <w:pStyle w:val="TextBody"/>
        <w:bidi w:val="0"/>
        <w:spacing w:before="0" w:after="0"/>
        <w:jc w:val="left"/>
        <w:rPr/>
      </w:pPr>
      <w:r>
        <w:rPr/>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instruct the Trustee in writing to withdraw from the Class D Reserve Account and deposit in the Series 2020-2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2020-2 Rapid Amortization Period, the product of the Class D Percentage and the Series 2020-2 Trustee’s Fees for such Distribution Date over (B) the excess with respect to such Distribution Date of (1) the sum of (W) the amounts available from the Series 2020-2 Accrued Interest Account, (X) the amount drawn on the Class A/B/C Letters of Credit (and/or withdrawn from the Class A/B/C Cash Collateral Account) in accordance with Section 2.3(c)(i) above, (Y) the amount drawn on the Class D Letters of Credit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2020-2 Rapid Amortization Period, the product of the Class A/B/C Percentage and the Series 2020-2 Trustee’s Fees for such Distribution Date. The Trustee shall withdraw such amount from the Class D Reserve Account and deposit such amount in the Series 2020-2 Distribution Account.</w:t>
      </w:r>
    </w:p>
    <w:p>
      <w:pPr>
        <w:pStyle w:val="TextBody"/>
        <w:bidi w:val="0"/>
        <w:spacing w:lineRule="auto" w:line="288" w:before="0" w:after="1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lineRule="auto" w:line="288" w:before="0" w:after="1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2020-2 Accrued Interest Account and the Series 2020-2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Series 2020-2 Letters of Credit and/or withdrawn from the Series 2020-2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2020-2 Reserve Accounts pursuant to Section 2.3(d) as follows:</w:t>
      </w:r>
    </w:p>
    <w:p>
      <w:pPr>
        <w:pStyle w:val="TextBody"/>
        <w:bidi w:val="0"/>
        <w:spacing w:lineRule="auto" w:line="288" w:before="0" w:after="180"/>
        <w:ind w:left="0" w:right="0" w:firstLine="63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on each Distribution Date during the Series 2020-2 Revolving Period or the Series 2020-2 Controlled Amortization Period, (1) first, to the Administrator, an amount equal to the Series 2020-2 Percentage as of the beginning of the Series 2020-2 Interest Period ending on the day preceding such Distribution Date of the portion of the Monthly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72"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Administration Fee payable by ABRCF (as specified in clause (iii) of the definition thereof) for such Series 2020-2 Interest Period, (2) second, to the Trustee, an amount equal to the Series 2020-2 Percentage as of the beginning of such Series 2020-2 Interest Period of the fees owing to the Trustee under the Base Indenture for such Series 2020-2 Interest Period, (3) third to pay any Carrying Charges (other than Carrying Charges provided for above) to the Persons to whom such amounts are owed, an amount equal to the Series 2020-2 Percentage as of the beginning of such Series 2020-2 Interest Period of such Carrying Charges (other than Carrying Charges provided for above) for such Series 2020-2 Interest Period and (4) fourth, the balance, if any, shall be withdrawn by the Paying Agent from the Series 2020-2 Collection Account and deposited in the Series 2020-2 Excess Collection Account; and</w: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on each Distribution Date during the Series 2020-2 Rapid Amortization Period, (1) first, to the Series 2020-2 Distribution Account, an amount equal to Class D Monthly Subordinated Interest with respect to the Series 2020-2 Interest Period ending on the date immediately preceding such Distribution Date to be treated as Principal Collections, (2) second, to the Trustee, an amount equal to the Series 2020-2 Percentage as of the beginning of such Series 2020-2 Interest Period ending on the day preceding such Distribution Date of the fees owing to the Trustee under the Base Indenture for such Series 2020-2 Interest Period, (3) third, to the Administrator, an amount equal to the Series 2020-2 Percentage as of the beginning of such Series 2020-2 Interest Period of the portion of the Monthly Administration Fee (as specified in clause (iii) of the definition thereof) payable by ABRCF for such Series 2020-2 Interest Period, (4) fourth, to pay any Carrying Charges (other than Carrying Charges provided for above) to the Persons to whom such amounts are owed, an amount equal to the Series 2020-2 Percentage as of the beginning of such Series 2020-2 Interest Period of such Carrying Charges (other than Carrying Charges provided for above) for such Series 2020-2 Interest Period and (5) fifth, so long as the Series 2020-2 Invested Amount is greater than the Monthly Total Principal Allocations for the Related Month, an amount equal to the excess of the Series 2020-2 Invested Amount over the Monthly Total Principal Allocations for the Related Month shall be treated as Principal Collections.</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If the amounts described in Section 2.3 are insufficient to pay the Class A Monthly Interest on any Distribution Date, payments of interest to the Class A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Distribution Date (which deficiency on any Distribution Date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73"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exceed the Class B Monthly Interest for the Series 2020-2 Interest Period ended on the day preceding such Distribution Date), together with the aggregate unpaid amount of any such deficiencies with respect to all prior Distribution Dates, shall be referred to as the “Class B Shortfall”. Interest shall accrue on the Class B Shortfall at the Class B Note Rate.</w:t>
      </w:r>
    </w:p>
    <w:p>
      <w:pPr>
        <w:pStyle w:val="TextBody"/>
        <w:bidi w:val="0"/>
        <w:spacing w:before="0" w:after="0"/>
        <w:jc w:val="left"/>
        <w:rPr/>
      </w:pPr>
      <w:r>
        <w:rPr/>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2020-2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160"/>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 xml:space="preserve">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2020-2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140"/>
        <w:ind w:left="0" w:right="0" w:firstLine="720"/>
        <w:jc w:val="both"/>
        <w:rPr/>
      </w:pPr>
      <w:r>
        <w:rPr>
          <w:rFonts w:ascii="Times New Roman;sans-serif" w:hAnsi="Times New Roman;sans-serif"/>
          <w:b w:val="false"/>
          <w:color w:val="000000"/>
          <w:sz w:val="24"/>
        </w:rPr>
        <w:t xml:space="preserve">(v)If (A) the amounts described in Section 2.3 are insufficient to pay the amounts described in clauses (i) through (viii) of Section 2.3(a) and the Class D Monthly Subordinated Interest on any Distribution Date and/or (B) the Series 2020-2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Subordinated Interest for the Series 2020-2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Interest shall accrue on the Class D Subordinated Interest Shortfall at the Class D Note Rate.</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(vi)</w:t>
      </w:r>
      <w:r>
        <w:rPr>
          <w:color w:val="000000"/>
        </w:rPr>
        <w:t xml:space="preserve"> </w:t>
      </w:r>
      <w:r>
        <w:rPr>
          <w:rFonts w:ascii="Times New Roman;sans-serif" w:hAnsi="Times New Roman;sans-serif"/>
          <w:b w:val="false"/>
          <w:color w:val="000000"/>
          <w:sz w:val="24"/>
        </w:rPr>
        <w:t xml:space="preserve">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Distribution Date (which deficiency on any Distribution Date shall not exceed the Class R Monthly Interest for the Series 2020-2 Interest Period ended on the day preceding such Distribution Date), together with the aggregate unpaid amount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74"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deficiencies with respect to all prior Distribution Dates, shall be referred to as the “Class R Shortfall”. Interest shall accrue on the Class R Shortfall at the Class R Note Rate.</w:t>
      </w:r>
    </w:p>
    <w:p>
      <w:pPr>
        <w:pStyle w:val="TextBody"/>
        <w:bidi w:val="0"/>
        <w:spacing w:before="0" w:after="0"/>
        <w:jc w:val="left"/>
        <w:rPr/>
      </w:pPr>
      <w:r>
        <w:rPr/>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2020-2 Distribution Account pursuant to Section 2.3:</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to the Class D Noteholders, the amounts due to the Class D Noteholders described in Sections 2.3(a)(vii) and (viii);</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if the Series 2020-2 Rapid Amortization Period is not continuing as of such Distribution Date, the amounts due to the Class D Noteholders described in Section 2.3(a)(ix) and (x); and</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On each Determination Date, commencing on the second Determination Date during the Series 2020-2 Controlled Amortization Period or the first Determination Date after the commencement of the Series 2020-2 Rapid Amortization Period, the Administrator shall instruct the Trustee and the Paying Agent in writing pursuant to the Administration Agreement and in accordance with this Section 2.5 as to (1) the amount allocated to the Series 2020-2 Notes during the Related Month pursuant to Section 2.2(b)(ii), (c)(ii) or (d)(ii), as the case may be, (2) any amounts to be drawn on the Series 2020-2 Demand Notes and/or on the Series 2020-2 Letters of Credit (or withdrawn from the Series 2020-2 Cash Collateral Accounts) pursuant to this Section 2.5 and (3) any amounts to be withdrawn from the Series 2020-2 Reserve Accounts pursuant to this Section 2.5 and deposited into the Series 2020-2 Distribution Account. On the Distribution Date following each such Determination Date, the Trustee shall withdraw the amount allocated to the Series 2020-2 Notes during the Related Month pursuant to Section 2.2(b)(ii), (c)(ii) or (d)(ii), as the case may be, from the Series 2020-2 Collection Account and deposit such amount in the Series 2020-2 Distribution Account, to be paid to the holders of the Series 2020-2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Series 2020-2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2020-2 Rapid Amortization Period that on such Distribution Date there will exist a Series 2020-2 Lease Principal Payment Deficit, the Administrator shall instruct the Trustee in writing to: </w:t>
      </w:r>
    </w:p>
    <w:p>
      <w:pPr>
        <w:pStyle w:val="TextBody"/>
        <w:bidi w:val="0"/>
        <w:ind w:left="0" w:right="0" w:firstLine="25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75"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(i)so long as any Class A Notes, any Class B Notes or any Class C Notes remain outstanding, draw on the Class A/B/C Letters of Credit, if any, as provided in this clause (i). Upon receipt of a notice by the Trustee from the Administrator in respect of a Series 2020-2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2020-2 Lease Principal Payment Deficit, (ii) the Class A/B/C Principal Deficit Amount for such Distribution Date and (iii) the Class A/B/C Letter of Credit Liquidity Amount on the Class A/B/C Letters of Credit by presenting to each Series 2020-2 Letter of Credit Provider with respect to a Class A/B/C Letter of Credit a draft accompanied by a Certificate of Lease Deficit Demand and shall cause the Lease Deficit Disbursements to be deposited in the Series 2020-2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2020-2 Distribution Account an amount equal to the lesser of (x) the Class A/B/C Cash Collateral Percentage for such date of the lesser of the Series 2020-2 Lease Principal Payment Deficit and the Class A/B/C Principal Deficit Amount for such Distribution Date and (y) the Class A/B/C Available Cash Collateral Account Amount on such date and draw an amount equal to the remainder of such amount on the Class A/B/C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Class A/B/C Letters of Credit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(ii)if, after giving effect to any payments to be made on such Distribution Date, the Class A Notes, the Class B Notes and the Class C Notes will have been paid in full, draw on the Class A/B/C Letters of Credit, if any, as provided in this clause (ii). Upon receipt of a notice by the Trustee from the Administrator in respect of a Series 2020-2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2020-2 Lease Principal Payment Deficit over (B) the amount, if any, to be drawn on the Class A/B/C Letters of Credit and/or withdrawn from the Class A/B/C Cash Collateral Account on such Distribution Date in accordance with Section 2.5(b)(i), (y) the Class D Principal Deficit Amount for such Distribution Date and (z) the Class A/B/C Letter of Credit Liquidity Amount (after giving effect to any draws the Class A/B/C Letters of Credit and/or withdrawals from the Class A/B/C Cash Collateral Account on such Distribution Date in accordance with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76"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2.5(b)(i)) on the Class A/B/C Letters of Credit by presenting to each Series 2020-2 Letter of Credit Provider with respect to a Class A/B/C Letter of Credit a draft accompanied by a Certificate of Lease Deficit Demand and shall cause the Lease Deficit Disbursements to be deposited in the Series 2020-2 Distribution Account on such date; provided, however, that if the Class A/B/C Cash Collateral Account has been established and funded, the Trustee shall withdraw from the Class A/B/C Cash Collateral Account and deposit in the Series 2020-2 Distribution Account an amount equal to the lesser of (x) the Class A/B/C Cash Collateral Percentage for such date of the lesser of (A) the excess of (1) the Series 2020-2 Lease Principal Payment Deficit over (2) the amount, if any, to be drawn on the Class A/B/C Letters of Credit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Class A/B/C Letters of Credit; </w:t>
      </w:r>
    </w:p>
    <w:p>
      <w:pPr>
        <w:pStyle w:val="TextBody"/>
        <w:bidi w:val="0"/>
        <w:spacing w:before="0" w:after="0"/>
        <w:jc w:val="left"/>
        <w:rPr/>
      </w:pPr>
      <w:r>
        <w:rPr/>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 xml:space="preserve">(iii)if, after giving effect to any payments to be made on such Distribution Date, the Class A Notes, the Class B Notes and the Class C Notes will have been paid in full, draw on the Class D Letters of Credit, if any, as provided in this clause (iii). Upon receipt of a notice by the Trustee from the Administrator in respect of a Series 2020-2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2020-2 Lease Principal Payment Deficit over (B) the amount, if any, to be drawn on the Class A/B/C Letters of Credit and/or withdrawn from the Class A/B/C Cash Collateral Account on such Distribution Date in accordance with Section 2.5(b)(i) and/or (ii), (y) the Class D Principal Deficit Amount for such Distribution Date and (z) the Class D Letter of Credit Liquidity Amount on the Class D Letters of Credit by presenting to each Series 2020-2 Letter of Credit Provider with respect to a Class D Letter of Credit a draft accompanied by a Certificate of Lease Deficit Demand and shall cause the Lease Deficit Disbursements to be deposited in the Series 2020-2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withdraw from the Class D Cash Collateral Account and deposit in the Series 2020-2 Distribution Account an amount equal to the lesser of (x) the Class D Cash Collateral Percentage for such date of the lesser of (A) the excess of (1) the Series 2020-2 Lease Principal Payment Deficit over (2) the amount, if any, to be drawn on the Class A/B/C Letters of Credit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Class D Letters of Credit.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77"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made under the AESOP I Operating Lease, the Administrator shall only instruct the Trustee to draw on the Class D Letters of Credit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before="0" w:after="0"/>
        <w:jc w:val="left"/>
        <w:rPr/>
      </w:pPr>
      <w:r>
        <w:rPr/>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2020-2 Final Distribution Date. In connection therewith:</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2020-2 Distribution Account in accordance with Section 2.5(a) together with any amounts to be deposited therein in accordance with Section 2.5(b) on the Series 2020-2 Final Distribution Date is less than the Series 2020-2 Senior Invested Amount and there are any Series 2020-2 Letters of Credit on such date, then, prior to 10:00 a.m. (New York City time) on the second Business Day prior to the Series 2020-2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2020-2 Demand Notes in an amount equal to the lesser of (x) such insufficiency and (y) the sum of the Class A/B/C Letter of Credit Amount and the Class D Letter of Credit Amount. The Trustee shall, prior to 12:00 noon (New York City time) on the second Business Day preceding such Series 2020-2 Final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2020-2 Demand Notes to be deposited into the Series 2020-2 Distribution Account.</w:t>
      </w:r>
    </w:p>
    <w:p>
      <w:pPr>
        <w:pStyle w:val="TextBody"/>
        <w:bidi w:val="0"/>
        <w:spacing w:lineRule="auto" w:line="288" w:before="0" w:after="180"/>
        <w:ind w:left="0" w:right="0" w:firstLine="720"/>
        <w:jc w:val="both"/>
        <w:rPr/>
      </w:pP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In the event that either (x) on or prior to 10:00 a.m. (New York City time) on the Business Day immediately preceding the Series 2020-2 Final Distribution Date a Demand Notice has been transmitted by the Trustee to the Demand Note Issuers pursuant to clause (i) of this Section 2.5(c) and any Demand Note Issuer shall have failed to pay to the Trustee or deposit into the Series 2020-2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2020-2 Final Distribution Date, then, in the case of (x) or (y) the Trustee shall:</w:t>
      </w:r>
    </w:p>
    <w:p>
      <w:pPr>
        <w:pStyle w:val="TextBody"/>
        <w:bidi w:val="0"/>
        <w:spacing w:lineRule="auto" w:line="288" w:before="0" w:after="6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draw on the Class A/B/C Letters of Credit by 12:00 noon (New York City time) on such Business Day an amount equal to the lesser of (a)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78"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60"/>
        <w:jc w:val="both"/>
        <w:rPr/>
      </w:pPr>
      <w:r>
        <w:rPr>
          <w:rFonts w:ascii="Times New Roman;sans-serif" w:hAnsi="Times New Roman;sans-serif"/>
          <w:b w:val="false"/>
          <w:color w:val="000000"/>
          <w:sz w:val="24"/>
        </w:rPr>
        <w:t xml:space="preserve">the amount that the Demand Note Issuers so failed to pay under the Series 2020-2 Demand Notes (or, the amount that the Trustee failed to demand for payment thereunder) and (b) the Class A/B/C Letter of Credit Amount on such Business Day by presenting to each Series 2020-2 Letter of Credit Provider of a Class A/B/C Letter of Credit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2020-2 Distribution Account an amount equal to the lesser of (x) the Class A/B/C Cash Collateral Percentage on such Business Day of the amount that the Demand Note Issuers so failed to pay under the Series 2020-2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2020-2 Demand Notes (or, the amount that the Trustee failed to demand for payment thereunder) on the Class A/B/C Letters of Credit. The Trustee shall deposit, or cause the deposit of, the proceeds of any draw on the Class A/B/C Letters of Credit and the proceeds of any withdrawal from the Class A/B/C Cash Collateral Account to be deposited in the Series 2020-2 Distribution Account; and</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(2)    draw on the Class D Letters of Credit by 12:00 noon (New York City time) on such Business Day an amount equal to the lesser of (a) the excess of (x) the amount that the Demand Note Issuers so failed to pay under the Series 2020-2 Demand Notes (or, the amount that the Trustee failed to demand for payment thereunder) over (y) the amount drawn on the Class A/B/C Letters of Credit and/or withdrawn from the Class A/B/C Cash Collateral Account on such Business Day in accordance with Section 2.5(c)(ii)(1) and (b) the Class D Letter of Credit Amount on such Business Day by presenting to each Series 2020-2 Letter of Credit Provider of a Class D Letter of Credit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withdraw from the Class D Cash Collateral Account and deposit in the Series 2020-2 Distribution Account an amount equal to the lesser of (x) the Class D Cash Collateral Percentage on such Business Day of the excess of (A) the amount that the Demand Note Issuers so failed to pay under the Series 2020-2 Demand Notes (or, the amount that the Trustee failed to demand for payment thereunder) over (B) the amount drawn on the Class A/B/C Letters of Credit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2020-2 Demand Notes (or, the amount that the Trustee failed to demand for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9"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 thereunder) over (B) the amount drawn on the Class A/B/C Letters of Credit and/or withdrawn from the Class A/B/C Cash Collateral Account on such Business Day in accordance with Section 2.5(c)(ii)(1) on the Class D Letters of Credit. The Trustee shall deposit, or cause the deposit of, the proceeds of any draw on the Class D Letters of Credit and the proceeds of any withdrawal from the Class D Cash Collateral Account to be deposited in the Series 2020-2 Distribution Account.</w:t>
      </w:r>
    </w:p>
    <w:p>
      <w:pPr>
        <w:pStyle w:val="TextBody"/>
        <w:bidi w:val="0"/>
        <w:spacing w:lineRule="auto" w:line="288" w:before="0" w:after="240"/>
        <w:ind w:left="0" w:right="0" w:firstLine="36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If, after giving effect to the deposit into the Series 2020-2 Distribution Account of the amount to be deposited in accordance with Section 2.5(a) and the amounts described in clauses (i) and (ii) of this Section 2.5(c), the amount to be deposited in the Series 2020-2 Distribution Account with respect to the Series 2020-2 Final Distribution Date is or will be less than the Series 2020-2 Senior Invested Amount, then, prior to 12:00 noon (New York City time) on the second Business Day prior to such Series 2020-2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2020-2 Distribution Account on such Series 2020-2 Final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2020-2 Final Distribution Date, on which the Class A/B/C Principal Deficit Amount is greater than zero, amounts shall be transferred to the Series 2020-2 Distribution Account as follows: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any Determination Date, the Administrator determines that the Class A/B/C Principal Deficit Amount with respect to the next succeeding Distribution Date will be greater than zero and there are any Class A/B/C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2020-2 Demand Note to be deposited into the Series 2020-2 Distribution Account. </w:t>
      </w:r>
    </w:p>
    <w:p>
      <w:pPr>
        <w:pStyle w:val="TextBody"/>
        <w:bidi w:val="0"/>
        <w:spacing w:lineRule="auto" w:line="288" w:before="0" w:after="10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w:t>
        <w:br/>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80"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any Demand Note Issuer shall have failed to pay to the Trustee or deposit into the Series 2020-2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an amount equal to the lesser of (i) Class A/B/C Letter of Credit Amount and (ii) the aggregate amount that the Demand Note Issuers so failed to pay under the Series 2020-2 Demand Notes (or, the amount that the Trustee failed to demand for payment thereunder) by presenting to each Series 2020-2 Letter of Credit Provider of a Class A/B/C Letter of Credit a draft accompanied by a Certificate of Unpaid Demand Note Demand; provided, however, that if the Class A/B/C Cash Collateral Account has been established and funded, the Trustee shall withdraw from the Class A/B/C Cash Collateral Account and deposit in the Series 2020-2 Distribution Account an amount equal to the lesser of (x) the Class A/B/C Cash Collateral Percentage on such Business Day of the aggregate amount that the Demand Note Issuers so failed to pay under the Series 2020-2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2020-2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2020-2 Distribution Account.</w:t>
      </w:r>
    </w:p>
    <w:p>
      <w:pPr>
        <w:pStyle w:val="TextBody"/>
        <w:bidi w:val="0"/>
        <w:spacing w:before="0" w:after="0"/>
        <w:jc w:val="left"/>
        <w:rPr/>
      </w:pPr>
      <w:r>
        <w:rPr/>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2020-2 Distribution Account in accordance with clauses (i) and (ii) of this Section 2.5(d) and deposit it in the Series 2020-2 Distribution Account on such Distribution Date.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2020-2 Final Distribution Date, on which the Class A Notes, Class B Notes and Class C Notes will have been paid in full and the Class D Principal Deficit Amount is greater than zero, amounts shall be transferred to the Series 2020-2 Distribution Account as follows: </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Class A/B/C Letters of Credit or Class D Letters of Credit on such date, prior to 10:00 a.m. (New York City time) on the second Business Day prior to such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81"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provided, however,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2020-2 Demand Note to be deposited into the Series 2020-2 Distribution Account. </w:t>
      </w:r>
    </w:p>
    <w:p>
      <w:pPr>
        <w:pStyle w:val="TextBody"/>
        <w:bidi w:val="0"/>
        <w:spacing w:before="0" w:after="0"/>
        <w:jc w:val="left"/>
        <w:rPr/>
      </w:pPr>
      <w:r>
        <w:rPr/>
      </w:r>
    </w:p>
    <w:p>
      <w:pPr>
        <w:pStyle w:val="TextBody"/>
        <w:bidi w:val="0"/>
        <w:spacing w:lineRule="auto" w:line="276" w:before="0" w:after="10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2020-2 Distribution Account the amount specified in such Demand Notice delivered pursuant to Section 2.5(e)(i)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A/B/C Letters of Credit, if any, an amount equal to the lesser of (i) Class A/B/C Letter of Credit Amount and (ii) the aggregate amount that the Demand Note Issuers so failed to pay under the Series 2020-2 Demand Notes (or, the amount that the Trustee failed to demand for payment thereunder) by presenting to each Series 2020-2 Letter of Credit Provider of a Class A/B/C Letter of Credit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2020-2 Distribution Account an amount equal to the lesser of (x) the Class A/B/C Cash Collateral Percentage on such Business Day of the aggregate amount that the Demand Note Issuers so failed to pay under the Series 2020-2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2020-2 Demand Notes (or, the amount that the Trustee failed to demand for payment thereunder) on the Class A/B/C Letters of Credit. The Trustee shall deposit into, or cause the deposit of, the proceeds of any draw on the Class A/B/C Letters of Credit and the proceeds of any withdrawal from the Class A/B/C Cash Collateral Account to be deposited in the Series 2020-2 Distribution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2020-2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82"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A/B/C Reserve Account, an amount equal to the lesser of (x) the Class A/B/C Available Reserve Account Amount and (y) the amount by which the Class D Principal Deficit Amount exceeds the amounts to be deposited in the Series 2020-2 Distribution Account in accordance with clauses (i) and (ii) of this Section 2.5(e) and deposit it in the Series 2020-2 Distribution Account on such Distribution Date. </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2020-2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Class D Letters of Credit, if any, an amount equal to the lesser of (i) Class D Letter of Credit Amount and (ii) the excess of (A) the aggregate amount that the Demand Note Issuers so failed to pay under the Series 2020-2 Demand Notes (or, the amount that the Trustee failed to demand for payment thereunder) over (B) the amount deposited into the Series 2020-2 Distribution Account in accordance with Section 2.5(e)(ii) and (iii) above, by presenting to each Series 2020-2 Letter of Credit Provider of a Class D Letter of Credit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2020-2 Distribution Account an amount equal to the lesser of (x) the Class D Cash Collateral Percentage on such Business Day of the excess of (A) the aggregate amount that the Demand Note Issuers so failed to pay under the Series 2020-2 Demand Notes (or, the amount that the Trustee failed to demand for payment thereunder) over (B) the amount deposited into the Series 2020-2 Distribution Account in accordance with Section 2.5(e)(ii) and (iii) above and (y) the Class D Available Cash Collateral Account Amount on such Business Day and draw an amount equal to the remainder of such excess on the Class D Letters of Credit. The Trustee shall deposit into, or cause the deposit of, the proceeds of any draw on the Class D Letters of Credit and the proceeds of any withdrawal from the Class D Cash Collateral Account to be deposited in the Series 2020-2 Distribution Account.</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2020-2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2020-2 Distribution Account in accordance with clauses (i) through (iv) of this Section 2.5(e) and deposit it in the Series 2020-2 Distribution Account on such Distribution Date.</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83"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2020-2 Collection Account pursuant to Section 2.5(a) or amounts are deposited in the Series 2020-2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2020-2 Distribution Account the amount deposited therein pursuant to Section 2.5(a), (b), (c) or (d), to the extent necessary to pay the Class A Controlled Distribution Amount during the Series 2020-2 Controlled Amortization Period or to the extent necessary to pay the Class A Invested Amount during the Series 2020-2 Rapid Amortization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2020-2 Collection Account pursuant to Section 2.5(a) or amounts are deposited in the Series 2020-2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2020-2 Distribution Account the amount deposited therein pursuant to Section 2.5(a), (b), (c) or (d) less the aggregate amount applied to make the payments required pursuant to Section 2.5(f)(i), to the extent necessary to pay the Class B Controlled Distribution Amount during the Series 2020-2 Controlled Amortization Period or to the extent necessary to pay the Class B Invested Amount during the Series 2020-2 Rapid Amortization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(iii)</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2020-2 Collection Account pursuant to Section 2.5(a) or amounts are deposited in the Series 2020-2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2020-2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2020-2 Controlled Amortization Period or to the extent necessary to pay the Class C Invested Amount during the Series 2020-2 Rapid Amortization Period.</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(iv)</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2020-2 Collection Account pursuant to Section 2.5(a) or amounts are deposited in the Series 2020-2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2020-2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2020-2 Controlled Amortization Period or to the extent necessary to pay the Class D Invested Amount during the Series 2020-2 Rapid Amortization Period.</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84"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(v)</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xml:space="preserve">. On each Distribution Date occurring during the Series 2020-2 Rapid Amortization Period, after giving effect to the payments made pursuant to clauses (i), (ii), (iii) and (iv) of this Section 2.5(f), the Paying Agent shall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2020-2 Distribution Account the amount deposited therein pursuant to Section 2.3(ii)(1), to the extent necessary to pay the Class D Subordinated Interest Shortfall as of such Distribution Date.</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2020-2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R Noteholder from the Series 2020-2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2020-2 Controlled Amortization Period or to the extent necessary to pay the Class R Invested Amount during the Series 2020-2 Rapid Amortization Period.</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or Payment</w:t>
      </w:r>
      <w:r>
        <w:rPr>
          <w:rFonts w:ascii="Times New Roman;sans-serif" w:hAnsi="Times New Roman;sans-serif"/>
          <w:b w:val="false"/>
          <w:color w:val="000000"/>
          <w:sz w:val="24"/>
        </w:rPr>
        <w:t xml:space="preserve">. If the Administrator fails to give notice or instructions to make any payment from or deposit into the Collection Account required to be given by the Administrator, at the time specified in the Administration Agreement or any other Related Document (including applicable grace periods), the Trustee shall make such payment or deposit into or from the Collection Account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or deposit. When any payment or deposit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2020-2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2020-2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2020-2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2020-2 Agent in writing to transfer all cash and investments from the non-qualifying Class A/B/C Reserve Account into the </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85"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new Class A/B/C Reserve Account. The Class A/B/C Reserve Account has initially been established with The Bank of New York Mellon Trust Company, N.A.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2020-2 Senior Notes</w:t>
      </w:r>
      <w:r>
        <w:rPr>
          <w:rFonts w:ascii="Times New Roman;sans-serif" w:hAnsi="Times New Roman;sans-serif"/>
          <w:b w:val="false"/>
          <w:color w:val="000000"/>
          <w:sz w:val="24"/>
        </w:rPr>
        <w:t>. In order to secure and provide for the repayment and payment of the ABRCF Obligations with respect to the Series 2020-2 Senior Notes, ABRCF hereby grants a security interest in and assigns, pledges, grants, transfers and sets over to the Trustee, for the benefit of the Series 2020-2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A/B/C Reserve Account and in all proceeds thereof, and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86"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the only person authorized to originate entitlement orders in respect of the Class A/B/C Reserve Account. The Class A/B/C Reserve Account Collateral shall be under the sole dominion and control of the Trustee for the benefit of the Series 2020-2 Noteholders. The Series 2020-2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In the event that the Class A/B/C Reserve Account Surplus on any Distribution Date, after giving effect to all withdrawals from the Class A/B/C Reserve Account, is greater than zero, if no Series 2020-2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2020-2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2020-2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before="0" w:after="10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87"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76" w:before="0" w:after="1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2020-2 Agent hereby agrees (i) to act as the securities intermediary (as defined in Section 8-102(a)(14) of the New York UCC) with respect to the Class D Reserve Account; (ii) that its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88"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76" w:before="0" w:after="140"/>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2020-2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Series 2020-2 Letters of Credit and Series 2020-2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Series 2020-2 Letters of Credit and Series 2020-2 Cash Collateral Account Constitute Additional Collateral for Series 2020-2 Senior Notes</w:t>
      </w:r>
      <w:r>
        <w:rPr>
          <w:rFonts w:ascii="Times New Roman;sans-serif" w:hAnsi="Times New Roman;sans-serif"/>
          <w:b w:val="false"/>
          <w:color w:val="000000"/>
          <w:sz w:val="24"/>
        </w:rPr>
        <w:t>. In order to secure and provide for the repayment and payment of the ABRCF Obligations with respect to the Series 2020-2 Senior Notes, ABRCF hereby grants a security interest in and assigns, pledges, grants, transfers and sets over to the Trustee, for the benefit of the Class A Noteholders, the Class B Noteholders and the Class C Noteholders, all of ABRCF’s right, title and interest in and to the following (whether now or hereafter existing or acquired): (i) each Class A/B/C Letter of Credit;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xml:space="preserve">).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2020-2 Agent hereby agrees (i) to act as the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9"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Class D Letter of Credit;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2020-2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Class A/B/C Letter of Credit Expiration Date with respect to any Class A/B/C Letter of Credit, excluding the amount available to be drawn under such Class A/B/C Letter of Credit but taking into account each substitute Class A/B/C Letter of Credit which has been obtained from a Series 2020-2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Class A/B/C Letter of Credit Expiration Date of such determination. If prior to the date which is ten (10) days prior </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90"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to the then-scheduled Class A/B/C Letter of Credit Expiration Date with respect to any Class A/B/C Letter of Credit, excluding the amount available to be drawn under such Class A/B/C Letter of Credit but taking into account a substitute Class A/B/C Letter of Credit which has been obtained from a Series 2020-2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Class A/B/C Letter of Credit Expiration Date of (x) the greater of (A) the excess, if any, of the Class A/B/C Required Enhancement Amount over the Class A/B/C Enhancement Amount, excluding the available amount under such expiring Class A/B/C Letter of Credit but taking into account any substitute Class A/B/C Letter of Credit which has been obtained from a Series 2020-2 Eligible Letter of Credit Provider and is in full force and effect, on such date, and (B) the excess, if any, of the Class A/B/C Required Liquidity Amount over the Class A/B/C Liquidity Amount, excluding the available amount under such expiring Class A/B/C Letter of Credit but taking into account any substitute Class A/B/C Letter of Credit which has been obtained from a Series 2020-2 Eligible Letter of Credit Provider and is in full force and effect, on such date, and (y) the amount available to be drawn on such expiring Class A/B/C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A/B/C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Class A/B/C Letter of Credit Expiration Date, the Trustee shall, by 12:00 noon (New York City time) on such Business Day draw the full amount of such Class A/B/C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xml:space="preserve">. If prior to the date which is ten (10) days prior to the then-scheduled Class D Letter of Credit Expiration Date with respect to any Class D Letter of Credit, excluding the amount available to be drawn under such Class D Letter of Credit but taking into account each substitute Class D Letter of Credit which has been obtained from a Series 2020-2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Class D Letter of Credit Expiration Date of such determination. If prior to the date which is ten (10) days prior to the then-scheduled Class D Letter of Credit Expiration Date with respect to any Class D Letter of Credit, excluding the amount available to be drawn under such Class D Letter of Credit but taking into account a substitute Class D Letter of Credit which has been obtained from a Series 2020-2 Eligible Letter of Credit Provider and is in full force and effect on such date, the Class D Enhancement Amount would be less than the Class D Required Enhancement Amount or the Class D Liquidity Amount would be less than </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1"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Class D Required Liquidity Amount, then the Administrator shall notify the Trustee in writing no later than two (2) Business Days prior to such Class D Letter of Credit Expiration Date of (x) the greater of (A) the excess, if any, of the Class D Required Enhancement Amount over the Class D Enhancement Amount, excluding the available amount under such expiring Class D Letter of Credit but taking into account any substitute Class D Letter of Credit which has been obtained from a Series 2020-2 Eligible Letter of Credit Provider and is in full force and effect, on such date, and (B) the excess, if any, of the Class D Required Liquidity Amount over the Class D Liquidity Amount, excluding the available amount under such expiring Class D Letter of Credit but taking into account any substitute Class D Letter of Credit which has been obtained from a Series 2020-2 Eligible Letter of Credit Provider and is in full force and effect, on such date, and (y) the amount available to be drawn on such expiring Class D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Class D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Class D Letter of Credit Expiration Date, the Trustee shall, by 12:00 noon (New York City time) on such Business Day draw the full amount of such Class D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2020-2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Series 2020-2 Letter of Credit Provider has fallen below “A1” as determined by Moody’s or (ii) the short-term senior unsecured debt credit rating of any Series 2020-2 Letter of Credit Provider has fallen below “P-1” as determined by Moody’s. At such time the Administrator shall also notify the Trustee of (I)(i) if such Series 2020-2 Letter of Credit Provider has issued a Class A/B/C Letter of Credit, the greater of (A) the excess, if any, of the Class A/B/C Required Enhancement Amount over the Class A/B/C Enhancement Amount, excluding the available amount under the Class A/B/C Letter of Credit issued by such Series 2020-2 Letter of Credit Provider, on such date, and (B) the excess, if any, of the Class A/B/C Required Liquidity Amount over the Class A/B/C Liquidity Amount, excluding the available amount under such Class A/B/C Letter of Credit, on such date, and (ii) the amount available to be drawn on such Class A/B/C Letter of Credit on such date and/or (II)(i) if such Series 2020-2 Letter of Credit Provider has issued a Class D Letter of Credit, the greater of (A) the excess, if any, of the Class D Required Enhancement Amount over the Class D Enhancement Amount, excluding the available amount under such Class D Letter of Credit issued by such Series 2020-2 Letter of Credit Provider, on such date, and (B) the excess, if any, of the Class D Required Liquidity Amount over the Class D Liquidity Amount, excluding the available amount under such Class D Letter of Credit, on such date, and (ii) the amount available to be drawn on such Class D Letter of Credit on such date. Upon receipt of such notice by the Trustee on or prior to 10:00 a.m. (New York City time) on any Business Day, the Trustee shall, by 12:00 noon (New York City time) on such Business Day (or,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2"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in the case of any notice given to the Trustee after 10:00 a.m. (New York City time), by 12:00 noon (New York City time) on the next following Business Day), draw on each such Class A/B/C Letter of Credit in an amount equal to the lesser of the amounts in clause (I)(i) and clause (I) of the immediately preceding sentence and to draw on each such Class D Letter of Credit in an amount equal to the lesser of the amounts in clause (II)(ii) and clause (II)(ii) of the immediately preceding sentence, in each case, on such Business Day by presenting a draft accompanied by a Certificate of Termination Demand and shall cause the Termination Disbursement with respect to the Class A/B/C Letter of Credit to be deposited in the Class A/B/C Cash Collateral Account and the Termination Disbursement with respect to the Class D Letter of Credit to be deposited in the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Series 2020-2 Letters of Credit</w:t>
      </w:r>
      <w:r>
        <w:rPr>
          <w:rFonts w:ascii="Times New Roman;sans-serif" w:hAnsi="Times New Roman;sans-serif"/>
          <w:b w:val="false"/>
          <w:color w:val="000000"/>
          <w:sz w:val="24"/>
        </w:rPr>
        <w:t xml:space="preserve">. Prior to 10:00 a.m. (New York City time) on the Business Day immediately succeeding the Series 2020-2 Letter of Credit Termination Date, the Administrator shall determine the Series 2020-2 Demand Note Payment Amount, if any, as of the Series 2020-2 Letter of Credit Termination Date and, if the Series 2020-2 Demand Note Payment Amount is greater than zero, instruct the Trustee in writing to draw on the Class A/B/C Letters of Credit and/or the Class D Letters of Credit, as described herein. Upon receipt of any such notice by the Trustee on or prior to 11:00 a.m. (New York City time) on a Business Day, the Trustee shall, by 12:00 noon (New York City time) on such Business Day draw an amount (I) on each such Class A/B/C Letter of Credit equal to the lesser of (i) the Series 2020-2 Demand Note Payment Amount and (ii) the Class A/B/C Letter of Credit Liquidity Amount on the Class A/B/C Letters of Credit by presenting to each relevant Series 2020-2 Letter of Credit Provider a draft for each such Class A/B/C Letter of Credit accompanied by a Certificate of Termination Date Demand and shall cause the Termination Date Disbursement on a Class A/B/C Letter of Credit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Class A/B/C Letters of Credit, as calculated by the Administrator and provided in writing to the Trustee and (II) on each such Class D Letter of Credit equal to the lesser of (i) the excess of (x) the Series 2020-2 Demand Note Payment Amount over (y) the amounts drawn on the Class A/B/C Letter of Credit pursuant to this Section 2.8(f) and (ii) the Class D Letter of Credit Liquidity Amount on the Class D Letters of Credit by presenting to each relevant Series 2020-2 Letter of Credit Provider a draft for each such Class D Letter of Credit accompanied by a Certificate of Termination Date Demand and shall cause the Termination Date Disbursement on a Class D Letter of Credit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D Cash Collateral Percentage and (b) the lesser of the amounts referred to in clause (i) and (ii) on such Business Day on the Class D Letters of Credit, as calculated by the Administrator and provided in writing to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Series 2020-2 Letters of Credit</w:t>
      </w:r>
      <w:r>
        <w:rPr>
          <w:rFonts w:ascii="Times New Roman;sans-serif" w:hAnsi="Times New Roman;sans-serif"/>
          <w:b w:val="false"/>
          <w:color w:val="000000"/>
          <w:sz w:val="24"/>
        </w:rPr>
        <w:t xml:space="preserve">. If there is more than one Class A/B/C Letter of Credit on the date of any draw on the Class A/B/C Letters of Credit pursuant to the terms of this Supplement, the Administrator shall instruct the Trustee, in writing, to draw on each Class A/B/C Letter of Credit in an amount equal to the Class A/B/C Pro Rata Share of the Series 2020-2 Letter of Credit Provider issuing such Class A/B/C Letter of Credit of the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93"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of such draw on the Class A/B/C Letters of Credit. If there is more than one Class D Letter of Credit on the date of any draw on the Class D Letters of Credit pursuant to the terms of this Supplement, the Administrator shall instruct the Trustee, in writing, to draw on each Class D Letter of Credit in an amount equal to the Class D Pro Rata Share of the Series 2020-2 Letter of Credit Provider issuing such Class D Letter of Credit of the amount of such draw on the Class D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Class A/B/C Letter of Credit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 loss of the purchase price of such Permitted Investments. In the absence of written investment instructions hereunder, funds on deposit in the Class A/B/C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Class D Letter of Credit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2020-2 Cash Collateral Accounts</w:t>
      </w:r>
      <w:r>
        <w:rPr>
          <w:rFonts w:ascii="Times New Roman;sans-serif" w:hAnsi="Times New Roman;sans-serif"/>
          <w:b w:val="false"/>
          <w:color w:val="000000"/>
          <w:sz w:val="24"/>
        </w:rPr>
        <w:t>. All interest and earnings (net of losses and investment expenses) paid on funds on deposit in the Series 2020-2 Cash Collateral Accounts shall be deemed to be on deposit therein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2020-2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Series 2020-2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Series 2020-2 Letter of Credit Providers to the extent of any unreimbursed drawings with respect to any Class A/B/C Letters of Credit under the related Series 2020-2 Reimbursement Agreement, for application in accordance with the provisions of the related Series 2020-2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Series 2020-2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Series 2020-2 Letter of Credit Providers to the extent of any unreimbursed drawings with respect to any Class D Letters of Credit under the related Series 2020-2 Reimbursement Agreement, for application in accordance with the provisions of the related Series 2020-2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10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2020-2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2020-2 Noteholders and payable from any Series 2020-2 Cash Collateral Account as provided herein, shall (i) withdraw from the Class A/B/C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Series 2020-2 Letter of Credit Providers to the extent of any unreimbursed drawings with respect to any Class A/B/C Letters of Credit under the related Series 2020-2 Reimbursement Agreement, for application in accordance with the provisions of the related Series 2020-2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Series 2020-2 Letter of Credit Providers to the extent of any unreimbursed drawings with respect to any Class D Letters of Credit under the related Series 2020-2 Reimbursement Agreement, for application in accordance with the provisions of the related Series 2020-2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Series 2020-2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2020-2 Distribution Account</w:t>
      </w:r>
      <w:r>
        <w:rPr>
          <w:rFonts w:ascii="Times New Roman;sans-serif" w:hAnsi="Times New Roman;sans-serif"/>
          <w:b w:val="false"/>
          <w:color w:val="000000"/>
          <w:sz w:val="24"/>
        </w:rPr>
        <w:t>. ABRCF has established and shall maintain in the name of the Trustee for the benefit of the Series 2020-2 Noteholders, or cause to be established and maintained, an account (the “</w:t>
      </w:r>
      <w:r>
        <w:rPr>
          <w:rFonts w:ascii="Times New Roman;sans-serif" w:hAnsi="Times New Roman;sans-serif"/>
          <w:b w:val="false"/>
          <w:color w:val="000000"/>
          <w:sz w:val="24"/>
          <w:u w:val="single"/>
        </w:rPr>
        <w:t>Series 2020-2 Distribution Account</w:t>
      </w:r>
      <w:r>
        <w:rPr>
          <w:color w:val="000000"/>
        </w:rPr>
        <w:t>”</w:t>
      </w:r>
      <w:r>
        <w:rPr>
          <w:rFonts w:ascii="Times New Roman;sans-serif" w:hAnsi="Times New Roman;sans-serif"/>
          <w:b w:val="false"/>
          <w:color w:val="000000"/>
          <w:sz w:val="24"/>
        </w:rPr>
        <w:t>), bearing a designation clearly indicating that the funds deposited therein are held for the benefit of the Series 2020-2 Noteholders. The Series 2020-2 Distribution Account shall be maintained (i) with a Qualified Institution, or (ii) as a segregated trust account with the corporate trust department of a depository institution or trust company having corporate trust powers and acting as trustee for funds deposited in the Series</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pPr>
      <w:r>
        <w:rPr>
          <w:rFonts w:ascii="Times New Roman;sans-serif" w:hAnsi="Times New Roman;sans-serif"/>
          <w:b w:val="false"/>
          <w:color w:val="000000"/>
          <w:sz w:val="24"/>
        </w:rPr>
        <w:t xml:space="preserve">2020-2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Series 2020-2 Distribution Account with a new Qualified Institution. If the Series 2020-2 Distribution Account is not maintained in accordance with the previous sentence, ABRCF shall establish a new Series 2020-2 Distribution Account, within ten (10) Business Days after obtaining knowledge of such fact, which complies with such sentence, and shall instruct the Series 2020-2 Agent in writing to transfer all cash and investments from the non-qualifying Series 2020-2 Distribution Account into the new Series 2020-2 Distribution Account. The Series 2020-2 Distribution Account has initially been established with The Bank of New York Mellon Trust Company, N.A.</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2020-2 Distribution Account</w:t>
      </w:r>
      <w:r>
        <w:rPr>
          <w:rFonts w:ascii="Times New Roman;sans-serif" w:hAnsi="Times New Roman;sans-serif"/>
          <w:b w:val="false"/>
          <w:color w:val="000000"/>
          <w:sz w:val="24"/>
        </w:rPr>
        <w:t xml:space="preserve">. The Administrator may instruct the institution maintaining the Series 2020-2 Distribution Account to invest funds on deposit in the Series 2020-2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Series 2020-2 Distribution Account is held with the Paying Agent, then such investment may mature on such Distribution Date and such funds shall be available for withdrawal on or prior to such Distribution Date. All such Permitted Investments will be credited to the Series 2020-2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2020-2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2020-2 Distribution Account shall remain uninvested.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2020-2 Distribution Account</w:t>
      </w:r>
      <w:r>
        <w:rPr>
          <w:rFonts w:ascii="Times New Roman;sans-serif" w:hAnsi="Times New Roman;sans-serif"/>
          <w:b w:val="false"/>
          <w:color w:val="000000"/>
          <w:sz w:val="24"/>
        </w:rPr>
        <w:t>. All interest and earnings (net of losses and investment expenses) paid on funds on deposit in the Series 2020-2 Distribution Account shall be deemed to be on deposit and available for distribution.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2020-2 Distribution Account Constitutes Additional Collateral for Series 2020-2 Notes</w:t>
      </w:r>
      <w:r>
        <w:rPr>
          <w:rFonts w:ascii="Times New Roman;sans-serif" w:hAnsi="Times New Roman;sans-serif"/>
          <w:b w:val="false"/>
          <w:color w:val="000000"/>
          <w:sz w:val="24"/>
        </w:rPr>
        <w:t xml:space="preserve">. In order to secure and provide for the repayment and payment of the ABRCF Obligations with respect to the Series 2020-2 Notes, ABRCF hereby grants a security interest in and assigns, pledges, grants, transfers and sets over to the Trustee, for the benefit of the Series 2020-2 Noteholders, all of ABRCF’s right, title and interest in and to the following (whether now or hereafter existing or acquired): (i) the Series 2020-2 Distribution Account, including any security entitlement thereto; (ii) all funds on deposit therein from time to time; (iii) all certificates and instruments, if any, representing or evidencing any or all of the Series 2020-2 Distribution Account or the funds on deposit therein from time to time; (iv) all investments made at any time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pPr>
      <w:r>
        <w:rPr>
          <w:rFonts w:ascii="Times New Roman;sans-serif" w:hAnsi="Times New Roman;sans-serif"/>
          <w:b w:val="false"/>
          <w:color w:val="000000"/>
          <w:sz w:val="24"/>
        </w:rPr>
        <w:t>and from time to time with monies in the Series 2020-2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2020-2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2020-2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2020-2 Distribution Account and in and to all proceeds thereof, and shall be the only person authorized to originate entitlement orders in respect of the Series 2020-2 Distribution Account. The Series 2020-2 Distribution Account Collateral shall be under the sole dominion and control of the Trustee for the benefit of the Series 2020-2 Noteholders. The Series 2020-2 Agent hereby agrees (i) to act as the securities intermediary (as defined in Section 8-102(a)(14) of the New York UCC) with respect to the Series 2020-2 Distribution Account; (ii) that its jurisdiction as securities intermediary is New York, (iii) that each item of property (whether investment property, financial asset, security, instrument or cash) credited to the Series 2020-2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2020-2 Accounts Permitted Investments</w:t>
      </w:r>
      <w:r>
        <w:rPr>
          <w:rFonts w:ascii="Times New Roman;sans-serif" w:hAnsi="Times New Roman;sans-serif"/>
          <w:b w:val="false"/>
          <w:color w:val="000000"/>
          <w:sz w:val="24"/>
        </w:rPr>
        <w:t xml:space="preserve">. ABRCF shall not, and shall not permit, funds on deposit in the Series 2020-2 Accounts to be invested in: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(i)Permitted Investments that do not mature at least one (1) Business Day before the next Distribution Date;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(ii)demand deposits, time deposits or certificates of deposit with a maturity in excess of 360 days;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(iii)commercial paper which is not rated “P-1” by Moody’s;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(iv)money market funds or eurodollar time deposits which are not rated at least “P-1” by Moody’s;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(v)eurodollar deposits that are not rated “P-1” by Moody’s or that are with financial institutions not organized under the laws of a G-7 nation; or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(vi)any investment, instrument or security not otherwise listed in clause (i) through (vi) of the definition of “Permitted Investments” in the Base Indenture.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2020-2 Demand Notes Constitute Additional Collateral for Series 2020-2 Senior Notes</w:t>
      </w:r>
      <w:r>
        <w:rPr>
          <w:rFonts w:ascii="Times New Roman;sans-serif" w:hAnsi="Times New Roman;sans-serif"/>
          <w:b w:val="false"/>
          <w:color w:val="000000"/>
          <w:sz w:val="24"/>
        </w:rPr>
        <w:t xml:space="preserve">. In order to secure and provide for the repayment and payment of the ABRCF Obligations with respect to the Series 2020-2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2020-2 Demand Notes; (ii) all certificates and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instruments, if any, representing or evidencing the Series 2020-2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2020-2 Demand Note, endorsed in blank. The Trustee, for the benefit of the Class A Noteholders, the Class B Noteholders, the Class C Noteholders and the Class D Noteholders, shall be the only Person authorized to make a demand for payments on the Series 2020-2 Demand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2020-2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2020-2 Rapid Amortization Period or on the Series 2020-2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2020-2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2020-2 Rapid Amortization Period or on the Series 2020-2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2020-2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 amount equal to the Class C Controlled Distribution Amount for the Related Month shall have been paid to the Class C Noteholders. No payments on account of principal shall be made with respect to the Class D Notes during the Series 2020-2 Rapid Amortization Period or on the Series 2020-2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2020-2 Controlled Amortization Period or the Series 2020-2 Rapid Amortization Period or on the Series 2020-2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2020-2 Notes and collectively shall constitute the Amortization Events set forth in Section 9.1(n) of the Base Indenture with respect to the Series 2020-2 Notes (without notice or other action on the part of the Trustee or any holders of the Series 2020-2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 xml:space="preserve">(a)    a Series 2020-2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2020-2 Enhancement Deficiency shall have been cured in accordance with the terms and conditions of the Indenture and the Related Documents;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in either case, such event or condition shall not be an Amortization Event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0"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if during such two Business Day period such insufficiency shall have been cured in accordance with the terms and conditions of the Indenture and the Related Documents;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2020-2 Collection Account, the Series 2020-2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2020-2 Notes is not paid in full on or before the Series 2020-2 Expected Final Distribution Date;</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Series 2020-2 Letter of Credit shall not be in full force and effect for at least two Business Days and either (x) a Series 2020-2 Enhancement Deficiency would result from excluding such Series 2020-2 Letter of Credit from the Class A/B/C Enhancement Amount or the Class D Enhancement Amount or (y) the Class A/B/C Liquidity Amount or the Class D Liquidity Amount excluding therefrom the available amount under such Series 2020-2 Letter of Credit, would be less than the Class A/B/C Required Liquidity Amount or the Class D Required Liquidity Amount, respectively;</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from and after the funding of any Series 2020-2 Cash Collateral Account, such Series 2020-2 Cash Collateral Account shall be subject to an injunction, estoppel or other stay or a lien (other than Liens permitted under the Related Documents) for at least two Business Days and either (x) a Series 2020-2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Series 2020-2 Letter of Credit Provider or any Series 2020-2 Letter of Credit Provider repudiates its Series 2020-2 Letter of Credit or refuses to honor a proper draw thereon and either (x) a Series 2020-2 Enhancement Deficiency would result from excluding such Series 2020-2 Letter of Credit from the Class A/B/C Enhancement Amount or the Class D Enhancement Amount or (y) the Class A/B/C Liquidity Amount or Class D Liquidity Amount, excluding therefrom the available amount under such Series 2020-2 Letter of Credit, would be less than the Class A/B/C Required Liquidity Amount or the Class D Required Liquidity Amount, respectively.</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2020-2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2020-2 Notes</w:t>
      </w:r>
      <w:r>
        <w:rPr>
          <w:rFonts w:ascii="Times New Roman;sans-serif" w:hAnsi="Times New Roman;sans-serif"/>
          <w:b w:val="false"/>
          <w:color w:val="000000"/>
          <w:sz w:val="24"/>
        </w:rPr>
        <w:t>. Each Class of the Series 2020-2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 xml:space="preserve">Restricted Global Class B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1"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pPr>
      <w:r>
        <w:rPr>
          <w:rFonts w:ascii="Times New Roman;sans-serif" w:hAnsi="Times New Roman;sans-serif"/>
          <w:b w:val="false"/>
          <w:color w:val="000000"/>
          <w:sz w:val="24"/>
          <w:u w:val="single"/>
        </w:rPr>
        <w:t>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2020-2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2020-2 Notes; Permanent Global Series 2020-2 Notes</w:t>
      </w:r>
      <w:r>
        <w:rPr>
          <w:rFonts w:ascii="Times New Roman;sans-serif" w:hAnsi="Times New Roman;sans-serif"/>
          <w:b w:val="false"/>
          <w:color w:val="000000"/>
          <w:sz w:val="24"/>
        </w:rPr>
        <w:t>. Each Class of the Series 2020-2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2020-2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which shall be deposited on behalf of the purchasers of such Class of the Series 2020-2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2020-2 Note 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2020-2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2020-2 Note and the Base Indenture (as modified by this Supplement). Interests in a Permanent Global Series 2020-2 Note will be exchangeable for a definitive Series 2020-2 Note in accordance with the provisions of such Permanent Global Series 2020-2 Note and the Base Indenture (as modified by this Supplement).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Section 4.5.    .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 xml:space="preserve">with such insertions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2"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2020-2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2020-2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2020-2 Repurchase Amount</w:t>
      </w:r>
      <w:r>
        <w:rPr>
          <w:color w:val="000000"/>
        </w:rPr>
        <w:t>”</w:t>
      </w:r>
      <w:r>
        <w:rPr>
          <w:rFonts w:ascii="Times New Roman;sans-serif" w:hAnsi="Times New Roman;sans-serif"/>
          <w:b w:val="false"/>
          <w:color w:val="000000"/>
          <w:sz w:val="24"/>
        </w:rPr>
        <w:t xml:space="preserve">). The repurchase price for any Series 2020-2 Note subject to a Clean-up Repurchase shall equal the aggregate outstanding principal balance of such Series 2020-2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The Series 2020-2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2020-2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2020-2 Note subject to an Optional Repurchase shall equal (1) the aggregate outstanding principal balance of such Series 2020-2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2020-2 Note.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2020-2 Noteholders, or their designated agent, copies of all information furnished to the Trustee or ABRCF pursuant to the Related Documents, as such information relates to the Series 2020-2 Notes or the Series 2020-2 Collateral. </w:t>
      </w:r>
    </w:p>
    <w:p>
      <w:pPr>
        <w:pStyle w:val="TextBody"/>
        <w:bidi w:val="0"/>
        <w:spacing w:lineRule="auto" w:line="240" w:before="0" w:after="24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7121" w:type="dxa"/>
        <w:jc w:val="right"/>
        <w:tblInd w:w="0" w:type="dxa"/>
        <w:tblLayout w:type="fixed"/>
        <w:tblCellMar>
          <w:top w:w="28" w:type="dxa"/>
          <w:left w:w="28" w:type="dxa"/>
          <w:bottom w:w="28" w:type="dxa"/>
          <w:right w:w="28" w:type="dxa"/>
        </w:tblCellMar>
      </w:tblPr>
      <w:tblGrid>
        <w:gridCol w:w="473"/>
        <w:gridCol w:w="415"/>
        <w:gridCol w:w="417"/>
        <w:gridCol w:w="1813"/>
        <w:gridCol w:w="1813"/>
        <w:gridCol w:w="1818"/>
        <w:gridCol w:w="109"/>
        <w:gridCol w:w="109"/>
        <w:gridCol w:w="15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2020-2 Note, Class 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2020-2 Note, Class 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2020-2 Note, Class 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2020-2 Note, Class B</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3"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tbl>
      <w:tblPr>
        <w:tblW w:w="8294" w:type="dxa"/>
        <w:jc w:val="right"/>
        <w:tblInd w:w="0" w:type="dxa"/>
        <w:tblLayout w:type="fixed"/>
        <w:tblCellMar>
          <w:top w:w="28" w:type="dxa"/>
          <w:left w:w="28" w:type="dxa"/>
          <w:bottom w:w="28" w:type="dxa"/>
          <w:right w:w="28" w:type="dxa"/>
        </w:tblCellMar>
      </w:tblPr>
      <w:tblGrid>
        <w:gridCol w:w="473"/>
        <w:gridCol w:w="415"/>
        <w:gridCol w:w="417"/>
        <w:gridCol w:w="2189"/>
        <w:gridCol w:w="2189"/>
        <w:gridCol w:w="2194"/>
        <w:gridCol w:w="122"/>
        <w:gridCol w:w="122"/>
        <w:gridCol w:w="173"/>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2020-2 Note, Class B</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2020-2 Note, Class B</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2020-2 Note, Class 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2020-2 Note, Class 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2020-2 Note, Class C</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2020-2 Note, Class D</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2020-2 Note, Class R</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2020-2 Note, Class R</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2020-2 Note, Class R</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2020-2 Demand Note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G-1</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Class A/B/C Letter of Credit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G-2</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Class D Letter of Credit</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6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P-1:</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P-2:</w:t>
            </w:r>
          </w:p>
        </w:tc>
        <w:tc>
          <w:tcPr>
            <w:tcW w:w="69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before="0" w:after="0"/>
        <w:jc w:val="left"/>
        <w:rPr/>
      </w:pPr>
      <w:r>
        <w:rPr/>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16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2020-2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4"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pPr>
      <w:r>
        <w:rPr>
          <w:rFonts w:ascii="Times New Roman;sans-serif" w:hAnsi="Times New Roman;sans-serif"/>
          <w:b w:val="false"/>
          <w:color w:val="000000"/>
          <w:sz w:val="24"/>
        </w:rPr>
        <w:t xml:space="preserve">Amortization Event has occurred and is continuing and (ii) the Rating Agency Consent Condition is met with respect to the outstanding Series 2020-2 Notes (other than the Class R Notes), ABRCF shall be able to (x) increase the Class A/B/C Maximum Hyundai Amount up to an amount not to exceed 30% of the aggregate Net Book Value of all Vehicles leased under the Leases and/or (y) increase the Class A/B/C Maximum Kia Amount up to an amount not to exceed 15% of the aggregate Net Book Value of all Vehicles leased under the Leases at any time without the consent of the Class A/B/C Noteholders by giving written notice of such increase to the Trustee along with an Officer’s Certificate certifying that no Amortization Event has occurred and is continuing, and (B) so long as (i) no Amortization Event has occurred and is continuing and (ii) the Rating Agency Consent Condition is met with respect to the outstanding Series 2020-2 Notes (other than the Class R Notes), ABRCF shall be able to either (x)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Closing Date and make any related modification to a defined term that includes “Moody’s” in such defined term, in each case, at any time without the consent of the Class D Noteholders and (2) ABRCF shall be able to modify or amend any Class D Maximum Amount at any time with the consent of the Requisite Class D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respect to the Class D Notes, solely with (x) the consent of the Class D Noteholders (and without the consent of any other Series 2020-2 Noteholders) and (y) satisfaction of the Rating Agency Consent Condition.</w:t>
      </w:r>
    </w:p>
    <w:p>
      <w:pPr>
        <w:pStyle w:val="TextBody"/>
        <w:bidi w:val="0"/>
        <w:spacing w:lineRule="auto" w:line="288" w:before="0" w:after="16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2020-2 Notes without the consent of the Requisite Series 2020-2 Noteholders.</w:t>
      </w:r>
    </w:p>
    <w:p>
      <w:pPr>
        <w:pStyle w:val="TextBody"/>
        <w:bidi w:val="0"/>
        <w:spacing w:lineRule="auto" w:line="288" w:before="0" w:after="16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each notice, opinion of counsel, certificate or other item delivered to, or required to be provided by, the Trustee pursuant to this Supplement or any other Related Document. </w:t>
      </w:r>
    </w:p>
    <w:p>
      <w:pPr>
        <w:pStyle w:val="TextBody"/>
        <w:bidi w:val="0"/>
        <w:spacing w:lineRule="auto" w:line="288" w:before="0" w:after="16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ABRCF agrees that on the Class D Notes Closing Date it will have capitalization in an amount equal to or greater than 3% of the sum of (x) the Series 2020-2 Invested Amount and (y) the invested amount of the Series 2010-6 Notes, the Series 2011-4 Notes, the Series 2015-3 Notes, the Series 2019-2 Notes, the Series 2019-3 Notes, the Series 2020-1 Notes, the Series 2021-1 Notes, the Series 2021-2 Notes and the Series 2022-1 Notes, the Series 2022-3 Notes, the Series 2022-4 Notes, the Series 2022-5 Notes, the Series 2023-1 Notes, the Series 2023-2 Notes, the Series 2023-3 Notes, the Series 2023-4 Notes, the Series 2023-5 Notes, the Series 2023-6 Notes, the Series 2023-7 Notes, the Series 2023-8 Notes, the Series 2024-1 Notes, the Series 2024-2 Notes and the Series 2024-3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Subject to Section 5.7 above, any action pursuant to Section 5.6, Section 8.13 or Article 9 of the Base Indenture that requires the consent of, or is permissible at the direction of, the Required Noteholders with respect to the Series 2020-</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5"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Notes pursuant to the Base Indenture shall only be allowed with the consent of, or at the direction of, the Required Controlling Class Series 2020-2 Noteholders. Any other action pursuant to any Related Document which requires the consent or approval of, or the waiver by, the Required Noteholders with respect to the Series 2020-2 Notes shall require the consent or approval of, or waiver by, the Requisite Series 2020-2 Noteholders.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2020-2 Demand Notes</w:t>
      </w:r>
      <w:r>
        <w:rPr>
          <w:rFonts w:ascii="Times New Roman;sans-serif" w:hAnsi="Times New Roman;sans-serif"/>
          <w:b w:val="false"/>
          <w:color w:val="000000"/>
          <w:sz w:val="24"/>
        </w:rPr>
        <w:t>. Other than pursuant to a demand thereon pursuant to Section 2.5, ABRCF shall not reduce the amount of the Series 2020-2 Demand Notes or forgive amounts payable thereunder so that the outstanding principal amount of the Series 2020-2 Demand Notes after such reduction or forgiveness is less than the Series 2020-2 Letter of Credit Liquidity Amount. ABRCF shall not agree to any amendment of the Series 2020-2 Demand Notes without first satisfying the Rating Agency Confirmation Condition and the Rating Agency Consent Condition.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2020-2 Notes theretofore authenticated and issued have been delivered (other than destroyed, lost, or stolen Series 2020-2 Notes which have been replaced or paid) to the Trustee for cancellation, ABRCF has paid all sums payable hereunder, and, if the Series 2020-2 Demand Note Payment Amount on the Series 2020-2 Letter of Credit Termination Date was greater than zero, all amounts have been withdrawn from the Series 2020-2 Cash Collateral Accounts in accordance with Section 2.8(m).</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2020-2 Noteholder, upon any acquisition of a Series 2020-2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and (vi) the execution of an amendment to the AESOP II Operating Lease Loan Agreement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  The Trustee and each Series 2020-2 Note Owner agrees, by its acceptance and holding of a beneficial interest in a Series 2020-2 Note, to maintain the confidentiality of all Confidential Information in accordance with procedures adopted by the Trustee or such Series 2020-2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206"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pPr>
      <w:r>
        <w:rPr>
          <w:rFonts w:ascii="Times New Roman;sans-serif" w:hAnsi="Times New Roman;sans-serif"/>
          <w:b w:val="false"/>
          <w:color w:val="000000"/>
          <w:sz w:val="24"/>
        </w:rPr>
        <w:t xml:space="preserve">confidential the Confidential Information substantially in accordance with the terms of this Section 5.16; (iii) any other Series 2020-2 Note Owner; (iv) any Person of the type that would be, to such Person’s knowledge, permitted to acquire an interest in the Series 2020-2 Notes in accordance with the requirements of the Indenture to which such Person sells or offers to sell any such Series 2020-2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2020-2 Notes has occurred and is continuing, to the extent such Person may reasonably determine such delivery and disclosure to be necessary or appropriate in the enforcement or for the protection of the rights and remedies under the Series 2020-2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delivery to any Series 2020-2 Note Owner of any report or information required by the terms of the Indenture to be provided to such Series 2020-2 Note Owner shall not be a violation of this Section 5.16. Each Series 2020-2 Note Owner agrees, by acceptance of a beneficial interest in a Series 2020-2 Note, except as set forth in clauses (v), (vi) and (ix) above, that it shall use the Confidential Information for the sole purpose of making an investment in the Series 2020-2 Notes or administering its investment in the Series 2020-2 Notes. In the event of any required disclosure of the Confidential Information by such Series 2020-2 Note Owner, such Series 2020-2 Note Owner agrees to use reasonable efforts to protect the confidentiality of the Confidential Information.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2020-2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term does not include information that: (i) was publicly known or otherwise known to the Trustee or such Series 2020-2 Note Owner prior to the time of such disclosure; (ii) subsequently becomes publicly known through no act or omission by the Trustee, any Series 2020-2 Note Owner or any person acting on behalf of the Trustee or any Series 2020-2 Note Owner; (iii) otherwise is known or becomes known to the Trustee or any Series 2020-2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5.17.    </w:t>
      </w:r>
      <w:r>
        <w:rPr>
          <w:rFonts w:ascii="Times New Roman;sans-serif" w:hAnsi="Times New Roman;sans-serif"/>
          <w:b w:val="false"/>
          <w:color w:val="000000"/>
          <w:sz w:val="24"/>
          <w:u w:val="single"/>
        </w:rPr>
        <w:t>Capitalized Cost Covenant</w:t>
      </w:r>
      <w:r>
        <w:rPr>
          <w:rFonts w:ascii="Times New Roman;sans-serif" w:hAnsi="Times New Roman;sans-serif"/>
          <w:b w:val="false"/>
          <w:color w:val="000000"/>
          <w:sz w:val="24"/>
        </w:rPr>
        <w:t xml:space="preserve">. ABRCF hereby agrees that it shall not permit the aggregate Capitalized Cost for all Vehicles purchased in any model year that are not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207"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subject to a Manufacturer Program to exceed 85% of the aggregate MSRP (Manufacturer Suggested Retail Price) of all such Vehicles;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ABRCF shall not modify the customary buying patterns or purchasing criteria used by the Administrator and its Affiliates with respect to the Vehicles if the primary purpose of such modification is to comply with this covenant.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2020-2 Agent</w:t>
      </w:r>
      <w:r>
        <w:rPr>
          <w:rFonts w:ascii="Times New Roman;sans-serif" w:hAnsi="Times New Roman;sans-serif"/>
          <w:b w:val="false"/>
          <w:color w:val="000000"/>
          <w:sz w:val="24"/>
        </w:rPr>
        <w:t>. The Series 2020-2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2020-2 NOTES, THE SERIES 2020-2 DEMAND NOTES, THE SERIES 2020-2 LETTER OF CREDIT AND ANY OTHER RELATED DOCUMENTS EXECUTED IN CONNECTION WITH THE ISSUANCE OF THE SERIES 2020-2 NOTES, OR ANY COURSE OF CONDUCT, COURSE OF DEALING, STATEMENTS (WHETHER ORAL OR WRITTEN), OR ACTIONS OF THE PARTIES HERETO. THIS PROVISION IS A MATERIAL INDUCEMENT FOR THE PARTIES HERETO TO ENTER INTO THIS SUPPLEMENT.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208"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YORK CITY, STATE OF NEW YORK, OVER ANY ACTION OR PROCEEDING ARISING OUT OF OR RELATING TO THIS SUPPLEMENT, THE SERIES 2020-2 NOTES, THE SERIES 2020-2 DEMAND NOTES, THE SERIES 2020-2 LETTER OF CREDIT AND ANY OTHER RELATED DOCUMENTS EXECUTED IN CONNECTION WITH THE ISSUANCE OF THE SERIES 2020-2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2020-2 NOTES, THE SERIES 2020-2 DEMAND NOTES, THE SERIES 2020-2 LETTER OF CREDIT AND ANY OTHER RELATED DOCUMENTS EXECUTED IN CONNECTION WITH THE ISSUANCE OF THE SERIES 2020-2 NOTES IN ANY OTHER COUNTRY, STATE OR PLACE HAVING JURISDICTION OVER SUCH ACTION OR PROCEEDING.</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2020-2 Notes</w:t>
      </w:r>
      <w:r>
        <w:rPr>
          <w:rFonts w:ascii="Times New Roman;sans-serif" w:hAnsi="Times New Roman;sans-serif"/>
          <w:b w:val="false"/>
          <w:color w:val="000000"/>
          <w:sz w:val="24"/>
        </w:rPr>
        <w:t xml:space="preserve">. (a) Solely with respect to this Supplement and the Series 2020-2 Notes,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R Notes for any Series issued after the date hereof.</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For so long as the Series 2020-2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sans-serif" w:hAnsi="Times New Roman;sans-serif"/>
          <w:b w:val="false"/>
          <w:color w:val="000000"/>
          <w:sz w:val="24"/>
          <w:u w:val="single"/>
        </w:rPr>
        <w:t>Exhibit P-1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P-2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P-1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P-2.</w:t>
      </w:r>
      <w:r>
        <w:rPr>
          <w:color w:val="000000"/>
        </w:rPr>
        <w:t xml:space="preserve"> </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9"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10"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before="0" w:after="0"/>
        <w:jc w:val="right"/>
        <w:rPr/>
      </w:pPr>
      <w:r>
        <w:rPr/>
      </w:r>
    </w:p>
    <w:p>
      <w:pPr>
        <w:pStyle w:val="TextBody"/>
        <w:bidi w:val="0"/>
        <w:spacing w:before="0" w:after="240"/>
        <w:ind w:left="0" w:right="0" w:firstLine="720"/>
        <w:jc w:val="both"/>
        <w:rPr/>
      </w:pPr>
      <w:r>
        <w:rPr/>
      </w:r>
    </w:p>
    <w:p>
      <w:pPr>
        <w:pStyle w:val="TextBody"/>
        <w:bidi w:val="0"/>
        <w:spacing w:lineRule="auto" w:line="288"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0"/>
        <w:ind w:left="0" w:right="0" w:firstLine="1440"/>
        <w:jc w:val="left"/>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11"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2020-2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12"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031" w:type="dxa"/>
        <w:jc w:val="left"/>
        <w:tblInd w:w="0" w:type="dxa"/>
        <w:tblLayout w:type="fixed"/>
        <w:tblCellMar>
          <w:top w:w="28" w:type="dxa"/>
          <w:left w:w="28" w:type="dxa"/>
          <w:bottom w:w="28" w:type="dxa"/>
          <w:right w:w="28" w:type="dxa"/>
        </w:tblCellMar>
      </w:tblPr>
      <w:tblGrid>
        <w:gridCol w:w="881"/>
        <w:gridCol w:w="772"/>
        <w:gridCol w:w="772"/>
        <w:gridCol w:w="2395"/>
        <w:gridCol w:w="2395"/>
        <w:gridCol w:w="2425"/>
        <w:gridCol w:w="114"/>
        <w:gridCol w:w="114"/>
        <w:gridCol w:w="163"/>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39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2020-2 ALLOCATIONS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Establishment of Series 2020-2 Collection Account, Series 2020-2 Excess </w:t>
              <w:br/>
              <w:t>Collection Account and Series 2020-2 Accrued Interest Account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2020-2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33</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39</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44</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or </w:t>
              <w:br/>
              <w:t>Payment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2020-2 Reserve Accounts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2020-2 Letters of Credit and Series 2020-2 Cash Collateral </w:t>
              <w:br/>
              <w:t>Accounts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59</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2020-2 Distribution Account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66</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2020-2 Accounts Permitted Investments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2020-2 Demand Notes Constitute Additional Collateral for Series </w:t>
              <w:br/>
              <w:t>2020-2 Senior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2020-2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2020-2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2020-2 Notes; Permanent Global Series 2020-2 </w:t>
              <w:br/>
              <w:t>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2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73</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2020-2 Demand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2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7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Issuance of Class D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bl>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13"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58.6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166" w:type="dxa"/>
        <w:jc w:val="left"/>
        <w:tblInd w:w="0" w:type="dxa"/>
        <w:tblLayout w:type="fixed"/>
        <w:tblCellMar>
          <w:top w:w="28" w:type="dxa"/>
          <w:left w:w="28" w:type="dxa"/>
          <w:bottom w:w="28" w:type="dxa"/>
          <w:right w:w="28" w:type="dxa"/>
        </w:tblCellMar>
      </w:tblPr>
      <w:tblGrid>
        <w:gridCol w:w="516"/>
        <w:gridCol w:w="454"/>
        <w:gridCol w:w="455"/>
        <w:gridCol w:w="1449"/>
        <w:gridCol w:w="1449"/>
        <w:gridCol w:w="1452"/>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Capitalized Cost Covenant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2020-2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2020-2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14"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10.56</w:t>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2022-5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2022-5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2022-5 6.12%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2022-5 7.09%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2022-5 6.24%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2022-5 9.562%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2022-5 11.162% Rental Car Asset Backed Notes, Class R</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15"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4" w:before="0" w:after="180"/>
        <w:ind w:left="0" w:right="0" w:firstLine="1440"/>
        <w:jc w:val="both"/>
        <w:rPr/>
      </w:pPr>
      <w:r>
        <w:rPr>
          <w:rFonts w:ascii="Times New Roman;sans-serif" w:hAnsi="Times New Roman;sans-serif"/>
          <w:b w:val="false"/>
          <w:color w:val="000000"/>
          <w:sz w:val="24"/>
        </w:rPr>
        <w:t>AMENDED AND RESTATED SERIES 2022-5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2022-5 Agent</w:t>
      </w:r>
      <w:r>
        <w:rPr>
          <w:color w:val="000000"/>
        </w:rPr>
        <w:t>”</w:t>
      </w:r>
      <w:r>
        <w:rPr>
          <w:rFonts w:ascii="Times New Roman;sans-serif" w:hAnsi="Times New Roman;sans-serif"/>
          <w:b w:val="false"/>
          <w:color w:val="000000"/>
          <w:sz w:val="24"/>
        </w:rPr>
        <w:t>) for the benefit of the Series 2022-5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18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16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140"/>
        <w:ind w:left="0" w:right="0" w:firstLine="1440"/>
        <w:jc w:val="both"/>
        <w:rPr/>
      </w:pPr>
      <w:r>
        <w:rPr>
          <w:rFonts w:ascii="Times New Roman;sans-serif" w:hAnsi="Times New Roman;sans-serif"/>
          <w:b w:val="false"/>
          <w:color w:val="000000"/>
          <w:sz w:val="24"/>
        </w:rPr>
        <w:t>WHEREAS, ABRCF and the Trustee entered into the Series 2022-5 Supplement, dated November 29, 2022 (as amended by the First Amendment to the Series 2022-5 Supplement, dated as of February 5, 2024,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1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November 29, 2022, ABRCF issued its Series 2022-5 6.12% Rental Car Asset Backed Notes, Class A, its Series 2022-5 7.09% Rental Car Asset Backed Notes, Class B, its Series 2022-5 6.24% Rental Car Asset Backed Notes, Class C, and its Series 2022-5 11.162% Rental Car Asset Backed Notes, Class R under the Prior Supplement;</w:t>
      </w:r>
    </w:p>
    <w:p>
      <w:pPr>
        <w:pStyle w:val="TextBody"/>
        <w:bidi w:val="0"/>
        <w:spacing w:lineRule="auto" w:line="288" w:before="0" w:after="1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14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1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1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There was created a Series of Notes issued pursuant to the Base Indenture and the Prior Supplement, and such Series of Notes was designated generally as the “Series 2022-5 Rental Car Asset Backed Notes”. The Series 2022-5 Notes were permitted to be issued in up to five Classes, the first of which is known as the “Class A Notes”, the second of which is known as the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16"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ans-serif" w:hAnsi="Times New Roman;sans-serif"/>
          <w:b w:val="false"/>
          <w:color w:val="000000"/>
          <w:sz w:val="24"/>
        </w:rPr>
        <w:t>Class B Notes”, the third of which is known as the “Class C Notes”, the fourth of which is known as the “Class R Notes” and the fifth of which shall be known as the “Class D Notes”.</w:t>
      </w:r>
    </w:p>
    <w:p>
      <w:pPr>
        <w:pStyle w:val="TextBody"/>
        <w:bidi w:val="0"/>
        <w:spacing w:lineRule="auto" w:line="288" w:before="0" w:after="18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2022-5 6.12% Rental Car Asset Backed Notes, Class A”, (ii) one tranche of Class B Notes designated as the “Series 2022-5 7.09% Rental Car Asset Backed Notes, Class B”, (iii) one tranche of Class C Notes designated as the “Series 2022-5 6.24% Rental Car Asset Backed Notes, Class C” and (iv) one tranche of Class R Notes designated the “Series 2022-5 11.162% Rental Car Asset Backed Notes, Class R”.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2022-5 9.562% Rental Car Asset Backed Notes, Class D” and (ii) the Additional Class R Notes.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2022-5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2022-5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2022-5 Notes and not to any other Series of Notes issued by ABRCF. In the event that a term used herein shall be defined both herein and in the Base Indenture, the definition of such term herein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7"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2022-5 Notes and the definitions of such terms are applicable to the singular as well as the plural form of such terms and to the masculine as well as the feminine and neuter genders of such terms: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2022-5 Controlled Amortization Period.</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2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2022-5 Notes, which may be the Class A Notes, the Class B Notes, the Class C Notes, the Class D Notes or the Class R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2022-5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2022-5 Controlled Amortization Period, the Class A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2022-5 Controlled Amortization Period other than the Related Month immediately preceding the Series 2022-5 Expected Final Distribution Date, $72,350,833.33 and </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8"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(ii) with respect to the Related Month immediately preceding the Series 2022-5 Expected Final Distribution Date, $72,350,833.35.</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2022-5 Controlled Amortization Period, an amount equal to the sum of the Class A Controlled Amortization Amount and any Class A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$434,105,000.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2022-5 Interest Period, an amount equal to $1,549,754.85 and (ii) any other Series 2022-5 Interest Period, an amount equal to the product of (A) one-twelfth of the Class A Note Rate and (B) the Class A Invested Amount on the first day of such Series 2022-5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2022-5 6.12%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6.12%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A/B/C Required Liquidity Amount divided by “Required Liquidity Amount” for each applicable Series for which such Multi-Series Letter of Credit is providing credit enhancement.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9"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2022-5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Multi-Series Letter of Credit Termination Date, the Class A/B/C Cash Collateral Account Surplus shall mean the excess, if any, of (x) the Class A/B/C Available Cash Collateral Account Amount over (y) the Series 2022-5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2022-5 Collection Account (not including amounts allocable to the Series 2022-5 Accrued Interest Account) and the Series 2022-5 Excess Collection Account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2022-5 Demand Notes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20"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Series 2022-5 Maximum Jaguar Amount, Series 2022-5 Maximum Tesla Amount, the Series 2022-5 Maximum Land Rover Amount, the Series 2022-5 Maximum Mitsubishi Amount, the Series 2022-5 Maximum Isuzu Amount, the Series 2022-5 Maximum Subaru Amount, the Series 2022-5 Maximum Hyundai Amount, the Series 2022-5 Maximum Kia Amount, the Series 2022-5 Maximum Suzuki Amount, the Series 2022-5 Maximum Specified States Amount (if applicable), the Series 2022-5 Maximum Non-Perfected Vehicle Amount, the Series 2022-5 Maximum Non-Eligible Manufacturer Amount and the Series 2022-5 Maximum Medium/Heavy Duty Truck Amount.</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21"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Non-Perfected Vehicle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November 29, 2022.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2022-5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2022-5 Invested Amount and the Class D Required Overcollateralization Amount and (ii) as of any other date of determination, 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2022-5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2022-5 AESOP I Operating Lease Loan Agreement Borrowing Base on such date and (2) the lesser of (a) the Class A/B/C Liquidity Amount on such date and (b) the Class A/B/C Required Liquidity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22"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76" w:before="0" w:after="14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 xml:space="preserve">means, as of any date of determination, the sum, without duplication, of (i) the Series 2022-5 Moody’s Required Enhancement Amount as of such date, (ii) the Series 2022-5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2022-5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2022-5 AESOP I Operating Lease Vehicle Percentage as of the immediately preceding Business Day of the excess, if any, of the aggregate Net Book Value of all Vehicles manufactured by Subaru and leased under the Leases as of such date over the Series 2022-5 Maximum Subaru Amount as of such date, (v) the Series 2022-5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2022-5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2022-5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2022-5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2022-5 AESOP I Operating Lease Vehicle Percentage as of the immediately preceding Business Day of the excess, if any, of the aggregate Net Book Value of all Vehicles manufactured by Land Rover and leased under the Leases as of such date over the Class A/B/C Maximum Land Rover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23"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76" w:before="0" w:after="140"/>
        <w:jc w:val="both"/>
        <w:rPr>
          <w:rFonts w:ascii="Times New Roman;sans-serif" w:hAnsi="Times New Roman;sans-serif"/>
          <w:b w:val="false"/>
          <w:color w:val="000000"/>
          <w:sz w:val="24"/>
        </w:rPr>
      </w:pPr>
      <w:r>
        <w:rPr>
          <w:rFonts w:ascii="Times New Roman;sans-serif" w:hAnsi="Times New Roman;sans-serif"/>
          <w:b w:val="false"/>
          <w:color w:val="000000"/>
          <w:sz w:val="24"/>
        </w:rPr>
        <w:br/>
        <w:t>as of such date, (x) the Series 2022-5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2022-5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2022-5 Maximum Non-Perfected Vehicle Amount (as applicable) as of such date, (xii) the Series 2022-5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2022-5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pStyle w:val="TextBody"/>
        <w:bidi w:val="0"/>
        <w:spacing w:lineRule="auto" w:line="288" w:before="0" w:after="1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4.00% and the Class A/B/C Senior Invested Amount as of such date. </w:t>
      </w:r>
    </w:p>
    <w:p>
      <w:pPr>
        <w:pStyle w:val="TextBody"/>
        <w:bidi w:val="0"/>
        <w:spacing w:lineRule="auto" w:line="288" w:before="0" w:after="1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2022-5 Collection Account (not including amounts allocable to the Series 2022-5 Accrued Interest Account) and the Series 2022-5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2022-5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2022-5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24"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2022-5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2022-5 Controlled Amortization Period, the Class B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2022-5 Controlled Amortization Period, $11,060,000.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2022-5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$66,360,000.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2022-5 Interest Period, an amount equal to $274,453.90 and (ii) any other Series 2022-5 Interest Period, an amount equal to the product of (A) one-twelfth of the Class B Note Rate and (B) the Class B Invested Amount on the first day of such Series 2022-5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2022-5 7.09% Rental Car Asset Backed Notes, Class B, executed by ABRCF and authenticated by or on behalf of the Trustee,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7.09%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2022-5 Controlled Amortization Period, the amount, if any, by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25"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2022-5 Controlled Amortization Period, the Class C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2022-5 Controlled Amortization Period other than the Related Month immediately preceding the Series 2022-5 Expected Final Distribution Date, $8,755,833.33 and (ii) with respect to the Related Month immediately preceding the Series 2022-5 Expected Final Distribution Date, $8,755,833.35.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2022-5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$52,535,000.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(A) for so long as ABRCF owns 100% of the Class C Notes, $0 and (B) if ABRCF owns less than 100% of the Class C Notes, with respect to (i) the initial Series 2022-5 Interest Period with respect to the Class C Notes, an amount equal to $409,773.00 and (ii) any other Series 2022-5 Interest Period, an amount equal to the product of (A) one-twelfth of the Class C Note Rate and (B) the Class C Invested Amount on the first day of such Series 2022-5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2022-5 6.24%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6.24%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D Notes and available to be drawn on such date under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6"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D Required Liquidity Amount divided by “Required Liquidity Amount” for each applicable Series for which such Multi-Series Letter of Credit is providing credit enhancement.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2022-5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2022-5 Controlled Amortization Period, the Class D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Multi-Series Letter of Credit Termination Date, the Class D Cash Collateral Account Surplus shall mean the excess, if any, of (x) the Class D Available Cash Collateral Account Amount over (y) the Series 2022-5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2022-5 Controlled Amortization Period other than the Related Month immediately preceding the Series 2022-5 Expected Final Distribution Date, $12,566,666.67 and (ii) with respect to the Related Month immediately preceding the Series 2022-5 Expected Final Distribution Date, $12,566,666.65.</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7"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2022-5 Controlled Amortization Period, an amount equal to the sum of the Class D Controlled Amortization Amount and any Class D Carryover Controlled Amortization Amount for such Related Month.</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2022-5 Collection Account (not including amounts allocable to the Series 2022-5 Accrued Interest Account) and the Series 2022-5 Excess Collection Account as of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means the aggregate initial principal amount of the Class D Notes, which is $75,400,000.</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means 9.562% per annum.</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2022-5 Demand Notes on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means, collectively, the Class D Maximum Jaguar Amount, Class D Maximum Tesla Amount, the Class D Maximum Land Rover Amount, the Class</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28"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9"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means, with respect to (i) the initial Series 2022-5 Interest Period for the Class D Notes, an amount equal to $1,061,435 and (ii) any other Series 2022-5 Interest Period, an amount equal to the product of (A) one-twelfth of the Class D Note Rate in effect on the first day of such Series 2022-5 Interest Period and (B) the Class D Invested Amount on the first day of such Series 2022-5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means, with respect to (i) the initial Series 2022-5 Interest Period for the Class D Notes, an amount equal to $1,061,435 and (ii) any other Series 2022-5 Interest Period, an amount equal to the product of (A) one-twelfth of the Class D Initial Note Rate and (B) the Class D Invested Amount on the first day of such Series 2022-5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 xml:space="preserve">means, with respect to any Series 2022-5 Interest Period, an amount equal to the excess, if any, of (x) the Class D Monthly Interest with respect to such Series 2022-5 Interest Period over (x) the Class D Monthly Senior Interest with respect to such Series 2022-5 Interest Period.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2022-5 9.562%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on and after March 19, 2025 and thereafter, (1) if any Class D Noteholder holds Subject Class D Notes in an aggregate principal amount of at least $190,000,000, the Class D Note Rate shall equal the greater of (x) the Class D Note Rate on March 18, 2025 plus 1.00% and (y) the sum of the Interpolated Treasury Rate on March 18, 2025 and 6.50% and (2) if no Class D Noteholder holds 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plus 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plus 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plus 1.00% and (y) the sum of the Interpolated Treasury Rate as of December 14, 2025 and 10.50%.</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30"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2022-5 AESOP I Operating Lease Loan Agreement Borrowing Base as of such date over (y) the Series 2022-5 Invested Amount as of such date.</w: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distribution of the Monthly Total Principal Allocation for the Related Month if such date is a Distribution Date) over (ii) the Series 2022-5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2022-5 AESOP I Operating Lease Loan Agreement Borrowing Base on such date and (2) the lesser of (a) the Class D Liquidity Amount on such date and (b) the Class D Required Liquidity Amount on such date.</w: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76" w:before="0" w:after="12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2022-5 Moody’s Required Enhancement Amount as of such date, (ii) the Series 2022-5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2022-5 AESOP I Operating Lease Vehicle Percentage as of the immediately preceding Business Day of the excess, if any, of the aggregate Net Book Value of all Vehicles manufactured by Isuzu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31"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76"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and leased under the Leases as of such date over the Class D Maximum Isuzu Amount as of such date, (iv) the Series 2022-5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2022-5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2022-5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2022-5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2022-5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2022-5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2022-5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2022-5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2022-5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2022-5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32"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(iv) the Class D Available Reserve Account Amount on such date and (v) the amount of cash and Permitted Investments on deposit in the Series 2022-5 Collection Account (not including amounts allocable to the Series 2022-5 Accrued Interest Account) and the Series 2022-5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2022-5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has the meaning set forth in Section 2.3(g)(v).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2022-5 Controlled Amortization Period other than the Related Month immediately preceding the Series 2022-5 Expected Final Distribution Date, $0 and (ii) with respect to the Related Month immediately preceding the Series 2022-5 Expected Final Distribution Date, $34,600,000.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$34,600,000.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2022-5 Interest Period, an amount equal to $197,939.47, (ii) the initial Series 2022-5 Interest Period following the Class D Notes Closing Date, an amount equal to $69,006 and (iii) any other Series 2022-5 Interest Period, an amount equal to the product of (A) one-twelfth of the Class R Note Rate and (B) the Class R Invested Amount on the first day of such Series 2022-5 Interest Period, after giving effect to any principal payments made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33"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2022-5 11.162%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11.162%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SOFR for the day (such day, a “</w:t>
      </w:r>
      <w:r>
        <w:rPr>
          <w:rFonts w:ascii="Times New Roman;sans-serif" w:hAnsi="Times New Roman;sans-serif"/>
          <w:b w:val="false"/>
          <w:color w:val="000000"/>
          <w:sz w:val="24"/>
          <w:u w:val="single"/>
        </w:rPr>
        <w:t>SOFR Determination Date</w:t>
      </w:r>
      <w:r>
        <w:rPr>
          <w:color w:val="000000"/>
        </w:rPr>
        <w:t>”</w:t>
      </w:r>
      <w:r>
        <w:rPr>
          <w:rFonts w:ascii="Times New Roman;sans-serif" w:hAnsi="Times New Roman;sans-serif"/>
          <w:b w:val="false"/>
          <w:color w:val="000000"/>
          <w:sz w:val="24"/>
        </w:rPr>
        <w:t>)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2022-5 Demand Note.</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34"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Ratings, Inc.</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A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B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R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 xml:space="preserve">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Lease Deficit Demand.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2022-5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2022-5 Note of the excess, if any, of (x) the sum of the Discounted Values for each Remaining Distribution Amount with respect to each Applicable Distribution Date over (y) the Series 2022-5 Invested Amount as of such Optional Repurchase Distribution Date (determined after giving effect to any payments made pursuant to Section 2.5(a)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 xml:space="preserve">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35"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under the AESOP I Operating Lease and the Finance Lease as of the preceding Determination Date and the two Determination Dates precedent thereto.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2022-5 Principal Allocations with respect to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2022-5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36"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2022-5 Eligible Letter of Credit Provider in favor of the Trustee for the benefit, in whole or in part, of the Series 2022-5 Noteholders (provided that a Multi-Series Letter of Credit may also benefit Noteholders of certain other Series).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Expiration Date</w:t>
      </w:r>
      <w:r>
        <w:rPr>
          <w:color w:val="000000"/>
        </w:rPr>
        <w:t xml:space="preserve">” </w:t>
      </w:r>
      <w:r>
        <w:rPr>
          <w:rFonts w:ascii="Times New Roman;sans-serif" w:hAnsi="Times New Roman;sans-serif"/>
          <w:b w:val="false"/>
          <w:color w:val="000000"/>
          <w:sz w:val="24"/>
        </w:rPr>
        <w:t>means, with respect to any Multi-Series Letter of Credit, the expiration date set forth in such Multi-Series Letter of Credit, as such date may be extended in accordance with the terms of such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Provider</w:t>
      </w:r>
      <w:r>
        <w:rPr>
          <w:color w:val="000000"/>
        </w:rPr>
        <w:t xml:space="preserve">” </w:t>
      </w:r>
      <w:r>
        <w:rPr>
          <w:rFonts w:ascii="Times New Roman;sans-serif" w:hAnsi="Times New Roman;sans-serif"/>
          <w:b w:val="false"/>
          <w:color w:val="000000"/>
          <w:sz w:val="24"/>
        </w:rPr>
        <w:t>means any issuer of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2022-5 Notes are fully paid and (b) the Series 2022-5 Termination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NYFRB’s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37"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Permanent Global Series 2022-5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2022-5 Demand Notes included in the Series 2022-5 Demand Note Payment Amount as of the Multi-Series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2022-5 Demand Note Payment Amount as of the date of the conclusion or dismissal of such proceedings.</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November 2025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November 2025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November 2025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November 2025 Distribution Date, the Class R Controlled Amortization Amount with respect to the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38"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Month preceding the first such 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Required Controlling Class Series 2022-5 Noteholders</w:t>
      </w:r>
      <w:r>
        <w:rPr>
          <w:color w:val="000000"/>
        </w:rPr>
        <w:t xml:space="preserve">” </w:t>
      </w:r>
      <w:r>
        <w:rPr>
          <w:rFonts w:ascii="Times New Roman;sans-serif" w:hAnsi="Times New Roman;sans-serif"/>
          <w:b w:val="false"/>
          <w:color w:val="000000"/>
          <w:sz w:val="24"/>
        </w:rPr>
        <w:t xml:space="preserve">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2022-5 Notes held by ABCR or any Affiliate of ABCR unless ABCR or such Affiliate is the sole Series 2022-5 Noteholder) and (v) if no Class A Notes, Class B Notes, Class C Notes or Class D Notes are outstanding, Class R Noteholders holding more than 50% Class R Invested Amount (excluding, for the purpose of making any of the foregoing calculations, any Series 2022-5 Notes held by ABCR or any Affiliate of ABCR unless ABCR or such Affiliate is the sole Series 2022-5 Noteholder). </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Requisite Series 2022-5 Noteholders</w:t>
      </w:r>
      <w:r>
        <w:rPr>
          <w:color w:val="000000"/>
        </w:rPr>
        <w:t xml:space="preserve">” </w:t>
      </w:r>
      <w:r>
        <w:rPr>
          <w:rFonts w:ascii="Times New Roman;sans-serif" w:hAnsi="Times New Roman;sans-serif"/>
          <w:b w:val="false"/>
          <w:color w:val="000000"/>
          <w:sz w:val="24"/>
        </w:rPr>
        <w:t>means Series 2022-5 Noteholders holding, in the aggregate, more than 50% of the Series 2022-5 Invested Amount (excluding, for the purpose of making the foregoing calculation (x) for all purposes, any Series 2022-5 Notes held by ABCR or any Affiliate of ABCR unless ABCR is the sole Series 2022-5 Noteholder and (y) for so long as any Class A Notes, the Class B Notes, or the Class C Notes are outstanding, any Class D Notes).</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being published but such Vehicle is not included therein, the Market Value of such Vehicle shall </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39"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means the Series of Notes designated as the Series 2010-6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means the Series of Notes designated as the Series 2011-4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means the Series of Notes designated as the Series 2015-3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means the Series of Notes designated as the Series 2019-2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means the Series of Notes designated as the Series 2019-3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means the Series of Notes designated as the Series 2020-1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means the Series of Notes designated as the Series 2020-2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means the Series of Notes designated as the Series 2021-1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means the Series of Notes designated as the Series 2021-2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means the Series of Notes designated as the Series 2022-1 Notes.</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40"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means the Series of Notes designated as the Series 2022-3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means the Series of Notes designated as the Series 2022-4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Accounts</w:t>
      </w:r>
      <w:r>
        <w:rPr>
          <w:color w:val="000000"/>
        </w:rPr>
        <w:t xml:space="preserve">” </w:t>
      </w:r>
      <w:r>
        <w:rPr>
          <w:rFonts w:ascii="Times New Roman;sans-serif" w:hAnsi="Times New Roman;sans-serif"/>
          <w:b w:val="false"/>
          <w:color w:val="000000"/>
          <w:sz w:val="24"/>
        </w:rPr>
        <w:t>means each of the Series 2022-5 Distribution Account, the Class A/B/C Reserve Account, the Class D Reserve Account, the Series 2022-5 Collection Account, the Series 2022-5 Excess Collection Account and the Series 2022-5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2022-5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2022-5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2022-5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2022-5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2022-5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2022-5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2022-5 Invested Percentage (calculated with respect to Principal Collections)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Collateral</w:t>
      </w:r>
      <w:r>
        <w:rPr>
          <w:color w:val="000000"/>
        </w:rPr>
        <w:t xml:space="preserve">” </w:t>
      </w:r>
      <w:r>
        <w:rPr>
          <w:rFonts w:ascii="Times New Roman;sans-serif" w:hAnsi="Times New Roman;sans-serif"/>
          <w:b w:val="false"/>
          <w:color w:val="000000"/>
          <w:sz w:val="24"/>
        </w:rPr>
        <w:t>means the Collateral, the Multi-Series Letters of Credit, each Series 2022-5 Demand Note, the Series 2022-5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Controlled Amortization Period</w:t>
      </w:r>
      <w:r>
        <w:rPr>
          <w:color w:val="000000"/>
        </w:rPr>
        <w:t xml:space="preserve">” </w:t>
      </w:r>
      <w:r>
        <w:rPr>
          <w:rFonts w:ascii="Times New Roman;sans-serif" w:hAnsi="Times New Roman;sans-serif"/>
          <w:b w:val="false"/>
          <w:color w:val="000000"/>
          <w:sz w:val="24"/>
        </w:rPr>
        <w:t>means the period commencing upon the close of business on September 30, 2025 (or, if such day is not a Business Day, the Business Day immediately preceding such day) and continuing to the earliest of (i) the commencement of the Series 2022-5 Rapid Amortization Period, (ii) the date on which the Series 2022-5 Notes are fully paid and (iii) the termination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41"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Demand Note Payment Amount</w:t>
      </w:r>
      <w:r>
        <w:rPr>
          <w:color w:val="000000"/>
        </w:rPr>
        <w:t xml:space="preserve">” </w:t>
      </w:r>
      <w:r>
        <w:rPr>
          <w:rFonts w:ascii="Times New Roman;sans-serif" w:hAnsi="Times New Roman;sans-serif"/>
          <w:b w:val="false"/>
          <w:color w:val="000000"/>
          <w:sz w:val="24"/>
        </w:rPr>
        <w:t xml:space="preserve">means, as of the Multi-Series Letter of Credit Termination Date, the aggregate amount of all proceeds of demands made on the Series 2022-5 Demand Notes pursuant to Section 2.(c)(i), (d)(i) or (e)(i) that were deposited into the Series 2022-5 Distribution Account and paid to the Series 2022-5 Noteholders during the one year period ending on the Multi-Series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2022-5 Demand Note Payment Amount as of the Multi-Series Letter of Credit Termination Date shall equal the Series 2022-5 Demand Note Payment Amount as if it were calculated as of the date of such occurrence.</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lineRule="auto" w:line="264" w:before="0" w:after="160"/>
        <w:ind w:left="0" w:right="0" w:firstLine="1440"/>
        <w:jc w:val="both"/>
        <w:rPr/>
      </w:pPr>
      <w:r>
        <w:rPr>
          <w:color w:val="000000"/>
        </w:rPr>
        <w:t>“</w:t>
      </w:r>
      <w:r>
        <w:rPr>
          <w:rFonts w:ascii="Times New Roman;sans-serif" w:hAnsi="Times New Roman;sans-serif"/>
          <w:b w:val="false"/>
          <w:color w:val="000000"/>
          <w:sz w:val="24"/>
          <w:u w:val="single"/>
        </w:rPr>
        <w:t>Series 2022-5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Multi-Series Letter of Credit Provider (or a letter of credit provider under the Series Supplement for any other Series of Notes), then such Person shall not be a Series 2022-5 Eligible Letter of Credit Provider until ABRCF has provided ten (10) days’ prior notice to the Rating Agencies that such Person has been proposed as a Multi-Series Letter of Credit Provider.</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Multi-Series Letters of Credit, the Series 2022-5 Demand Notes, the Class D Overcollateralization Amount and the Class A/B/C Required Reserve Account Amount.</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160"/>
        <w:ind w:left="0" w:right="0" w:firstLine="1440"/>
        <w:jc w:val="both"/>
        <w:rPr/>
      </w:pPr>
      <w:r>
        <w:rPr>
          <w:color w:val="000000"/>
        </w:rPr>
        <w:t>“</w:t>
      </w:r>
      <w:r>
        <w:rPr>
          <w:rFonts w:ascii="Times New Roman;sans-serif" w:hAnsi="Times New Roman;sans-serif"/>
          <w:b w:val="false"/>
          <w:color w:val="000000"/>
          <w:sz w:val="24"/>
          <w:u w:val="single"/>
        </w:rPr>
        <w:t>Series 2022-5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Excess Tesla Percentage</w:t>
      </w:r>
      <w:r>
        <w:rPr>
          <w:color w:val="000000"/>
        </w:rPr>
        <w:t xml:space="preserve">” </w:t>
      </w:r>
      <w:r>
        <w:rPr>
          <w:rFonts w:ascii="Times New Roman;sans-serif" w:hAnsi="Times New Roman;sans-serif"/>
          <w:b w:val="false"/>
          <w:color w:val="000000"/>
          <w:sz w:val="24"/>
        </w:rPr>
        <w:t>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42"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Expected Final Distribution Date</w:t>
      </w:r>
      <w:r>
        <w:rPr>
          <w:color w:val="000000"/>
        </w:rPr>
        <w:t xml:space="preserve">” </w:t>
      </w:r>
      <w:r>
        <w:rPr>
          <w:rFonts w:ascii="Times New Roman;sans-serif" w:hAnsi="Times New Roman;sans-serif"/>
          <w:b w:val="false"/>
          <w:color w:val="000000"/>
          <w:sz w:val="24"/>
        </w:rPr>
        <w:t>means the April 2026 Distribution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Final Distribution Date</w:t>
      </w:r>
      <w:r>
        <w:rPr>
          <w:color w:val="000000"/>
        </w:rPr>
        <w:t xml:space="preserve">” </w:t>
      </w:r>
      <w:r>
        <w:rPr>
          <w:rFonts w:ascii="Times New Roman;sans-serif" w:hAnsi="Times New Roman;sans-serif"/>
          <w:b w:val="false"/>
          <w:color w:val="000000"/>
          <w:sz w:val="24"/>
        </w:rPr>
        <w:t>means the April 2027 Distribution Date.</w:t>
      </w:r>
    </w:p>
    <w:p>
      <w:pPr>
        <w:pStyle w:val="TextBody"/>
        <w:bidi w:val="0"/>
        <w:spacing w:lineRule="auto" w:line="264" w:before="0" w:after="100"/>
        <w:ind w:left="0" w:right="0" w:firstLine="1440"/>
        <w:jc w:val="both"/>
        <w:rPr/>
      </w:pPr>
      <w:r>
        <w:rPr>
          <w:color w:val="000000"/>
        </w:rPr>
        <w:t>“</w:t>
      </w:r>
      <w:r>
        <w:rPr>
          <w:rFonts w:ascii="Times New Roman;sans-serif" w:hAnsi="Times New Roman;sans-serif"/>
          <w:b w:val="false"/>
          <w:color w:val="000000"/>
          <w:sz w:val="24"/>
          <w:u w:val="single"/>
        </w:rPr>
        <w:t>Series 2022-5 Interest Period</w:t>
      </w:r>
      <w:r>
        <w:rPr>
          <w:color w:val="000000"/>
        </w:rPr>
        <w:t xml:space="preserve">” </w:t>
      </w:r>
      <w:r>
        <w:rPr>
          <w:rFonts w:ascii="Times New Roman;sans-serif" w:hAnsi="Times New Roman;sans-serif"/>
          <w:b w:val="false"/>
          <w:color w:val="000000"/>
          <w:sz w:val="24"/>
        </w:rPr>
        <w:t xml:space="preserve">means a period commencing on and including a Distribution Date and ending on and including the day preceding the next succeeding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2022-5 Interest Period with respect to the Class A Notes, the Class B Notes and the Class C Notes commenced on and included the Class A/B/C Notes Closing Date and ended on and included December 19, 2022 and (y) the initial Series 2022-5 Interest Period with respect to the Class D Notes shall commence on and include the Class D Closing Date and shall end on and include February 19, 2025.</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2022-5 Invested Amount and the Class D Overcollateralization Amount, determined during the Series 2022-5 Revolving Period as of the end of the Related Month (or, until the end of the Related Month during which the Class D Notes Closing Date occurs, on the Class D Notes Closing Date), or, during the Series 2022-5 Controlled Amortization Period and the Series 2022-5 Rapid Amortization Period, as of the end of the Series 2022-5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when used with respect to Interest Collections, the percentage equivalent (which percentage shall never exceed 100%) of a fraction, the numerator of which shall be the Accrued Amounts with respect to the Series 2022-5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2022-5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2022-5 Accrued Interest Account if all payments of Monthly Base Rent required to have been made under the Leases from and excluding the preceding Distribution Date to and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43"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such Distribution Date were made in full over (b) the aggregate amount of Interest Collections which pursuant to Section 2.2(a), (b), (c) or (d) have been allocated to the Series 2022-5 Accrued Interest Account (excluding any amounts paid into the Series 2022-5 Accrued Interest Account pursuant to the proviso in Sections 2.2(c)(ii) and/or 2.2(d)(ii)) from and excluding the preceding Distribution Date to and including the Business Day immediately preceding such Distribution Date over (2) the Class R Monthly Interest with respect to the Series 2022-5 Interest Period ended on the day preceding such Distribution Date. </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Lease Payment Deficit</w:t>
      </w:r>
      <w:r>
        <w:rPr>
          <w:color w:val="000000"/>
        </w:rPr>
        <w:t xml:space="preserve">” </w:t>
      </w:r>
      <w:r>
        <w:rPr>
          <w:rFonts w:ascii="Times New Roman;sans-serif" w:hAnsi="Times New Roman;sans-serif"/>
          <w:b w:val="false"/>
          <w:color w:val="000000"/>
          <w:sz w:val="24"/>
        </w:rPr>
        <w:t>means either a Series 2022-5 Lease Interest Payment Deficit or a Series 2022-5 Lease Principal Payment Deficit.</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2022-5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2022-5 Lease Principal Payment Deficit.</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Lease Principal Payment Deficit</w:t>
      </w:r>
      <w:r>
        <w:rPr>
          <w:color w:val="000000"/>
        </w:rPr>
        <w:t xml:space="preserve">” </w:t>
      </w:r>
      <w:r>
        <w:rPr>
          <w:rFonts w:ascii="Times New Roman;sans-serif" w:hAnsi="Times New Roman;sans-serif"/>
          <w:b w:val="false"/>
          <w:color w:val="000000"/>
          <w:sz w:val="24"/>
        </w:rPr>
        <w:t>means on any Distribution Date, the sum of (a) the Series 2022-5 Monthly Lease Principal Payment Deficit for such Distribution Date and (b) the Series 2022-5 Lease Principal Payment Carryover Deficit for such Distribution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2022-5 Limited Liquidation Event of Default if the Trustee shall have received the written consent of the Requisite Series 2022-5 Noteholders waiving the occurrence of such Series 2022-5 Limited Liquidation Event of Default. The Trustee shall promptly (but in any event within two (2) days) provide the Rating Agencies with written notice of such waiver.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2022-5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2022-5 Collection Account (without giving effect to any amounts paid into the Series 2022-5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Moody’s Highest Enhanced Vehicle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(other than “medium duty” and “heavy duty” trucks) </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44"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14.50% (with respect to calculating the Class D Required Enhancement Amount) or 28.25% (with respect to calculating the Class A/B/C Required Enhancement Amount), (b) the greater of (x) the highest, for any calendar month within the preceding 12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Measurement Month Average for the immediately preceding Measurement Month and (y)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a percentage equal to the product of (x) the Series 2022-5 Excess Tesla Percentage and (y) 10%.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sum of (a) the Series 2022-5 Moody’s Lowest Enhanced Vehicle Percentage, (b) the Series 2022-5 Moody’s Highest Enhanced Vehicle Percentage and (c) the Series 2022-5 Moody’s Trucks Percentage.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2022-5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16.15%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Moody’s Lowest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45"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12.65% (with respect to calculating the Class A/B/C Required Enhancement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Moody’s Required Enhancement Amount</w:t>
      </w:r>
      <w:r>
        <w:rPr>
          <w:color w:val="000000"/>
        </w:rPr>
        <w:t xml:space="preserve">” </w:t>
      </w:r>
      <w:r>
        <w:rPr>
          <w:rFonts w:ascii="Times New Roman;sans-serif" w:hAnsi="Times New Roman;sans-serif"/>
          <w:b w:val="false"/>
          <w:color w:val="000000"/>
          <w:sz w:val="24"/>
        </w:rPr>
        <w:t xml:space="preserve">means, as of any date of determination, the product of (i) the applicable Series 2022-5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2022-5 Senior Invested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Series 2022-5 Allocated Cash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Moody’s Required Enhancement Percentage</w:t>
      </w:r>
      <w:r>
        <w:rPr>
          <w:color w:val="000000"/>
        </w:rPr>
        <w:t xml:space="preserve">” </w:t>
      </w:r>
      <w:r>
        <w:rPr>
          <w:rFonts w:ascii="Times New Roman;sans-serif" w:hAnsi="Times New Roman;sans-serif"/>
          <w:b w:val="false"/>
          <w:color w:val="000000"/>
          <w:sz w:val="24"/>
        </w:rPr>
        <w:t>means, as of any date of determination, the sum of (i) the product of (A) the Series 2022-5 Moody’s Lowest Enhancement Rate as of such date and (B) the Series 2022-5 Moody’s Lowest Enhanced Vehicle Percentage as of such date, (ii) the product of (A) the Series 2022-5 Moody’s Intermediate Enhancement Rate as of such date and (B) the Series 2022-5 Moody’s Intermediate Enhanced Vehicle Percentage as of such date, (iii) the product of (A) the Series 2022-5 Moody’s Highest Enhancement Rate as of such date and (B) the Series 2022-5 Moody’s Highest Enhanced Vehicle Percentage as of such date and (iv) the product of (A) the Series 2022-5 Moody’s Trucks Enhancement Rate as of such date and (B) the Series 2022-5 Moody’s Trucks Percentage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Note Owner</w:t>
      </w:r>
      <w:r>
        <w:rPr>
          <w:color w:val="000000"/>
        </w:rPr>
        <w:t xml:space="preserve">” </w:t>
      </w:r>
      <w:r>
        <w:rPr>
          <w:rFonts w:ascii="Times New Roman;sans-serif" w:hAnsi="Times New Roman;sans-serif"/>
          <w:b w:val="false"/>
          <w:color w:val="000000"/>
          <w:sz w:val="24"/>
        </w:rPr>
        <w:t xml:space="preserve">means each beneficial owner of a Series 2022-5 Note. </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2022-5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2022-5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46"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2022-5 Notes and ending upon the earliest to occur of (i) the date on which the Series 2022-5 Notes are fully paid, (ii) the Series 2022-5 Final Distribution Date and (iii) the termination of the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2022-5 Controlled Amortization Period and (ii) the commencement of the Series 2022-5 Rapid Amortization Period.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2022-5 Interest Period ended on the day preceding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2022-5 Termination Date</w:t>
      </w:r>
      <w:r>
        <w:rPr>
          <w:color w:val="000000"/>
        </w:rPr>
        <w:t xml:space="preserve">” </w:t>
      </w:r>
      <w:r>
        <w:rPr>
          <w:rFonts w:ascii="Times New Roman;sans-serif" w:hAnsi="Times New Roman;sans-serif"/>
          <w:b w:val="false"/>
          <w:color w:val="000000"/>
          <w:sz w:val="24"/>
        </w:rPr>
        <w:t>means the April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Trustee’s Fees</w:t>
      </w:r>
      <w:r>
        <w:rPr>
          <w:color w:val="000000"/>
        </w:rPr>
        <w:t xml:space="preserve">” </w:t>
      </w:r>
      <w:r>
        <w:rPr>
          <w:rFonts w:ascii="Times New Roman;sans-serif" w:hAnsi="Times New Roman;sans-serif"/>
          <w:b w:val="false"/>
          <w:color w:val="000000"/>
          <w:sz w:val="24"/>
        </w:rPr>
        <w:t xml:space="preserve">means, for any Distribution Date during the Series 2022-5 Rapid Amortization Period on which there exists a Series 2022-5 Lease Interest Payment Deficit, a portion of the fees payable to the Trustee in an amount equal to the product of (i) the Series 2022-5 Percentage as of the beginning of the Series 2022-5 Interest Period ending on the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47"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2022-5 Trustee’s Fees in the aggregate for all Distribution Dates shall not exceed 1.1% of the Series 2022-5 Required AESOP I Operating Lease Vehicle Amount as of the last day of the Series 2022-5 Revolving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means the Series of Notes designated as the Series 2023-1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means the Series of Notes designated as the Series 2023-2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means the Series of Notes designated as the Series 2023-3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means the Series of Notes designated as the Series 2023-4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means the Series of Notes designated as the Series 2023-5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means the Series of Notes designated as the Series 2023-6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means the Series of Notes designated as the Series 2023-7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means the Series of Notes designated as the Series 2023-8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means the Series of Notes designated as the Series 2024-1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means the Series of Notes designated as the Series 2024-2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means the Series of Notes designated as the Series 2024-3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means a rate per annum equal to the secured overnight financing rate as administered by the SOFR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 xml:space="preserve">means the NYFRB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NYFRB’s Website, or any successor source for the secured overnight financing rate identified as such by the SOFR Administrator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48"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60"/>
        <w:ind w:left="0" w:right="0" w:firstLine="1440"/>
        <w:jc w:val="both"/>
        <w:rPr/>
      </w:pPr>
      <w:r>
        <w:rPr>
          <w:color w:val="000000"/>
        </w:rPr>
        <w:t>“</w:t>
      </w:r>
      <w:r>
        <w:rPr>
          <w:rFonts w:ascii="Times New Roman;sans-serif" w:hAnsi="Times New Roman;sans-serif"/>
          <w:b w:val="false"/>
          <w:color w:val="000000"/>
          <w:sz w:val="24"/>
          <w:u w:val="single"/>
        </w:rPr>
        <w:t>Springing Amendment Condition (Non-Perfected Lien)</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remove the limitations in the Related Documents related to Vehicles titled in Ohio, Oklahoma and Nebraska (the liens on which may not perfected) and replace such references with limitations that would allow a limited amount of Vehicles titled anywhere in the United States to be subject to liens that are not perfected.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Springing Amendment Condition (Trucks)</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allow for “medium duty” and “heavy duty” trucks to be considered an “Eligible Vehicle” under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means (x) the Class D Notes and (y) the Classes of Notes designated as the Series 2020-2 Notes, Class D, the Series 2023-2 Notes, Class D, the Series 2023-3 Notes, Class D, the Series 2023-5 Notes, Class D, and the Series 2024-2 Notes, Class 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2022-5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Unpaid Demand Note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(i) a Saturday, (ii) a Sunday or (iii) a day on which the Securities Industry and Financial Markets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9"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Association recommends that the fixed income departments of its members be closed for the entire day for purposes of trading in United States government securities.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means the federal interagency credit risk retention rules, codified at 17 C.F.R. Part 246.</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2022-5 Invested Amount (or any component thereof) on any date shall, unless otherwise stated, be calculated after giving effect to any payment of principal made to the applicable Series 2022-5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2022-5 ALLOCATIONS</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2022-5 Notes, the following shall apply:</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2022-5 Collection Account, Series 2022-5 Excess Collection Account and Series 2022-5 Accrued Interest Account</w:t>
      </w:r>
      <w:r>
        <w:rPr>
          <w:rFonts w:ascii="Times New Roman;sans-serif" w:hAnsi="Times New Roman;sans-serif"/>
          <w:b w:val="false"/>
          <w:color w:val="000000"/>
          <w:sz w:val="24"/>
        </w:rPr>
        <w:t>. (a) All Collections allocable to the Series 2022-5 Notes shall be allocated to the Collection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2022-5 Noteholders: the Series 2022-5 Collection Account (such sub-account, the “</w:t>
      </w:r>
      <w:r>
        <w:rPr>
          <w:rFonts w:ascii="Times New Roman;sans-serif" w:hAnsi="Times New Roman;sans-serif"/>
          <w:b w:val="false"/>
          <w:color w:val="000000"/>
          <w:sz w:val="24"/>
          <w:u w:val="single"/>
        </w:rPr>
        <w:t>Series 2022-5 Collection Account</w:t>
      </w:r>
      <w:r>
        <w:rPr>
          <w:color w:val="000000"/>
        </w:rPr>
        <w:t>”</w:t>
      </w:r>
      <w:r>
        <w:rPr>
          <w:rFonts w:ascii="Times New Roman;sans-serif" w:hAnsi="Times New Roman;sans-serif"/>
          <w:b w:val="false"/>
          <w:color w:val="000000"/>
          <w:sz w:val="24"/>
        </w:rPr>
        <w:t>), the Series 2022-5 Excess Collection Account (such sub-account, the “</w:t>
      </w:r>
      <w:r>
        <w:rPr>
          <w:rFonts w:ascii="Times New Roman;sans-serif" w:hAnsi="Times New Roman;sans-serif"/>
          <w:b w:val="false"/>
          <w:color w:val="000000"/>
          <w:sz w:val="24"/>
          <w:u w:val="single"/>
        </w:rPr>
        <w:t>Series 2022-5 Excess Collection Account</w:t>
      </w:r>
      <w:r>
        <w:rPr>
          <w:color w:val="000000"/>
        </w:rPr>
        <w:t>”</w:t>
      </w:r>
      <w:r>
        <w:rPr>
          <w:rFonts w:ascii="Times New Roman;sans-serif" w:hAnsi="Times New Roman;sans-serif"/>
          <w:b w:val="false"/>
          <w:color w:val="000000"/>
          <w:sz w:val="24"/>
        </w:rPr>
        <w:t>) and the Series 2022-5 Accrued Interest Account (such sub-account, the “</w:t>
      </w:r>
      <w:r>
        <w:rPr>
          <w:rFonts w:ascii="Times New Roman;sans-serif" w:hAnsi="Times New Roman;sans-serif"/>
          <w:b w:val="false"/>
          <w:color w:val="000000"/>
          <w:sz w:val="24"/>
          <w:u w:val="single"/>
        </w:rPr>
        <w:t>Series 2022-5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2022-5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2022-5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2022-5 Revolving Period</w:t>
      </w:r>
      <w:r>
        <w:rPr>
          <w:rFonts w:ascii="Times New Roman;sans-serif" w:hAnsi="Times New Roman;sans-serif"/>
          <w:b w:val="false"/>
          <w:color w:val="000000"/>
          <w:sz w:val="24"/>
        </w:rPr>
        <w:t xml:space="preserve">. During the Series 2022-5 Revolving Period, the Administrator will direct the Trustee in writing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0"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pursuant to the Administration Agreement to allocate, prior to 11:00 a.m. (New York City time) on each Series 2022-5 Deposit Date, all amounts deposited into the Collection Account as set forth below:</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2022-5 Collection Account an amount equal to the Series 2022-5 Invested Percentage (as of such day) of the aggregate amount of Interest Collections on such day. All such amounts allocated to the Series 2022-5 Collection Account shall be further allocated to the Series 2022-5 Accrued Interest Account; and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    allocate to the Series 2022-5 Excess Collection Account an amount equal to the Series 2022-5 Invested Percentage (as of such day) of the aggregate amount of Principal Collections on such day (for any such day, the “</w:t>
      </w:r>
      <w:r>
        <w:rPr>
          <w:rFonts w:ascii="Times New Roman;sans-serif" w:hAnsi="Times New Roman;sans-serif"/>
          <w:b w:val="false"/>
          <w:color w:val="000000"/>
          <w:sz w:val="24"/>
          <w:u w:val="single"/>
        </w:rPr>
        <w:t>Series 2022-5 Principal Allocation</w:t>
      </w:r>
      <w:r>
        <w:rPr>
          <w:color w:val="000000"/>
        </w:rPr>
        <w:t>”</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2022-5 Controlled Amortization Period</w:t>
      </w:r>
      <w:r>
        <w:rPr>
          <w:rFonts w:ascii="Times New Roman;sans-serif" w:hAnsi="Times New Roman;sans-serif"/>
          <w:b w:val="false"/>
          <w:color w:val="000000"/>
          <w:sz w:val="24"/>
        </w:rPr>
        <w:t>. With respect to the Series 2022-5 Controlled Amortization Period, the Administrator will direct the Trustee in writing pursuant to the Administration Agreement to allocate, prior to 11:00 a.m. (New York City time) on any Series 2022-5 Deposit Date, all amounts deposited into the Collection Account as set forth below:</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2022-5 Collection Account an amount determined as set forth in Section 2.2(a)(i) above for such day, which amount shall be further allocated to the Series 2022-5 Accrued Interest Account; and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    allocate to the Series 2022-5 Collection Account an amount equal to the Series 2022-5 Principal Allocation for such day, which amount shall be used to make principal payments in respect of the Series 2022-5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2022-5 Excess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2022-5 Rapid Amortization Period</w:t>
      </w:r>
      <w:r>
        <w:rPr>
          <w:rFonts w:ascii="Times New Roman;sans-serif" w:hAnsi="Times New Roman;sans-serif"/>
          <w:b w:val="false"/>
          <w:color w:val="000000"/>
          <w:sz w:val="24"/>
        </w:rPr>
        <w:t>. With respect to the Series 2022-5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2022-5 Deposit Date, all amounts deposited into the Collection Account as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1"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2022-5 Collection Account an amount determined as set forth in Section 2.2(a)(i) above for such day, which amount shall be further allocated to the Series 2022-5 Accrued Interest Account; and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    allocate to the Series 2022-5 Collection Account an amount equal to the Series 2022-5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2022-5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2022-5 Notes during the Related Month equal to the lesser of such insufficiency and the Class A/B/C Enhancement Amount to the Series 2022-5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2022-5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2022-5 Notes during the Related Month equal to the lesser of such insufficiency and the Class D Enhancement Amount to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2"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the Series 2022-5 Accrued Interest Account to be treated as Interest Collections on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2022-5 Deposit Date, all amounts attributable to the AESOP I Operating Lease Loan Agreement deposited into the Collection Account as set forth below:</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2022-5 Collection Account an amount equal to the Series 2022-5 AESOP I Operating Lease Vehicle Percentage as of the date of the occurrence of such Event of Bankruptcy of the aggregate amount of Interest Collections made under the AESOP I Operating Lease Loan Agreement for such day. All such amounts allocated to the Series 2022-5 Collection Account shall be further allocated to the Series 2022-5 Accrued Interest Account; and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    allocate to the Series 2022-5 Collection Account an amount equal to the Series 2022-5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2022-5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2022-5 Notes during the Related Month equal to the lesser of such insufficiency and the Class A/B/C Enhancement Amount to the Series 2022-5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53"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2022-5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2022-5 Notes during the Related Month equal to the lesser of such insufficiency and the Class D Enhancement Amount to the Series 2022-5 Accrued Interest Account to be treated as Interest Collections on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2022-5 Excess Collection Account</w:t>
      </w:r>
      <w:r>
        <w:rPr>
          <w:rFonts w:ascii="Times New Roman;sans-serif" w:hAnsi="Times New Roman;sans-serif"/>
          <w:b w:val="false"/>
          <w:color w:val="000000"/>
          <w:sz w:val="24"/>
        </w:rPr>
        <w:t xml:space="preserve">. Amounts allocated to the Series 2022-5 Excess Collection Account on any Series 2022-5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2022-5 Enhancement Deficiency or AESOP I Operating Lease Vehicle Deficiency would result therefrom or exist immediately thereafter. Upon the occurrence of an Amortization Event and once a Trust Officer has actual knowledge of the Amortization Event, funds on deposit in the Series 2022-5 Excess Collection Account will be withdrawn by the Trustee, deposited in the Series 2022-5 Collection Account and allocated as Principal Collections to reduce the Series 2022-5 Invested Amount on the immediately succeeding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2022-5 Notes (i) during the Series 2022-5 Revolving Period shall be allocated to the Series 2022-5 Excess Collection Account and applied in accordance with Section 2.2(e) and (ii) during the Series 2022-5 Controlled Amortization Period or the Series 2022-5 Rapid Amortization Period shall be allocated to the Series 2022-5 Collection Account and applied in accordance with Section 2.2(b) or 2.2(c), as applicable, to make principal payments in respect of the Series 2022-5 Notes.</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54"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Notwithstanding the foregoing, if in the case of Section 2.2(a) or (b), after the occurrence of a Series 2022-5 Lease Payment Deficit, the Lessees shall make payments of Monthly Base Rent or other amounts payable by the Lessees under the Leases on or prior to the fifth Business Day after the occurrence of such Series 2022-5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2022-5 Collection Account an amount equal to the Series 2022-5 Invested Percentage as of the date of the occurrence of such Series 2022-5 Lease Payment Deficit of the Collections attributable to such Past Due Rent Payment (the “</w:t>
      </w:r>
      <w:r>
        <w:rPr>
          <w:rFonts w:ascii="Times New Roman;sans-serif" w:hAnsi="Times New Roman;sans-serif"/>
          <w:b w:val="false"/>
          <w:color w:val="000000"/>
          <w:sz w:val="24"/>
          <w:u w:val="single"/>
        </w:rPr>
        <w:t>Series 2022-5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2022-5 Collection Account and apply the Series 2022-5 Past Due Rent Payment in the following order:</w:t>
      </w:r>
    </w:p>
    <w:p>
      <w:pPr>
        <w:pStyle w:val="TextBody"/>
        <w:bidi w:val="0"/>
        <w:spacing w:before="0" w:after="120"/>
        <w:ind w:left="0" w:right="0" w:firstLine="1440"/>
        <w:jc w:val="both"/>
        <w:rPr/>
      </w:pPr>
      <w:r>
        <w:rPr/>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the occurrence of such Series 2022-5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2022-5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2022-5 Past Due Rent Payment;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the occurrence of such Series 2022-5 Lease Payment Deficit resulted in a withdrawal being made from the Class A/B/C Cash Collateral Account, deposit in the Class A/B/C Cash Collateral Account an amount equal to the lesser of (x) the amount of the Series 2022-5 Past Due Rent Payment remaining after any payment pursuant to clause (i) above and (y) the amount withdrawn from the Class A/B/C Cash Collateral Account on account of such Series 2022-5 Lease Payment Deficit;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the occurrence of such Series 2022-5 Lease Payment Deficit resulted in a withdrawal being made from the Class A/B/C Reserve Account pursuant to Section 2.3(d), deposit in the Class A/B/C Reserve Account an amount equal to the lesser of (x) the amount of the Series 2022-5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the occurrence of such Series 2022-5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2022-5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2022-5 Past Due Rent Payment remaining after any payment pursuant to clauses (i) through (iii) above;</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55"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if the occurrence of such Series 2022-5 Lease Payment Deficit resulted in a withdrawal being made from the Class D Cash Collateral Account, deposit in the Class D Cash Collateral Account an amount equal to the lesser of (x) the amount of the Series 2022-5 Past Due Rent Payment remaining after any payment pursuant to clause (i) through (iv) above and (y) the amount withdrawn from the Class D Cash Collateral Account on account of such Series 2022-5 Lease Payment Deficit;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if the occurrence of such Series 2022-5 Lease Payment Deficit resulted in a withdrawal being made from the Class D Reserve Account pursuant to Section 2.3(d), deposit in the Class D Reserve Account an amount equal to the lesser of (x) the amount of the Series 2022-5 Past Due Rent Payment remaining after any payments pursuant to clauses (i) through (v) above and (y) the excess, if any, of the Class D Required Reserve Account Amount over the Class D Available Reserve Account Amount on such day;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allocate to the Series 2022-5 Accrued Interest Account the amount, if any, by which the Series 2022-5 Lease Interest Payment Deficit, if any, relating to such Series 2022-5 Lease Payment Deficit exceeds the amount of the Series 2022-5 Past Due Rent Payment applied pursuant to clauses (i) (vi) above; and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treat the remaining amount of the Series 2022-5 Past Due Rent Payment as Principal Collections allocated to the Series 2022-5 Notes in accordance with Section 2.2(a)(ii) or 2.2(b)(ii), as the case may be.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2022-5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2022-5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2022-5 Accrued Interest Account to the extent funds are anticipated to be available from Interest Collections allocable to the Series 2022-5 Notes processed from but not including the preceding Distribution Date through the succeeding Distribution Date in respect of (i) an amount equal to the Class A Monthly Interest for the Series 2022-5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2022-5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2022-5 Interest Period ending on the day preceding the related Distribution Date, (vi) an amount equal to the amount of any unpaid Class C Shortfall as of the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56"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Distribution Date (together with any accrued interest on such Class C Shortfall), (vii) an amount equal to the Class D Monthly Senior Interest for the Series 2022-5 Interest Period ending on the day preceding the related Distribution Date, (viii) an amount equal to the amount of any unpaid Class D Senior Interest Shortfall as of the preceding Distribution Date (together with any accrued interest on such Class D Senior Interest Shortfall), (ix) if either (A) no Series 2022-5 Rapid Amortization Period is continuing as of such Determination Date or (B) no Class A Notes, Class B Notes or Class C Notes are outstanding as of such Determination Date, an amount equal to the Class D Monthly Subordinated Interest for the Series 2022-5 Interest Period ending on the day preceding the related Distribution Date, (x) if either (A) no Series 2022-5 Rapid Amortization Period is continuing as of such Determination Date or (B) no Class A Notes, Class B Notes or Class C Notes are outstanding as of such Determination Date, an amount equal to the amount of any unpaid Class D Subordinated Interest Shortfall as of the preceding Distribution Date (together with any accrued interest on such Class D Subordinated Interest Shortfall), (xi) an amount equal to the Class R Monthly Interest for the Series 2022-5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2022-5 Accrued Interest Account and deposit such amounts in the Series 2022-5 Distribution Account. For the avoidance of doubt, no interest shall accrue or be due and payable with respect to the Class C Notes for so long as ABRCF owns 100% of the Class C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2022-5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Multi-Series Letters of Credit For Series 2022-5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2022-5 Lease Interest Payment Deficit, the Administrator shall: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2022-5 Lease Interest Payment Deficit over the sum of (1) the amounts described in clauses (vii) and (viii) of Section 2.3(a) above and (2) during the Series 2022-5 Rapid Amortization Period, the product of the Class D Percentage and the Series 2022-5 Trustee’s Fees for such Distribution Date, (y) the excess, if any, of (A) the sum of (1) the amounts described in clauses (i) through (vi) of Section 2.3(a) above for such Distribution Date and (2) during the Series 2022-5 Rapid Amortization Period, the product of the Class A/B/C Percentage and the Series 2022-5 Trustee’s Fees for such Distribution Date, over (B) the amounts available from the Series 2022-5 Accrued Interest Account and (z) the Class A/B/C Letter of Credit Liquidity Amount or (II) if no Class A Notes, Class B Notes or Class C Notes remain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57"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the least of (x) such Series 2022-5 Lease Interest Payment Deficit, (y) the excess, if any, of (A) the sum of (1) the amounts described in clauses (i) through (viii) of Section 2.3(a) above for such Distribution Date and (2) during the Series 2022-5 Rapid Amortization Period, the Series 2022-5 Trustee’s Fees for such Distribution Date, over (B) the amounts available from the Series 2022-5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2022-5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2022-5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    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2022-5 Lease Interest Payment Deficit, (y) the excess, if any, of (A) the sum of (1) the amounts described in clauses (vii) through (x) of Section 2.3(a) above for such Distribution Date and (2) during the Series 2022-5 Rapid Amortization Period, the product of the Class D Percentage and the Series 2022-5 Trustee’s Fees for such Distribution Date, over (B) the excess of (1) the sum of (X) the amounts available from the Series 2022-5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2022-5 Rapid Amortization Period, the product of the Class A/B/C Percentage and the Series 2022-5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2022-5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2022-5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2022-5 Reserve Accounts</w:t>
      </w:r>
      <w:r>
        <w:rPr>
          <w:rFonts w:ascii="Times New Roman;sans-serif" w:hAnsi="Times New Roman;sans-serif"/>
          <w:b w:val="false"/>
          <w:color w:val="000000"/>
          <w:sz w:val="24"/>
        </w:rPr>
        <w:t xml:space="preserve">. If the Administrator determines on any Distribution Date that the amounts available from the Series 2022-5 Accrued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58"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to be drawn under the Multi-Series Letters of Credit and/or withdrawn from the Series 2022-5 Cash Collateral Accounts pursuant to Section 2.3(c) are insufficient to pay the sum of (A) the amounts described in clauses (i) through (x) of Section 2.3(a) above on such Distribution Date and (B) during the Series 2022-5 Rapid Amortization Period, the Series 2022-5 Trustee’s Fees for such Distribution Date, the Administrator shall:</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instruct the Trustee in writing to withdraw from the Class A/B/C Reserve Account and deposit in the Series 2022-5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2022-5 Rapid Amortization Period, the product of the Class A/B/C Percentage and the Series 2022-5 Trustee’s Fees for such Distribution Date or (II) if no Class A Notes, Class B Notes or Class C Notes remain outstanding, the sum of (1) the amounts described in clauses (i) through (x) of Section 2.3(a) above with respect to such Distribution Date and (2) during the Series 2022-5 Rapid Amortization Period, the Series 2022-5 Trustee’s Fees for such Distribution Date over (B) the sum of (1) the amounts available from the Series 2022-5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2022-5 Distribution Account; and</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instruct the Trustee in writing to withdraw from the Class D Reserve Account and deposit in the Series 2022-5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2022-5 Rapid Amortization Period, the product of the Class D Percentage and the Series 2022-5 Trustee’s Fees for such Distribution Date over (B) the excess with respect to such Distribution Date of (1) the sum of (W) the amounts available from the Series 2022-5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2022-5 Rapid Amortization Period, the product of the Class A/B/C Percentage and the Series 2022-5 Trustee’s Fees for such Distribution Date. The Trustee shall withdraw such amount from the Class D Reserve Account and deposit such amount in the Series 2022-5 Distribution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9"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2022-5 Accrued Interest Account and the Series 2022-5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Multi-Series Letters of Credit and/or withdrawn from the Series 2022-5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2022-5 Reserve Accounts pursuant to Section 2.3(d) as follows:</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on each Distribution Date during the Series 2022-5 Revolving Period or the Series 2022-5 Controlled Amortization Period, (1) first, to the Administrator, an amount equal to the Series 2022-5 Percentage as of the beginning of the Series 2022-5 Interest Period ending on the day preceding such Distribution Date of the portion of the Monthly Administration Fee payable by ABRCF (as specified in clause (iii) of the definition thereof) for such Series 2022-5 Interest Period, (2) second, to the Trustee, an amount equal to the Series 2022-5 Percentage as of the beginning of such Series 2022-5 Interest Period of the fees owing to the Trustee under the Base Indenture for such Series 2022-5 Interest Period, (3) third to pay any Carrying Charges (other than Carrying Charges provided for above) to the Persons to whom such amounts are owed, an amount equal to the Series 2022-5 Percentage as of the beginning of such Series 2022-5 Interest Period of such Carrying Charges (other than Carrying Charges provided for above) for such Series 2022-5 Interest Period and (4) fourth, the balance, if any, shall be withdrawn by the Paying Agent from the Series 2022-5 Collection Account and deposited in the Series 2022-5 Excess Collection Account; and</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    on each Distribution Date during the Series 2022-5 Rapid Amortization Period, (1) first, to the Series 2022-5 Distribution Account, an amount equal to Class D Monthly Subordinated Interest with respect to the Series 2022-5 Interest Period ending on the date immediately preceding such Distribution Date to be treated as Principal Collections, (2) second, to the Trustee, an amount equal to the Series 2022-5 Percentage as of the beginning of such Series 2022-5 Interest Period ending on the day preceding such Distribution Date of the fees owing to the Trustee under the Base Indenture for such Series 2022-5 Interest Period, (3) third, to the Administrator, an amount equal to the Series 2022-5 Percentage as of the beginning of such Series 2022-5 Interest Period of the portion of the Monthly Administration Fee (as specified in clause (iii) of the definition thereof) payable by ABRCF for such Series 2022-5 Interest Period, (4) fourth, to pay any Carrying Charges (other than Carrying Charges provided for above) to the Persons to whom such amounts are owed, an amount equal to the Series 2022-5 Percentage as of the beginning of such Series 2022-5 Interest Period of such Carrying Charges (other than Carrying Charges provided for above) for such Series 2022-5 Interest Period and (5) fifth, so long as the Series 2022-5 Invested Amount is greater than the Monthly Total Principal Allocations for the Related Month, an amount equal to the excess of the Series 2022-5 Invested Amount over the Monthly Total Principal Allocations for the Related Month shall be treated as Principal Collections.</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60"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     If the amounts described in Section 2.3 are insufficient to pay the Class A Monthly Interest on any Distribution Date, payments of interest to the Class A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B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B Shortfall</w:t>
      </w:r>
      <w:r>
        <w:rPr>
          <w:color w:val="000000"/>
        </w:rPr>
        <w:t>”</w:t>
      </w:r>
      <w:r>
        <w:rPr>
          <w:rFonts w:ascii="Times New Roman;sans-serif" w:hAnsi="Times New Roman;sans-serif"/>
          <w:b w:val="false"/>
          <w:color w:val="000000"/>
          <w:sz w:val="24"/>
        </w:rPr>
        <w:t>. Interest shall accrue on the Class B Shortfall at the Class B Note Rate.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(iv)    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(v)    If (A) the amounts described in Section 2.3 are insufficient to pay the amounts described in clauses (i) through (viii) of Section 2.3(a) and the Class D Monthly Subordinated Interest on any Distribution Date and/or (B) the Series 2022-5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61"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Distribution Date (which deficiency on any Distribution Date shall not exceed the Class D Monthly Subordinated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xml:space="preserve">. Interest shall accrue on the Class D Subordinated Interest Shortfall at the Class D Note Rate.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(vi)    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R Monthly Interest for the Series 2022-5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R Shortfall</w:t>
      </w:r>
      <w:r>
        <w:rPr>
          <w:color w:val="000000"/>
        </w:rPr>
        <w:t>”</w:t>
      </w:r>
      <w:r>
        <w:rPr>
          <w:rFonts w:ascii="Times New Roman;sans-serif" w:hAnsi="Times New Roman;sans-serif"/>
          <w:b w:val="false"/>
          <w:color w:val="000000"/>
          <w:sz w:val="24"/>
        </w:rPr>
        <w:t>. Interest shall accrue on the Class R Shortfall at the Class R Note Rate.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2022-5 Distribution Account pursuant to Section 2.3:</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to the Class D Noteholders, the amounts due to the Class D Noteholders described in Sections 2.3(a)(vii) and (viii);</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if the Series 2022-5 Rapid Amortization Period is not continuing as of such Distribution Date, the amounts due to the Class D Noteholders described in Section 2.3(a)(ix) and (x); and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xml:space="preserve">. On each Determination Date, commencing on the second Determination Date during the Series 2022-5 Controlled Amortization Period or the first Determination Date after the commencement of the Series 2022-5 Rapid Amortization Period, the Administrator shall instruct the Trustee and the Paying Agent in writing pursuant to the Administration Agreement and in accordance with this Section 2.5 as to (1) the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62"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amount allocated to the Series 2022-5 Notes during the Related Month pursuant to Section 2.2(b)(ii), (c)(ii) or (d)(ii), as the case may be, (2) any amounts to be drawn on the Series 2022-5 Demand Notes and/or on the Multi-Series Letters of Credit (or withdrawn from the Series 2022-5 Cash Collateral Accounts) pursuant to this Section 2.5 and (3) any amounts to be withdrawn from the Series 2022-5 Reserve Accounts pursuant to this Section 2.5 and deposited into the Series 2022-5 Distribution Account. On the Distribution Date following each such Determination Date, the Trustee shall withdraw the amount allocated to the Series 2022-5 Notes during the Related Month pursuant to Section 2.2(b)(ii), (c)(ii) or (d)(ii), as the case may be, from the Series 2022-5 Collection Account and deposit such amount in the Series 2022-5 Distribution Account, to be paid to the holders of the Series 2022-5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Multi-Series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2022-5 Rapid Amortization Period that on such Distribution Date there will exist a Series 2022-5 Lease Principal Payment Deficit, the Administrator shall instruct the Trustee in writing to: </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    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2022-5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2022-5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2022-5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2022-5 Distribution Account an amount equal to the lesser of (x) the Class A/B/C Cash Collateral Percentage for such date of the lesser of the Series 2022-5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63"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in the preceding sentence and (y) the excess, if any, of (A) the Class A/B/C Liquidity Amount on such date over (B) the Class A/B/C Required Liquidity Amount on such date;</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(ii)    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2022-5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2022-5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2022-5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2022-5 Distribution Account an amount equal to the lesser of (x) the Class A/B/C Cash Collateral Percentage for such date of the lesser of (A) the excess of (1) the Series 2022-5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 </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2022-5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2022-5 Lease Principal Payment Deficit over (B) the amount, if any, to be drawn on the Multi-Series Letters of Credit with respect to the Class D Notes and/or withdrawn from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64"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2022-5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2022-5 Distribution Account an amount equal to the lesser of (x) the Class D Cash Collateral Percentage for such date of the lesser of (A) the excess of (1) the Series 2022-5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2022-5 Final Distribution Date. In connection therewith:</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2022-5 Distribution Account in accordance with Section 2.5(a) together with any amounts to be deposited therein in accordance with Section 2.5(b) on the Series 2022-5 Final Distribution Date is less than the Series 2022-5 Senior Invested Amount and there are any Multi-Series Letters of Credit on such date, then, prior to 10:00 a.m. (New York City time) on the second Business Day prior to the Series 2022-5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2022-5 Demand Notes in an amount equal to the lesser of (x) such insufficiency and (y) the sum of the Class A/B/C Letter of Credit Amount and the Class D Letter of Credit Amount. The Trustee shall, prior to 12:00 noon (New York City time) on the second Business Day preceding such Series 2022-5 Final Distribution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65"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2022-5 Demand Notes to be deposited into the Series 2022-5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In the event that either (x) on or prior to 10:00 a.m. (New York City time) on the Business Day immediately preceding the Series 2022-5 Final Distribution Date a Demand Notice has been transmitted by the Trustee to the Demand Note Issuers pursuant to clause (i) of this Section 2.5(c) and any Demand Note Issuer shall have failed to pay to the Trustee or deposit into the Series 2022-5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2022-5 Final Distribution Date, then, in the case of (x) or (y) the Trustee shall:</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(1)    draw on the Multi-Series Letters of Credit by 12:00 noon (New York City time) on such Business Day an amount allocable to the Class A/B/C Notes equal to the lesser of (a) the amount that the Demand Note Issuers so failed to pay under the Series 2022-5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2022-5 Distribution Account an amount equal to the lesser of (x) the Class A/B/C Cash Collateral Percentage on such Business Day of the amount that the Demand Note Issuers so failed to pay under the Series 2022-5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2022-5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2022-5 Distribution Account; and</w:t>
      </w:r>
    </w:p>
    <w:p>
      <w:pPr>
        <w:pStyle w:val="TextBody"/>
        <w:bidi w:val="0"/>
        <w:spacing w:before="0" w:after="12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66"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240" w:after="120"/>
        <w:ind w:left="0" w:right="0" w:firstLine="720"/>
        <w:jc w:val="both"/>
        <w:rPr/>
      </w:pPr>
      <w:r>
        <w:rPr>
          <w:rFonts w:ascii="Times New Roman;sans-serif" w:hAnsi="Times New Roman;sans-serif"/>
          <w:b w:val="false"/>
          <w:color w:val="000000"/>
          <w:sz w:val="24"/>
        </w:rPr>
        <w:t xml:space="preserve">(2)    draw on the Multi-Series Letters of Credit by 12:00 noon (New York City time) on such Business Day an amount allocable to the Class D Notes equal to the lesser of (a) the excess of (x) the amount that the Demand Note Issuers so failed to pay under the Series 2022-5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2022-5 Distribution Account an amount equal to the lesser of (x) the Class D Cash Collateral Percentage on such Business Day of the excess of (A) the amount that the Demand Note Issuers so failed to pay under the Series 2022-5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2022-5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2022-5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xml:space="preserve">. If, after giving effect to the deposit into the Series 2022-5 Distribution Account of the amount to be deposited in accordance with Section 2.5(a) and the amounts described in clauses (i) and (ii) of this Section 2.5(c), the amount to be deposited in the Series 2022-5 Distribution Account with respect to the Series 2022-5 Final Distribution Date is or will be less than the Series 2022-5 Senior Invested Amount, then, prior to 12:00 noon (New York City time) on the second Business Day prior to such Series 2022-5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67"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remaining insufficiency (after giving effect to any withdrawal from the Class A/B/C Reserve Account) and, in each case, deposit it in the Series 2022-5 Distribution Account on such Series 2022-5 Final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2022-5 Final Distribution Date, on which the Class A/B/C Principal Deficit Amount is greater than zero, amounts shall be transferred to the Series 2022-5 Distribution Account as follows: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2022-5 Demand Note to be deposited into the Series 2022-5 Distribution Account.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2022-5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2022-5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2022-5 Distribution Account an amount equal to the lesser of (x) the Class A/B/C Cash Collateral Percentage on such Business Day of the aggregate amount that the Demand Note Issuers so failed to pay under the Series 2022-5 Demand Notes (or, the amount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68"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Trustee failed to demand for payment thereunder) and (y) the Class A/B/C Available Cash Collateral Account Amount on such Business Day and draw an amount equal to the remainder of the aggregate amount that the Demand Note Issuers so failed to pay under the Series 2022-5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2022-5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2022-5 Distribution Account in accordance with clauses (i) and (ii) of this Section 2.5(d) and deposit it in the Series 2022-5 Distribution Account on such Distribution Date.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2022-5 Final Distribution Date, on which the Class A Notes, Class B Notes and Class C Notes will have been paid in full and the Class D Principal Deficit Amount is greater than zero, amounts shall be transferred to the Series 2022-5 Distribution Account as follows: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2022-5 Demand Note to be deposited into the Series 2022-5 Distribution Account.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2022-5 Distribution Account the amount specified in such Demand Notice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9"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76" w:before="0" w:after="60"/>
        <w:jc w:val="both"/>
        <w:rPr/>
      </w:pPr>
      <w:r>
        <w:rPr>
          <w:rFonts w:ascii="Times New Roman;sans-serif" w:hAnsi="Times New Roman;sans-serif"/>
          <w:b w:val="false"/>
          <w:color w:val="000000"/>
          <w:sz w:val="24"/>
        </w:rPr>
        <w:t xml:space="preserve">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2022-5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2022-5 Distribution Account an amount equal to the lesser of (x) the Class A/B/C Cash Collateral Percentage on such Business Day of the aggregate amount that the Demand Note Issuers so failed to pay under the Series 2022-5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2022-5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2022-5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2022-5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2022-5 Distribution Account in accordance with clauses (i) and (ii) of this Section 2.5(e) and deposit it in the Series 2022-5 Distribution Account on such Distribution Date.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In the event that either (x) on or prior to 10:00 a.m. (New York City time) on the Business Day prior to such Distribution Date, any Demand Note Issuer shall have failed to pay to the Trustee or deposit into the Series 2022-5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70"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2022-5 Demand Notes (or, the amount that the Trustee failed to demand for payment thereunder) over (B) the amount deposited into the Series 2022-5 Distribution Account in accordance with Section 2.5(e)(ii) and (iii) above,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2022-5 Distribution Account an amount equal to the lesser of (x) the Class D Cash Collateral Percentage on such Business Day of the excess of (A) the aggregate amount that the Demand Note Issuers so failed to pay under the Series 2022-5 Demand Notes (or, the amount that the Trustee failed to demand for payment thereunder) over (B) the amount deposited into the Series 2022-5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2022-5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2022-5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2022-5 Distribution Account in accordance with clauses (i) through (iv) of this Section 2.5(e) and deposit it in the Series 2022-5 Distribution Account on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2022-5 Collection Account pursuant to Section 2.5(a) or amounts are deposited in the Series 2022-5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2022-5 Distribution Account the amount deposited therein pursuant to Section 2.5(a), (b), (c) or (d), to the extent necessary to pay the Class A Controlled Distribution Amount during the Series 2022-5 Controlled Amortization Period or to the extent necessary to pay the Class A Invested Amount during the Series 2022-5 Rapid Amortization Period.</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71"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2022-5 Collection Account pursuant to Section 2.5(a) or amounts are deposited in the Series 2022-5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2022-5 Distribution Account the amount deposited therein pursuant to Section 2.5(a), (b), (c) or (d) less the aggregate amount applied to make the payments required pursuant to Section 2.5(f)(i), to the extent necessary to pay the Class B Controlled Distribution Amount during the Series 2022-5 Controlled Amortization Period or to the extent necessary to pay the Class B Invested Amount during the Series 2022-5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2022-5 Collection Account pursuant to Section 2.5(a) or amounts are deposited in the Series 2022-5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2022-5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2022-5 Controlled Amortization Period or to the extent necessary to pay the Class C Invested Amount during the Series 2022-5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2022-5 Collection Account pursuant to Section 2.5(a) or amounts are deposited in the Series 2022-5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2022-5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2022-5 Controlled Amortization Period or to the extent necessary to pay the Class D Invested Amount during the Series 2022-5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On each Distribution Date occurring during the Series 2022-5 Rapid Amortization Period, after giving effect to the payments made pursuant to clauses (i), (ii), (iii) and (iv) of this Section 2.5(f), the Paying Agent shall pay pro rata to each Class D Noteholder from the Series 2022-5 Distribution Account the amount deposited therein pursuant to Section 2.3(ii)(1), to the extent necessary to pay the Class D Subordinated Interest Shortfall as of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2022-5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to each Class R Noteholder from the Series 2022-5 Distribution Account the amount deposited therein pursuant to Section 2.5(a) less the aggregate amount applied to </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72"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make the payments required pursuant to Section 2.5(f)(i), Section 2.5(f)(ii), Section 2.5(f)(iii) and Section 2.5(f)(iv), to the extent necessary to pay the Class R Controlled Amortization Amount during the Series 2022-5 Controlled Amortization Period or to the extent necessary to pay the Class R Invested Amount during the Series 2022-5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Draw or Payment</w:t>
      </w:r>
      <w:r>
        <w:rPr>
          <w:rFonts w:ascii="Times New Roman;sans-serif" w:hAnsi="Times New Roman;sans-serif"/>
          <w:b w:val="false"/>
          <w:color w:val="000000"/>
          <w:sz w:val="24"/>
        </w:rPr>
        <w:t xml:space="preserve">. If the Administrator fails to give notice or instructions to make (i) any payment from or deposit into the Collection Account, (ii) any draw on the Series 2022-5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2022-5 Demand Notes or the Multi-Series Letters of Credit, or such withdrawal from such Account, in each case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2022-5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2022-5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2022-5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2022-5 Agent in writing to transfer all cash and investments from the non-qualifying Class A/B/C Reserve Account into the new Class A/B/C Reserve Account. The Class A/B/C Reserve Account has initially been established with The Bank of New York Mellon Trust Company, N.A.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73"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investment may mature on such Distribution Date and such funds shall be available for withdrawal on or prior to such Distribution Date;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that in the case of Permitted Investments held in the Series 2022-5 Reserve Account and so long as any Series 2022-5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2022-5 Senior Notes</w:t>
      </w:r>
      <w:r>
        <w:rPr>
          <w:rFonts w:ascii="Times New Roman;sans-serif" w:hAnsi="Times New Roman;sans-serif"/>
          <w:b w:val="false"/>
          <w:color w:val="000000"/>
          <w:sz w:val="24"/>
        </w:rPr>
        <w:t>. In order to secure and provide for the repayment and payment of the ABRCF Obligations with respect to the Series 2022-5 Senior Notes, ABRCF hereby grants a security interest in and assigns, pledges, grants, transfers and sets over to the Trustee, for the benefit of the Series 2022-5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2022-5 Noteholders. The Series 2022-5 Agent </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74"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In the event that the Class A/B/C Reserve Account Surplus on any Distribution Date, after giving effect to all withdrawals from the Class A/B/C Reserve Account, is greater than zero, if no Series 2022-5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2022-5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2022-5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75"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76"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2022-5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76"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UCC) and (iv) to comply with any entitlement order (as defined in Section 8-102(a)(8) of the New York UCC) issued by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2022-5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Multi-Series Letters of Credit and Series 2022-5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Multi-Series Letters of Credit and Series 2022-5 Cash Collateral Account Constitute Additional Collateral for Series 2022-5 Senior Notes</w:t>
      </w:r>
      <w:r>
        <w:rPr>
          <w:rFonts w:ascii="Times New Roman;sans-serif" w:hAnsi="Times New Roman;sans-serif"/>
          <w:b w:val="false"/>
          <w:color w:val="000000"/>
          <w:sz w:val="24"/>
        </w:rPr>
        <w:t>. In order to secure and provide for the repayment and payment of the ABRCF Obligations with respect to the Series 2022-5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xml:space="preserve">).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2022-5 Agent hereby agrees (i) to act as the securities intermediary (as defined in Section 8-102(a)(14) of the New York UCC) with respect to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77"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2022-5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2022-5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78"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2022-5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2022-5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2022-5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2022-5 Eligible Letter of Credit Provider and is in full force and effect on such date, the Class D Enhancement Amount would be equal to or more than the Class D Required Enhancement Amount and the Class D Liquidity Amount would be equal to or greater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79"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2022-5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2022-5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2022-5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Multi-Series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0"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Multi-Series Letters of Credit</w:t>
      </w:r>
      <w:r>
        <w:rPr>
          <w:rFonts w:ascii="Times New Roman;sans-serif" w:hAnsi="Times New Roman;sans-serif"/>
          <w:b w:val="false"/>
          <w:color w:val="000000"/>
          <w:sz w:val="24"/>
        </w:rPr>
        <w:t xml:space="preserve">. Prior to 10:00 a.m. (New York City time) on the Business Day immediately succeeding the Multi-Series Letter of Credit Termination Date, the Administrator shall determine the Series 2022-5 Demand Note Payment Amount, if any, as of the Multi-Series Letter of Credit Termination Date and, if the Series 2022-5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2022-5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Multi-Series Letters of Credit, as calculated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1"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Administrator and provided in writing to the Trustee and (II) on each such Multi-Series Letter of Credit allocable to the Class D Notes equal to the lesser of (i) the excess of (x) the Series 2022-5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D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Multi-Series Letters of Credit</w:t>
      </w:r>
      <w:r>
        <w:rPr>
          <w:rFonts w:ascii="Times New Roman;sans-serif" w:hAnsi="Times New Roman;sans-serif"/>
          <w:b w:val="false"/>
          <w:color w:val="000000"/>
          <w:sz w:val="24"/>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2"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writing to transfer all cash and investments from the non-qualifying Class A/B/C Cash Collateral Account into the new Class A/B/C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83"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Cash Collateral Account. If a new Class D Cash Collateral Account is established, ABRCF shall instruct the Trustee in writing to transfer all cash and investments from the non-qualifying Class D Cash Collateral Account into the new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2022-5 Cash Collateral Accounts</w:t>
      </w:r>
      <w:r>
        <w:rPr>
          <w:rFonts w:ascii="Times New Roman;sans-serif" w:hAnsi="Times New Roman;sans-serif"/>
          <w:b w:val="false"/>
          <w:color w:val="000000"/>
          <w:sz w:val="24"/>
        </w:rPr>
        <w:t>. All interest and earnings (net of losses and investment expenses) paid on funds on deposit in the Series 2022-5 Cash Collateral Accounts shall be deemed to be on deposit therein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2022-5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2022-5 Reimbursement Agreement, for application in accordance with the provisions of the related Series 2022-5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2022-5 Reimbursement Agreement, for application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84"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with the provisions of the related Series 2022-5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2022-5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2022-5 Noteholders and payable from any Series 2022-5 Cash Collateral Account as provided herein, shall (i) withdraw from the Class A/B/C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2022-5 Reimbursement Agreement, for application in accordance with the provisions of the related Series 2022-5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2022-5 Reimbursement Agreement, for application in accordance with the provisions of the related Series 2022-5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Section 2.9. </w:t>
      </w:r>
      <w:r>
        <w:rPr>
          <w:rFonts w:ascii="Times New Roman;sans-serif" w:hAnsi="Times New Roman;sans-serif"/>
          <w:b w:val="false"/>
          <w:color w:val="000000"/>
          <w:sz w:val="24"/>
          <w:u w:val="single"/>
        </w:rPr>
        <w:t>Series 2022-5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2022-5 Distribution Account</w:t>
      </w:r>
      <w:r>
        <w:rPr>
          <w:rFonts w:ascii="Times New Roman;sans-serif" w:hAnsi="Times New Roman;sans-serif"/>
          <w:b w:val="false"/>
          <w:color w:val="000000"/>
          <w:sz w:val="24"/>
        </w:rPr>
        <w:t>. ABRCF has established and shall maintain in the name of the Trustee for the benefit of the Series 2022-5 Noteholders, or cause to be established and maintained, an account (the “</w:t>
      </w:r>
      <w:r>
        <w:rPr>
          <w:rFonts w:ascii="Times New Roman;sans-serif" w:hAnsi="Times New Roman;sans-serif"/>
          <w:b w:val="false"/>
          <w:color w:val="000000"/>
          <w:sz w:val="24"/>
          <w:u w:val="single"/>
        </w:rPr>
        <w:t>Series 2022-5 Distribution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2022-5 Noteholders. The Series 2022-5 Distribution Account shall be maintained (i) with a Qualified Institution, or (ii) as a segregated trust account with the corporate trust department of a depository institution or trust company having corporate trust powers and acting as trustee for funds deposited in the Series 2022-5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2022-5 Distribution Account with a new Qualified Institution. If the Series 2022-5 Distribution Account is not maintained in accordance with the previous sentence, ABRCF shall establish a new Series 2022-5 Distribution Account, within ten (10) Business Days after obtaining knowledge of such fact, which complies with such sentence, and shall instruct the Series 2022-5 Agent in writing to transfer all cash and investments from the non-qualifying Series 2022-5 Distribution Account into the new Series 2022-5 Distribution Account. The Series 2022-5 Distribution Account has initially been established with The Bank of New York Mellon Trust Company, N.A.</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2022-5 Distribution Account</w:t>
      </w:r>
      <w:r>
        <w:rPr>
          <w:rFonts w:ascii="Times New Roman;sans-serif" w:hAnsi="Times New Roman;sans-serif"/>
          <w:b w:val="false"/>
          <w:color w:val="000000"/>
          <w:sz w:val="24"/>
        </w:rPr>
        <w:t xml:space="preserve">. The Administrator may instruct the institution maintaining the Series 2022-5 Distribution Account to invest funds on deposit in the Series 2022-5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Series 2022-5 Distribution Account is held with the Paying Agent, then such investment may mature on such Distribution Date and such funds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85"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available for withdrawal on or prior to such Distribution Date. All such Permitted Investments will be credited to the Series 2022-5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2022-5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2022-5 Distribution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2022-5 Distribution Account</w:t>
      </w:r>
      <w:r>
        <w:rPr>
          <w:rFonts w:ascii="Times New Roman;sans-serif" w:hAnsi="Times New Roman;sans-serif"/>
          <w:b w:val="false"/>
          <w:color w:val="000000"/>
          <w:sz w:val="24"/>
        </w:rPr>
        <w:t>. All interest and earnings (net of losses and investment expenses) paid on funds on deposit in the Series 2022-5 Distribution Account shall be deemed to be on deposit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2022-5 Distribution Account Constitutes Additional Collateral for Series 2022-5 Notes</w:t>
      </w:r>
      <w:r>
        <w:rPr>
          <w:rFonts w:ascii="Times New Roman;sans-serif" w:hAnsi="Times New Roman;sans-serif"/>
          <w:b w:val="false"/>
          <w:color w:val="000000"/>
          <w:sz w:val="24"/>
        </w:rPr>
        <w:t>. In order to secure and provide for the repayment and payment of the ABRCF Obligations with respect to the Series 2022-5 Notes, ABRCF hereby grants a security interest in and assigns, pledges, grants, transfers and sets over to the Trustee, for the benefit of the Series 2022-5 Noteholders, all of ABRCF’s right, title and interest in and to the following (whether now or hereafter existing or acquired): (i) the Series 2022-5 Distribution Account, including any security entitlement thereto; (ii) all funds on deposit therein from time to time; (iii) all certificates and instruments, if any, representing or evidencing any or all of the Series 2022-5 Distribution Account or the funds on deposit therein from time to time; (iv) all investments made at any time and from time to time with monies in the Series 2022-5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2022-5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2022-5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2022-5 Distribution Account and in and to all proceeds thereof, and shall be the only person authorized to originate entitlement orders in respect of the Series 2022-5 Distribution Account. The Series 2022-5 Distribution Account Collateral shall be under the sole dominion and control of the Trustee for the benefit of the Series 2022-5 Noteholders. The Series 2022-5 Agent hereby agrees (i) to act as the securities intermediary (as defined in Section 8-102(a)(14) of the New York UCC) with respect to the Series 2022-5 Distribution Account; (ii) that its jurisdiction as securities intermediary is New York, (iii) that each item of property (whether investment property, financial asset, security, instrument or cash) credited to the Series 2022-5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86"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2022-5 Accounts Permitted Investments</w:t>
      </w:r>
      <w:r>
        <w:rPr>
          <w:rFonts w:ascii="Times New Roman;sans-serif" w:hAnsi="Times New Roman;sans-serif"/>
          <w:b w:val="false"/>
          <w:color w:val="000000"/>
          <w:sz w:val="24"/>
        </w:rPr>
        <w:t xml:space="preserve">. ABRCF shall not, and shall not permit, funds on deposit in the Series 2022-5 Accounts to be invested in: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Permitted Investments that do not mature at least one (1) Business Day before the next Distribution Date;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with a maturity in excess of 360 days;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commercial paper which is not rated “P-1” by Moody’s;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money market funds or eurodollar time deposits which are not rated at least “P-1” by Moody’s;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eurodollar deposits that are not rated “P-1” by Moody’s or that are with financial institutions not organized under the laws of a G-7 nation; or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investment, instrument or security not otherwise listed in clause (i) through (vi) of the definition of “Permitted Investments” in the Base Indenture.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2022-5 Demand Notes Constitute Additional Collateral for Series 2022-5 Senior Notes</w:t>
      </w:r>
      <w:r>
        <w:rPr>
          <w:rFonts w:ascii="Times New Roman;sans-serif" w:hAnsi="Times New Roman;sans-serif"/>
          <w:b w:val="false"/>
          <w:color w:val="000000"/>
          <w:sz w:val="24"/>
        </w:rPr>
        <w:t>. In order to secure and provide for the repayment and payment of the ABRCF Obligations with respect to the Series 2022-5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2022-5 Demand Notes; (ii) all certificates and instruments, if any, representing or evidencing the Series 2022-5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2022-5 Demand Note, endorsed in blank. The Trustee, for the benefit of the Class A Noteholders, the Class B Noteholders, the Class C Noteholders and the Class D Noteholders, shall be the only Person authorized to make a demand for payments on the Series 2022-5 Demand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xml:space="preserve">.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2022-5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2022-5 Rapid Amortization Period or on the Series 2022-5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87"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all accrued interest, all Class A Shortfall and all interest accrued on such Class A Shortfall) have been paid in full.</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2022-5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2022-5 Rapid Amortization Period or on the Series 2022-5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2022-5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2022-5 Rapid Amortization Period or on the Series 2022-5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2022-5 Controlled Amortization Period or the Series 2022-5 Rapid Amortization Period or on the Series 2022-5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88"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88" w:before="360" w:after="12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2022-5 Notes and collectively shall constitute the Amortization Events set forth in Section 9.1(n) of the Base Indenture with respect to the Series 2022-5 Notes (without notice or other action on the part of the Trustee or any holders of the Series 2022-5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(a)    a Series 2022-5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2022-5 Enhancement Deficiency shall have been cured in accordance with the terms and conditions of the Indenture and the Related Documents;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either case, such event or condition shall not be an Amortization Event if during such two Business Day period such insufficiency shall have been cured in accordance with the terms and conditions of the Indenture and the Related Documents;</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2022-5 Collection Account, the Series 2022-5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2022-5 Notes is not paid in full on or before the Series 2022-5 Expected Final Distribution Date;</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Multi-Series Letter of Credit shall not be in full force and effect for at least two Business Days and either (x) a Series 2022-5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from and after the funding of any Series 2022-5 Cash Collateral Account, such Series 2022-5 Cash Collateral Account shall be subject to an injunction, estoppel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89"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stay or a lien (other than Liens permitted under the Related Documents) for at least two Business Days and either (x) a Series 2022-5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Multi-Series Letter of Credit Provider or any Multi-Series Letter of Credit Provider repudiates its Multi-Series Letter of Credit or refuses to honor a proper draw thereon and either (x) a Series 2022-5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pStyle w:val="TextBody"/>
        <w:bidi w:val="0"/>
        <w:spacing w:lineRule="auto" w:line="288" w:before="180" w:after="12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2022-5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2022-5 Notes</w:t>
      </w:r>
      <w:r>
        <w:rPr>
          <w:rFonts w:ascii="Times New Roman;sans-serif" w:hAnsi="Times New Roman;sans-serif"/>
          <w:b w:val="false"/>
          <w:color w:val="000000"/>
          <w:sz w:val="24"/>
        </w:rPr>
        <w:t>. Each Class of the Series 2022-5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2022-5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2022-5 Notes; Permanent Global Series 2022-5 Notes</w:t>
      </w:r>
      <w:r>
        <w:rPr>
          <w:rFonts w:ascii="Times New Roman;sans-serif" w:hAnsi="Times New Roman;sans-serif"/>
          <w:b w:val="false"/>
          <w:color w:val="000000"/>
          <w:sz w:val="24"/>
        </w:rPr>
        <w:t xml:space="preserve">. Each Class of the Series 2022-5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90"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2022-5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which shall be deposited on behalf of the purchasers of such Class of the Series 2022-5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2022-5 Note 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2022-5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2022-5 Note and the Base Indenture (as modified by this Supplement). Interests in a Permanent Global Series 2022-5 Note will be exchangeable for a definitive Series 2022-5 Note in accordance with the provisions of such Permanent Global Series 2022-5 Note and the Base Indenture (as modified by this Supplement).The Restricted Global Class A Notes, the Temporary Global Class A Notes and the Permanent Global Class A Notes are collectively referred to as the “</w:t>
      </w:r>
      <w:r>
        <w:rPr>
          <w:rFonts w:ascii="Times New Roman;sans-serif" w:hAnsi="Times New Roman;sans-serif"/>
          <w:b w:val="false"/>
          <w:color w:val="000000"/>
          <w:sz w:val="24"/>
          <w:u w:val="single"/>
        </w:rPr>
        <w:t>Global Class A Notes</w:t>
      </w:r>
      <w:r>
        <w:rPr>
          <w:color w:val="000000"/>
        </w:rPr>
        <w:t>”</w:t>
      </w:r>
      <w:r>
        <w:rPr>
          <w:rFonts w:ascii="Times New Roman;sans-serif" w:hAnsi="Times New Roman;sans-serif"/>
          <w:b w:val="false"/>
          <w:color w:val="000000"/>
          <w:sz w:val="24"/>
        </w:rPr>
        <w:t>, the Restricted Global Class B Notes, the Temporary Global Class B Notes and the Permanent Global Class B Notes are collectively referred to as the “</w:t>
      </w:r>
      <w:r>
        <w:rPr>
          <w:rFonts w:ascii="Times New Roman;sans-serif" w:hAnsi="Times New Roman;sans-serif"/>
          <w:b w:val="false"/>
          <w:color w:val="000000"/>
          <w:sz w:val="24"/>
          <w:u w:val="single"/>
        </w:rPr>
        <w:t>Global Class B Notes</w:t>
      </w:r>
      <w:r>
        <w:rPr>
          <w:color w:val="000000"/>
        </w:rPr>
        <w:t>”</w:t>
      </w:r>
      <w:r>
        <w:rPr>
          <w:rFonts w:ascii="Times New Roman;sans-serif" w:hAnsi="Times New Roman;sans-serif"/>
          <w:b w:val="false"/>
          <w:color w:val="000000"/>
          <w:sz w:val="24"/>
        </w:rPr>
        <w:t>, the Restricted Global Class C Notes, the Temporary Global Class C Notes and the Permanent Global Class C Notes are collectively referred to as the “</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and the Restricted Global Class R Notes, the Temporary Global Class R Notes and the Permanent Global Class R Notes are collectively referred to as the “</w:t>
      </w:r>
      <w:r>
        <w:rPr>
          <w:rFonts w:ascii="Times New Roman;sans-serif" w:hAnsi="Times New Roman;sans-serif"/>
          <w:b w:val="false"/>
          <w:color w:val="000000"/>
          <w:sz w:val="24"/>
          <w:u w:val="single"/>
        </w:rPr>
        <w:t>Global Class R Notes</w:t>
      </w:r>
      <w:r>
        <w:rPr>
          <w:color w:val="000000"/>
        </w:rPr>
        <w:t>”</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with such insertions 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91"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8" w:before="360" w:after="12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2022-5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2022-5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2022-5 Repurchase Amount</w:t>
      </w:r>
      <w:r>
        <w:rPr>
          <w:color w:val="000000"/>
        </w:rPr>
        <w:t>”</w:t>
      </w:r>
      <w:r>
        <w:rPr>
          <w:rFonts w:ascii="Times New Roman;sans-serif" w:hAnsi="Times New Roman;sans-serif"/>
          <w:b w:val="false"/>
          <w:color w:val="000000"/>
          <w:sz w:val="24"/>
        </w:rPr>
        <w:t xml:space="preserve">). The repurchase price for any Series 2022-5 Note subject to a Clean-up Repurchase shall equal the aggregate outstanding principal balance of such Series 2022-5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The Series 2022-5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2022-5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2022-5 Note subject to an Optional Repurchase shall equal (1) the aggregate outstanding principal balance of such Series 2022-5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2022-5 Note.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2022-5 Noteholders, or their designated agent, copies of all information furnished to the Trustee or ABRCF pursuant to the Related Documents, as such information relates to the Series 2022-5 Notes or the Series 2022-5 Collateral.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6795" w:type="dxa"/>
        <w:jc w:val="left"/>
        <w:tblInd w:w="0" w:type="dxa"/>
        <w:tblLayout w:type="fixed"/>
        <w:tblCellMar>
          <w:top w:w="28" w:type="dxa"/>
          <w:left w:w="28" w:type="dxa"/>
          <w:bottom w:w="28" w:type="dxa"/>
          <w:right w:w="28" w:type="dxa"/>
        </w:tblCellMar>
      </w:tblPr>
      <w:tblGrid>
        <w:gridCol w:w="473"/>
        <w:gridCol w:w="415"/>
        <w:gridCol w:w="417"/>
        <w:gridCol w:w="1608"/>
        <w:gridCol w:w="1608"/>
        <w:gridCol w:w="227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2022-5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2022-5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2022-5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2022-5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2022-5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2022-5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2022-5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2022-5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2022-5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2022-5 Note, Class 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92"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tbl>
      <w:tblPr>
        <w:tblW w:w="8264" w:type="dxa"/>
        <w:jc w:val="left"/>
        <w:tblInd w:w="0" w:type="dxa"/>
        <w:tblLayout w:type="fixed"/>
        <w:tblCellMar>
          <w:top w:w="28" w:type="dxa"/>
          <w:left w:w="28" w:type="dxa"/>
          <w:bottom w:w="28" w:type="dxa"/>
          <w:right w:w="28" w:type="dxa"/>
        </w:tblCellMar>
      </w:tblPr>
      <w:tblGrid>
        <w:gridCol w:w="462"/>
        <w:gridCol w:w="405"/>
        <w:gridCol w:w="407"/>
        <w:gridCol w:w="2048"/>
        <w:gridCol w:w="2048"/>
        <w:gridCol w:w="289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2022-5 Note, Class R</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2022-5 Note, Class R</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2022-5 Note, Class R</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2022-5 Demand Note</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Multi-Series Letter of Credit</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Master Exchange Agreement</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Q:</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Escrow Agreement</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R:</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Administration Agreement</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S-1:</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S-2:</w:t>
            </w:r>
          </w:p>
        </w:tc>
        <w:tc>
          <w:tcPr>
            <w:tcW w:w="6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lineRule="auto" w:line="288" w:before="120" w:after="12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2022-5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Amortization Event has occurred and is continuing and (ii) the Rating Agency Consent Condition is met with respect to the outstanding Series 2022-5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93"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(B) ABRCF shall be able to modify or amend any Series 2022-5 Maximum Amount at any time with the consent of a Requisite Series 2022-5 Noteholders and (C) ABRCF may amend or modify the terms of this Supplement without the consent of any Series 2022-5 Noteholders to clarify that no interest has accrued with respect to the Class C Notes and no Class C Monthly Interest is due with respect to the Class C Notes for so long as ABRCF retains 100% of the Class C Notes;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respect to the Class D Notes, solely with (x) the consent of the Class D Noteholders (and without the consent of any other Series 2022-5 Noteholders) and (y) satisfaction of the Rating Agency Consent Condition.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2022-5 Notes without the consent of the Requisite Series 2022-5 Noteholders.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ABRCF agrees that on the Class D Notes Closing Date it will have capitalization in an amount equal to or greater than 3% of the sum of (x) the Series 2022-5 Invested Amount and (y) the invested amount of the Series 2010-6 Notes, the Series 2011-4 Notes, the Series 2015-3 Notes, the Series 2019-2 Notes, the Series 2019-3 Notes, the Series 2020-1 Notes, the Series 2020-2 Notes, the Series 2021-1 Notes, the Series 2021-2 Notes and the Series 2022-1 Notes, the Series 2022-3 Notes, the Series 2022-4 Notes, the Series 2023-1 Notes, the Series 2023-2 Notes, the Series 2023-3 Notes, the Series 2023-4 Notes, the Series 2023-5 Notes, the Series 2023-6 Notes, the Series 2023-7 Notes, the Series 2023-8 Notes, the Series 2024-1 Notes, the Series 2024-2 Notes and the Series 2024-3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xml:space="preserve">. Subject to Section 5.7 above, any action pursuant to Section 5.6, Section 8.13 or Article 9 of the Base Indenture that requires the consent of, or is permissible at the direction of, the Required Noteholders with respect to the Series 2022-5 Notes pursuant to the Base Indenture shall only be allowed with the consent of, or at the direction of, the Required Controlling Class Series 2022-5 Noteholders. Any other action pursuant to any Related Document which requires the consent or approval of, or the waiver by, the Required </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94"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Noteholders with respect to the Series 2022-5 Notes shall require the consent or approval of, or waiver by, the Requisite Series 2022-5 Noteholders.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2022-5 Demand Notes</w:t>
      </w:r>
      <w:r>
        <w:rPr>
          <w:rFonts w:ascii="Times New Roman;sans-serif" w:hAnsi="Times New Roman;sans-serif"/>
          <w:b w:val="false"/>
          <w:color w:val="000000"/>
          <w:sz w:val="24"/>
        </w:rPr>
        <w:t>. Other than pursuant to a demand thereon pursuant to Section 2.5, ABRCF shall not reduce the amount of the Series 2022-5 Demand Notes or forgive amounts payable thereunder so that the outstanding principal amount of the Series 2022-5 Demand Notes after such reduction or forgiveness is less than the sum of (x) the Class A/B/C Letter of Credit Liquidity Amount plus (y) the Class D Letter of Credit Liquidity Amount. ABRCF shall not agree to any amendment of the Series 2022-5 Demand Notes without first satisfying the Rating Agency Confirmation Condition and the Rating Agency Consent Condition.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2022-5 Notes theretofore authenticated and issued have been delivered (other than destroyed, lost, or stolen Series 2022-5 Notes which have been replaced or paid) to the Trustee for cancellation, ABRCF has paid all sums payable hereunder, and, if the Series 2022-5 Demand Note Payment Amount on the Multi-Series Letter of Credit Termination Date was greater than zero, all amounts have been withdrawn from the Series 2022-5 Cash Collateral Accounts in accordance with Section 2.8(m).</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2022-5 Noteholder, upon any acquisition of a Series 2022-5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(vi) the execution of an amendment to the AESOP II Operating Lease Loan Agreement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(vii) the execution of an amendment to the Master Exchange Agreement substantially in the form of </w:t>
      </w:r>
      <w:r>
        <w:rPr>
          <w:rFonts w:ascii="Times New Roman;sans-serif" w:hAnsi="Times New Roman;sans-serif"/>
          <w:b w:val="false"/>
          <w:color w:val="000000"/>
          <w:sz w:val="24"/>
          <w:u w:val="single"/>
        </w:rPr>
        <w:t>Exhibit P</w:t>
      </w:r>
      <w:r>
        <w:rPr>
          <w:color w:val="000000"/>
        </w:rPr>
        <w:t xml:space="preserve"> </w:t>
      </w:r>
      <w:r>
        <w:rPr>
          <w:rFonts w:ascii="Times New Roman;sans-serif" w:hAnsi="Times New Roman;sans-serif"/>
          <w:b w:val="false"/>
          <w:color w:val="000000"/>
          <w:sz w:val="24"/>
        </w:rPr>
        <w:t xml:space="preserve">hereto, (viii) the execution of an amendment to the Escrow Agreement substantially in the form of </w:t>
      </w:r>
      <w:r>
        <w:rPr>
          <w:rFonts w:ascii="Times New Roman;sans-serif" w:hAnsi="Times New Roman;sans-serif"/>
          <w:b w:val="false"/>
          <w:color w:val="000000"/>
          <w:sz w:val="24"/>
          <w:u w:val="single"/>
        </w:rPr>
        <w:t>Exhibit Q</w:t>
      </w:r>
      <w:r>
        <w:rPr>
          <w:color w:val="000000"/>
        </w:rPr>
        <w:t xml:space="preserve"> </w:t>
      </w:r>
      <w:r>
        <w:rPr>
          <w:rFonts w:ascii="Times New Roman;sans-serif" w:hAnsi="Times New Roman;sans-serif"/>
          <w:b w:val="false"/>
          <w:color w:val="000000"/>
          <w:sz w:val="24"/>
        </w:rPr>
        <w:t xml:space="preserve">hereto and (ix) the execution of an amendment to the Administration Agreement substantially in the form of </w:t>
      </w:r>
      <w:r>
        <w:rPr>
          <w:rFonts w:ascii="Times New Roman;sans-serif" w:hAnsi="Times New Roman;sans-serif"/>
          <w:b w:val="false"/>
          <w:color w:val="000000"/>
          <w:sz w:val="24"/>
          <w:u w:val="single"/>
        </w:rPr>
        <w:t>Exhibit R</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  The Trustee and each Series 2022-5 Note Owner agrees, by its acceptance and holding of a beneficial interest in a Series 2022-5 Note, to maintain the confidentiality of all Confidential Information in accordance with procedures adopted by the Trustee or such Series 2022-5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95"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confidential the Confidential Information substantially in accordance with the terms of this Section 5.16; (iii) any other Series 2022-5 Note Owner; (iv) any Person of the type that would be, to such Person’s knowledge, permitted to acquire an interest in the Series 2022-5 Notes in accordance with the requirements of the Indenture to which such Person sells or offers to sell any such Series 2022-5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2022-5 Notes has occurred and is continuing, to the extent such Person may reasonably determine such delivery and disclosure to be necessary or appropriate in the enforcement or for the protection of the rights and remedies under the Series 2022-5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delivery to any Series 2022-5 Note Owner of any report or information required by the terms of the Indenture to be provided to such Series 2022-5 Note Owner shall not be a violation of this Section 5.16. Each Series 2022-5 Note Owner agrees, by acceptance of a beneficial interest in a Series 2022-5 Note, except as set forth in clauses (v), (vi) and (ix) above, that it shall use the Confidential Information for the sole purpose of making an investment in the Series 2022-5 Notes or administering its investment in the Series 2022-5 Notes. In the event of any required disclosure of the Confidential Information by such Series 2022-5 Note Owner, such Series 2022-5 Note Owner agrees to use reasonable efforts to protect the confidentiality of the Confidential Information.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2022-5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term does not include information that: (i) was publicly known or otherwise known to the Trustee or such Series 2022-5 Note Owner prior to the time of such disclosure; (ii) subsequently becomes publicly known through no act or omission by the Trustee, any Series 2022-5 Note Owner or any person acting on behalf of the Trustee or any Series 2022-5 Note Owner; (iii) otherwise is known or becomes known to the Trustee or any Series 2022-5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96"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2022-5 Agent</w:t>
      </w:r>
      <w:r>
        <w:rPr>
          <w:rFonts w:ascii="Times New Roman;sans-serif" w:hAnsi="Times New Roman;sans-serif"/>
          <w:b w:val="false"/>
          <w:color w:val="000000"/>
          <w:sz w:val="24"/>
        </w:rPr>
        <w:t>. The Series 2022-5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2022-5 NOTES, THE SERIES 2022-5 DEMAND NOTES, THE MULTI-SERIES LETTER OF CREDIT AND ANY OTHER RELATED DOCUMENTS EXECUTED IN CONNECTION WITH THE ISSUANCE OF THE SERIES 2022-5 NOTES, OR ANY COURSE OF CONDUCT, COURSE OF DEALING, STATEMENTS (WHETHER ORAL OR WRITTEN), OR ACTIONS OF THE PARTIES HERETO. THIS PROVISION IS A MATERIAL INDUCEMENT FOR THE PARTIES HERETO TO ENTER INTO THIS SUPPLEMENT.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2022-5 NOTES, THE SERIES 2022-5 DEMAND NOTES, THE MULTI-SERIES LETTER OF CREDIT AND ANY OTHER RELATED DOCUMENTS EXECUTED IN CONNECTION WITH THE ISSUANCE OF THE SERIES 2022-5 NOTES AND EACH OF THE PARTIES HERETO HEREBY </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97"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2022-5 NOTES, THE SERIES 2022-5 DEMAND NOTES, THE MULTI-SERIES LETTER OF CREDIT AND ANY OTHER RELATED DOCUMENTS EXECUTED IN CONNECTION WITH THE ISSUANCE OF THE SERIES 2022-5 NOTES IN ANY OTHER COUNTRY, STATE OR PLACE HAVING JURISDICTION OVER SUCH ACTION OR PROCEEDING.</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2022-5 Notes</w:t>
      </w:r>
      <w:r>
        <w:rPr>
          <w:rFonts w:ascii="Times New Roman;sans-serif" w:hAnsi="Times New Roman;sans-serif"/>
          <w:b w:val="false"/>
          <w:color w:val="000000"/>
          <w:sz w:val="24"/>
        </w:rPr>
        <w:t xml:space="preserve">.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Solely with respect to this Supplement and the Series 2022-5 Notes: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(i)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C Notes and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C Notes and the Class R Notes for any Series issued after the date hereof.</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For so long as the Series 2022-5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98"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t xml:space="preserve">the Trustee, at the office of the Trustee, of (x) a transfer certificate from the Transferee substantially in the form of </w:t>
      </w:r>
      <w:r>
        <w:rPr>
          <w:rFonts w:ascii="Times New Roman;sans-serif" w:hAnsi="Times New Roman;sans-serif"/>
          <w:b w:val="false"/>
          <w:color w:val="000000"/>
          <w:sz w:val="24"/>
          <w:u w:val="single"/>
        </w:rPr>
        <w:t>Exhibit S-1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S-2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S-1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S-2</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9"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240"/>
        <w:ind w:left="0" w:right="0" w:firstLine="1440"/>
        <w:jc w:val="both"/>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ind w:left="0" w:right="0" w:hanging="274"/>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31445"/>
                <wp:effectExtent l="0" t="0" r="0" b="0"/>
                <wp:wrapNone/>
                <wp:docPr id="300" name="Frame2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2022-5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2022-5 Indenture Supplement</w:t>
                      </w:r>
                    </w:p>
                  </w:txbxContent>
                </v:textbox>
                <w10:wrap type="none"/>
              </v:rect>
            </w:pict>
          </mc:Fallback>
        </mc:AlternateContent>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2022-5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31445"/>
                <wp:effectExtent l="0" t="0" r="0" b="0"/>
                <wp:wrapNone/>
                <wp:docPr id="301" name="Frame2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2022-5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2022-5 Indenture Supplement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205" w:type="dxa"/>
        <w:jc w:val="center"/>
        <w:tblInd w:w="0" w:type="dxa"/>
        <w:tblLayout w:type="fixed"/>
        <w:tblCellMar>
          <w:top w:w="28" w:type="dxa"/>
          <w:left w:w="28" w:type="dxa"/>
          <w:bottom w:w="28" w:type="dxa"/>
          <w:right w:w="28" w:type="dxa"/>
        </w:tblCellMar>
      </w:tblPr>
      <w:tblGrid>
        <w:gridCol w:w="715"/>
        <w:gridCol w:w="544"/>
        <w:gridCol w:w="544"/>
        <w:gridCol w:w="2837"/>
        <w:gridCol w:w="2596"/>
        <w:gridCol w:w="2575"/>
        <w:gridCol w:w="114"/>
        <w:gridCol w:w="114"/>
        <w:gridCol w:w="166"/>
      </w:tblGrid>
      <w:tr>
        <w:trPr/>
        <w:tc>
          <w:tcPr>
            <w:tcW w:w="7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2022-5 ALLOCATIONS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Series 2022-5 Collection Account, Series 2022-5 Excess Collection Account and Series 2022-5 Accrued Interest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2022-5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Draw or </w:t>
              <w:br/>
              <w:t>Payment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2022-5 Reserve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Multi-Series Letters of Credit and Series 2022-5 Cash Collateral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2022-5 Distribution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2022-5 Accounts Permitted Investments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2022-5 Demand Notes Constitute Additional Collateral for Series </w:t>
              <w:br/>
              <w:t>2022-5 Senior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2022-5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2022-5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2022-5 Notes; Permanent Global Series 2022-5 </w:t>
              <w:b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4.4.</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2022-5 Demand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302"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166" w:type="dxa"/>
        <w:jc w:val="center"/>
        <w:tblInd w:w="0" w:type="dxa"/>
        <w:tblLayout w:type="fixed"/>
        <w:tblCellMar>
          <w:top w:w="28" w:type="dxa"/>
          <w:left w:w="28" w:type="dxa"/>
          <w:bottom w:w="28" w:type="dxa"/>
          <w:right w:w="28" w:type="dxa"/>
        </w:tblCellMar>
      </w:tblPr>
      <w:tblGrid>
        <w:gridCol w:w="516"/>
        <w:gridCol w:w="454"/>
        <w:gridCol w:w="455"/>
        <w:gridCol w:w="1449"/>
        <w:gridCol w:w="1449"/>
        <w:gridCol w:w="1452"/>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2022-5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2022-5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303"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10.59</w:t>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2023-2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2023-2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2023-2 5.20%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2023-2 6.03%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2023-2 6.18%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2023-2 9.613%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2023-2 10.476% Rental Car Asset Backed Notes, Class R</w:t>
      </w:r>
    </w:p>
    <w:p>
      <w:pPr>
        <w:pStyle w:val="TextBody"/>
        <w:bidi w:val="0"/>
        <w:spacing w:before="0" w:after="240"/>
        <w:ind w:left="0" w:right="0" w:firstLine="14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304"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AMENDED AND RESTATED SERIES 2023-2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2023-2 Agent</w:t>
      </w:r>
      <w:r>
        <w:rPr>
          <w:color w:val="000000"/>
        </w:rPr>
        <w:t>”</w:t>
      </w:r>
      <w:r>
        <w:rPr>
          <w:rFonts w:ascii="Times New Roman;sans-serif" w:hAnsi="Times New Roman;sans-serif"/>
          <w:b w:val="false"/>
          <w:color w:val="000000"/>
          <w:sz w:val="24"/>
        </w:rPr>
        <w:t>) for the benefit of the Series 2023-2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WHEREAS, ABRCF and the Trustee entered into the Series 2023-2 Supplement, dated January 17, 2023 (as amended by the First Amendment to the Series 2023-2 Supplement, dated as of February 5, 2024,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17, 2023, ABRCF issued its Series 2023-2 5.20% Rental Car Asset Backed Notes, Class A, its Series 2023-2 6.03% Rental Car Asset Backed Notes, Class B, its Series 2023-2 6.18% Rental Car Asset Backed Notes, Class C, and its Series 2023-2 10.476% Rental Car Asset Backed Notes, Class R under the Prior Supplement;</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was created a Series of Notes issued pursuant to the Base Indenture and the Prior Supplement, and such Series of Notes was designated generally as the “Series 2023-2 Rental Car Asset Backed Notes”. The Series 2023-2 Notes were permitted to be issued in up to five Classes, the first of which is known as the “Class A Notes”, the second of which is known as the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305"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br/>
        <w:t xml:space="preserve">“Class B Notes”, the third of which is known as the “Class C Notes”, the fourth of which is known as the “Class R Notes” and the fifth of which shall be known as the “Class D Notes”. </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2023-2 5.20% Rental Car Asset Backed Notes, Class A”, (ii) one tranche of Class B Notes designated as the “Series 2023-2 6.03% Rental Car Asset Backed Notes, Class B”, (iii) one tranche of Class C Notes designated as the “Series 2023-2 6.18% Rental Car Asset Backed Notes, Class C” and (iv) one tranche of Class R Notes designated the “Series 2023-2 10.476% Rental Car Asset Backed Notes, Class R”. </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2023-2 9.613% Rental Car Asset Backed Notes, Class D” and (ii) the Additional Class R Notes.</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2023-2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20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2023-2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2023-2 Notes and not to any other Series of Notes issued by ABRCF. In the event that a term used herein shall be defined both herein and in the Base Indenture, the definition of such term herein shall govern.</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525780"/>
                <wp:effectExtent l="0" t="0" r="0" b="0"/>
                <wp:wrapNone/>
                <wp:docPr id="306" name="Frame29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2023-2 Notes and the definitions of such terms are applicable to the singular as well as the plural form of such terms and to the masculine as well as the feminine and neuter genders of such terms: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2023-2 Controlled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2023-2 Notes, which may be the Class A Notes, the Class B Notes, the Class C Notes, the Class D Notes or the Class R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2023-2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2023-2 Controlled Amortization Period, the Class A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2023-2 Controlled Amortization Period other than the Related Month immediately preceding the Series 2023-2 Expected Final Distribution Date, $50,598,333.33 and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525780"/>
                <wp:effectExtent l="0" t="0" r="0" b="0"/>
                <wp:wrapNone/>
                <wp:docPr id="307" name="Frame29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(ii) with respect to the Related Month immediately preceding the Series 2023-2 Expected Final Distribution Date, $50,598,333.35.</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2023-2 Controlled Amortization Period, an amount equal to the sum of the Class A Controlled Amortization Amount and any Class A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$303,590,000.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2023-2 Interest Period, an amount equal to $1,447,112.33 and (ii) any other Series 2023-2 Interest Period, an amount equal to the product of (A) one-twelfth of the Class A Note Rate and (B) the Class A Invested Amount on the first day of such Series 2023-2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2023-2 5.20%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5.20%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A/B/C Required Liquidity Amount divided by “Required Liquidity Amount” for each applicable Series for which such Multi-Series Letter of Credit is providing credit enhancement.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525780"/>
                <wp:effectExtent l="0" t="0" r="0" b="0"/>
                <wp:wrapNone/>
                <wp:docPr id="308" name="Frame29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2023-2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Multi-Series Letter of Credit Termination Date, the Class A/B/C Cash Collateral Account Surplus shall mean the excess, if any, of (x) the Class A/B/C Available Cash Collateral Account Amount over (y) the Series 2023-2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2023-2 Collection Account (not including amounts allocable to the Series 2023-2 Accrued Interest Account) and the Series 2023-2 Excess Collection Account as of such date. </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2023-2 Demand Notes on such date.</w:t>
      </w:r>
    </w:p>
    <w:p>
      <w:pPr>
        <w:pStyle w:val="TextBody"/>
        <w:bidi w:val="0"/>
        <w:spacing w:before="0" w:after="12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525780"/>
                <wp:effectExtent l="0" t="0" r="0" b="0"/>
                <wp:wrapNone/>
                <wp:docPr id="309" name="Frame29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lineRule="auto" w:line="276" w:before="0" w:after="240"/>
        <w:ind w:left="0" w:right="0" w:firstLine="1440"/>
        <w:jc w:val="left"/>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Series 2023-2 Maximum Jaguar Amount, Series 2023-2 Maximum Tesla Amount, the Series 2023-2 Maximum Land Rover Amount, the Series 2023-2 Maximum Mitsubishi Amount, the Series 2023-2 Maximum Isuzu Amount, the Series 2023-2 Maximum Subaru Amount, the Series 2023-2 Maximum Hyundai Amount, the Series 2023-2 Maximum Kia Amount, the Series 2023-2 Maximum Suzuki Amount, the Series 2023-2 Maximum Specified States Amount (if applicable), the Series 2023-2 Maximum Non-Perfected Vehicle Amount, the Series 2023-2 Maximum Non-Eligible Manufacturer Amount and the Series 2023-2 Maximum Medium/Heavy Duty Truck Amount.</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525780"/>
                <wp:effectExtent l="0" t="0" r="0" b="0"/>
                <wp:wrapNone/>
                <wp:docPr id="310" name="Frame29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Non-Perfected Vehicle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January 17, 2023.</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2023-2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2023-2 Invested Amount and the Class D Required Overcollateralization Amount and (ii) as of any other date of determination, 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2023-2 AESOP I Operating Lease Loan Agreement Borrowing Base on such date and (2) the lesser of (a) the Class A/B/C Liquidity Amount on such date and (b) the Class A/B/C Required Liquidity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525780"/>
                <wp:effectExtent l="0" t="0" r="0" b="0"/>
                <wp:wrapNone/>
                <wp:docPr id="311" name="Frame29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76" w:before="0" w:after="18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available amount allocated to the Class A/B/C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 xml:space="preserve">means, as of any date of determination, the sum, without duplication, of (i) the Series 2023-2 Moody’s Required Enhancement Amount as of such date, (ii) the Series 2023-2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2023-2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2023-2 AESOP I Operating Lease Vehicle Percentage as of the immediately preceding Business Day of the excess, if any, of the aggregate Net Book Value of all Vehicles manufactured by Subaru and leased under the Leases as of such date over the Series 2023-2 Maximum Subaru Amount as of such date, (v) the Series 2023-2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2023-2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2023-2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2023-2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2023-2 AESOP I Operating Lease Vehicle Percentage as of the immediately preceding Business Day of the excess, if any, of the aggregate Net Book Value of all Vehicles manufactured by Land Rover and leased under the Leases as of such date over the Class A/B/C Maximum Land Rover Amount </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525780"/>
                <wp:effectExtent l="0" t="0" r="0" b="0"/>
                <wp:wrapNone/>
                <wp:docPr id="312" name="Frame29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as of such date, (x) the Series 2023-2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2023-2 AESOP I Operating Lease 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2023-2 Maximum Non-Perfected Vehicle Amount (as applicable) as of such date, (xii) the Series 2023-2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2023-2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3.75% and the Class A/B/C Senior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2023-2 Collection Account (not including amounts allocable to the Series 2023-2 Accrued Interest Account) and the Series 2023-2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2023-2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2023-2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525780"/>
                <wp:effectExtent l="0" t="0" r="0" b="0"/>
                <wp:wrapNone/>
                <wp:docPr id="313" name="Frame29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2023-2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2023-2 Controlled Amortization Period, the Class B Carryover Controlled Amortization Amount shall be zero.</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2023-2 Controlled Amortization Period, $7,735,000.00.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2023-2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$46,410,000.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2023-2 Interest Period, an amount equal to $256,531.28 and (ii) any other Series 2023-2 Interest Period, an amount equal to the product of (A) one-twelfth of the Class B Note Rate and (B) the Class B Invested Amount on the first day of such Series 2023-2 Interest Period, after giving effect to any principal payments made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2023-2 6.03% Rental Car Asset Backed Notes, Class B, executed by ABRCF and authenticated by or on behalf of the Trustee,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6.03%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2023-2 Controlled Amortization Period, the amount, if any, by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525780"/>
                <wp:effectExtent l="0" t="0" r="0" b="0"/>
                <wp:wrapNone/>
                <wp:docPr id="314" name="Frame29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2023-2 Controlled Amortization Period, the Class C Carryover Controlled Amortization Amount shall be zero.</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2023-2 Controlled Amortization Period other than the Related Month immediately preceding the Series 2023-2 Expected Final Distribution Date, $6,123,333.33 and (ii) with respect to the Related Month immediately preceding the Series 2023-2 Expected Final Distribution Date, $6,123,333.35. </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2023-2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$36,740,000.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(A) for so long as ABRCF owns 100% of the Class C Notes, $0 and (B) if ABRCF owns less than 100% of the Class C Notes, with respect to (i) the initial Series 2023-2 Interest Period with respect to the Class C Notes, an amount equal to $283,816.50 and (ii) any other Series 2023-2 Interest Period, an amount equal to the product of (A) one-twelfth of the Class C Note Rate and (B) the Class C Invested Amount on the first day of such Series 2023-2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2023-2 6.18%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6.18%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D Notes and available to be drawn on such date under </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525780"/>
                <wp:effectExtent l="0" t="0" r="0" b="0"/>
                <wp:wrapNone/>
                <wp:docPr id="315" name="Frame30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D Required Liquidity Amount divided by “Required Liquidity Amount” for each applicable Series for which such Multi-Series Letter of Credit is providing credit enhancement.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2023-2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2023-2 Controlled Amortization Period, the Class D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Multi-Series Letter of Credit Termination Date, the Class D Cash Collateral Account Surplus shall mean the excess, if any, of (x) the Class D Available Cash Collateral Account Amount over (y) the Series 2023-2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2023-2 Controlled Amortization Period other than the Related Month immediately preceding the Series 2023-2 Expected Final Distribution Date, $8,791,666.67 and (ii) with respect to the Related Month immediately preceding the Series 2023-2 Expected Final Distribution Date, $8,791,666.65.</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525780"/>
                <wp:effectExtent l="0" t="0" r="0" b="0"/>
                <wp:wrapNone/>
                <wp:docPr id="316" name="Frame30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2023-2 Controlled Amortization Period, an amount equal to the sum of the Class D Controlled Amortization Amount and any Class D Carryover Controlled Amortization Amount for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2023-2 Collection Account (not including amounts allocable to the Series 2023-2 Accrued Interest Account) and the Series 2023-2 Excess Collection Account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means the aggregate initial principal amount of the Class D Notes, which is $52,750,000.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means 9.613%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2023-2 Demand Notes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 xml:space="preserve">means, collectively, the Class D Maximum Jaguar Amount, Class D Maximum Tesla Amount, the Class D Maximum Land Rover Amount,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525780"/>
                <wp:effectExtent l="0" t="0" r="0" b="0"/>
                <wp:wrapNone/>
                <wp:docPr id="317" name="Frame30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525780"/>
                <wp:effectExtent l="0" t="0" r="0" b="0"/>
                <wp:wrapNone/>
                <wp:docPr id="318" name="Frame30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means, with respect to (i) the initial Series 2023-2 Interest Period for the Class D Notes, an amount equal to $746,543 and (ii) any other Series 2023-2 Interest Period, an amount equal to the product of (A) one-twelfth of the Class D Note Rate in effect on the first day of such Series 2023-2 Interest Period and (B) the Class D Invested Amount on the first day of such Series 2023-2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 xml:space="preserve">means, with respect to (i) the initial Series 2023-2 Interest Period for the Class D Notes, an amount equal to $746,543 and (ii) any other Series 2023-2 Interest Period, an amount equal to the product of (A) one-twelfth of the Class D Initial Note Rate and (B) the Class D Invested Amount on the first day of such Series 2023-2 Interest Period, after giving effect to any principal payments made on such date.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means, with respect to any Series 2023-2 Interest Period, an amount equal to the excess, if any, of (x) the Class D Monthly Interest with respect to such Series 2023-2 Interest Period over (x) the Class D Monthly Senior Interest with respect to such Series 2023-2 Interest Period.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2023-2 9.613%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on and after March 19, 2025 and thereafter, (1) if any Class D Noteholder holds Subject Class D Notes in an aggregate principal amount of at least $190,000,000, the Class D Note Rate shall equal the greater of (x) the Class D Note Rate on March 18,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on March 18, 2025 and 6.50% and (2) if no Class D Noteholder holds 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1.00% and (y) the sum of the Interpolated Treasury Rate as of December 14, 2025 and 10.50%.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525780"/>
                <wp:effectExtent l="0" t="0" r="0" b="0"/>
                <wp:wrapNone/>
                <wp:docPr id="319" name="Frame30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2023-2 AESOP I Operating Lease Loan Agreement Borrowing Base as of such date over (y) the Series 2023-2 Invested Amount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distribution of the Monthly Total Principal Allocation for the Related Month if such date is a Distribution Date) over (ii) the Series 2023-2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2023-2 AESOP I Operating Lease Loan Agreement Borrowing Base on such date and (2) the lesser of (a) the Class D Liquidity Amount on such date and (b) the Class D Required Liquidity Amount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76" w:before="0" w:after="24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2023-2 Moody’s Required Enhancement Amount as of such date, (ii) the Series 2023-2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2023-2 AESOP I Operating Lease Vehicle Percentage as of the immediately preceding Business Day of the excess, if any, of the aggregate Net Book Value of all Vehicles manufactured by Isuzu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525780"/>
                <wp:effectExtent l="0" t="0" r="0" b="0"/>
                <wp:wrapNone/>
                <wp:docPr id="320" name="Frame30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and leased under the Leases as of such date over the Class D Maximum Isuzu Amount as of such date, (iv) the Series 2023-2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2023-2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2023-2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2023-2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2023-2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2023-2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2023-2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2023-2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2023-2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2023-2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 xml:space="preserve">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525780"/>
                <wp:effectExtent l="0" t="0" r="0" b="0"/>
                <wp:wrapNone/>
                <wp:docPr id="321" name="Frame30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(iv) the Class D Available Reserve Account Amount on such date and (v) the amount of cash and Permitted Investments on deposit in the Series 2023-2 Collection Account (not including amounts allocable to the Series 2023-2 Accrued Interest Account) and the Series 2023-2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2023-2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has the meaning set forth in Section 2.3(g)(v).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2023-2 Controlled Amortization Period other than the Related Month immediately preceding the Series 2023-2 Expected Final Distribution Date, $0 and (ii) with respect to the Related Month immediately preceding the Series 2023-2 Expected Final Distribution Date, $24,300,000.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$24,300,000.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2023-2 Interest Period, an amount equal to $204,540.58, (ii) the initial Series 2023-2 Interest Period following the Class D Notes Closing Date, an amount equal to $46,269 and (iii) any other Series 2023-2 Interest Period, an amount equal to the product of (A) one-twelfth of the Class R Note Rate and (B) the Class R Invested Amount on the first day of such Series 2023-2 Interest Period, after giving effect to any principal payments made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525780"/>
                <wp:effectExtent l="0" t="0" r="0" b="0"/>
                <wp:wrapNone/>
                <wp:docPr id="322" name="Frame30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2023-2 10.476%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10.476%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2023-2 Demand Note.</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525780"/>
                <wp:effectExtent l="0" t="0" r="0" b="0"/>
                <wp:wrapNone/>
                <wp:docPr id="323" name="Frame30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Ratings, Inc.</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A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B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Global Class R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Lease Deficit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2023-2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2023-2 Note of the excess, if any, of (x) the sum of the Discounted Values for each Remaining Distribution Amount with respect to each Applicable Distribution Date over (y) the Series 2023-2 Invested Amount as of such Optional Repurchase Distribution Date (determined after giving effect to any payments made pursuant to Section 2.5(a)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 xml:space="preserve">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525780"/>
                <wp:effectExtent l="0" t="0" r="0" b="0"/>
                <wp:wrapNone/>
                <wp:docPr id="324" name="Frame30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under the AESOP I Operating Lease and the Finance Lease as of the preceding Determination Date and the two Determination Dates precedent thereto.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2023-2 Principal Allocations with respect to such Related Month.</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2023-2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525780"/>
                <wp:effectExtent l="0" t="0" r="0" b="0"/>
                <wp:wrapNone/>
                <wp:docPr id="325" name="Frame3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2023-2 Eligible Letter of Credit Provider in favor of the Trustee for the benefit, in whole or in part, of the Series 2023-2 Noteholders (provided that a Multi-Series Letter of Credit may also benefit Noteholders of certain other Series).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Expiration Date</w:t>
      </w:r>
      <w:r>
        <w:rPr>
          <w:color w:val="000000"/>
        </w:rPr>
        <w:t xml:space="preserve">” </w:t>
      </w:r>
      <w:r>
        <w:rPr>
          <w:rFonts w:ascii="Times New Roman;sans-serif" w:hAnsi="Times New Roman;sans-serif"/>
          <w:b w:val="false"/>
          <w:color w:val="000000"/>
          <w:sz w:val="24"/>
        </w:rPr>
        <w:t>means, with respect to any Multi-Series Letter of Credit, the expiration date set forth in such Multi-Series Letter of Credit, as such date may be extended in accordance with the terms of such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Provider</w:t>
      </w:r>
      <w:r>
        <w:rPr>
          <w:color w:val="000000"/>
        </w:rPr>
        <w:t xml:space="preserve">” </w:t>
      </w:r>
      <w:r>
        <w:rPr>
          <w:rFonts w:ascii="Times New Roman;sans-serif" w:hAnsi="Times New Roman;sans-serif"/>
          <w:b w:val="false"/>
          <w:color w:val="000000"/>
          <w:sz w:val="24"/>
        </w:rPr>
        <w:t>means any issuer of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2023-2 Notes are fully paid and (b) the Series 2023-2 Termination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525780"/>
                <wp:effectExtent l="0" t="0" r="0" b="0"/>
                <wp:wrapNone/>
                <wp:docPr id="326" name="Frame3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Permanent Global Series 2023-2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6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2023-2 Demand Notes included in the Series 2023-2 Demand Note Payment Amount as of the Multi-Series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2023-2 Demand Note Payment Amount as of the date of the conclusion or dismissal of such proceedings.</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May 2026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May 2026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May 2026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May 2026 Distribution Date, the Class R Controlled Amortization Amount with respect to the Related Month preceding the first such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525780"/>
                <wp:effectExtent l="0" t="0" r="0" b="0"/>
                <wp:wrapNone/>
                <wp:docPr id="327" name="Frame3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Required Controlling Class Series 2023-2 Noteholders</w:t>
      </w:r>
      <w:r>
        <w:rPr>
          <w:color w:val="000000"/>
        </w:rPr>
        <w:t xml:space="preserve">” </w:t>
      </w:r>
      <w:r>
        <w:rPr>
          <w:rFonts w:ascii="Times New Roman;sans-serif" w:hAnsi="Times New Roman;sans-serif"/>
          <w:b w:val="false"/>
          <w:color w:val="000000"/>
          <w:sz w:val="24"/>
        </w:rPr>
        <w:t xml:space="preserve">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2023-2 Notes held by ABCR or any Affiliate of ABCR unless ABCR or such Affiliate is the sole Series 2023-2 Noteholder) and (v) if no Class A Notes, Class B Notes, Class C Notes or Class D Notes are outstanding, Class R Noteholders holding more than 50% Class R Invested Amount (excluding, for the purpose of making any of the foregoing calculations, any Series 2023-2 Notes held by ABCR or any Affiliate of ABCR unless ABCR or such Affiliate is the sole Series 2023-2 Noteholder).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Requisite Series 2023-2 Noteholders</w:t>
      </w:r>
      <w:r>
        <w:rPr>
          <w:color w:val="000000"/>
        </w:rPr>
        <w:t xml:space="preserve">” </w:t>
      </w:r>
      <w:r>
        <w:rPr>
          <w:rFonts w:ascii="Times New Roman;sans-serif" w:hAnsi="Times New Roman;sans-serif"/>
          <w:b w:val="false"/>
          <w:color w:val="000000"/>
          <w:sz w:val="24"/>
        </w:rPr>
        <w:t>means Series 2023-2 Noteholders holding, in the aggregate, more than 50% of the Series 2023-2 Invested Amount (excluding, for the purpose of making the foregoing calculation (x) for all purposes, any Series 2023-2 Notes held by ABCR or any Affiliate of ABCR unless ABCR or such Affiliate is the sole Series 2023-2 Noteholder and (y) for so long as any Class A Notes, the Class B Notes, or the Class C Notes are outstanding, any Class D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525780"/>
                <wp:effectExtent l="0" t="0" r="0" b="0"/>
                <wp:wrapNone/>
                <wp:docPr id="328" name="Frame3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means the Series of Notes designated as the Series 2010-6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means the Series of Notes designated as the Series 2011-4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means the Series of Notes designated as the Series 2015-3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means the Series of Notes designated as the Series 2019-2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means the Series of Notes designated as the Series 2019-3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means the Series of Notes designated as the Series 2020-1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means the Series of Notes designated as the Series 2020-2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means the Series of Notes designated as the Series 2021-1 Notes.</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means the Series of Notes designated as the Series 2021-2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means the Series of Notes designated as the Series 2022-1 Notes.</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525780"/>
                <wp:effectExtent l="0" t="0" r="0" b="0"/>
                <wp:wrapNone/>
                <wp:docPr id="329" name="Frame31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means the Series of Notes designated as the Series 2022-3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means the Series of Notes designated as the Series 2022-4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means the Series of Notes designated as the Series 2022-5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means the Series of Notes designated as the Series 2023-1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Accounts</w:t>
      </w:r>
      <w:r>
        <w:rPr>
          <w:color w:val="000000"/>
        </w:rPr>
        <w:t xml:space="preserve">” </w:t>
      </w:r>
      <w:r>
        <w:rPr>
          <w:rFonts w:ascii="Times New Roman;sans-serif" w:hAnsi="Times New Roman;sans-serif"/>
          <w:b w:val="false"/>
          <w:color w:val="000000"/>
          <w:sz w:val="24"/>
        </w:rPr>
        <w:t>means each of the Series 2023-2 Distribution Account, the Class A/B/C Reserve Account, the Class D Reserve Account, the Series 2023-2 Collection Account, the Series 2023-2 Excess Collection Account and the Series 2023-2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2023-2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2023-2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2023-2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2023-2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2023-2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2023-2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2023-2 Invested Percentage (calculated with respect to Principal Collections)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Collateral</w:t>
      </w:r>
      <w:r>
        <w:rPr>
          <w:color w:val="000000"/>
        </w:rPr>
        <w:t xml:space="preserve">” </w:t>
      </w:r>
      <w:r>
        <w:rPr>
          <w:rFonts w:ascii="Times New Roman;sans-serif" w:hAnsi="Times New Roman;sans-serif"/>
          <w:b w:val="false"/>
          <w:color w:val="000000"/>
          <w:sz w:val="24"/>
        </w:rPr>
        <w:t>means the Collateral, the Multi-Series Letters of Credit, each Series 2023-2 Demand Note, the Series 2023-2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525780"/>
                <wp:effectExtent l="0" t="0" r="0" b="0"/>
                <wp:wrapNone/>
                <wp:docPr id="330" name="Frame31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Controlled Amortization Period</w:t>
      </w:r>
      <w:r>
        <w:rPr>
          <w:color w:val="000000"/>
        </w:rPr>
        <w:t xml:space="preserve">” </w:t>
      </w:r>
      <w:r>
        <w:rPr>
          <w:rFonts w:ascii="Times New Roman;sans-serif" w:hAnsi="Times New Roman;sans-serif"/>
          <w:b w:val="false"/>
          <w:color w:val="000000"/>
          <w:sz w:val="24"/>
        </w:rPr>
        <w:t>means the period commencing upon the close of business on March 31, 2026 (or, if such day is not a Business Day, the Business Day immediately preceding such day) and continuing to the earliest of (i) the commencement of the Series 2023-2 Rapid Amortization Period, (ii) the date on which the Series 2023-2 Notes are fully paid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Demand Note Payment Amount</w:t>
      </w:r>
      <w:r>
        <w:rPr>
          <w:color w:val="000000"/>
        </w:rPr>
        <w:t xml:space="preserve">” </w:t>
      </w:r>
      <w:r>
        <w:rPr>
          <w:rFonts w:ascii="Times New Roman;sans-serif" w:hAnsi="Times New Roman;sans-serif"/>
          <w:b w:val="false"/>
          <w:color w:val="000000"/>
          <w:sz w:val="24"/>
        </w:rPr>
        <w:t xml:space="preserve">means, as of the Multi-Series Letter of Credit Termination Date, the aggregate amount of all proceeds of demands made on the Series 2023-2 Demand Notes pursuant to Section 2.5 (c)(i), (d)(i) or (e)(i) that were deposited into the Series 2023-2 Distribution Account and paid to the Series 2023-2 Noteholders during the one year period ending on the Multi-Series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2023-2 Demand Note Payment Amount as of the Multi-Series Letter of Credit Termination Date shall equal the Series 2023-2 Demand Note Payment Amount as if it were calculated as of the date of such occurrence.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Multi-Series Letter of Credit Provider (or a letter of credit provider under the Series Supplement for any other Series of Notes), then such Person shall not be a Series 2023-2 Eligible Letter of Credit Provider until ABRCF has provided ten (10) days’ prior notice to the Rating Agencies that such Person has been proposed as a Multi-Series Letter of Credit Provider.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Multi-Series Letters of Credit, the Series 2023-2 Demand Notes, the Class D Overcollateralization Amount and the Class A/B/C Required Reserve Account Amount.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525780"/>
                <wp:effectExtent l="0" t="0" r="0" b="0"/>
                <wp:wrapNone/>
                <wp:docPr id="331" name="Frame31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Excess Tesla Percentage</w:t>
      </w:r>
      <w:r>
        <w:rPr>
          <w:color w:val="000000"/>
        </w:rPr>
        <w:t xml:space="preserve">” </w:t>
      </w:r>
      <w:r>
        <w:rPr>
          <w:rFonts w:ascii="Times New Roman;sans-serif" w:hAnsi="Times New Roman;sans-serif"/>
          <w:b w:val="false"/>
          <w:color w:val="000000"/>
          <w:sz w:val="24"/>
        </w:rPr>
        <w:t>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Expected Final Distribution Date</w:t>
      </w:r>
      <w:r>
        <w:rPr>
          <w:color w:val="000000"/>
        </w:rPr>
        <w:t xml:space="preserve">” </w:t>
      </w:r>
      <w:r>
        <w:rPr>
          <w:rFonts w:ascii="Times New Roman;sans-serif" w:hAnsi="Times New Roman;sans-serif"/>
          <w:b w:val="false"/>
          <w:color w:val="000000"/>
          <w:sz w:val="24"/>
        </w:rPr>
        <w:t>means the October 2026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Final Distribution Date</w:t>
      </w:r>
      <w:r>
        <w:rPr>
          <w:color w:val="000000"/>
        </w:rPr>
        <w:t xml:space="preserve">” </w:t>
      </w:r>
      <w:r>
        <w:rPr>
          <w:rFonts w:ascii="Times New Roman;sans-serif" w:hAnsi="Times New Roman;sans-serif"/>
          <w:b w:val="false"/>
          <w:color w:val="000000"/>
          <w:sz w:val="24"/>
        </w:rPr>
        <w:t>means the October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Interest Period</w:t>
      </w:r>
      <w:r>
        <w:rPr>
          <w:color w:val="000000"/>
        </w:rPr>
        <w:t xml:space="preserve">” </w:t>
      </w:r>
      <w:r>
        <w:rPr>
          <w:rFonts w:ascii="Times New Roman;sans-serif" w:hAnsi="Times New Roman;sans-serif"/>
          <w:b w:val="false"/>
          <w:color w:val="000000"/>
          <w:sz w:val="24"/>
        </w:rPr>
        <w:t xml:space="preserve">means a period commencing on and including a Distribution Date and ending on and including the day preceding the next succeeding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2023-2 Interest Period with respect to the Class A Notes, the Class B Notes and the Class C Notes commenced on and included the Class A/B/C Notes Closing Date and ended on and included February 20, 2023 and (y) the initial Series 2023-2 Interest Period with respect to the Class D Notes shall commence on and include the Class D Closing Date and shall end on and include February 19, 2025.</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2023-2 Invested Amount and the Class D Overcollateralization Amount, determined during the Series 2023-2 Revolving Period as of the end of the Related Month (or, until the end of the Related Month during which the Class D Notes Closing Date occurs, on the Class D Notes Closing Date), or, during the Series 2023-2 Controlled Amortization Period and the Series 2023-2 Rapid Amortization Period, as of the end of the Series 2023-2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when used with respect to Interest Collections, the percentage equivalent (which percentage shall never exceed 100%) of a fraction, the numerator of which shall be the Accrued Amounts with respect to the Series 2023-2 Notes on such date of determination, and the denominator of which shall be the aggregate Accrued Amounts with respect to all Series of Notes on such date of determination. For so long as ABRCF owns 100% of the Class C Notes, the accrued </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525780"/>
                <wp:effectExtent l="0" t="0" r="0" b="0"/>
                <wp:wrapNone/>
                <wp:docPr id="332" name="Frame31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and unpaid interest with respect to the Class C Notes shall be $0 for purposes of calculating the Accrued Amounts with respect to the Series 2023-2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2023-2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2023-2 Accrued Interest Account (excluding any amounts paid into the Series 2023-2 Accrued Interest Account pursuant to the proviso in Sections 2.2(c)(ii) and/or 2.2(d)(ii)) from and excluding the preceding Distribution Date to and including the Business Day immediately preceding such Distribution Date over (2) the Class R Monthly Interest with respect to the Series 2023-2 Interest Period ended on the day preceding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Lease Payment Deficit</w:t>
      </w:r>
      <w:r>
        <w:rPr>
          <w:color w:val="000000"/>
        </w:rPr>
        <w:t xml:space="preserve">” </w:t>
      </w:r>
      <w:r>
        <w:rPr>
          <w:rFonts w:ascii="Times New Roman;sans-serif" w:hAnsi="Times New Roman;sans-serif"/>
          <w:b w:val="false"/>
          <w:color w:val="000000"/>
          <w:sz w:val="24"/>
        </w:rPr>
        <w:t>means either a Series 2023-2 Lease Interest Payment Deficit or a Series 2023-2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2023-2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2023-2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Lease Principal Payment Deficit</w:t>
      </w:r>
      <w:r>
        <w:rPr>
          <w:color w:val="000000"/>
        </w:rPr>
        <w:t xml:space="preserve">” </w:t>
      </w:r>
      <w:r>
        <w:rPr>
          <w:rFonts w:ascii="Times New Roman;sans-serif" w:hAnsi="Times New Roman;sans-serif"/>
          <w:b w:val="false"/>
          <w:color w:val="000000"/>
          <w:sz w:val="24"/>
        </w:rPr>
        <w:t>means on any Distribution Date, the sum of (a) the Series 2023-2 Monthly Lease Principal Payment Deficit for such Distribution Date and (b) the Series 2023-2 Lease Principal Payment Carryover Deficit for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2023-2 Limited Liquidation Event of Default if the Trustee shall have received the written consent of the Requisite Series 2023-2 Noteholders waiving the occurrence of such Series 2023-2 Limited Liquidation Event of Default. The Trustee shall promptly (but in any event within two (2) days) provide the Rating Agencies with written notice of such waiver.</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2023-2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2023-2 Collection Account (without giving effect to any amounts paid into the Series 2023-2 Accrued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525780"/>
                <wp:effectExtent l="0" t="0" r="0" b="0"/>
                <wp:wrapNone/>
                <wp:docPr id="333" name="Frame31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Moody’s Highest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14.50% (with respect to calculating the Class D Required Enhancement Amount) or 28.25% (with respect to calculating the Class A/B/C Required Enhancement Amount), (b) the greater of (x) the highest, for any calendar month within the preceding 12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Measurement Month Average for the immediately preceding Measurement Month and (y)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a percentage equal to the product of (x) the Series 2023-2 Excess Tesla Percentage and (y) 10%.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sum of (a) the Series 2023-2 Moody’s Lowest Enhanced Vehicle Percentage, (b) the Series 2023-2 Moody’s Highest Enhanced Vehicle Percentage and (c) the Series 2023-2 Moody’s Trucks Percentage.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2023-2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16.15%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Lowest Enhanced Vehicle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525780"/>
                <wp:effectExtent l="0" t="0" r="0" b="0"/>
                <wp:wrapNone/>
                <wp:docPr id="334" name="Frame31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12.65%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Required Enhancement Amount</w:t>
      </w:r>
      <w:r>
        <w:rPr>
          <w:color w:val="000000"/>
        </w:rPr>
        <w:t xml:space="preserve">” </w:t>
      </w:r>
      <w:r>
        <w:rPr>
          <w:rFonts w:ascii="Times New Roman;sans-serif" w:hAnsi="Times New Roman;sans-serif"/>
          <w:b w:val="false"/>
          <w:color w:val="000000"/>
          <w:sz w:val="24"/>
        </w:rPr>
        <w:t xml:space="preserve">means, as of any date of determination, the product of (i) the applicable Series 2023-2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2023-2 Senior Invested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Series 2023-2 Allocated Cash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Required Enhancement Percentage</w:t>
      </w:r>
      <w:r>
        <w:rPr>
          <w:color w:val="000000"/>
        </w:rPr>
        <w:t xml:space="preserve">” </w:t>
      </w:r>
      <w:r>
        <w:rPr>
          <w:rFonts w:ascii="Times New Roman;sans-serif" w:hAnsi="Times New Roman;sans-serif"/>
          <w:b w:val="false"/>
          <w:color w:val="000000"/>
          <w:sz w:val="24"/>
        </w:rPr>
        <w:t>means, as of any date of determination, the sum of (i) the product of (A) the Series 2023-2 Moody’s Lowest Enhancement Rate as of such date and (B) the Series 2023-2 Moody’s Lowest Enhanced Vehicle Percentage as of such date, (ii) the product of (A) the Series 2023-2 Moody’s Intermediate Enhancement Rate as of such date and (B) the Series 2023-2 Moody’s Intermediate Enhanced Vehicle Percentage as of such date, (iii) the product of (A) the Series 2023-2 Moody’s Highest Enhancement Rate as of such date and (B) the Series 2023-2 Moody’s Highest Enhanced Vehicle Percentage as of such date and (iv) the product of (A) the Series 2023-2 Moody’s Trucks Enhancement Rate as of such date and (B) the Series 2023-2 Moody’s Trucks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 Owner</w:t>
      </w:r>
      <w:r>
        <w:rPr>
          <w:color w:val="000000"/>
        </w:rPr>
        <w:t xml:space="preserve">” </w:t>
      </w:r>
      <w:r>
        <w:rPr>
          <w:rFonts w:ascii="Times New Roman;sans-serif" w:hAnsi="Times New Roman;sans-serif"/>
          <w:b w:val="false"/>
          <w:color w:val="000000"/>
          <w:sz w:val="24"/>
        </w:rPr>
        <w:t xml:space="preserve">means each beneficial owner of a Series 2023-2 Note.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525780"/>
                <wp:effectExtent l="0" t="0" r="0" b="0"/>
                <wp:wrapNone/>
                <wp:docPr id="335" name="Frame32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2023-2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2023-2 Notes and ending upon the earliest to occur of (i) the date on which the Series 2023-2 Notes are fully paid, (ii) the Series 2023-2 Final Distribution Date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2023-2 Controlled Amortization Period and (ii) the commencement of the Series 2023-2 Rapid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2023-2 Interest Period ended on the day preceding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525780"/>
                <wp:effectExtent l="0" t="0" r="0" b="0"/>
                <wp:wrapNone/>
                <wp:docPr id="336" name="Frame32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Termination Date</w:t>
      </w:r>
      <w:r>
        <w:rPr>
          <w:color w:val="000000"/>
        </w:rPr>
        <w:t xml:space="preserve">” </w:t>
      </w:r>
      <w:r>
        <w:rPr>
          <w:rFonts w:ascii="Times New Roman;sans-serif" w:hAnsi="Times New Roman;sans-serif"/>
          <w:b w:val="false"/>
          <w:color w:val="000000"/>
          <w:sz w:val="24"/>
        </w:rPr>
        <w:t>means the October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Trustee’s Fees</w:t>
      </w:r>
      <w:r>
        <w:rPr>
          <w:color w:val="000000"/>
        </w:rPr>
        <w:t xml:space="preserve">” </w:t>
      </w:r>
      <w:r>
        <w:rPr>
          <w:rFonts w:ascii="Times New Roman;sans-serif" w:hAnsi="Times New Roman;sans-serif"/>
          <w:b w:val="false"/>
          <w:color w:val="000000"/>
          <w:sz w:val="24"/>
        </w:rPr>
        <w:t xml:space="preserve">means, for any Distribution Date during the Series 2023-2 Rapid Amortization Period on which there exists a Series 2023-2 Lease Interest Payment Deficit, a portion of the fees payable to the Trustee in an amount equal to the product of (i) the Series 2023-2 Percentage as of the beginning of the Series 2023-2 Interest Period ending on the 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2023-2 Trustee’s Fees in the aggregate for all Distribution Dates shall not exceed 1.1% of the Series 2023-2 Required AESOP I Operating Lease Vehicle Amount as of the last day of the Series 2023-2 Revolving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means the Series of Notes designated as the Series 2023-3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means the Series of Notes designated as the Series 2023-4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means the Series of Notes designated as the Series 2023-5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means the Series of Notes designated as the Series 2023-6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means the Series of Notes designated as the Series 2023-7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means the Series of Notes designated as the Series 2023-8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means the Series of Notes designated as the Series 2024-1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means the Series of Notes designated as the Series 2024-2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means the Series of Notes designated as the Series 2024-3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means a rate per annum equal to the secured overnight financing rate as administered by the SOFR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 xml:space="preserve">means the NYFRB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NYFRB’s Website, or any successor source for the secured overnight financing rate identified as such by the SOFR Administrator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525780"/>
                <wp:effectExtent l="0" t="0" r="0" b="0"/>
                <wp:wrapNone/>
                <wp:docPr id="337" name="Frame32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(Non-Perfected Lien)</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(Trucks)</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allow for “medium duty” and “heavy duty” trucks to be considered an “Eligible Vehicle” under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means (x) the Class D Notes and (y) the Classes of Notes designated as the Series 2020-2 Notes, Class D, the Series 2022-5 Notes, Class D, the Series 2023-3 Notes, Class D, the Series 2023-5 Notes, Class D, and the Series 2024-2 Notes, Class 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2023-2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Unpaid Demand Note Demand.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(i) a Saturday, (ii) a Sunday or (iii) a day on which the Securities Industry and Financial Markets </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525780"/>
                <wp:effectExtent l="0" t="0" r="0" b="0"/>
                <wp:wrapNone/>
                <wp:docPr id="338" name="Frame3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Association recommends that the fixed income departments of its members be closed for the entire day for purposes of trading in United States government securities. </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means the federal interagency credit risk retention rules, codified at 17 C.F.R. Part 246.</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2023-2 Invested Amount (or any component thereof) on any date shall, unless otherwise stated, be calculated after giving effect to any payment of principal made to the applicable Series 2023-2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2023-2 ALLOCATIONS</w:t>
      </w:r>
    </w:p>
    <w:p>
      <w:pPr>
        <w:pStyle w:val="TextBody"/>
        <w:bidi w:val="0"/>
        <w:spacing w:lineRule="auto" w:line="28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2023-2 Notes, the following shall apply:</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2023-2 Collection Account, Series 2023-2 Excess Collection Account and Series 2023-2 Accrued Interest Account</w:t>
      </w:r>
      <w:r>
        <w:rPr>
          <w:rFonts w:ascii="Times New Roman;sans-serif" w:hAnsi="Times New Roman;sans-serif"/>
          <w:b w:val="false"/>
          <w:color w:val="000000"/>
          <w:sz w:val="24"/>
        </w:rPr>
        <w:t>. (a) All Collections allocable to the Series 2023-2 Notes shall be allocated to the Collection Account.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2023-2 Noteholders: the Series 2023-2 Collection Account (such sub-account, the “</w:t>
      </w:r>
      <w:r>
        <w:rPr>
          <w:rFonts w:ascii="Times New Roman;sans-serif" w:hAnsi="Times New Roman;sans-serif"/>
          <w:b w:val="false"/>
          <w:color w:val="000000"/>
          <w:sz w:val="24"/>
          <w:u w:val="single"/>
        </w:rPr>
        <w:t>Series 2023-2 Collection Account</w:t>
      </w:r>
      <w:r>
        <w:rPr>
          <w:color w:val="000000"/>
        </w:rPr>
        <w:t>”</w:t>
      </w:r>
      <w:r>
        <w:rPr>
          <w:rFonts w:ascii="Times New Roman;sans-serif" w:hAnsi="Times New Roman;sans-serif"/>
          <w:b w:val="false"/>
          <w:color w:val="000000"/>
          <w:sz w:val="24"/>
        </w:rPr>
        <w:t>), the Series 2023-2 Excess Collection Account (such sub-account, the “</w:t>
      </w:r>
      <w:r>
        <w:rPr>
          <w:rFonts w:ascii="Times New Roman;sans-serif" w:hAnsi="Times New Roman;sans-serif"/>
          <w:b w:val="false"/>
          <w:color w:val="000000"/>
          <w:sz w:val="24"/>
          <w:u w:val="single"/>
        </w:rPr>
        <w:t>Series 2023-2 Excess Collection Account</w:t>
      </w:r>
      <w:r>
        <w:rPr>
          <w:color w:val="000000"/>
        </w:rPr>
        <w:t>”</w:t>
      </w:r>
      <w:r>
        <w:rPr>
          <w:rFonts w:ascii="Times New Roman;sans-serif" w:hAnsi="Times New Roman;sans-serif"/>
          <w:b w:val="false"/>
          <w:color w:val="000000"/>
          <w:sz w:val="24"/>
        </w:rPr>
        <w:t>) and the Series 2023-2 Accrued Interest Account (such sub-account, the “</w:t>
      </w:r>
      <w:r>
        <w:rPr>
          <w:rFonts w:ascii="Times New Roman;sans-serif" w:hAnsi="Times New Roman;sans-serif"/>
          <w:b w:val="false"/>
          <w:color w:val="000000"/>
          <w:sz w:val="24"/>
          <w:u w:val="single"/>
        </w:rPr>
        <w:t>Series 2023-2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2023-2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2023-2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2023-2 Revolving Period</w:t>
      </w:r>
      <w:r>
        <w:rPr>
          <w:rFonts w:ascii="Times New Roman;sans-serif" w:hAnsi="Times New Roman;sans-serif"/>
          <w:b w:val="false"/>
          <w:color w:val="000000"/>
          <w:sz w:val="24"/>
        </w:rPr>
        <w:t xml:space="preserve">. During the Series 2023-2 Revolving Period, the Administrator will direct the Trustee in writing </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525780"/>
                <wp:effectExtent l="0" t="0" r="0" b="0"/>
                <wp:wrapNone/>
                <wp:docPr id="339" name="Frame32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Administration Agreement to allocate, prior to 11:00 a.m. (New York City time) on each Series 2023-2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2023-2 Collection Account an amount equal to the Series 2023-2 Invested Percentage (as of such day) of the aggregate amount of Interest Collections on such day. All such amounts allocated to the Series 2023-2 Collection Account shall be further allocated to the Series 2023-2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allocate to the Series 2023-2 Excess Collection Account an amount equal to the Series 2023-2 Invested Percentage (as of such day) of the aggregate amount of Principal Collections on such day (for any such day, the “</w:t>
      </w:r>
      <w:r>
        <w:rPr>
          <w:rFonts w:ascii="Times New Roman;sans-serif" w:hAnsi="Times New Roman;sans-serif"/>
          <w:b w:val="false"/>
          <w:color w:val="000000"/>
          <w:sz w:val="24"/>
          <w:u w:val="single"/>
        </w:rPr>
        <w:t>Series 2023-2 Principal Allocation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2023-2 Controlled Amortization Period</w:t>
      </w:r>
      <w:r>
        <w:rPr>
          <w:rFonts w:ascii="Times New Roman;sans-serif" w:hAnsi="Times New Roman;sans-serif"/>
          <w:b w:val="false"/>
          <w:color w:val="000000"/>
          <w:sz w:val="24"/>
        </w:rPr>
        <w:t>. With respect to the Series 2023-2 Controlled Amortization Period, the Administrator will direct the Trustee in writing pursuant to the Administration Agreement to allocate, prior to 11:00 a.m. (New York City time) on any Series 2023-2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2023-2 Collection Account an amount determined as set forth in Section 2.2(a)(i) above for such day, which amount shall be further allocated to the Series 2023-2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2023-2 Collection Account an amount equal to the Series 2023-2 Principal Allocation for such day, which amount shall be used to make principal payments in respect of the Series 2023-2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2023-2 Excess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2023-2 Rapid Amortization Period</w:t>
      </w:r>
      <w:r>
        <w:rPr>
          <w:rFonts w:ascii="Times New Roman;sans-serif" w:hAnsi="Times New Roman;sans-serif"/>
          <w:b w:val="false"/>
          <w:color w:val="000000"/>
          <w:sz w:val="24"/>
        </w:rPr>
        <w:t>. With respect to the Series 2023-2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2023-2 Deposit Date, all amounts deposited into the Collection Account as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525780"/>
                <wp:effectExtent l="0" t="0" r="0" b="0"/>
                <wp:wrapNone/>
                <wp:docPr id="340" name="Frame32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6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2023-2 Collection Account an amount determined as set forth in Section 2.2(a)(i) above for such day, which amount shall be further allocated to the Series 2023-2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2023-2 Collection Account an amount equal to the Series 2023-2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2023-2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2023-2 Notes during the Related Month equal to the lesser of such insufficiency and the Class A/B/C Enhancement Amount to the Series 2023-2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2023-2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2023-2 Notes during the Related Month equal to the lesser of such insufficiency and the Class D Enhancement Amount to </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525780"/>
                <wp:effectExtent l="0" t="0" r="0" b="0"/>
                <wp:wrapNone/>
                <wp:docPr id="341" name="Frame32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Series 2023-2 Accrued Interest Account to be treated as Interest Collections on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2023-2 Deposit Date, all amounts attributable to the AESOP I Operating Lease Loan Agreement deposited into the Collection Account as set forth below:</w:t>
      </w:r>
    </w:p>
    <w:p>
      <w:pPr>
        <w:pStyle w:val="TextBody"/>
        <w:bidi w:val="0"/>
        <w:spacing w:lineRule="auto" w:line="264"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2023-2 Collection Account an amount equal to the Series 2023-2 AESOP I Operating Lease Vehicle Percentage as of the date of the occurrence of such Event of Bankruptcy of the aggregate amount of Interest Collections made under the AESOP I Operating Lease Loan Agreement for such day. All such amounts allocated to the Series 2023-2 Collection Account shall be further allocated to the Series 2023-2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2023-2 Collection Account an amount equal to the Series 2023-2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2023-2 Notes during the Related Month equal to the lesser of such insufficiency and the Class A/B/C Enhancement Amount to the Series 2023-2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525780"/>
                <wp:effectExtent l="0" t="0" r="0" b="0"/>
                <wp:wrapNone/>
                <wp:docPr id="342" name="Frame32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2023-2 Notes during the Related Month equal to the lesser of such insufficiency and the Class D Enhancement Amount to the Series 2023-2 Accrued Interest Account to be treated as Interest Collections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2023-2 Excess Collection Account</w:t>
      </w:r>
      <w:r>
        <w:rPr>
          <w:rFonts w:ascii="Times New Roman;sans-serif" w:hAnsi="Times New Roman;sans-serif"/>
          <w:b w:val="false"/>
          <w:color w:val="000000"/>
          <w:sz w:val="24"/>
        </w:rPr>
        <w:t xml:space="preserve">. Amounts allocated to the Series 2023-2 Excess Collection Account on any Series 2023-2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2023-2 Enhancement Deficiency or AESOP I Operating Lease Vehicle Deficiency would result therefrom or exist immediately thereafter. Upon the occurrence of an Amortization Event and once a Trust Officer has actual knowledge of the Amortization Event, funds on deposit in the Series 2023-2 Excess Collection Account will be withdrawn by the Trustee, deposited in the Series 2023-2 Collection Account and allocated as Principal Collections to reduce the Series 2023-2 Invested Amount on the immediately succeeding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2023-2 Notes (i) during the Series 2023-2 Revolving Period shall be allocated to the Series 2023-2 Excess Collection Account and applied in accordance with Section 2.2(e) and (ii) during the Series 2023-2 Controlled Amortization Period or the Series 2023-2 Rapid Amortization Period shall be allocated to the Series 2023-2 Collection Account and applied in accordance with Section 2.2(b) or 2.2(c), as applicable, to make principal payments in respect of the Series 2023-2 Notes.</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525780"/>
                <wp:effectExtent l="0" t="0" r="0" b="0"/>
                <wp:wrapNone/>
                <wp:docPr id="343" name="Frame32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Notwithstanding the foregoing, if in the case of Section 2.2(a) or (b), after the occurrence of a Series 2023-2 Lease Payment Deficit, the Lessees shall make payments of Monthly Base Rent or other amounts payable by the Lessees under the Leases on or prior to the fifth Business Day after the occurrence of such Series 2023-2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2023-2 Collection Account an amount equal to the Series 2023-2 Invested Percentage as of the date of the occurrence of such Series 2023-2 Lease Payment Deficit of the Collections attributable to such Past Due Rent Payment (the “</w:t>
      </w:r>
      <w:r>
        <w:rPr>
          <w:rFonts w:ascii="Times New Roman;sans-serif" w:hAnsi="Times New Roman;sans-serif"/>
          <w:b w:val="false"/>
          <w:color w:val="000000"/>
          <w:sz w:val="24"/>
          <w:u w:val="single"/>
        </w:rPr>
        <w:t>Series 2023-2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2023-2 Collection Account and apply the Series 2023-2 Past Due Rent Payment in the following order: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the occurrence of such Series 2023-2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2023-2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2023-2 Past Due Rent Payment;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the occurrence of such Series 2023-2 Lease Payment Deficit resulted in a withdrawal being made from the Class A/B/C Cash Collateral Account, deposit in the Class A/B/C Cash Collateral Account an amount equal to the lesser of (x) the amount of the Series 2023-2 Past Due Rent Payment remaining after any payment pursuant to clause (i) above and (y) the amount withdrawn from the Class A/B/C Cash Collateral Account on account of such Series 2023-2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the occurrence of such Series 2023-2 Lease Payment Deficit resulted in a withdrawal being made from the Class A/B/C Reserve Account pursuant to Section 2.3(d), deposit in the Class A/B/C Reserve Account an amount equal to the lesser of (x) the amount of the Series 2023-2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the occurrence of such Series 2023-2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2023-2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2023-2 Past Due Rent Payment remaining after any payment pursuant to clauses (i) through (iii) above;</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525780"/>
                <wp:effectExtent l="0" t="0" r="0" b="0"/>
                <wp:wrapNone/>
                <wp:docPr id="344" name="Frame32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if the occurrence of such Series 2023-2 Lease Payment Deficit resulted in a withdrawal being made from the Class D Cash Collateral Account, deposit in the Class D Cash Collateral Account an amount equal to the lesser of (x) the amount of the Series 2023-2 Past Due Rent Payment remaining after any payment pursuant to clause (i) through (iv) above and (y) the amount withdrawn from the Class D Cash Collateral Account on account of such Series 2023-2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if the occurrence of such Series 2023-2 Lease Payment Deficit resulted in a withdrawal being made from the Class D Reserve Account pursuant to Section 2.3(d), deposit in the Class D Reserve Account an amount equal to the lesser of (x) the amount of the Series 2023-2 Past Due Rent Payment remaining after any payments pursuant to clauses (i) through (v) above and (y) the excess, if any, of the Class D Required Reserve Account Amount over the Class D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allocate to the Series 2023-2 Accrued Interest Account the amount, if any, by which the Series 2023-2 Lease Interest Payment Deficit, if any, relating to such Series 2023-2 Lease Payment Deficit exceeds the amount of the Series 2023-2 Past Due Rent Payment applied pursuant to clauses (i) (vi) above; and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treat the remaining amount of the Series 2023-2 Past Due Rent Payment as Principal Collections allocated to the Series 2023-2 Notes in accordance with Section 2.2(a)(ii) or 2.2(b)(ii), as the case may be.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2023-2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2023-2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2023-2 Accrued Interest Account to the extent funds are anticipated to be available from Interest Collections allocable to the Series 2023-2 Notes processed from but not including the preceding Distribution Date through the succeeding Distribution Date in respect of (i) an amount equal to the Class A Monthly Interest for the Series 2023-2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2023-2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2023-2 Interest Period ending on the day preceding the related Distribution Date, (vi) an amount equal to the amount of any unpaid Class C Shortfall as of the preceding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525780"/>
                <wp:effectExtent l="0" t="0" r="0" b="0"/>
                <wp:wrapNone/>
                <wp:docPr id="345" name="Frame33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Distribution Date (together with any accrued interest on such Class C Shortfall), (vii) an amount equal to the Class D Monthly Senior Interest for the Series 2023-2 Interest Period ending on the day preceding the related Distribution Date, (viii) an amount equal to the amount of any unpaid Class D Senior Interest Shortfall as of the preceding Distribution Date (together with any accrued interest on such Class D Senior Interest Shortfall), (ix) if either (A) no Series 2023-2 Rapid Amortization Period is continuing as of such Determination Date or (B) no Class A Notes, Class B Notes or Class C Notes are outstanding as of such Determination Date, an amount equal to the Class D Monthly Subordinated Interest for the Series 2023-2 Interest Period ending on the day preceding the related Distribution Date, (x) if either (A) no Series 2023-2 Rapid Amortization Period is continuing as of such Determination Date or (B) no Class A Notes, Class B Notes or Class C Notes are outstanding as of such Determination Date, an amount equal to the amount of any unpaid Class D Subordinated Interest Shortfall as of the preceding Distribution Date (together with any accrued interest on such Class D Subordinated Interest Shortfall), (xi) an amount equal to the Class R Monthly Interest for the Series 2023-2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2023-2 Accrued Interest Account and deposit such amounts in the Series 2023-2 Distribution Account. For the avoidance of doubt, no interest shall accrue or be due and payable with respect to the Class C Notes for so long as ABRCF owns 100% of the Class C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2023-2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Multi-Series Letters of Credit For Series 2023-2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2023-2 Lease Interest Payment Deficit, the Administrator shall: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2023-2 Lease Interest Payment Deficit over the sum of (1) the amounts described in clauses (vii) and (viii) of Section 2.3(a) above and (2) during the Series 2023-2 Rapid Amortization Period, the product of the Class D Percentage and the Series 2023-2 Trustee’s Fees for such Distribution Date, (y) the excess, if any, of (A) the sum of (1) the amounts described in clauses (i) through (vi) of Section 2.3(a) above for such Distribution Date and (2) during the Series 2023-2 Rapid Amortization Period, the product of the Class A/B/C Percentage and the Series 2023-2 Trustee’s Fees for such Distribution Date, over (B) the amounts available from the Series 2023-2 Accrued Interest Account and (z) the Class A/B/C Letter of Credit Liquidity Amount or (II) if no Class A Notes, Class B Notes or Class C Notes remain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525780"/>
                <wp:effectExtent l="0" t="0" r="0" b="0"/>
                <wp:wrapNone/>
                <wp:docPr id="346" name="Frame33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the least of (x) such Series 2023-2 Lease Interest Payment Deficit, (y) the excess, if any, of (A) the sum of (1) the amounts described in clauses (i) through (viii) of Section 2.3(a) above for such Distribution Date and (2) during the Series 2023-2 Rapid Amortization Period, the Series 2023-2 Trustee’s Fees for such Distribution Date, over (B) the amounts available from the Series 2023-2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2023-2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2023-2 Lease Interest Payment Deficit, (y) the excess, if any, of (A) the sum of (1) the amounts described in clauses (vii) through (x) of Section 2.3(a) above for such Distribution Date and (2) during the Series 2023-2 Rapid Amortization Period, the product of the Class D Percentage and the Series 2023-2 Trustee’s Fees for such Distribution Date, over (B) the excess of (1) the sum of (X) the amounts available from the Series 2023-2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2023-2 Rapid Amortization Period, the product of the Class A/B/C Percentage and the Series 2023-2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2023-2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2023-2 Reserve Accounts</w:t>
      </w:r>
      <w:r>
        <w:rPr>
          <w:rFonts w:ascii="Times New Roman;sans-serif" w:hAnsi="Times New Roman;sans-serif"/>
          <w:b w:val="false"/>
          <w:color w:val="000000"/>
          <w:sz w:val="24"/>
        </w:rPr>
        <w:t xml:space="preserve">. If the Administrator determines on any Distribution Date that the amounts available from the Series 2023-2 Accrued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525780"/>
                <wp:effectExtent l="0" t="0" r="0" b="0"/>
                <wp:wrapNone/>
                <wp:docPr id="347" name="Frame33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to be drawn under the Multi-Series Letters of Credit and/or withdrawn from the Series 2023-2 Cash Collateral Accounts pursuant to Section 2.3(c) are insufficient to pay the sum of (A) the amounts described in clauses (i) through (x) of Section 2.3(a) above on such Distribution Date and (B) during the Series 2023-2 Rapid Amortization Period, the Series 2023-2 Trustee’s Fees for such Distribution Date, the Administrator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instruct the Trustee in writing to withdraw from the Class A/B/C Reserve Account and deposit in the Series 2023-2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2023-2 Rapid Amortization Period, the product of the Class A/B/C Percentage and the Series 2023-2 Trustee’s Fees for such Distribution Date or (II) if no Class A Notes, Class B Notes or Class C Notes remain outstanding, the sum of (1) the amounts described in clauses (i) through (x) of Section 2.3(a) above with respect to such Distribution Date and (2) during the Series 2023-2 Rapid Amortization Period, the Series 2023-2 Trustee’s Fees for such Distribution Date over (B) the sum of (1) the amounts available from the Series 2023-2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2023-2 Distribution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instruct the Trustee in writing to withdraw from the Class D Reserve Account and deposit in the Series 2023-2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2023-2 Rapid Amortization Period, the product of the Class D Percentage and the Series 2023-2 Trustee’s Fees for such Distribution Date over (B) the excess with respect to such Distribution Date of (1) the sum of (W) the amounts available from the Series 2023-2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2023-2 Rapid Amortization Period, the product of the Class A/B/C Percentage and the Series 2023-2 Trustee’s Fees for such Distribution Date. The Trustee shall withdraw such amount from the Class D Reserve Account and deposit such amount in the Series 2023-2 Distribution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525780"/>
                <wp:effectExtent l="0" t="0" r="0" b="0"/>
                <wp:wrapNone/>
                <wp:docPr id="348" name="Frame33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2023-2 Accrued Interest Account and the Series 2023-2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Multi-Series Letters of Credit and/or withdrawn from the Series 2023-2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2023-2 Reserve Accounts pursuant to Section 2.3(d)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on each Distribution Date during the Series 2023-2 Revolving Period or the Series 2023-2 Controlled Amortization Period, (1) first, to the Administrator, an amount equal to the Series 2023-2 Percentage as of the beginning of the Series 2023-2 Interest Period ending on the day preceding such Distribution Date of the portion of the Monthly Administration Fee payable by ABRCF (as specified in clause (iii) of the definition thereof) for such Series 2023-2 Interest Period, (2) second, to the Trustee, an amount equal to the Series 2023-2 Percentage as of the beginning of such Series 2023-2 Interest Period of the fees owing to the Trustee under the Base Indenture for such Series 2023-2 Interest Period, (3) third to pay any Carrying Charges (other than Carrying Charges provided for above) to the Persons to whom such amounts are owed, an amount equal to the Series 2023-2 Percentage as of the beginning of such Series 2023-2 Interest Period of such Carrying Charges (other than Carrying Charges provided for above) for such Series 2023-2 Interest Period and (4) fourth, the balance, if any, shall be withdrawn by the Paying Agent from the Series 2023-2 Collection Account and deposited in the Series 2023-2 Excess Collection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on each Distribution Date during the Series 2023-2 Rapid Amortization Period, (1) first, to the Series 2023-2 Distribution Account, an amount equal to Class D Monthly Subordinated Interest with respect to the Series 2023-2 Interest Period ending on the date immediately preceding such Distribution Date to be treated as Principal Collections, (2) second, to the Trustee, an amount equal to the Series 2023-2 Percentage as of the beginning of such Series 2023-2 Interest Period ending on the day preceding such Distribution Date of the fees owing to the Trustee under the Base Indenture for such Series 2023-2 Interest Period, (3) third, to the Administrator, an amount equal to the Series 2023-2 Percentage as of the beginning of such Series 2023-2 Interest Period of the portion of the Monthly Administration Fee (as specified in clause (iii) of the definition thereof) payable by ABRCF for such Series 2023-2 Interest Period, (4) fourth, to pay any Carrying Charges (other than Carrying Charges provided for above) to the Persons to whom such amounts are owed, an amount equal to the Series 2023-2 Percentage as of the beginning of such Series 2023-2 Interest Period of such Carrying Charges (other than Carrying Charges provided for above) for such Series 2023-2 Interest Period and (5) fifth, so long as the Series 2023-2 Invested Amount is greater than the Monthly Total Principal Allocations for the Related Month, an amount equal to the excess of the Series 2023-2 Invested Amount over the Monthly Total Principal Allocations for the Related Month shall be treated as Principal Collections.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525780"/>
                <wp:effectExtent l="0" t="0" r="0" b="0"/>
                <wp:wrapNone/>
                <wp:docPr id="349" name="Frame33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 xml:space="preserve">(i)     If the amounts described in Section 2.3 are insufficient to pay the Class A Monthly Interest on any Distribution Date, payments of interest to the Class A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B Monthly Interest for the Series 2023-2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B Shortfall</w:t>
      </w:r>
      <w:r>
        <w:rPr>
          <w:color w:val="000000"/>
        </w:rPr>
        <w:t>”</w:t>
      </w:r>
      <w:r>
        <w:rPr>
          <w:rFonts w:ascii="Times New Roman;sans-serif" w:hAnsi="Times New Roman;sans-serif"/>
          <w:b w:val="false"/>
          <w:color w:val="000000"/>
          <w:sz w:val="24"/>
        </w:rPr>
        <w:t>. Interest shall accrue on the Class B Shortfall at the Class B Note Rate.</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2023-2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 xml:space="preserve">(iv)    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2023-2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If (A) the amounts described in Section 2.3 are insufficient to pay the amounts described in clauses (i) through (viii) of Section 2.3(a) and the Class D Monthly Subordinated Interest on any Distribution Date and/or (B) the Series 2023-2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525780"/>
                <wp:effectExtent l="0" t="0" r="0" b="0"/>
                <wp:wrapNone/>
                <wp:docPr id="350" name="Frame33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Distribution Date (which deficiency on any Distribution Date shall not exceed the Class D Monthly Subordinated Interest for the Series 2023-2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Interest shall accrue on the Class D Subordinated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R Monthly Interest for the Series 2023-2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R Shortfall</w:t>
      </w:r>
      <w:r>
        <w:rPr>
          <w:color w:val="000000"/>
        </w:rPr>
        <w:t>”</w:t>
      </w:r>
      <w:r>
        <w:rPr>
          <w:rFonts w:ascii="Times New Roman;sans-serif" w:hAnsi="Times New Roman;sans-serif"/>
          <w:b w:val="false"/>
          <w:color w:val="000000"/>
          <w:sz w:val="24"/>
        </w:rPr>
        <w:t>. Interest shall accrue on the Class R Shortfall at the Class R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2023-2 Distribution Account pursuant to Section 2.3:</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to the Class D Noteholders, the amounts due to the Class D Noteholders described in Sections 2.3(a)(vii) and (viii);</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if the Series 2023-2 Rapid Amortization Period is not continuing as of such Distribution Date, the amounts due to the Class D Noteholders described in Section 2.3(a)(ix) and (x); and</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xml:space="preserve">. On each Determination Date, commencing on the second Determination Date during the Series 2023-2 Controlled Amortization Period or the first Determination Date after the commencement of the Series 2023-2 Rapid Amortization Period, the Administrator shall instruct the Trustee and the Paying Agent in writing pursuant to the Administration Agreement and in accordance with this Section 2.5 as to (1) the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525780"/>
                <wp:effectExtent l="0" t="0" r="0" b="0"/>
                <wp:wrapNone/>
                <wp:docPr id="351" name="Frame33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amount allocated to the Series 2023-2 Notes during the Related Month pursuant to Section 2.2(b)(ii), (c)(ii) or (d)(ii), as the case may be, (2) any amounts to be drawn on the Series 2023-2 Demand Notes and/or on the Multi-Series Letters of Credit (or withdrawn from the Series 2023-2 Cash Collateral Accounts) pursuant to this Section 2.5 and (3) any amounts to be withdrawn from the Series 2023-2 Reserve Accounts pursuant to this Section 2.5 and deposited into the Series 2023-2 Distribution Account. On the Distribution Date following each such Determination Date, the Trustee shall withdraw the amount allocated to the Series 2023-2 Notes during the Related Month pursuant to Section 2.2(b)(ii), (c)(ii) or (d)(ii), as the case may be, from the Series 2023-2 Collection Account and deposit such amount in the Series 2023-2 Distribution Account, to be paid to the holders of the Series 2023-2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Multi-Series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2023-2 Rapid Amortization Period that on such Distribution Date there will exist a Series 2023-2 Lease Principal Payment Deficit, the Administrator shall instruct the Trustee in writing to: </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    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2023-2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2023-2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2023-2 Distribution Account an amount equal to the lesser of (x) the Class A/B/C Cash Collateral Percentage for such date of the lesser of the Series 2023-2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525780"/>
                <wp:effectExtent l="0" t="0" r="0" b="0"/>
                <wp:wrapNone/>
                <wp:docPr id="352" name="Frame33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in the preceding sentence and (y) the excess, if any, of (A) the Class A/B/C Liquidity Amount on such date over (B) the Class A/B/C Required Liquidity Amount on such date;</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(ii)    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2023-2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2023-2 Distribution Account an amount equal to the lesser of (x) the Class A/B/C Cash Collateral Percentage for such date of the lesser of (A) the excess of (1) the Series 2023-2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 </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2023-2 Lease Principal Payment Deficit over (B) the amount, if any, to be drawn on the Multi-Series Letters of Credit with respect to the Class D Notes and/or withdrawn from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525780"/>
                <wp:effectExtent l="0" t="0" r="0" b="0"/>
                <wp:wrapNone/>
                <wp:docPr id="353" name="Frame33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2023-2 Distribution Account an amount equal to the lesser of (x) the Class D Cash Collateral Percentage for such date of the lesser of (A) the excess of (1) the Series 2023-2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2023-2 Final Distribution Date.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2023-2 Distribution Account in accordance with Section 2.5(a) together with any amounts to be deposited therein in accordance with Section 2.5(b) on the Series 2023-2 Final Distribution Date is less than the Series 2023-2 Senior Invested Amount and there are any Multi-Series Letters of Credit on such date, then, prior to 10:00 a.m. (New York City time) on the second Business Day prior to the Series 2023-2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2023-2 Demand Notes in an amount equal to the lesser of (x) such insufficiency and (y) the sum of the Class A/B/C Letter of Credit Amount and the Class D Letter of Credit Amount. The Trustee shall, prior to 12:00 noon (New York City time) on the second Business Day preceding such Series 2023-2 Final Distribution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525780"/>
                <wp:effectExtent l="0" t="0" r="0" b="0"/>
                <wp:wrapNone/>
                <wp:docPr id="354" name="Frame33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2023-2 Demand Notes to be deposited into the Series 2023-2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In the event that either (x) on or prior to 10:00 a.m. (New York City time) on the Business Day immediately preceding the Series 2023-2 Final Distribution Date a Demand Notice has been transmitted by the Trustee to the Demand Note Issuers pursuant to clause (i) of this Section 2.5(c) and any Demand Note Issuer shall have failed to pay to the Trustee or deposit into the Series 2023-2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2023-2 Final Distribution Date, then, in the case of (x) or (y) the Trustee shall:</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draw on the Multi-Series Letters of Credit by 12:00 noon (New York City time) on such Business Day an amount allocable to the Class A/B/C Notes equal to the lesser of (a) the amount that the Demand Note Issuers so failed to pay under the Series 2023-2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2023-2 Distribution Account an amount equal to the lesser of (x) the Class A/B/C Cash Collateral Percentage on such Business Day of the amount that the Demand Note Issuers so failed to pay under the Series 2023-2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2023-2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2023-2 Distribution Account; and</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525780"/>
                <wp:effectExtent l="0" t="0" r="0" b="0"/>
                <wp:wrapNone/>
                <wp:docPr id="355" name="Frame34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76" w:before="240" w:after="240"/>
        <w:ind w:left="0" w:right="0" w:firstLine="720"/>
        <w:jc w:val="both"/>
        <w:rPr/>
      </w:pPr>
      <w:r>
        <w:rPr>
          <w:rFonts w:ascii="Times New Roman;sans-serif" w:hAnsi="Times New Roman;sans-serif"/>
          <w:b w:val="false"/>
          <w:color w:val="000000"/>
          <w:sz w:val="24"/>
        </w:rPr>
        <w:t xml:space="preserve">(2)    draw on the Multi-Series Letters of Credit by 12:00 noon (New York City time) on such Business Day an amount allocable to the Class D Notes equal to the lesser of (a) the excess of (x) the amount that the Demand Note Issuers so failed to pay under the Series 2023-2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2023-2 Distribution Account an amount equal to the lesser of (x) the Class D Cash Collateral Percentage on such Business Day of the excess of (A) the amount that the Demand Note Issuers so failed to pay under the Series 2023-2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2023-2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2023-2 Distribution Account.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xml:space="preserve">. If, after giving effect to the deposit into the Series 2023-2 Distribution Account of the amount to be deposited in accordance with Section 2.5(a) and the amounts described in clauses (i) and (ii) of this Section 2.5(c), the amount to be deposited in the Series 2023-2 Distribution Account with respect to the Series 2023-2 Final Distribution Date is or will be less than the Series 2023-2 Senior Invested Amount, then, prior to 12:00 noon (New York City time) on the second Business Day prior to such Series 2023-2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525780"/>
                <wp:effectExtent l="0" t="0" r="0" b="0"/>
                <wp:wrapNone/>
                <wp:docPr id="356" name="Frame34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remaining insufficiency (after giving effect to any withdrawal from the Class A/B/C Reserve Account) and, in each case, deposit it in the Series 2023-2 Distribution Account on such Series 2023-2 Final Distribution Date.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2023-2 Final Distribution Date, on which the Class A/B/C Principal Deficit Amount is greater than zero, amounts shall be transferred to the Series 2023-2 Distribution Account as follows: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2023-2 Demand Note to be deposited into the Series 2023-2 Distribution Account.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2023-2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2023-2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2023-2 Distribution Account an amount equal to the lesser of (x) the Class A/B/C Cash Collateral Percentage on such Business Day of the aggregate amount that the Demand Note Issuers so failed to pay under the Series 2023-2 Demand Notes (or, the amount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525780"/>
                <wp:effectExtent l="0" t="0" r="0" b="0"/>
                <wp:wrapNone/>
                <wp:docPr id="357" name="Frame34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br/>
        <w:t>Trustee failed to demand for payment thereunder) and (y) the Class A/B/C Available Cash Collateral Account Amount on such Business Day and draw an amount equal to the remainder of the aggregate amount that the Demand Note Issuers so failed to pay under the Series 2023-2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2023-2 Distribution Account.</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2023-2 Distribution Account in accordance with clauses (i) and (ii) of this Section 2.5(d) and deposit it in the Series 2023-2 Distribution Account on such Distribution Date.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2023-2 Final Distribution Date, on which the Class A Notes, Class B Notes and Class C Notes will have been paid in full and the Class D Principal Deficit Amount is greater than zero, amounts shall be transferred to the Series 2023-2 Distribution Account as follows: </w:t>
      </w:r>
    </w:p>
    <w:p>
      <w:pPr>
        <w:pStyle w:val="TextBody"/>
        <w:bidi w:val="0"/>
        <w:spacing w:lineRule="auto" w:line="288" w:before="0" w:after="20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2023-2 Demand Note to be deposited into the Series 2023-2 Distribution Account. </w:t>
      </w:r>
    </w:p>
    <w:p>
      <w:pPr>
        <w:pStyle w:val="TextBody"/>
        <w:bidi w:val="0"/>
        <w:spacing w:lineRule="auto" w:line="288"/>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2023-2 Distribution Account the amount specified in such Demand Notice delivered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525780"/>
                <wp:effectExtent l="0" t="0" r="0" b="0"/>
                <wp:wrapNone/>
                <wp:docPr id="358" name="Frame3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8" w:before="0" w:after="0"/>
        <w:jc w:val="both"/>
        <w:rPr/>
      </w:pPr>
      <w:r>
        <w:rPr>
          <w:rFonts w:ascii="Times New Roman;sans-serif" w:hAnsi="Times New Roman;sans-serif"/>
          <w:b w:val="false"/>
          <w:color w:val="000000"/>
          <w:sz w:val="24"/>
        </w:rPr>
        <w:br/>
        <w:t xml:space="preserve">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2023-2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2023-2 Distribution Account an amount equal to the lesser of (x) the Class A/B/C Cash Collateral Percentage on such Business Day of the aggregate amount that the Demand Note Issuers so failed to pay under the Series 2023-2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2023-2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2023-2 Distribution Account.</w:t>
      </w:r>
    </w:p>
    <w:p>
      <w:pPr>
        <w:pStyle w:val="TextBody"/>
        <w:bidi w:val="0"/>
        <w:spacing w:lineRule="auto" w:line="276"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2023-2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2023-2 Distribution Account in accordance with clauses (i) and (ii) of this Section 2.5(e) and deposit it in the Series 2023-2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525780"/>
                <wp:effectExtent l="0" t="0" r="0" b="0"/>
                <wp:wrapNone/>
                <wp:docPr id="359" name="Frame3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2023-2 Demand Notes (or, the amount that the Trustee failed to demand for payment thereunder) over (B) the amount deposited into the Series 2023-2 Distribution Account in accordance with Section 2.5(e)(ii) and (iii) above,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2023-2 Distribution Account an amount equal to the lesser of (x) the Class D Cash Collateral Percentage on such Business Day of the excess of (A) the aggregate amount that the Demand Note Issuers so failed to pay under the Series 2023-2 Demand Notes (or, the amount that the Trustee failed to demand for payment thereunder) over (B) the amount deposited into the Series 2023-2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2023-2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2023-2 Distribution Account in accordance with clauses (i) through (iv) of this Section 2.5(e) and deposit it in the Series 2023-2 Distribution Account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2023-2 Collection Account pursuant to Section 2.5(a) or amounts are deposited in the Series 2023-2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2023-2 Distribution Account the amount deposited therein pursuant to Section 2.5(a), (b), (c) or (d), to the extent necessary to pay the Class A Controlled Distribution Amount during the Series 2023-2 Controlled Amortization Period or to the extent necessary to pay the Class A Invested Amount during the Series 2023-2 Rapid Amortization Period.</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525780"/>
                <wp:effectExtent l="0" t="0" r="0" b="0"/>
                <wp:wrapNone/>
                <wp:docPr id="360" name="Frame3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2023-2 Collection Account pursuant to Section 2.5(a) or amounts are deposited in the Series 2023-2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2023-2 Distribution Account the amount deposited therein pursuant to Section 2.5(a), (b), (c) or (d) less the aggregate amount applied to make the payments required pursuant to Section 2.5(f)(i), to the extent necessary to pay the Class B Controlled Distribution Amount during the Series 2023-2 Controlled Amortization Period or to the extent necessary to pay the Class B Invested Amount during the Series 2023-2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2023-2 Collection Account pursuant to Section 2.5(a) or amounts are deposited in the Series 2023-2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2023-2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2023-2 Controlled Amortization Period or to the extent necessary to pay the Class C Invested Amount during the Series 2023-2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2023-2 Collection Account pursuant to Section 2.5(a) or amounts are deposited in the Series 2023-2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2023-2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2023-2 Controlled Amortization Period or to the extent necessary to pay the Class D Invested Amount during the Series 2023-2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xml:space="preserve">. On each Distribution Date occurring during the Series 2023-2 Rapid Amortization Period, after giving effect to the payments made pursuant to clauses (i), (ii), (iii) and (iv) of this Section 2.5(f), the Paying Agent shall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2023-2 Distribution Account the amount deposited therein pursuant to Section 2.3(ii)(1), to the extent necessary to pay the Class D Subordinated Interest Shortfall as of such Distribution Date.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2023-2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to each Class R Noteholder from the Series 2023-2 Distribution Account the amount deposited therein pursuant to Section 2.5(a) less the aggregate amount applied to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525780"/>
                <wp:effectExtent l="0" t="0" r="0" b="0"/>
                <wp:wrapNone/>
                <wp:docPr id="361" name="Frame3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make the payments required pursuant to Section 2.5(f)(i), Section 2.5(f)(ii), Section 2.5(f)(iii) and Section 2.5(f)(iv), to the extent necessary to pay the Class R Controlled Amortization Amount during the Series 2023-2 Controlled Amortization Period or to the extent necessary to pay the Class R Invested Amount during the Series 2023-2 Rapid Amortization Period.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Draw or Payment</w:t>
      </w:r>
      <w:r>
        <w:rPr>
          <w:rFonts w:ascii="Times New Roman;sans-serif" w:hAnsi="Times New Roman;sans-serif"/>
          <w:b w:val="false"/>
          <w:color w:val="000000"/>
          <w:sz w:val="24"/>
        </w:rPr>
        <w:t xml:space="preserve">. If the Administrator fails to give notice or instructions to make (i) any payment from or deposit into the Collection Account, (ii) any draw on the Series 2023-2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2023-2 Demand Notes or the Multi-Series Letters of Credit, or such withdrawal from such Account, in each case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2023-2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2023-2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2023-2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2023-2 Agent in writing to transfer all cash and investments from the non-qualifying Class A/B/C Reserve Account into the new Class A/B/C Reserve Account. The Class A/B/C Reserve Account has initially been established with The Bank of New York Mellon Trust Company, N.A.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525780"/>
                <wp:effectExtent l="0" t="0" r="0" b="0"/>
                <wp:wrapNone/>
                <wp:docPr id="362" name="Frame34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investment may mature on such Distribution Date and such funds shall be available for withdrawal on or prior to such Distribution Date;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that in the case of Permitted Investments held in the Series 2023-2 Reserve Account and so long as any Series 2023-2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76"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2023-2 Senior Notes</w:t>
      </w:r>
      <w:r>
        <w:rPr>
          <w:rFonts w:ascii="Times New Roman;sans-serif" w:hAnsi="Times New Roman;sans-serif"/>
          <w:b w:val="false"/>
          <w:color w:val="000000"/>
          <w:sz w:val="24"/>
        </w:rPr>
        <w:t>. In order to secure and provide for the repayment and payment of the ABRCF Obligations with respect to the Series 2023-2 Senior Notes, ABRCF hereby grants a security interest in and assigns, pledges, grants, transfers and sets over to the Trustee, for the benefit of the Series 2023-2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2023-2 Noteholders. The Series 2023-2 Agent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525780"/>
                <wp:effectExtent l="0" t="0" r="0" b="0"/>
                <wp:wrapNone/>
                <wp:docPr id="363" name="Frame34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In the event that the Class A/B/C Reserve Account Surplus on any Distribution Date, after giving effect to all withdrawals from the Class A/B/C Reserve Account, is greater than zero, if no Series 2023-2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2023-2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2023-2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lineRule="auto" w:line="276" w:before="0" w:after="18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525780"/>
                <wp:effectExtent l="0" t="0" r="0" b="0"/>
                <wp:wrapNone/>
                <wp:docPr id="364" name="Frame34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76"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76" w:before="0" w:after="18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2023-2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525780"/>
                <wp:effectExtent l="0" t="0" r="0" b="0"/>
                <wp:wrapNone/>
                <wp:docPr id="365" name="Frame35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76"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2023-2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Multi-Series Letters of Credit and Series 2023-2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Multi-Series Letters of Credit and Series 2023-2 Cash Collateral Account Constitute Additional Collateral for Series 2023-2 Senior Notes</w:t>
      </w:r>
      <w:r>
        <w:rPr>
          <w:rFonts w:ascii="Times New Roman;sans-serif" w:hAnsi="Times New Roman;sans-serif"/>
          <w:b w:val="false"/>
          <w:color w:val="000000"/>
          <w:sz w:val="24"/>
        </w:rPr>
        <w:t>. In order to secure and provide for the repayment and payment of the ABRCF Obligations with respect to the Series 2023-2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xml:space="preserve">).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2023-2 Agent hereby agrees (i) to act as the securities intermediary (as defined in Section 8-102(a)(14) of the New York UCC) with respect to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525780"/>
                <wp:effectExtent l="0" t="0" r="0" b="0"/>
                <wp:wrapNone/>
                <wp:docPr id="366" name="Frame35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2023-2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2023-2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525780"/>
                <wp:effectExtent l="0" t="0" r="0" b="0"/>
                <wp:wrapNone/>
                <wp:docPr id="367" name="Frame35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2023-2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2023-2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2023-2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2023-2 Eligible Letter of Credit Provider and is in full force and effect on such date, the Class D Enhancement Amount would be equal to or more than the Class D Required Enhancement Amount and the Class D Liquidity Amount would be equal to or greater than the </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525780"/>
                <wp:effectExtent l="0" t="0" r="0" b="0"/>
                <wp:wrapNone/>
                <wp:docPr id="368" name="Frame35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2023-2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2023-2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2023-2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6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Multi-Series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525780"/>
                <wp:effectExtent l="0" t="0" r="0" b="0"/>
                <wp:wrapNone/>
                <wp:docPr id="369" name="Frame35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8"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br/>
        <w:t>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Multi-Series Letters of Credit</w:t>
      </w:r>
      <w:r>
        <w:rPr>
          <w:rFonts w:ascii="Times New Roman;sans-serif" w:hAnsi="Times New Roman;sans-serif"/>
          <w:b w:val="false"/>
          <w:color w:val="000000"/>
          <w:sz w:val="24"/>
        </w:rPr>
        <w:t xml:space="preserve">. Prior to 10:00 a.m. (New York City time) on the Business Day immediately succeeding the Multi-Series Letter of Credit Termination Date, the Administrator shall determine the Series 2023-2 Demand Note Payment Amount, if any, as of the Multi-Series Letter of Credit Termination Date and, if the Series 2023-2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2023-2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Multi-Series Letters of Credit, as calculated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525780"/>
                <wp:effectExtent l="0" t="0" r="0" b="0"/>
                <wp:wrapNone/>
                <wp:docPr id="370" name="Frame35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Administrator and provided in writing to the Trustee and (II) on each such Multi-Series Letter of Credit allocable to the Class D Notes equal to the lesser of (i) the excess of (x) the Series 2023-2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D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Multi-Series Letters of Credit</w:t>
      </w:r>
      <w:r>
        <w:rPr>
          <w:rFonts w:ascii="Times New Roman;sans-serif" w:hAnsi="Times New Roman;sans-serif"/>
          <w:b w:val="false"/>
          <w:color w:val="000000"/>
          <w:sz w:val="24"/>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525780"/>
                <wp:effectExtent l="0" t="0" r="0" b="0"/>
                <wp:wrapNone/>
                <wp:docPr id="371" name="Frame35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writing to transfer all cash and investments from the non-qualifying Class A/B/C Cash Collateral Account into the new Class A/B/C Cash Collateral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525780"/>
                <wp:effectExtent l="0" t="0" r="0" b="0"/>
                <wp:wrapNone/>
                <wp:docPr id="372" name="Frame35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Cash Collateral Account. If a new Class D Cash Collateral Account is established, ABRCF shall instruct the Trustee in writing to transfer all cash and investments from the non-qualifying Class D Cash Collateral Account into the new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2023-2 Cash Collateral Accounts</w:t>
      </w:r>
      <w:r>
        <w:rPr>
          <w:rFonts w:ascii="Times New Roman;sans-serif" w:hAnsi="Times New Roman;sans-serif"/>
          <w:b w:val="false"/>
          <w:color w:val="000000"/>
          <w:sz w:val="24"/>
        </w:rPr>
        <w:t>. All interest and earnings (net of losses and investment expenses) paid on funds on deposit in the Series 2023-2 Cash Collateral Accounts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2023-2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2023-2 Reimbursement Agreement, for application in accordance with the provisions of the related Series 2023-2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2023-2 Reimbursement Agreement, for application in accordance </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525780"/>
                <wp:effectExtent l="0" t="0" r="0" b="0"/>
                <wp:wrapNone/>
                <wp:docPr id="373" name="Frame35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with the provisions of the related Series 2023-2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2023-2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2023-2 Noteholders and payable from any Series 2023-2 Cash Collateral Account as provided herein, shall (i) withdraw from the Class A/B/C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2023-2 Reimbursement Agreement, for application in accordance with the provisions of the related Series 2023-2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2023-2 Reimbursement Agreement, for application in accordance with the provisions of the related Series 2023-2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Series 2023-2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2023-2 Distribution Account</w:t>
      </w:r>
      <w:r>
        <w:rPr>
          <w:rFonts w:ascii="Times New Roman;sans-serif" w:hAnsi="Times New Roman;sans-serif"/>
          <w:b w:val="false"/>
          <w:color w:val="000000"/>
          <w:sz w:val="24"/>
        </w:rPr>
        <w:t>. ABRCF has established and shall maintain in the name of the Trustee for the benefit of the Series 2023-2 Noteholders, or cause to be established and maintained, an account (the “</w:t>
      </w:r>
      <w:r>
        <w:rPr>
          <w:rFonts w:ascii="Times New Roman;sans-serif" w:hAnsi="Times New Roman;sans-serif"/>
          <w:b w:val="false"/>
          <w:color w:val="000000"/>
          <w:sz w:val="24"/>
          <w:u w:val="single"/>
        </w:rPr>
        <w:t>Series 2023-2 Distribution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2023-2 Noteholders. The Series 2023-2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2023-2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2023-2 Distribution Account with a new Qualified Institution. If the Series 2023-2 Distribution Account is not maintained in accordance with the previous sentence, ABRCF shall establish a new Series 2023-2 Distribution Account, within ten (10) Business Days after obtaining knowledge of such fact, which complies with such sentence, and shall instruct the Series 2023-2 Agent in writing to transfer all cash and investments from the non-qualifying Series 2023-2 Distribution Account into the new Series 2023-2 Distribution Account. The Series 2023-2 Distribution Account has initially been established with The Bank of New York Mellon Trust Company, N.A.</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2023-2 Distribution Account</w:t>
      </w:r>
      <w:r>
        <w:rPr>
          <w:rFonts w:ascii="Times New Roman;sans-serif" w:hAnsi="Times New Roman;sans-serif"/>
          <w:b w:val="false"/>
          <w:color w:val="000000"/>
          <w:sz w:val="24"/>
        </w:rPr>
        <w:t xml:space="preserve">. The Administrator may instruct the institution maintaining the Series 2023-2 Distribution Account to invest funds on deposit in the Series 2023-2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Series 2023-2 Distribution Account is held with the Paying Agent, then such investment may mature on such Distribution Date and such funds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525780"/>
                <wp:effectExtent l="0" t="0" r="0" b="0"/>
                <wp:wrapNone/>
                <wp:docPr id="374" name="Frame35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3"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available for withdrawal on or prior to such Distribution Date. All such Permitted Investments will be credited to the Series 2023-2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2023-2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2023-2 Distribution Account shall remain uninvested.</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2023-2 Distribution Account</w:t>
      </w:r>
      <w:r>
        <w:rPr>
          <w:rFonts w:ascii="Times New Roman;sans-serif" w:hAnsi="Times New Roman;sans-serif"/>
          <w:b w:val="false"/>
          <w:color w:val="000000"/>
          <w:sz w:val="24"/>
        </w:rPr>
        <w:t>. All interest and earnings (net of losses and investment expenses) paid on funds on deposit in the Series 2023-2 Distribution Account shall be deemed to be on deposit and available for distribution.</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2023-2 Distribution Account Constitutes Additional Collateral for Series 2023-2 Notes</w:t>
      </w:r>
      <w:r>
        <w:rPr>
          <w:rFonts w:ascii="Times New Roman;sans-serif" w:hAnsi="Times New Roman;sans-serif"/>
          <w:b w:val="false"/>
          <w:color w:val="000000"/>
          <w:sz w:val="24"/>
        </w:rPr>
        <w:t>. In order to secure and provide for the repayment and payment of the ABRCF Obligations with respect to the Series 2023-2 Notes, ABRCF hereby grants a security interest in and assigns, pledges, grants, transfers and sets over to the Trustee, for the benefit of the Series 2023-2 Noteholders, all of ABRCF’s right, title and interest in and to the following (whether now or hereafter existing or acquired): (i) the Series 2023-2 Distribution Account, including any security entitlement thereto; (ii) all funds on deposit therein from time to time; (iii) all certificates and instruments, if any, representing or evidencing any or all of the Series 2023-2 Distribution Account or the funds on deposit therein from time to time; (iv) all investments made at any time and from time to time with monies in the Series 2023-2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2023-2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2023-2 Distribution Account and in and to all proceeds thereof, and shall be the only person authorized to originate entitlement orders in respect of the Series 2023-2 Distribution Account. The Series 2023-2 Distribution Account Collateral shall be under the sole dominion and control of the Trustee for the benefit of the Series 2023-2 Noteholders. The Series 2023-2 Agent hereby agrees (i) to act as the securities intermediary (as defined in Section 8-102(a)(14) of the New York UCC) with respect to the Series 2023-2 Distribution Account; (ii) that its jurisdiction as securities intermediary is New York, (iii) that each item of property (whether investment property, financial asset, security, instrument or cash) credited to the Series 2023-2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525780"/>
                <wp:effectExtent l="0" t="0" r="0" b="0"/>
                <wp:wrapNone/>
                <wp:docPr id="375" name="Frame36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2023-2 Accounts Permitted Investments</w:t>
      </w:r>
      <w:r>
        <w:rPr>
          <w:rFonts w:ascii="Times New Roman;sans-serif" w:hAnsi="Times New Roman;sans-serif"/>
          <w:b w:val="false"/>
          <w:color w:val="000000"/>
          <w:sz w:val="24"/>
        </w:rPr>
        <w:t xml:space="preserve">. ABRCF shall not, and shall not permit, funds on deposit in the Series 2023-2 Accounts to be invested in: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Permitted Investments that do not mature at least one (1) Business Day before the next Distribution Date;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with a maturity in excess of 360 days;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commercial paper which is not rated “P-1” by Moody’s;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money market funds or eurodollar time deposits which are not rated at least “P-1” by Moody’s;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eurodollar deposits that are not rated “P-1” by Moody’s or that are with financial institutions not organized under the laws of a G-7 nation; or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investment, instrument or security not otherwise listed in clause (i) through (vi) of the definition of “Permitted Investments” in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2023-2 Demand Notes Constitute Additional Collateral for Series 2023-2 Senior Notes</w:t>
      </w:r>
      <w:r>
        <w:rPr>
          <w:rFonts w:ascii="Times New Roman;sans-serif" w:hAnsi="Times New Roman;sans-serif"/>
          <w:b w:val="false"/>
          <w:color w:val="000000"/>
          <w:sz w:val="24"/>
        </w:rPr>
        <w:t>. In order to secure and provide for the repayment and payment of the ABRCF Obligations with respect to the Series 2023-2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2023-2 Demand Notes; (ii) all certificates and instruments, if any, representing or evidencing the Series 2023-2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2023-2 Demand Note, endorsed in blank. The Trustee, for the benefit of the Class A Noteholders, the Class B Noteholders, the Class C Noteholders and the Class D Noteholders, shall be the only Person authorized to make a demand for payments on the Series 2023-2 Demand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xml:space="preserve">.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2023-2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2023-2 Rapid Amortization Period or on the Series 2023-2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525780"/>
                <wp:effectExtent l="0" t="0" r="0" b="0"/>
                <wp:wrapNone/>
                <wp:docPr id="376" name="Frame36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all accrued interest, all Class A Shortfall and all interest accrued on such Class A Shortfall) have been paid in full.</w:t>
      </w:r>
    </w:p>
    <w:p>
      <w:pPr>
        <w:pStyle w:val="TextBody"/>
        <w:bidi w:val="0"/>
        <w:spacing w:lineRule="auto" w:line="288" w:before="0" w:after="6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2023-2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2023-2 Rapid Amortization Period or on the Series 2023-2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2023-2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2023-2 Rapid Amortization Period or on the Series 2023-2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2023-2 Controlled Amortization Period or the Series 2023-2 Rapid Amortization Period or on the Series 2023-2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525780"/>
                <wp:effectExtent l="0" t="0" r="0" b="0"/>
                <wp:wrapNone/>
                <wp:docPr id="377" name="Frame36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2023-2 Notes and collectively shall constitute the Amortization Events set forth in Section 9.1(n) of the Base Indenture with respect to the Series 2023-2 Notes (without notice or other action on the part of the Trustee or any holders of the Series 2023-2 Notes):</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(a)    a Series 2023-2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2023-2 Enhancement Deficiency shall have been cured in accordance with the terms and conditions of the Indenture and the Related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either case, such event or condition shall not be an Amortization Event if during such two Business Day period such insufficiency shall have been cured in accordance with the terms and conditions of the Indenture and the Related Documents;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2023-2 Collection Account, the Series 2023-2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2023-2 Notes is not paid in full on or before the Series 2023-2 Expected Final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Multi-Series Letter of Credit shall not be in full force and effect for at least two Business Days and either (x) a Series 2023-2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from and after the funding of any Series 2023-2 Cash Collateral Account, such Series 2023-2 Cash Collateral Account shall be subject to an injunction, estoppel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525780"/>
                <wp:effectExtent l="0" t="0" r="0" b="0"/>
                <wp:wrapNone/>
                <wp:docPr id="378" name="Frame36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stay or a lien (other than Liens permitted under the Related Documents) for at least two Business Days and either (x) a Series 2023-2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Multi-Series Letter of Credit Provider or any Multi-Series Letter of Credit Provider repudiates its Multi-Series Letter of Credit or refuses to honor a proper draw thereon and either (x) a Series 2023-2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2023-2 NOTES</w:t>
      </w:r>
    </w:p>
    <w:p>
      <w:pPr>
        <w:pStyle w:val="TextBody"/>
        <w:bidi w:val="0"/>
        <w:spacing w:lineRule="auto" w:line="264" w:before="0" w:after="24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2023-2 Notes</w:t>
      </w:r>
      <w:r>
        <w:rPr>
          <w:rFonts w:ascii="Times New Roman;sans-serif" w:hAnsi="Times New Roman;sans-serif"/>
          <w:b w:val="false"/>
          <w:color w:val="000000"/>
          <w:sz w:val="24"/>
        </w:rPr>
        <w:t>. Each Class of the Series 2023-2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2023-2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2023-2 Notes; Permanent Global Series 2023-2 Notes</w:t>
      </w:r>
      <w:r>
        <w:rPr>
          <w:rFonts w:ascii="Times New Roman;sans-serif" w:hAnsi="Times New Roman;sans-serif"/>
          <w:b w:val="false"/>
          <w:color w:val="000000"/>
          <w:sz w:val="24"/>
        </w:rPr>
        <w:t xml:space="preserve">. Each Class of the Series 2023-2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525780"/>
                <wp:effectExtent l="0" t="0" r="0" b="0"/>
                <wp:wrapNone/>
                <wp:docPr id="379" name="Frame36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2023-2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which shall be deposited on behalf of the purchasers of such Class of the Series 2023-2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2023-2 Note 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2023-2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2023-2 Note and the Base Indenture (as modified by this Supplement). Interests in a Permanent Global Series 2023-2 Note will be exchangeable for a definitive Series 2023-2 Note in accordance with the provisions of such Permanent Global Series 2023-2 Note and the Base Indenture (as modified by this Supplement). The Restricted Global Class A Notes, the Temporary Global Class A Notes and the Permanent Global Class A Notes are collectively referred to as the “</w:t>
      </w:r>
      <w:r>
        <w:rPr>
          <w:rFonts w:ascii="Times New Roman;sans-serif" w:hAnsi="Times New Roman;sans-serif"/>
          <w:b w:val="false"/>
          <w:color w:val="000000"/>
          <w:sz w:val="24"/>
          <w:u w:val="single"/>
        </w:rPr>
        <w:t>Global Class A Notes</w:t>
      </w:r>
      <w:r>
        <w:rPr>
          <w:color w:val="000000"/>
        </w:rPr>
        <w:t>”</w:t>
      </w:r>
      <w:r>
        <w:rPr>
          <w:rFonts w:ascii="Times New Roman;sans-serif" w:hAnsi="Times New Roman;sans-serif"/>
          <w:b w:val="false"/>
          <w:color w:val="000000"/>
          <w:sz w:val="24"/>
        </w:rPr>
        <w:t>, the Restricted Global Class B Notes, the Temporary Global Class B Notes and the Permanent Global Class B Notes are collectively referred to as the “</w:t>
      </w:r>
      <w:r>
        <w:rPr>
          <w:rFonts w:ascii="Times New Roman;sans-serif" w:hAnsi="Times New Roman;sans-serif"/>
          <w:b w:val="false"/>
          <w:color w:val="000000"/>
          <w:sz w:val="24"/>
          <w:u w:val="single"/>
        </w:rPr>
        <w:t>Global Class B Notes</w:t>
      </w:r>
      <w:r>
        <w:rPr>
          <w:color w:val="000000"/>
        </w:rPr>
        <w:t>”</w:t>
      </w:r>
      <w:r>
        <w:rPr>
          <w:rFonts w:ascii="Times New Roman;sans-serif" w:hAnsi="Times New Roman;sans-serif"/>
          <w:b w:val="false"/>
          <w:color w:val="000000"/>
          <w:sz w:val="24"/>
        </w:rPr>
        <w:t>, the Restricted Global Class C Notes, the Temporary Global Class C Notes and the Permanent Global Class C Notes are collectively referred to as the “</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and the Restricted Global Class R Notes, the Temporary Global Class R Notes and the Permanent Global Class R Notes are collectively referred to as the “</w:t>
      </w:r>
      <w:r>
        <w:rPr>
          <w:rFonts w:ascii="Times New Roman;sans-serif" w:hAnsi="Times New Roman;sans-serif"/>
          <w:b w:val="false"/>
          <w:color w:val="000000"/>
          <w:sz w:val="24"/>
          <w:u w:val="single"/>
        </w:rPr>
        <w:t>Global Class R Notes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with such insertions 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525780"/>
                <wp:effectExtent l="0" t="0" r="0" b="0"/>
                <wp:wrapNone/>
                <wp:docPr id="380" name="Frame3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2023-2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2023-2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2023-2 Repurchase Amount</w:t>
      </w:r>
      <w:r>
        <w:rPr>
          <w:color w:val="000000"/>
        </w:rPr>
        <w:t>”</w:t>
      </w:r>
      <w:r>
        <w:rPr>
          <w:rFonts w:ascii="Times New Roman;sans-serif" w:hAnsi="Times New Roman;sans-serif"/>
          <w:b w:val="false"/>
          <w:color w:val="000000"/>
          <w:sz w:val="24"/>
        </w:rPr>
        <w:t xml:space="preserve">). The repurchase price for any Series 2023-2 Note subject to a Clean-up Repurchase shall equal the aggregate outstanding principal balance of such Series 2023-2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The Series 2023-2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2023-2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2023-2 Note subject to an Optional Repurchase shall equal (1) the aggregate outstanding principal balance of such Series 2023-2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2023-2 Note.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2023-2 Noteholders, or their designated agent, copies of all information furnished to the Trustee or ABRCF pursuant to the Related Documents, as such information relates to the Series 2023-2 Notes or the Series 2023-2 Collateral.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6795" w:type="dxa"/>
        <w:jc w:val="left"/>
        <w:tblInd w:w="0" w:type="dxa"/>
        <w:tblLayout w:type="fixed"/>
        <w:tblCellMar>
          <w:top w:w="28" w:type="dxa"/>
          <w:left w:w="28" w:type="dxa"/>
          <w:bottom w:w="28" w:type="dxa"/>
          <w:right w:w="28" w:type="dxa"/>
        </w:tblCellMar>
      </w:tblPr>
      <w:tblGrid>
        <w:gridCol w:w="473"/>
        <w:gridCol w:w="415"/>
        <w:gridCol w:w="417"/>
        <w:gridCol w:w="1608"/>
        <w:gridCol w:w="1608"/>
        <w:gridCol w:w="227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2023-2 Note, Class 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525780"/>
                <wp:effectExtent l="0" t="0" r="0" b="0"/>
                <wp:wrapNone/>
                <wp:docPr id="381" name="Frame3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tbl>
      <w:tblPr>
        <w:tblW w:w="8414" w:type="dxa"/>
        <w:jc w:val="left"/>
        <w:tblInd w:w="0" w:type="dxa"/>
        <w:tblLayout w:type="fixed"/>
        <w:tblCellMar>
          <w:top w:w="28" w:type="dxa"/>
          <w:left w:w="28" w:type="dxa"/>
          <w:bottom w:w="28" w:type="dxa"/>
          <w:right w:w="28" w:type="dxa"/>
        </w:tblCellMar>
      </w:tblPr>
      <w:tblGrid>
        <w:gridCol w:w="489"/>
        <w:gridCol w:w="429"/>
        <w:gridCol w:w="431"/>
        <w:gridCol w:w="2070"/>
        <w:gridCol w:w="2070"/>
        <w:gridCol w:w="292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2023-2 Demand Note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Multi-Series Letter of Credit</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Master Exchange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Q:</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Escrow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R:</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Original AESOP Nominee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U:</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Disposition Agent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V:</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Back-up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W-1:</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W-2:</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lineRule="auto" w:line="288" w:before="240" w:after="18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w:t>
      </w: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525780"/>
                <wp:effectExtent l="0" t="0" r="0" b="0"/>
                <wp:wrapNone/>
                <wp:docPr id="382" name="Frame3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by the Requisite Series 2023-2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Amortization Event has occurred and is continuing and (ii) the Rating Agency Consent Condition is met with respect to the outstanding Series 2023-2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(B) ABRCF shall be able to modify or amend any Series 2023-2 Maximum Amount at any time with the consent of a Requisite Series 2023-2 Noteholders and (C) ABRCF may amend or modify the terms of this Supplement without the consent of any Series 2023-2 Noteholders to clarify that no interest has accrued with respect to the Class C Notes and no Class C Monthly Interest is due with respect to the Class C Notes for so long as ABRCF retains 100% of the Class C Notes;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respect to the Class D Notes, solely with (x) the consent of the Class D Noteholders (and without the consent of any other Series 2023-2 Noteholders) and (y) satisfaction of the Rating Agency Consent Condition.</w:t>
      </w:r>
    </w:p>
    <w:p>
      <w:pPr>
        <w:pStyle w:val="TextBody"/>
        <w:bidi w:val="0"/>
        <w:spacing w:lineRule="auto" w:line="276" w:before="0" w:after="12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2023-2 Notes without the consent of the Requisite Series 2023-2 Noteholders.</w:t>
      </w:r>
    </w:p>
    <w:p>
      <w:pPr>
        <w:pStyle w:val="TextBody"/>
        <w:bidi w:val="0"/>
        <w:spacing w:lineRule="auto" w:line="276" w:before="0" w:after="12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ABRCF agrees that on the Class D Notes Closing Date it will have capitalization in an amount equal to or greater than 3% of the sum of (x) the Series 2023-2 Invested Amount and (y) the invested amount of the Series 2010-6 Notes, the Series 2011-4 Notes, the Series 2015-3 Notes, the Series 2019-2 Notes, the Series 2019-3 Notes, the Series 2020-1 Notes, the Series 2020-2 Notes, the Series 2021-1 Notes, the Series 2021-2 Notes, the Series 2022-1 Notes, the Series 2022-3 Notes, the Series 2022-4 Notes, the Series 2022-5 Notes, the Series 2023-1 Notes, the Series 2023-3 Notes, the Series 2023-4 Notes, the Series 2023-5 Notes, the Series 2023-6 Notes, the Series 2023-7 Notes, the Series 2023-8 Notes, the Series 2024-1 Notes, the Series 2024-2 Notes and the Series 2024-3 Notes.</w:t>
      </w: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525780"/>
                <wp:effectExtent l="0" t="0" r="0" b="0"/>
                <wp:wrapNone/>
                <wp:docPr id="383" name="Frame3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xml:space="preserve">. Subject to Section 5.7 above, any action pursuant to Section 5.6, Section 8.13 or Article 9 of the Base Indenture that requires the consent of, or is permissible at the direction of, the Required Noteholders with respect to the Series 2023-2 Notes pursuant to the Base Indenture shall only be allowed with the consent of, or at the direction of, the Required Controlling Class Series 2023-2 Noteholders. Any other action pursuant to any Related Document which requires the consent or approval of, or the waiver by, the Required Noteholders with respect to the Series 2023-2 Notes shall require the consent or approval of, or waiver by, the Requisite Series 2023-2 Noteholders.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2023-2 Demand Notes</w:t>
      </w:r>
      <w:r>
        <w:rPr>
          <w:rFonts w:ascii="Times New Roman;sans-serif" w:hAnsi="Times New Roman;sans-serif"/>
          <w:b w:val="false"/>
          <w:color w:val="000000"/>
          <w:sz w:val="24"/>
        </w:rPr>
        <w:t>. Other than pursuant to a demand thereon pursuant to Section 2.5, ABRCF shall not reduce the amount of the Series 2023-2 Demand Notes or forgive amounts payable thereunder so that the outstanding principal amount of the Series 2023-2 Demand Notes after such reduction or forgiveness is less than the sum of (x) the Class A/B/C Letter of Credit Liquidity Amount plus (y) the Class D Letter of Credit Liquidity Amount. ABRCF shall not agree to any amendment of the Series 2023-2 Demand Notes without first satisfying the Rating Agency Confirmation Condition and the Rating Agency Consent Condition.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2023-2 Notes theretofore authenticated and issued have been delivered (other than destroyed, lost, or stolen Series 2023-2 Notes which have been replaced or paid) to the Trustee for cancellation, ABRCF has paid all sums payable hereunder, and, if the Series 2023-2 Demand Note Payment Amount on the Multi-Series Letter of Credit Termination Date was greater than zero, all amounts have been withdrawn from the Series 2023-2 Cash Collateral Accounts in accordance with Section 2.8(m).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2023-2 Noteholder, upon any acquisition of a Series 2023-2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(vi) the execution of an amendment to the AESOP II Operating Lease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(vii) the execution of an amendment to the Master Exchange Agreement substantially in the form of </w:t>
      </w:r>
      <w:r>
        <w:rPr>
          <w:rFonts w:ascii="Times New Roman;sans-serif" w:hAnsi="Times New Roman;sans-serif"/>
          <w:b w:val="false"/>
          <w:color w:val="000000"/>
          <w:sz w:val="24"/>
          <w:u w:val="single"/>
        </w:rPr>
        <w:t>Exhibit P</w:t>
      </w:r>
      <w:r>
        <w:rPr>
          <w:color w:val="000000"/>
        </w:rPr>
        <w:t xml:space="preserve"> </w:t>
      </w:r>
      <w:r>
        <w:rPr>
          <w:rFonts w:ascii="Times New Roman;sans-serif" w:hAnsi="Times New Roman;sans-serif"/>
          <w:b w:val="false"/>
          <w:color w:val="000000"/>
          <w:sz w:val="24"/>
        </w:rPr>
        <w:t xml:space="preserve">hereto, (viii) the execution of an amendment to the Escrow Agreement substantially in the form of </w:t>
      </w:r>
      <w:r>
        <w:rPr>
          <w:rFonts w:ascii="Times New Roman;sans-serif" w:hAnsi="Times New Roman;sans-serif"/>
          <w:b w:val="false"/>
          <w:color w:val="000000"/>
          <w:sz w:val="24"/>
          <w:u w:val="single"/>
        </w:rPr>
        <w:t>Exhibit Q</w:t>
      </w:r>
      <w:r>
        <w:rPr>
          <w:color w:val="000000"/>
        </w:rPr>
        <w:t xml:space="preserve"> </w:t>
      </w:r>
      <w:r>
        <w:rPr>
          <w:rFonts w:ascii="Times New Roman;sans-serif" w:hAnsi="Times New Roman;sans-serif"/>
          <w:b w:val="false"/>
          <w:color w:val="000000"/>
          <w:sz w:val="24"/>
        </w:rPr>
        <w:t xml:space="preserve">hereto, (ix) the execution of an amendment to the Administration Agreement substantially in the form of </w:t>
      </w:r>
      <w:r>
        <w:rPr>
          <w:rFonts w:ascii="Times New Roman;sans-serif" w:hAnsi="Times New Roman;sans-serif"/>
          <w:b w:val="false"/>
          <w:color w:val="000000"/>
          <w:sz w:val="24"/>
          <w:u w:val="single"/>
        </w:rPr>
        <w:t>Exhibit R</w:t>
      </w:r>
      <w:r>
        <w:rPr>
          <w:color w:val="000000"/>
        </w:rPr>
        <w:t xml:space="preserve"> </w:t>
      </w:r>
      <w:r>
        <w:rPr>
          <w:rFonts w:ascii="Times New Roman;sans-serif" w:hAnsi="Times New Roman;sans-serif"/>
          <w:b w:val="false"/>
          <w:color w:val="000000"/>
          <w:sz w:val="24"/>
        </w:rPr>
        <w:t xml:space="preserve">hereto, (x) the execution of an amendment to the AESOP II Operating Lease Loan Agreement substantially in the form of </w:t>
      </w:r>
      <w:r>
        <w:rPr>
          <w:rFonts w:ascii="Times New Roman;sans-serif" w:hAnsi="Times New Roman;sans-serif"/>
          <w:b w:val="false"/>
          <w:color w:val="000000"/>
          <w:sz w:val="24"/>
          <w:u w:val="single"/>
        </w:rPr>
        <w:t>Exhibit S</w:t>
      </w:r>
      <w:r>
        <w:rPr>
          <w:color w:val="000000"/>
        </w:rPr>
        <w:t xml:space="preserve"> </w:t>
      </w:r>
      <w:r>
        <w:rPr>
          <w:rFonts w:ascii="Times New Roman;sans-serif" w:hAnsi="Times New Roman;sans-serif"/>
          <w:b w:val="false"/>
          <w:color w:val="000000"/>
          <w:sz w:val="24"/>
        </w:rPr>
        <w:t xml:space="preserve">hereto, (xi) the execution of an amendment to the Original AESOP Nominee Agreement substantially in the form of </w:t>
      </w:r>
      <w:r>
        <w:rPr>
          <w:rFonts w:ascii="Times New Roman;sans-serif" w:hAnsi="Times New Roman;sans-serif"/>
          <w:b w:val="false"/>
          <w:color w:val="000000"/>
          <w:sz w:val="24"/>
          <w:u w:val="single"/>
        </w:rPr>
        <w:t>Exhibit T</w:t>
      </w:r>
      <w:r>
        <w:rPr>
          <w:color w:val="000000"/>
        </w:rPr>
        <w:t xml:space="preserve"> </w:t>
      </w:r>
      <w:r>
        <w:rPr>
          <w:rFonts w:ascii="Times New Roman;sans-serif" w:hAnsi="Times New Roman;sans-serif"/>
          <w:b w:val="false"/>
          <w:color w:val="000000"/>
          <w:sz w:val="24"/>
        </w:rPr>
        <w:t xml:space="preserve">hereto, (xii) the execution of an amendment to the Disposition Agent Agreement substantially in the form of </w:t>
      </w:r>
      <w:r>
        <w:rPr>
          <w:rFonts w:ascii="Times New Roman;sans-serif" w:hAnsi="Times New Roman;sans-serif"/>
          <w:b w:val="false"/>
          <w:color w:val="000000"/>
          <w:sz w:val="24"/>
          <w:u w:val="single"/>
        </w:rPr>
        <w:t>Exhibit U</w:t>
      </w:r>
      <w:r>
        <w:rPr>
          <w:color w:val="000000"/>
        </w:rPr>
        <w:t xml:space="preserve"> </w:t>
      </w:r>
      <w:r>
        <w:rPr>
          <w:rFonts w:ascii="Times New Roman;sans-serif" w:hAnsi="Times New Roman;sans-serif"/>
          <w:b w:val="false"/>
          <w:color w:val="000000"/>
          <w:sz w:val="24"/>
        </w:rPr>
        <w:t xml:space="preserve">hereto and (xiii) the execution of an amendment to the Back-up Administration Agreement substantially in the form of </w:t>
      </w:r>
      <w:r>
        <w:rPr>
          <w:rFonts w:ascii="Times New Roman;sans-serif" w:hAnsi="Times New Roman;sans-serif"/>
          <w:b w:val="false"/>
          <w:color w:val="000000"/>
          <w:sz w:val="24"/>
          <w:u w:val="single"/>
        </w:rPr>
        <w:t>Exhibit V</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U</w:t>
      </w:r>
      <w:r>
        <w:rPr>
          <w:rFonts w:ascii="Times New Roman;sans-serif" w:hAnsi="Times New Roman;sans-serif"/>
          <w:b w:val="false"/>
          <w:color w:val="000000"/>
          <w:sz w:val="24"/>
        </w:rPr>
        <w:t xml:space="preserve">, and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525780"/>
                <wp:effectExtent l="0" t="0" r="0" b="0"/>
                <wp:wrapNone/>
                <wp:docPr id="384" name="Frame3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Section 5.15.    [Reserved]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(a)  The Trustee and each Series 2023-2 Note Owner agrees, by its acceptance and holding of a beneficial interest in a Series 2023-2 Note, to maintain the confidentiality of all Confidential Information in accordance with procedures adopted by the Trustee or such Series 2023-2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2023-2 Note Owner; (iv) any Person of the type that would be, to such Person’s knowledge, permitted to acquire an interest in the Series 2023-2 Notes in accordance with the requirements of the Indenture to which such Person sells or offers to sell any such Series 2023-2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2023-2 Notes has occurred and is continuing, to the extent such Person may reasonably determine such delivery and disclosure to be necessary or appropriate in the enforcement or for the protection of the rights and remedies under the Series 2023-2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delivery to any Series 2023-2 Note Owner of any report or information required by the terms of the Indenture to be provided to such Series 2023-2 Note Owner shall not be a violation of this Section 5.16. Each Series 2023-2 Note Owner agrees, by acceptance of a beneficial interest in a Series 2023-2 Note, except as set forth in clauses (v), (vi) and (ix) above, that it shall use the Confidential Information for the sole purpose of making an investment in the Series 2023-2 Notes or administering its investment in the Series 2023-2 Notes. In the event of any required disclosure of the Confidential Information by such Series 2023-2 Note Owner, such Series 2023-2 Note Owner agrees to use reasonable efforts to protect the confidentiality of the Confidential Information.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2023-2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term does not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525780"/>
                <wp:effectExtent l="0" t="0" r="0" b="0"/>
                <wp:wrapNone/>
                <wp:docPr id="385" name="Frame3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that: (i) was publicly known or otherwise known to the Trustee or such Series 2023-2 Note Owner prior to the time of such disclosure; (ii) subsequently becomes publicly known through no act or omission by the Trustee, any Series 2023-2 Note Owner or any person acting on behalf of the Trustee or any Series 2023-2 Note Owner; (iii) otherwise is known or becomes known to the Trustee or any Series 2023-2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2023-2 Agent</w:t>
      </w:r>
      <w:r>
        <w:rPr>
          <w:rFonts w:ascii="Times New Roman;sans-serif" w:hAnsi="Times New Roman;sans-serif"/>
          <w:b w:val="false"/>
          <w:color w:val="000000"/>
          <w:sz w:val="24"/>
        </w:rPr>
        <w:t>. The Series 2023-2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2023-2 NOTES, THE SERIES 2023-2 DEMAND NOTES, THE MULTI-SERIES LETTER OF CREDIT AND ANY OTHER RELATED DOCUMENTS EXECUTED IN CONNECTION WITH THE ISSUANCE OF THE SERIES 2023-2 NOTES, OR ANY COURSE OF CONDUCT, COURSE OF DEALING, STATEMENTS (WHETHER ORAL OR WRITTEN), OR ACTIONS OF THE PARTIES HERETO. THIS PROVISION IS A MATERIAL INDUCEMENT FOR THE PARTIES HERETO TO ENTER INTO THIS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525780"/>
                <wp:effectExtent l="0" t="0" r="0" b="0"/>
                <wp:wrapNone/>
                <wp:docPr id="386" name="Frame37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2023-2 NOTES, THE SERIES 2023-2 DEMAND NOTES, THE MULTI-SERIES LETTER OF CREDIT AND ANY OTHER RELATED DOCUMENTS EXECUTED IN CONNECTION WITH THE ISSUANCE OF THE SERIES 2023-2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2023-2 NOTES, THE SERIES 2023-2 DEMAND NOTES, THE MULTI-SERIES LETTER OF CREDIT AND ANY OTHER RELATED DOCUMENTS EXECUTED IN CONNECTION WITH THE ISSUANCE OF THE SERIES 2023-2 NOTES IN ANY OTHER COUNTRY, STATE OR PLACE HAVING JURISDICTION OVER SUCH ACTION OR PROCEEDING.</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2023-2 Notes</w:t>
      </w:r>
      <w:r>
        <w:rPr>
          <w:rFonts w:ascii="Times New Roman;sans-serif" w:hAnsi="Times New Roman;sans-serif"/>
          <w:b w:val="false"/>
          <w:color w:val="000000"/>
          <w:sz w:val="24"/>
        </w:rPr>
        <w:t xml:space="preserve">.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Solely with respect to this Supplement and the Series 2023-2 Notes: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 xml:space="preserve">(i)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C Notes and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C Notes and the Class R Notes for any Series issued after the date hereof.</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For so long as the Series 2023-2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525780"/>
                <wp:effectExtent l="0" t="0" r="0" b="0"/>
                <wp:wrapNone/>
                <wp:docPr id="387" name="Frame37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sans-serif" w:hAnsi="Times New Roman;sans-serif"/>
          <w:b w:val="false"/>
          <w:color w:val="000000"/>
          <w:sz w:val="24"/>
          <w:u w:val="single"/>
        </w:rPr>
        <w:t>Exhibit W-1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W-2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W-1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525780"/>
                <wp:effectExtent l="0" t="0" r="0" b="0"/>
                <wp:wrapNone/>
                <wp:docPr id="388" name="Frame37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0"/>
        <w:ind w:left="0" w:right="0" w:firstLine="720"/>
        <w:jc w:val="left"/>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31445"/>
                <wp:effectExtent l="0" t="0" r="0" b="0"/>
                <wp:wrapNone/>
                <wp:docPr id="389" name="Frame3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2023-2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2023-2 Indenture Supplement</w:t>
                      </w:r>
                    </w:p>
                  </w:txbxContent>
                </v:textbox>
                <w10:wrap type="none"/>
              </v:rect>
            </w:pict>
          </mc:Fallback>
        </mc:AlternateContent>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2023-2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31445"/>
                <wp:effectExtent l="0" t="0" r="0" b="0"/>
                <wp:wrapNone/>
                <wp:docPr id="390" name="Frame3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2023-2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2023-2 Indenture Supplement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205" w:type="dxa"/>
        <w:jc w:val="center"/>
        <w:tblInd w:w="0" w:type="dxa"/>
        <w:tblLayout w:type="fixed"/>
        <w:tblCellMar>
          <w:top w:w="28" w:type="dxa"/>
          <w:left w:w="28" w:type="dxa"/>
          <w:bottom w:w="28" w:type="dxa"/>
          <w:right w:w="28" w:type="dxa"/>
        </w:tblCellMar>
      </w:tblPr>
      <w:tblGrid>
        <w:gridCol w:w="715"/>
        <w:gridCol w:w="544"/>
        <w:gridCol w:w="544"/>
        <w:gridCol w:w="2837"/>
        <w:gridCol w:w="2596"/>
        <w:gridCol w:w="2575"/>
        <w:gridCol w:w="114"/>
        <w:gridCol w:w="114"/>
        <w:gridCol w:w="166"/>
      </w:tblGrid>
      <w:tr>
        <w:trPr/>
        <w:tc>
          <w:tcPr>
            <w:tcW w:w="7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2023-2 ALLOCATIONS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Series 2023-2 Collection Account, Series 2023-2 Excess Collection Account and Series 2023-2 Accrued Interest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2023-2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Draw or </w:t>
              <w:br/>
              <w:t>Payment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2023-2 Reserve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Multi-Series Letters of Credit and Series 2023-2 Cash Collateral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2023-2 Distribution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2023-2 Accounts Permitted Investments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2023-2 Demand Notes Constitute Additional Collateral for Series </w:t>
              <w:br/>
              <w:t>2023-2 Senior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2023-2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2023-2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2023-2 Notes; Permanent Global Series 2023-2 </w:t>
              <w:b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2023-2 Demand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Issuance of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91"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165" w:type="dxa"/>
        <w:jc w:val="center"/>
        <w:tblInd w:w="0" w:type="dxa"/>
        <w:tblLayout w:type="fixed"/>
        <w:tblCellMar>
          <w:top w:w="28" w:type="dxa"/>
          <w:left w:w="28" w:type="dxa"/>
          <w:bottom w:w="28" w:type="dxa"/>
          <w:right w:w="28" w:type="dxa"/>
        </w:tblCellMar>
      </w:tblPr>
      <w:tblGrid>
        <w:gridCol w:w="516"/>
        <w:gridCol w:w="454"/>
        <w:gridCol w:w="455"/>
        <w:gridCol w:w="1448"/>
        <w:gridCol w:w="1448"/>
        <w:gridCol w:w="1453"/>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2023-2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2023-2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92"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10.60</w:t>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2023-3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2023-3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2023-3 5.44%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2023-3 6.12%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2023-3 7.05%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2023-3 9.646%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2023-3 8.964% Rental Car Asset Backed Notes, Class R</w:t>
      </w:r>
    </w:p>
    <w:p>
      <w:pPr>
        <w:pStyle w:val="TextBody"/>
        <w:bidi w:val="0"/>
        <w:spacing w:before="0" w:after="240"/>
        <w:ind w:left="0" w:right="0" w:firstLine="14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3"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AMENDED AND RESTATED SERIES 2023-3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2023-3 Agent</w:t>
      </w:r>
      <w:r>
        <w:rPr>
          <w:color w:val="000000"/>
        </w:rPr>
        <w:t>”</w:t>
      </w:r>
      <w:r>
        <w:rPr>
          <w:rFonts w:ascii="Times New Roman;sans-serif" w:hAnsi="Times New Roman;sans-serif"/>
          <w:b w:val="false"/>
          <w:color w:val="000000"/>
          <w:sz w:val="24"/>
        </w:rPr>
        <w:t>) for the benefit of the Series 2023-3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and the Trustee entered into the Series 2023-3 Supplement, dated April 6, 2023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April 6, 2023, ABRCF issued its Series 2023-3 5.44% Rental Car Asset Backed Notes, Class A, its Series 2023-3 6.12% Rental Car Asset Backed Notes, Class B, its Series 2023-3 7.05% Rental Car Asset Backed Notes, Class C, and its Series 2023-3 8.964% Rental Car Asset Backed Notes, Class R under the Prior Supplement;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was created a Series of Notes issued pursuant to the Base Indenture and the Prior Supplement, and such Series of Notes was designated generally as the “Series 2023-3 Rental Car Asset Backed Notes”. The Series 2023-3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4"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2023-3 5.44% Rental Car Asset Backed Notes, Class A”, (ii) one tranche of Class B Notes designated as the “Series 2023-3 6.12% Rental Car Asset Backed Notes, Class B”, (iii) one tranche of Class C Notes designated as the “Series 2023-3 7.05% Rental Car Asset Backed Notes, Class C” and (iv) one tranche of Class R Notes designated the “Series 2023-3 8.964% Rental Car Asset Backed Notes, Class 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2023-3 9.646% Rental Car Asset Backed Notes, Class D” and (ii) the Additional Class R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2023-3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2023-3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2023-3 Notes and not to any other Series of Notes issued by ABRCF. In the event that a term used herein shall be defined both herein and in the Base Indenture, the definition of such term herein shall govern.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2023-3 Notes and the definitions of such terms are applicable to the singular as well as the plural form of such terms and to the masculine as well as the feminine and neuter genders of such terms:</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5"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2023-3 Controlled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2023-3 Notes, which may be the Class A Notes, the Class B Notes, the Class C Notes, the Class D Notes or the Class R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2023-3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2023-3 Controlled Amortization Period, the Class A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$58,875,000.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an amount equal to the sum of the Class A Controlled Amortization Amount and any Class A Carryover Controlled Amortization Amount for such Related Month.</w:t>
      </w: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6"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$353,250,000.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2023-3 Interest Period, an amount equal to $2,348,720.00 and (ii) any other Series 2023-3 Interest Period, an amount equal to the product of (A) one-twelfth of the Class A Note Rate and (B) the Class A Invested Amount on the first day of such Series 2023-3 Interest Period, after giving effect to any principal payments made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2023-3 5.44%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5.44%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A/B/C Required Liquidity Amount divided by “Required Liquidity Amount” for each applicable Series for which such Multi-Series Letter of Credit is providing credit enhancement.</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7"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2023-3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Multi-Series Letter of Credit Termination Date, the Class A/B/C Cash Collateral Account Surplus shall mean the excess, if any, of (x) the Class A/B/C Available Cash Collateral Account Amount over (y) the Series 2023-3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2023-3 Collection Account (not including amounts allocable to the Series 2023-3 Accrued Interest Account) and the Series 2023-3 Excess Collection Account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2023-3 Demand Notes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8"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Series 2023-3 Maximum Jaguar Amount, Series 2023-3 Maximum Tesla Amount, the Series 2023-3 Maximum Land Rover Amount, the Series 2023-3 Maximum Mitsubishi Amount, the Series 2023-3 Maximum Isuzu Amount, the Series 2023-3 Maximum Subaru Amount, the Series 2023-3 Maximum Hyundai Amount, the Series 2023-3 Maximum Kia Amount, the Series 2023-3 Maximum Suzuki Amount, the Series 2023-3 Maximum Specified States Amount (if applicable), the Series 2023-3 Maximum Non-Perfected Vehicle Amount, the Series 2023-3 Maximum Non-Eligible Manufacturer Amount and the Series 2023-3 Maximum Medium/Heavy Duty Truck Amount.</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300"/>
        <w:ind w:left="0" w:right="0" w:firstLine="1440"/>
        <w:jc w:val="both"/>
        <w:rPr/>
      </w:pPr>
      <w:r>
        <w:rPr>
          <w:color w:val="000000"/>
        </w:rPr>
        <w:t>“</w:t>
      </w:r>
      <w:r>
        <w:rPr>
          <w:rFonts w:ascii="Times New Roman;sans-serif" w:hAnsi="Times New Roman;sans-serif"/>
          <w:b w:val="false"/>
          <w:color w:val="000000"/>
          <w:sz w:val="24"/>
          <w:u w:val="single"/>
        </w:rPr>
        <w:t>Class A/B/C Maximum Non-Perfected Vehicle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99"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April 6, 2023.</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2023-3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2023-3 Invested Amount and the Class D Required Overcollateralization Amount and (ii) as of any other date of determination, 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2023-3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2023-3 AESOP I Operating Lease Loan Agreement Borrowing Base on such date and (2) the lesser of (a) the Class A/B/C Liquidity Amount on such date and (b) the Class A/B/C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400"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available amount allocated to the Class A/B/C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 xml:space="preserve">means, as of any date of determination, the sum, without duplication, of (i) the Series 2023-3 Moody’s Required Enhancement Amount as of such date, (ii) the Series 2023-3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2023-3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2023-3 AESOP I Operating Lease Vehicle Percentage as of the immediately preceding Business Day of the excess, if any, of the aggregate Net Book Value of all Vehicles manufactured by Subaru and leased under the Leases as of such date over the Series 2023-3 Maximum Subaru Amount as of such date, (v) the Series 2023-3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2023-3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2023-3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2023-3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2023-3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2023-3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2023-3 AESOP I Operating Lease </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1"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2023-3 Maximum Non-Perfected Vehicle Amount (as applicable) as of such date, (xii) the Series 2023-3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2023-3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4.00% and the Class A/B/C Senior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2023-3 Collection Account (not including amounts allocable to the Series 2023-3 Accrued Interest Account) and the Series 2023-3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2023-3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2023-3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2"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Related Month during the Series 2023-3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2023-3 Controlled Amortization Period, the Class B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$9,000,000.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$54,000,000.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2023-3 Interest Period, an amount equal to $403,920.00 and (ii) any other Series 2023-3 Interest Period, an amount equal to the product of (A) one-twelfth of the Class B Note Rate and (B) the Class B Invested Amount on the first day of such Series 2023-3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2023-3 6.12% Rental Car Asset Backed Notes, Class B, executed by ABRCF and authenticated by or on behalf of the Trustee,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6.12%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2023-3 Controlled Amortization Period, the amount, if any, by which the portion of the Monthly Total Principal Allocation paid to the Class C Noteholders pursuant to Section 2.5(f)(iii) for the previous Related Month was less than the Class C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2023-3 Controlled Amortization Period, the Class C Carryover Controlled Amortization Amount shall be zero.</w:t>
      </w: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3"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2023-3 Controlled Amortization Period, $7,125,000.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$42,750,000.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(A) for so long as ABRCF owns 100% of the Class C Notes, $0 and (B) if ABRCF owns less than 100% of the Class C Notes, with respect to (i) the initial Series 2023-3 Interest Period, an amount equal to $368,362.50 and (ii) any other Series 2023-3 Interest Period, an amount equal to the product of (A) one-twelfth of the Class C Note Rate and (B) the Class C Invested Amount on the first day of such Series 2023-3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2023-3 7.05%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7.05%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D Required Liquidity Amount divided by “Required Liquidity Amount” for each applicable Series for which such Multi-Series Letter of Credit is providing credit enhancement.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4"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2023-3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2023-3 Controlled Amortization Period, the Class D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Multi-Series Letter of Credit Termination Date, the Class D Cash Collateral Account Surplus shall mean the excess, if any, of (x) the Class D Available Cash Collateral Account Amount over (y) the Series 2023-3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$10,225,000.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2023-3 Controlled Amortization Period, an amount equal to the sum of the Class D Controlled Amortization Amount and any Class D Carryover Controlled Amortization Amount for such Related Month.</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 xml:space="preserve">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2023-3 Collection Account (not including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5"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br/>
        <w:t>allocable to the Series 2023-3 Accrued Interest Account) and the Series 2023-3 Excess Collection Account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means the aggregate initial principal amount of the Class D Notes, which is $61,350,000.</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means 9.646% per annum.</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2023-3 Demand Notes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applicable), the Class D Maximum Non-Perfected Vehicle Amount, the Class D Maximum Non-Eligible Manufacturer Amount and the Class D Maximum Medium/Heavy Duty Truck Amount.</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0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6"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means, with respect to (i) the initial Series 2023-3 Interest Period for the Class D Notes, an amount equal to $871,235 and (ii) any other Series 2023-3 Interest Period, an amount equal to the product of (A) one-twelfth of the Class D Note Rate in effect on the first day of such Series 2023-3 Interest Period and (B) the Class D Invested Amount on the first day of such Series 2023-3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 xml:space="preserve">means, with respect to (i) the initial Series 2023-3 Interest Period for the Class D Notes, an amount equal to $871,235 and (ii) any other Series 2023-3 Interest Period, an amount equal to the product of (A) one-twelfth of the Class D Initial </w:t>
      </w: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75260"/>
                <wp:effectExtent l="0" t="0" r="0" b="0"/>
                <wp:wrapNone/>
                <wp:docPr id="407"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Note Rate and (B) the Class D Invested Amount on the first day of such Series 2023-3 Interest Period, after giving effect to any principal payments made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means, with respect to any Series 2023-3 Interest Period, an amount equal to the excess, if any, of (x) the Class D Monthly Interest with respect to such Series 2023-3 Interest Period over (x) the Class D Monthly Senior Interest with respect to such Series 2023-3 Interest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2023-3 9.646%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 on and after March 19, 2025 and thereafter, (1) if any Class D Noteholder holds Subject Class D Notes in an aggregate principal amount of at least $190,000,000, the Class D Note Rate shall equal the greater of (x) the Class D Note Rate on March 18,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on March 18, 2025 and 6.50% and (2) if no Class D Noteholder holds 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1.00% and (y) the sum of the Interpolated Treasury Rate as of December 14, 2025 and 10.50%.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2023-3 AESOP I Operating Lease Loan Agreement Borrowing Base as of such date over (y) the Series 2023-3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75260"/>
                <wp:effectExtent l="0" t="0" r="0" b="0"/>
                <wp:wrapNone/>
                <wp:docPr id="408"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distribution of the Monthly Total Principal Allocation for the Related Month if such date is a Distribution Date) over (ii) the Series 2023-3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2023-3 AESOP I Operating Lease Loan Agreement Borrowing Base on such date and (2) the lesser of (a) the Class D Liquidity Amount on such date and (b) the Class D Required Liquidity Amount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2023-3 Moody’s Required Enhancement Amount as of such date, (ii) the Series 2023-3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2023-3 AESOP I Operating Lease Vehicle Percentage as of the immediately preceding Business Day of the excess, if any, of the aggregate Net Book Value of all Vehicles manufactured by Isuzu and leased under the Leases as of such date over the Class D Maximum Isuzu Amount as of such date, (iv) the Series 2023-3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2023-3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2023-3 AESOP I Operating Lease Vehicle Percentage as of the immediately preceding Business Day of the excess, </w:t>
      </w:r>
    </w:p>
    <w:p>
      <w:pPr>
        <w:pStyle w:val="TextBody"/>
        <w:bidi w:val="0"/>
        <w:spacing w:before="0" w:after="0"/>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75260"/>
                <wp:effectExtent l="0" t="0" r="0" b="0"/>
                <wp:wrapNone/>
                <wp:docPr id="409"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if any, of the aggregate Net Book Value of all Vehicles manufactured by Kia and leased under the Leases as of such date over the Class D Maximum Kia Amount as of such date, (vii) the Series 2023-3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2023-3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2023-3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2023-3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2023-3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2023-3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2023-3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(iv) the Class D Available Reserve Account Amount on such date and (v) the amount of cash and Permitted Investments on deposit in the Series 2023-3 Collection Account (not including amounts allocable to the Series 2023-3 Accrued Interest Account) and the Series 2023-3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 xml:space="preserve">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w:t>
      </w:r>
    </w:p>
    <w:p>
      <w:pPr>
        <w:pStyle w:val="TextBody"/>
        <w:bidi w:val="0"/>
        <w:spacing w:before="0" w:after="0"/>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75260"/>
                <wp:effectExtent l="0" t="0" r="0" b="0"/>
                <wp:wrapNone/>
                <wp:docPr id="410" name="Frame3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Class D Enhancement Amount (excluding therefrom the Class D Available Reserve Account Amount and calculated after giving effect to any payments of principal to be made on the Series 2023-3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has the meaning set forth in Section 2.3(g)(v).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2023-3 Controlled Amortization Period other than the Related Month immediately preceding the Series 2023-3 Expected Final Distribution Date, $0 and (ii) with respect to the Related Month immediately preceding the Series 2023-3 Expected Final Distribution Date, $28,150,000.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$28,150,000.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2023-3 Interest Period, an amount equal to $271,161.00, (ii) the initial Series 2023-3 Interest Period following the Class D Notes Closing Date, an amount equal to $44,850 and (iii) any other Series 2023-3 Interest Period, an amount equal to the product of (A) one-twelfth of the Class R Note Rate and (B) the Class R Invested Amount on the first day of such Series 2023-3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2023-3 8.964%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8.964%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before="0" w:after="0"/>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75260"/>
                <wp:effectExtent l="0" t="0" r="0" b="0"/>
                <wp:wrapNone/>
                <wp:docPr id="411" name="Frame3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2023-3 Demand Note.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Ratings, Inc.</w:t>
      </w:r>
    </w:p>
    <w:p>
      <w:pPr>
        <w:pStyle w:val="TextBody"/>
        <w:bidi w:val="0"/>
        <w:spacing w:before="0" w:after="0"/>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75260"/>
                <wp:effectExtent l="0" t="0" r="0" b="0"/>
                <wp:wrapNone/>
                <wp:docPr id="412" name="Frame3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A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B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R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Lease Deficit Demand.</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2023-3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2023-3 Note of the excess, if any, of (x) the sum of the Discounted Values for each Remaining Distribution Amount with respect to each Applicable Distribution Date over (y) the Series 2023-3 Invested Amount as of such Optional Repurchase Distribution Date (determined after giving effect to any payments made pursuant to Section 2.5(a)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under the AESOP I Operating Lease and the Finance Lease as of the preceding Determination Date and the two Determination Dates precedent thereto.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2023-3 Principal Allocations with respect to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 xml:space="preserve">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w:t>
      </w:r>
    </w:p>
    <w:p>
      <w:pPr>
        <w:pStyle w:val="TextBody"/>
        <w:bidi w:val="0"/>
        <w:spacing w:before="0" w:after="0"/>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75260"/>
                <wp:effectExtent l="0" t="0" r="0" b="0"/>
                <wp:wrapNone/>
                <wp:docPr id="413" name="Frame3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2023-3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before="0" w:after="0"/>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75260"/>
                <wp:effectExtent l="0" t="0" r="0" b="0"/>
                <wp:wrapNone/>
                <wp:docPr id="414" name="Frame3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2023-3 Eligible Letter of Credit Provider in favor of the Trustee for the benefit, in whole or in part, of the Series 2023-3 Noteholders (provided that a Multi-Series Letter of Credit may also benefit Noteholders of certain other Series).</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Multi-Series Letter of Credit Expiration Date</w:t>
      </w:r>
      <w:r>
        <w:rPr>
          <w:color w:val="000000"/>
        </w:rPr>
        <w:t xml:space="preserve">” </w:t>
      </w:r>
      <w:r>
        <w:rPr>
          <w:rFonts w:ascii="Times New Roman;sans-serif" w:hAnsi="Times New Roman;sans-serif"/>
          <w:b w:val="false"/>
          <w:color w:val="000000"/>
          <w:sz w:val="24"/>
        </w:rPr>
        <w:t>means, with respect to any Multi-Series Letter of Credit, the expiration date set forth in such Multi-Series Letter of Credit, as such date may be extended in accordance with the terms of such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Provider</w:t>
      </w:r>
      <w:r>
        <w:rPr>
          <w:color w:val="000000"/>
        </w:rPr>
        <w:t xml:space="preserve">” </w:t>
      </w:r>
      <w:r>
        <w:rPr>
          <w:rFonts w:ascii="Times New Roman;sans-serif" w:hAnsi="Times New Roman;sans-serif"/>
          <w:b w:val="false"/>
          <w:color w:val="000000"/>
          <w:sz w:val="24"/>
        </w:rPr>
        <w:t>means any issuer of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2023-3 Notes are fully paid and (b) the Series 2023-3 Termination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NYFRB’s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Series 2023-3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2023-3 Demand Notes included in the Series 2023-3 Demand Note Payment Amount as of the Multi-Series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w:t>
      </w:r>
    </w:p>
    <w:p>
      <w:pPr>
        <w:pStyle w:val="TextBody"/>
        <w:bidi w:val="0"/>
        <w:spacing w:before="0" w:after="0"/>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75260"/>
                <wp:effectExtent l="0" t="0" r="0" b="0"/>
                <wp:wrapNone/>
                <wp:docPr id="415" name="Frame4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Pre-Preference Period Demand Note Payments as of any date after the conclusion or dismissal of such proceedings shall equal the Series 2023-3 Demand Note Payment Amount as of the date of the conclusion or dismissal of such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September 2026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September 2026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September 2026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September 2026 Distribution Date, the Class R Controlled Amortization Amount with respect to the Related Month preceding the first such 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Required Controlling Class Series 2023-3 Noteholders</w:t>
      </w:r>
      <w:r>
        <w:rPr>
          <w:color w:val="000000"/>
        </w:rPr>
        <w:t xml:space="preserve">” </w:t>
      </w:r>
      <w:r>
        <w:rPr>
          <w:rFonts w:ascii="Times New Roman;sans-serif" w:hAnsi="Times New Roman;sans-serif"/>
          <w:b w:val="false"/>
          <w:color w:val="000000"/>
          <w:sz w:val="24"/>
        </w:rPr>
        <w:t xml:space="preserve">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2023-3 Notes held by ABCR or any Affiliate of ABCR unless ABCR or such Affiliate is the sole Series 2023-3 Noteholder) and (v) if no Class A Notes, Class B Notes, Class C Notes or Class D Notes are </w:t>
      </w:r>
    </w:p>
    <w:p>
      <w:pPr>
        <w:pStyle w:val="TextBody"/>
        <w:bidi w:val="0"/>
        <w:spacing w:before="0" w:after="0"/>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75260"/>
                <wp:effectExtent l="0" t="0" r="0" b="0"/>
                <wp:wrapNone/>
                <wp:docPr id="416" name="Frame4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outstanding, Class R Noteholders holding more than 50% Class R Invested Amount (excluding, for the purpose of making any of the foregoing calculations, any Series 2023-3 Notes held by ABCR or any Affiliate of ABCR unless ABCR or such Affiliate is the sole Series 2023-3 Noteholder).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Requisite Series 2023-3 Noteholders</w:t>
      </w:r>
      <w:r>
        <w:rPr>
          <w:color w:val="000000"/>
        </w:rPr>
        <w:t xml:space="preserve">” </w:t>
      </w:r>
      <w:r>
        <w:rPr>
          <w:rFonts w:ascii="Times New Roman;sans-serif" w:hAnsi="Times New Roman;sans-serif"/>
          <w:b w:val="false"/>
          <w:color w:val="000000"/>
          <w:sz w:val="24"/>
        </w:rPr>
        <w:t>means Series 2023-3 Noteholders holding, in the aggregate, more than 50% of the Series 2023-3 Invested Amount (excluding, for the purpose of making the foregoing calculation (x) for all purposes, any Series 2023-3 Notes held by ABCR or any Affiliate of ABCR unless ABCR is the sole Series 2023-3 Noteholder and (y) for so long as any Class A Notes, the Class B Notes, or the Class C Notes are outstanding, any Class D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being published but such Vehicle is not included therein, the Market Value of such Vehicle shall 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no such third-party data source or methodology shall have been so approved or any such third-party data source or methodology is not available, the Market Value of such Vehicle </w:t>
      </w:r>
    </w:p>
    <w:p>
      <w:pPr>
        <w:pStyle w:val="TextBody"/>
        <w:bidi w:val="0"/>
        <w:spacing w:before="0" w:after="0"/>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75260"/>
                <wp:effectExtent l="0" t="0" r="0" b="0"/>
                <wp:wrapNone/>
                <wp:docPr id="417" name="Frame4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 xml:space="preserve">means the Series of Notes designated as the Series 2010-6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 xml:space="preserve">means the Series of Notes designated as the Series 2011-4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 xml:space="preserve">means the Series of Notes designated as the Series 2015-3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 xml:space="preserve">means the Series of Notes designated as the Series 2019-2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 xml:space="preserve">means the Series of Notes designated as the Series 2019-3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 xml:space="preserve">means the Series of Notes designated as the Series 2020-1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 xml:space="preserve">means the Series of Notes designated as the Series 2020-2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 xml:space="preserve">means the Series of Notes designated as the Series 2021-1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 xml:space="preserve">means the Series of Notes designated as the Series 2021-2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 xml:space="preserve">means the Series of Notes designated as the Series 2022-1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 xml:space="preserve">means the Series of Notes designated as the Series 2022-3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 xml:space="preserve">means the Series of Notes designated as the Series 2022-4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means the Series of Notes designated as the Series 2022-5</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 xml:space="preserve">means the Series of Notes designated as the Series 2023-1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 xml:space="preserve">means the Series of Notes designated as the Series 2023-2 </w:t>
        <w:br/>
        <w:t>Notes.</w:t>
      </w:r>
    </w:p>
    <w:p>
      <w:pPr>
        <w:pStyle w:val="TextBody"/>
        <w:bidi w:val="0"/>
        <w:spacing w:before="0" w:after="0"/>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75260"/>
                <wp:effectExtent l="0" t="0" r="0" b="0"/>
                <wp:wrapNone/>
                <wp:docPr id="418" name="Frame4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Accounts</w:t>
      </w:r>
      <w:r>
        <w:rPr>
          <w:color w:val="000000"/>
        </w:rPr>
        <w:t xml:space="preserve">” </w:t>
      </w:r>
      <w:r>
        <w:rPr>
          <w:rFonts w:ascii="Times New Roman;sans-serif" w:hAnsi="Times New Roman;sans-serif"/>
          <w:b w:val="false"/>
          <w:color w:val="000000"/>
          <w:sz w:val="24"/>
        </w:rPr>
        <w:t>means each of the Series 2023-3 Distribution Account, the Class A/B/C Reserve Account, the Class D Reserve Account, the Series 2023-3 Collection Account, the Series 2023-3 Excess Collection Account and the Series 2023-3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2023-3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2023-3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2023-3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2023-3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2023-3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2023-3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2023-3 Invested Percentage (calculated with respect to Principal Collections)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Collateral</w:t>
      </w:r>
      <w:r>
        <w:rPr>
          <w:color w:val="000000"/>
        </w:rPr>
        <w:t xml:space="preserve">” </w:t>
      </w:r>
      <w:r>
        <w:rPr>
          <w:rFonts w:ascii="Times New Roman;sans-serif" w:hAnsi="Times New Roman;sans-serif"/>
          <w:b w:val="false"/>
          <w:color w:val="000000"/>
          <w:sz w:val="24"/>
        </w:rPr>
        <w:t>means the Collateral, the Multi-Series Letters of Credit, each Series 2023-3 Demand Note, the Series 2023-3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Controlled Amortization Period</w:t>
      </w:r>
      <w:r>
        <w:rPr>
          <w:color w:val="000000"/>
        </w:rPr>
        <w:t xml:space="preserve">” </w:t>
      </w:r>
      <w:r>
        <w:rPr>
          <w:rFonts w:ascii="Times New Roman;sans-serif" w:hAnsi="Times New Roman;sans-serif"/>
          <w:b w:val="false"/>
          <w:color w:val="000000"/>
          <w:sz w:val="24"/>
        </w:rPr>
        <w:t>means the period commencing upon the close of business on July 31, 2026 (or, if such day is not a Business Day, the Business Day immediately preceding such day) and continuing to the earliest of (i) the commencement of the Series 2023-3 Rapid Amortization Period, (ii) the date on which the Series 2023-3 Notes are fully paid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Demand Note Payment Amount</w:t>
      </w:r>
      <w:r>
        <w:rPr>
          <w:color w:val="000000"/>
        </w:rPr>
        <w:t xml:space="preserve">” </w:t>
      </w:r>
      <w:r>
        <w:rPr>
          <w:rFonts w:ascii="Times New Roman;sans-serif" w:hAnsi="Times New Roman;sans-serif"/>
          <w:b w:val="false"/>
          <w:color w:val="000000"/>
          <w:sz w:val="24"/>
        </w:rPr>
        <w:t xml:space="preserve">means, as of the Multi-Series Letter of Credit Termination Date, the aggregate amount of all proceeds of demands made on the Series 2023-3 Demand Notes pursuant to Section 2.(c)(i), (d)(i) or (e)(i) that were deposited into </w:t>
      </w:r>
    </w:p>
    <w:p>
      <w:pPr>
        <w:pStyle w:val="TextBody"/>
        <w:bidi w:val="0"/>
        <w:spacing w:before="0" w:after="0"/>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75260"/>
                <wp:effectExtent l="0" t="0" r="0" b="0"/>
                <wp:wrapNone/>
                <wp:docPr id="419" name="Frame4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the Series 2023-3 Distribution Account and paid to the Series 2023-3 Noteholders during the one year period ending on the Multi-Series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2023-3 Demand Note Payment Amount as of the Multi-Series Letter of Credit Termination Date shall equal the Series 2023-3 Demand Note Payment Amount as if it were calculated as of the date of such occurrence.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2023-3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2023-3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2023-3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Multi-Series Letter of Credit Provider (or a letter of credit provider under the Series Supplement for any other Series of Notes), then such Person shall not be a Series 2023-3 Eligible Letter of Credit Provider until ABRCF has provided ten (10) days’ prior notice to the Rating Agencies that such Person has been proposed as a Multi-Series Letter of Credit Provider.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Multi-Series Letters of Credit, the Series 2023-3 Demand Notes, the Class D Overcollateralization Amount and the Class A/B/C Required Reserve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2023-3 Excess Tesla Percentage</w:t>
      </w:r>
      <w:r>
        <w:rPr>
          <w:color w:val="000000"/>
        </w:rPr>
        <w:t xml:space="preserve">” </w:t>
      </w:r>
      <w:r>
        <w:rPr>
          <w:rFonts w:ascii="Times New Roman;sans-serif" w:hAnsi="Times New Roman;sans-serif"/>
          <w:b w:val="false"/>
          <w:color w:val="000000"/>
          <w:sz w:val="24"/>
        </w:rPr>
        <w:t>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2023-3 Expected Final Distribution Date</w:t>
      </w:r>
      <w:r>
        <w:rPr>
          <w:color w:val="000000"/>
        </w:rPr>
        <w:t xml:space="preserve">” </w:t>
      </w:r>
      <w:r>
        <w:rPr>
          <w:rFonts w:ascii="Times New Roman;sans-serif" w:hAnsi="Times New Roman;sans-serif"/>
          <w:b w:val="false"/>
          <w:color w:val="000000"/>
          <w:sz w:val="24"/>
        </w:rPr>
        <w:t>means the February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Final Distribution Date</w:t>
      </w:r>
      <w:r>
        <w:rPr>
          <w:color w:val="000000"/>
        </w:rPr>
        <w:t xml:space="preserve">” </w:t>
      </w:r>
      <w:r>
        <w:rPr>
          <w:rFonts w:ascii="Times New Roman;sans-serif" w:hAnsi="Times New Roman;sans-serif"/>
          <w:b w:val="false"/>
          <w:color w:val="000000"/>
          <w:sz w:val="24"/>
        </w:rPr>
        <w:t>means the February 2028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75260"/>
                <wp:effectExtent l="0" t="0" r="0" b="0"/>
                <wp:wrapNone/>
                <wp:docPr id="420" name="Frame4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Interest Period</w:t>
      </w:r>
      <w:r>
        <w:rPr>
          <w:color w:val="000000"/>
        </w:rPr>
        <w:t xml:space="preserve">” </w:t>
      </w:r>
      <w:r>
        <w:rPr>
          <w:rFonts w:ascii="Times New Roman;sans-serif" w:hAnsi="Times New Roman;sans-serif"/>
          <w:b w:val="false"/>
          <w:color w:val="000000"/>
          <w:sz w:val="24"/>
        </w:rPr>
        <w:t>means a period commencing on and including the 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each calendar month and ending on and including the 19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in the following calendar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2023-3 Interest Period with respect to the Class A Notes, the Class B Notes and the Class C Notes commenced on and included the Class A/B/C Notes Closing Date and ended on and included May 19, 2023 and (y) the initial Series 2023-3 Interest Period with respect to the Class D Notes shall commence on and include the Class D Closing Date and shall end on and include February 19, 2025.</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2023-3 Invested Amount and the Class D Overcollateralization Amount, determined during the Series 2023-3 Revolving Period as of the end of the Related Month (or, until the end of the Related Month during which the Class D Notes Closing Date occurs, on the Class D Notes Closing Date), or, during the Series 2023-3 Controlled Amortization Period and the Series 2023-3 Rapid Amortization Period, as of the end of the Series 2023-3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when used with respect to Interest Collections, the percentage equivalent (which percentage shall never exceed 100%) of a fraction, the numerator of which shall be the Accrued Amounts with respect to the Series 2023-3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2023-3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2023-3 Accrued Interest Account (excluding any amounts paid into the Series 2023-3 Accrued Interest Account pursuant to the proviso in Sections 2.2(c)(ii) and/or 2.2(d)(ii)) from and excluding the preceding Distribution Date to and including the Business Day immediately preceding such Distribution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75260"/>
                <wp:effectExtent l="0" t="0" r="0" b="0"/>
                <wp:wrapNone/>
                <wp:docPr id="421" name="Frame4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over (2) the Class R Monthly Interest with respect to the Series 2023-3 Interest Period ended on the day preceding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Lease Payment Deficit</w:t>
      </w:r>
      <w:r>
        <w:rPr>
          <w:color w:val="000000"/>
        </w:rPr>
        <w:t xml:space="preserve">” </w:t>
      </w:r>
      <w:r>
        <w:rPr>
          <w:rFonts w:ascii="Times New Roman;sans-serif" w:hAnsi="Times New Roman;sans-serif"/>
          <w:b w:val="false"/>
          <w:color w:val="000000"/>
          <w:sz w:val="24"/>
        </w:rPr>
        <w:t>means either a Series 2023-3 Lease Interest Payment Deficit or a Series 2023-3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2023-3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2023-3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Lease Principal Payment Deficit</w:t>
      </w:r>
      <w:r>
        <w:rPr>
          <w:color w:val="000000"/>
        </w:rPr>
        <w:t xml:space="preserve">” </w:t>
      </w:r>
      <w:r>
        <w:rPr>
          <w:rFonts w:ascii="Times New Roman;sans-serif" w:hAnsi="Times New Roman;sans-serif"/>
          <w:b w:val="false"/>
          <w:color w:val="000000"/>
          <w:sz w:val="24"/>
        </w:rPr>
        <w:t>means on any Distribution Date, the sum of (a) the Series 2023-3 Monthly Lease Principal Payment Deficit for such Distribution Date and (b) the Series 2023-3 Lease Principal Payment Carryover Deficit for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2023-3 Limited Liquidation Event of Default if the Trustee shall have received the written consent of the Requisite Series 2023-3 Noteholders waiving the occurrence of such Series 2023-3 Limited Liquidation Event of Default. The Trustee shall promptly (but in any event within two (2) days) provide the Rating Agencies with written notice of such waiver.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2023-3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2023-3 Collection Account (without giving effect to any amounts paid into the Series 2023-3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Highest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75260"/>
                <wp:effectExtent l="0" t="0" r="0" b="0"/>
                <wp:wrapNone/>
                <wp:docPr id="422" name="Frame4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14.50% (with respect to calculating the Class D Required Enhancement Amount) or 28.35% (with respect to calculating the Class A/B/C Required Enhancement Amount), (b) the greater of (x) the highest, for any calendar month within the preceding 12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Measurement Month Average for the immediately preceding Measurement Month and (y)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a percentage equal to the product of (x) the Series 2023-3 Excess Tesla Percentage and (y) 10%.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sum of (a) the Series 2023-3 Moody’s Lowest Enhanced Vehicle Percentage, (b) the Series 2023-3 Moody’s Highest Enhanced Vehicle Percentage and (c) the Series 2023-3 Moody’s Trucks Percentage.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16.25%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Lowest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12.75%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Required Enhancement Amount</w:t>
      </w:r>
      <w:r>
        <w:rPr>
          <w:color w:val="000000"/>
        </w:rPr>
        <w:t xml:space="preserve">” </w:t>
      </w:r>
      <w:r>
        <w:rPr>
          <w:rFonts w:ascii="Times New Roman;sans-serif" w:hAnsi="Times New Roman;sans-serif"/>
          <w:b w:val="false"/>
          <w:color w:val="000000"/>
          <w:sz w:val="24"/>
        </w:rPr>
        <w:t xml:space="preserve">means, as of any date of determination, the product of (i) the applicable Series 2023-3 Moody’s Required Enhancement Percentage as of such date and (ii) an amount equal to (x) with respect to calculating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75260"/>
                <wp:effectExtent l="0" t="0" r="0" b="0"/>
                <wp:wrapNone/>
                <wp:docPr id="423" name="Frame4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A/B/C Required Enhancement Amount, the sum of (1) the Class A Invested Amount, (2) the Class B Invested Amount and (3) the Class C Invested Amount, in each case as of such date and (y) with respect to calculating the Class D Required Enhancement Amount, the Series 2023-3 Senior Invested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Series 2023-3 Allocated Cash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Required Enhancement Percentage</w:t>
      </w:r>
      <w:r>
        <w:rPr>
          <w:color w:val="000000"/>
        </w:rPr>
        <w:t xml:space="preserve">” </w:t>
      </w:r>
      <w:r>
        <w:rPr>
          <w:rFonts w:ascii="Times New Roman;sans-serif" w:hAnsi="Times New Roman;sans-serif"/>
          <w:b w:val="false"/>
          <w:color w:val="000000"/>
          <w:sz w:val="24"/>
        </w:rPr>
        <w:t>means, as of any date of determination, the sum of (i) the product of (A) the Series 2023-3 Moody’s Lowest Enhancement Rate as of such date and (B) the Series 2023-3 Moody’s Lowest Enhanced Vehicle Percentage as of such date, (ii) the product of (A) the Series 2023-3 Moody’s Intermediate Enhancement Rate as of such date and (B) the Series 2023-3 Moody’s Intermediate Enhanced Vehicle Percentage as of such date, (iii) the product of (A) the Series 2023-3 Moody’s Highest Enhancement Rate as of such date and (B) the Series 2023-3 Moody’s Highest Enhanced Vehicle Percentage as of such date and (iv) the product of (A) the Series 2023-3 Moody’s Trucks Enhancement Rate as of such date and (B) the Series 2023-3 Moody’s Trucks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 Owner</w:t>
      </w:r>
      <w:r>
        <w:rPr>
          <w:color w:val="000000"/>
        </w:rPr>
        <w:t xml:space="preserve">” </w:t>
      </w:r>
      <w:r>
        <w:rPr>
          <w:rFonts w:ascii="Times New Roman;sans-serif" w:hAnsi="Times New Roman;sans-serif"/>
          <w:b w:val="false"/>
          <w:color w:val="000000"/>
          <w:sz w:val="24"/>
        </w:rPr>
        <w:t xml:space="preserve">means each beneficial owner of a Series 2023-3 Note.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2023-3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2023-3 Notes and ending upon the earliest to occur of (i) the date on which the Series 2023-3 Notes are fully paid, (ii) the Series 2023-3 Final Distribution Date and (iii) the termination of the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75260"/>
                <wp:effectExtent l="0" t="0" r="0" b="0"/>
                <wp:wrapNone/>
                <wp:docPr id="424" name="Frame4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2023-3 Controlled Amortization Period and (ii) the commencement of the Series 2023-3 Rapid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2023-3 Interest Period ended on the day preceding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Termination Date</w:t>
      </w:r>
      <w:r>
        <w:rPr>
          <w:color w:val="000000"/>
        </w:rPr>
        <w:t xml:space="preserve">” </w:t>
      </w:r>
      <w:r>
        <w:rPr>
          <w:rFonts w:ascii="Times New Roman;sans-serif" w:hAnsi="Times New Roman;sans-serif"/>
          <w:b w:val="false"/>
          <w:color w:val="000000"/>
          <w:sz w:val="24"/>
        </w:rPr>
        <w:t>means the February 2028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Trustee’s Fees</w:t>
      </w:r>
      <w:r>
        <w:rPr>
          <w:color w:val="000000"/>
        </w:rPr>
        <w:t xml:space="preserve">” </w:t>
      </w:r>
      <w:r>
        <w:rPr>
          <w:rFonts w:ascii="Times New Roman;sans-serif" w:hAnsi="Times New Roman;sans-serif"/>
          <w:b w:val="false"/>
          <w:color w:val="000000"/>
          <w:sz w:val="24"/>
        </w:rPr>
        <w:t xml:space="preserve">means, for any Distribution Date during the Series 2023-3 Rapid Amortization Period on which there exists a Series 2023-3 Lease Interest Payment Deficit, a portion of the fees payable to the Trustee in an amount equal to the product of (i) the Series 2023-3 Percentage as of the beginning of the Series 2023-3 Interest Period ending on the 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2023-3 Trustee’s Fees in the aggregate for all Distribution Dates shall not exceed 1.1% of the Series 2023-3 Required AESOP I Operating Lease Vehicle Amount as of the last day of the Series 2023-3 Revolving Period.</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75260"/>
                <wp:effectExtent l="0" t="0" r="0" b="0"/>
                <wp:wrapNone/>
                <wp:docPr id="425" name="Frame4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 xml:space="preserve">means the Series of Notes designated as the Series 2023-4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 xml:space="preserve">means the Series of Notes designated as the Series 2023-5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 xml:space="preserve">means the Series of Notes designated as the Series 2023-6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 xml:space="preserve">means the Series of Notes designated as the Series 2023-7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 xml:space="preserve">means the Series of Notes designated as the Series 2023-8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 xml:space="preserve">means the Series of Notes designated as the Series 2024-1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 xml:space="preserve">means the Series of Notes designated as the Series 2024-2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 xml:space="preserve">means the Series of Notes designated as the Series 2024-3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means a rate per annum equal to the secured overnight financing rate as administered by the SOFR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 xml:space="preserve">means the NYFRB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NYFRB’s Website, or any successor source for the secured overnight financing rate identified as such by the SOFR Administrator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(Non-Perfected Lien)</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(Trucks)</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allow for “medium duty” and “heavy duty” trucks to be considered an “Eligible Vehicle” under the Base Indenture.</w:t>
      </w:r>
    </w:p>
    <w:p>
      <w:pPr>
        <w:pStyle w:val="TextBody"/>
        <w:bidi w:val="0"/>
        <w:spacing w:before="0" w:after="0"/>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75260"/>
                <wp:effectExtent l="0" t="0" r="0" b="0"/>
                <wp:wrapNone/>
                <wp:docPr id="426" name="Frame4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means (x) the Class D Notes and (y) the Classes of Notes designated as the Series 2020-2 Notes, Class D, the Series 2022-5 Notes, Class D, the Series 2023-2 Notes, Class D, the Series 2023-5 Notes, Class D and the Series 2024-2 Notes, Class 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2023-3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Unpaid Demand Note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means the federal interagency credit risk retention rules, codified at 17 C.F.R. Part 246.</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before="0" w:after="0"/>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75260"/>
                <wp:effectExtent l="0" t="0" r="0" b="0"/>
                <wp:wrapNone/>
                <wp:docPr id="427" name="Frame4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2023-3 Invested Amount (or any component thereof) on any date shall, unless otherwise stated, be calculated after giving effect to any payment of principal made to the applicable Series 2023-3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2023-3 ALLOCATIONS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2023-3 Notes, the following shall apply: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2023-3 Collection Account, Series 2023-3 Excess Collection Account and Series 2023-3 Accrued Interest Account</w:t>
      </w:r>
      <w:r>
        <w:rPr>
          <w:rFonts w:ascii="Times New Roman;sans-serif" w:hAnsi="Times New Roman;sans-serif"/>
          <w:b w:val="false"/>
          <w:color w:val="000000"/>
          <w:sz w:val="24"/>
        </w:rPr>
        <w:t>. (a) All Collections allocable to the Series 2023-3 Notes shall be allocated to the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2023-3 Noteholders: the Series 2023-3 Collection Account (such sub-account, the “</w:t>
      </w:r>
      <w:r>
        <w:rPr>
          <w:rFonts w:ascii="Times New Roman;sans-serif" w:hAnsi="Times New Roman;sans-serif"/>
          <w:b w:val="false"/>
          <w:color w:val="000000"/>
          <w:sz w:val="24"/>
          <w:u w:val="single"/>
        </w:rPr>
        <w:t>Series 2023-3 Collection Account</w:t>
      </w:r>
      <w:r>
        <w:rPr>
          <w:color w:val="000000"/>
        </w:rPr>
        <w:t>”</w:t>
      </w:r>
      <w:r>
        <w:rPr>
          <w:rFonts w:ascii="Times New Roman;sans-serif" w:hAnsi="Times New Roman;sans-serif"/>
          <w:b w:val="false"/>
          <w:color w:val="000000"/>
          <w:sz w:val="24"/>
        </w:rPr>
        <w:t>), the Series 2023-3 Excess Collection Account (such sub-account, the “</w:t>
      </w:r>
      <w:r>
        <w:rPr>
          <w:rFonts w:ascii="Times New Roman;sans-serif" w:hAnsi="Times New Roman;sans-serif"/>
          <w:b w:val="false"/>
          <w:color w:val="000000"/>
          <w:sz w:val="24"/>
          <w:u w:val="single"/>
        </w:rPr>
        <w:t>Series 2023-3 Excess Collection Account</w:t>
      </w:r>
      <w:r>
        <w:rPr>
          <w:color w:val="000000"/>
        </w:rPr>
        <w:t>”</w:t>
      </w:r>
      <w:r>
        <w:rPr>
          <w:rFonts w:ascii="Times New Roman;sans-serif" w:hAnsi="Times New Roman;sans-serif"/>
          <w:b w:val="false"/>
          <w:color w:val="000000"/>
          <w:sz w:val="24"/>
        </w:rPr>
        <w:t>) and the Series 2023-3 Accrued Interest Account (such sub-account, the “</w:t>
      </w:r>
      <w:r>
        <w:rPr>
          <w:rFonts w:ascii="Times New Roman;sans-serif" w:hAnsi="Times New Roman;sans-serif"/>
          <w:b w:val="false"/>
          <w:color w:val="000000"/>
          <w:sz w:val="24"/>
          <w:u w:val="single"/>
        </w:rPr>
        <w:t>Series 2023-3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2023-3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2023-3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2023-3 Revolving Period</w:t>
      </w:r>
      <w:r>
        <w:rPr>
          <w:rFonts w:ascii="Times New Roman;sans-serif" w:hAnsi="Times New Roman;sans-serif"/>
          <w:b w:val="false"/>
          <w:color w:val="000000"/>
          <w:sz w:val="24"/>
        </w:rPr>
        <w:t>. During the Series 2023-3 Revolving Period, the Administrator will direct the Trustee in writing pursuant to the Administration Agreement to allocate, prior to 11:00 a.m. (New York City time) on each Series 2023-3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2023-3 Collection Account an amount equal to the Series 2023-3 Invested Percentage (as of such day) of the aggregate amount of Interest Collections on such day. All such amounts allocated to the Series 2023-3 Collection Account shall be further allocated to the Series 2023-3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allocate to the Series 2023-3 Excess Collection Account an amount equal to the Series 2023-3 Invested Percentage (as of such day) of the aggregate amount of Principal Collections on such day (for any such day, the “</w:t>
      </w:r>
      <w:r>
        <w:rPr>
          <w:rFonts w:ascii="Times New Roman;sans-serif" w:hAnsi="Times New Roman;sans-serif"/>
          <w:b w:val="false"/>
          <w:color w:val="000000"/>
          <w:sz w:val="24"/>
          <w:u w:val="single"/>
        </w:rPr>
        <w:t>Series 2023-3 Principal Allocation</w:t>
      </w:r>
      <w:r>
        <w:rPr>
          <w:color w:val="000000"/>
        </w:rPr>
        <w:t>”</w:t>
      </w:r>
      <w:r>
        <w:rPr>
          <w:rFonts w:ascii="Times New Roman;sans-serif" w:hAnsi="Times New Roman;sans-serif"/>
          <w:b w:val="false"/>
          <w:color w:val="000000"/>
          <w:sz w:val="24"/>
        </w:rPr>
        <w:t>).</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75260"/>
                <wp:effectExtent l="0" t="0" r="0" b="0"/>
                <wp:wrapNone/>
                <wp:docPr id="428" name="Frame4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6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2023-3 Controlled Amortization Period</w:t>
      </w:r>
      <w:r>
        <w:rPr>
          <w:rFonts w:ascii="Times New Roman;sans-serif" w:hAnsi="Times New Roman;sans-serif"/>
          <w:b w:val="false"/>
          <w:color w:val="000000"/>
          <w:sz w:val="24"/>
        </w:rPr>
        <w:t>. With respect to the Series 2023-3 Controlled Amortization Period, the Administrator will direct the Trustee in writing pursuant to the Administration Agreement to allocate, prior to 11:00 a.m. (New York City time) on any Series 2023-3 Deposit Date, all amounts deposited into the Collection Account as set forth below:</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2023-3 Collection Account an amount determined as set forth in Section 2.2(a)(i) above for such day, which amount shall be further allocated to the Series 2023-3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2023-3 Collection Account an amount equal to the Series 2023-3 Principal Allocation for such day, which amount shall be used to make principal payments in respect of the Series 2023-3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2023-3 Excess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2023-3 Rapid Amortization Period</w:t>
      </w:r>
      <w:r>
        <w:rPr>
          <w:rFonts w:ascii="Times New Roman;sans-serif" w:hAnsi="Times New Roman;sans-serif"/>
          <w:b w:val="false"/>
          <w:color w:val="000000"/>
          <w:sz w:val="24"/>
        </w:rPr>
        <w:t>. With respect to the Series 2023-3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2023-3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2023-3 Collection Account an amount determined as set forth in Section 2.2(a)(i) above for such day, which amount shall be further allocated to the Series 2023-3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2023-3 Collection Account an amount equal to the Series 2023-3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after the Class A Notes, the Class B Notes, and the Class C Notes have been paid in full, shall be used to make principal payments in respect of the Class D Notes until the Class D Notes have been paid in full and, </w:t>
      </w: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29" name="Frame4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2023-3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2023-3 Notes during the Related Month equal to the lesser of such insufficiency and the Class A/B/C Enhancement Amount to the Series 2023-3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2023-3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2023-3 Notes during the Related Month equal to the lesser of such insufficiency and the Class D Enhancement Amount to the Series 2023-3 Accrued Interest Account to be treated as Interest Collections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2023-3 Deposit Date, all amounts attributable to the AESOP I Operating Lease Loan Agreement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allocate to the Series 2023-3 Collection Account an amount equal to the Series 2023-3 AESOP I Operating Lease Vehicle Percentage as of the date of the occurrence of such Event of Bankruptcy of the aggregate amount of Interest Collections made under the AESOP I Operating Lease Loan Agreement for such day. All such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30" name="Frame4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allocated to the Series 2023-3 Collection Account shall be further allocated to the Series 2023-3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2023-3 Collection Account an amount equal to the Series 2023-3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2023-3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2023-3 Notes during the Related Month equal to the lesser of such insufficiency and the Class A/B/C Enhancement Amount to the Series 2023-3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2023-3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2023-3 Notes during the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31" name="Frame4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Month equal to the lesser of such insufficiency and the Class D Enhancement Amount to the Series 2023-3 Accrued Interest Account to be treated as Interest Collections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2023-3 Excess Collection Account</w:t>
      </w:r>
      <w:r>
        <w:rPr>
          <w:rFonts w:ascii="Times New Roman;sans-serif" w:hAnsi="Times New Roman;sans-serif"/>
          <w:b w:val="false"/>
          <w:color w:val="000000"/>
          <w:sz w:val="24"/>
        </w:rPr>
        <w:t xml:space="preserve">. Amounts allocated to the Series 2023-3 Excess Collection Account on any Series 2023-3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2023-3 Enhancement Deficiency or AESOP I Operating Lease Vehicle Deficiency would result therefrom or exist immediately thereafter. Upon the occurrence of an Amortization Event and once a Trust Officer has actual knowledge of the Amortization Event, funds on deposit in the Series 2023-3 Excess Collection Account will be withdrawn by the Trustee, deposited in the Series 2023-3 Collection Account and allocated as Principal Collections to reduce the Series 2023-3 Invested Amount on the immediately succeeding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2023-3 Notes (i) during the Series 2023-3 Revolving Period shall be allocated to the Series 2023-3 Excess Collection Account and applied in accordance with Section 2.2(e) and (ii) during the Series 2023-3 Controlled Amortization Period or the Series 2023-3 Rapid Amortization Period shall be allocated to the Series 2023-3 Collection Account and applied in accordance with Section 2.2(b) or 2.2(c), as applicable, to make principal payments in respect of the Series 2023-3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Notwithstanding the foregoing, if in the case of Section 2.2(a) or (b), after the occurrence of a Series 2023-3 Lease Payment Deficit, the Lessees shall make payments of Monthly Base Rent or other amounts payable by the Lessees under the Leases on or prior to the fifth Business Day after the occurrence of such Series 2023-3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2023-3 Collection Account an amount equal to the Series 2023-3 Invested Percentage as of the date of the occurrence of such Series 2023-3 Lease Payment Deficit of the Collections attributable to such Past Due Rent Payment (the “</w:t>
      </w:r>
      <w:r>
        <w:rPr>
          <w:rFonts w:ascii="Times New Roman;sans-serif" w:hAnsi="Times New Roman;sans-serif"/>
          <w:b w:val="false"/>
          <w:color w:val="000000"/>
          <w:sz w:val="24"/>
          <w:u w:val="single"/>
        </w:rPr>
        <w:t>Series 2023-3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2023-3 Collection Account and apply the Series 2023-3 Past Due Rent Payment in the following order:</w:t>
      </w: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32" name="Frame4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the occurrence of such Series 2023-3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2023-3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2023-3 Past Due Rent Payment;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the occurrence of such Series 2023-3 Lease Payment Deficit resulted in a withdrawal being made from the Class A/B/C Cash Collateral Account, deposit in the Class A/B/C Cash Collateral Account an amount equal to the lesser of (x) the amount of the Series 2023-3 Past Due Rent Payment remaining after any payment pursuant to clause (i) above and (y) the amount withdrawn from the Class A/B/C Cash Collateral Account on account of such Series 2023-3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the occurrence of such Series 2023-3 Lease Payment Deficit resulted in a withdrawal being made from the Class A/B/C Reserve Account pursuant to Section 2.3(d), deposit in the Class A/B/C Reserve Account an amount equal to the lesser of (x) the amount of the Series 2023-3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the occurrence of such Series 2023-3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2023-3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2023-3 Past Due Rent Payment remaining after any payment pursuant to clauses (i) through (iii) above;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if the occurrence of such Series 2023-3 Lease Payment Deficit resulted in a withdrawal being made from the Class D Cash Collateral Account, deposit in the Class D Cash Collateral Account an amount equal to the lesser of (x) the amount of the Series 2023-3 Past Due Rent Payment remaining after any payment pursuant to clause (i) through (iv) above and (y) the amount withdrawn from the Class D Cash Collateral Account on account of such Series 2023-3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if the occurrence of such Series 2023-3 Lease Payment Deficit resulted in a withdrawal being made from the Class D Reserve Account pursuant to Section 2.3(d), deposit in the Class D Reserve Account an amount equal to the lesser of (x) the amount of the Series 2023-3 Past Due Rent Payment remaining after any payments </w:t>
      </w: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33" name="Frame4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pursuant to clauses (i) through (v) above and (y) the excess, if any, of the Class D Required Reserve Account Amount over the Class D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allocate to the Series 2023-3 Accrued Interest Account the amount, if any, by which the Series 2023-3 Lease Interest Payment Deficit, if any, relating to such Series 2023-3 Lease Payment Deficit exceeds the amount of the Series 2023-3 Past Due Rent Payment applied pursuant to clauses (i) (vi) above; and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treat the remaining amount of the Series 2023-3 Past Due Rent Payment as Principal Collections allocated to the Series 2023-3 Notes in accordance with Section 2.2(a)(ii) or 2.2(b)(ii), as the case may be.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2023-3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2023-3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2023-3 Accrued Interest Account to the extent funds are anticipated to be available from Interest Collections allocable to the Series 2023-3 Notes processed from but not including the preceding Distribution Date through the succeeding Distribution Date in respect of (i) an amount equal to the Class A Monthly Interest for the Series 2023-3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2023-3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2023-3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Senior Interest for the Series 2023-3 Interest Period ending on the day preceding the related Distribution Date, (viii) an amount equal to the amount of any unpaid Class D Senior Interest Shortfall as of the preceding Distribution Date (together with any accrued interest on such Class D Senior Interest Shortfall), (ix) if either (A) no Series 2023-3 Rapid Amortization Period is continuing as of such Determination Date or (B) no Class A Notes, Class B Notes or Class C Notes are outstanding as of such Determination Date, an amount equal to the Class D Monthly Subordinated Interest for the Series 2023-3 Interest Period ending on the day preceding the related Distribution Date, (x) if either (A) no Series 2023-3 Rapid Amortization Period is continuing as of such Determination Date or (B) no Class A Notes, Class B Notes or Class C Notes are outstanding as of such Determination Date, an amount equal to the amount of </w:t>
      </w:r>
    </w:p>
    <w:p>
      <w:pPr>
        <w:pStyle w:val="TextBody"/>
        <w:bidi w:val="0"/>
        <w:spacing w:before="0" w:after="0"/>
        <w:jc w:val="left"/>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34" name="Frame4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any unpaid Class D Subordinated Interest Shortfall as of the preceding Distribution Date (together with any accrued interest on such Class D Subordinated Interest Shortfall), (xi) an amount equal to the Class R Monthly Interest for the Series 2023-3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2023-3 Accrued Interest Account and deposit such amounts in the Series 2023-3 Distribution Account. For the avoidance of doubt, no interest shall accrue or be due and payable with respect to the Class C Notes for so long as ABRCF owns 100% of the Class C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2023-3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Multi-Series Letters of Credit For Series 2023-3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2023-3 Lease Interest Payment Deficit, the Administrator shall: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2023-3 Lease Interest Payment Deficit over the sum of (1) the amounts described in clauses (vii) and (viii) of Section 2.3(a) above and (2) during the Series 2023-3 Rapid Amortization Period, the product of the Class D Percentage and the Series 2023-3 Trustee’s Fees for such Distribution Date, (y) the excess, if any, of (A) the sum of (1) the amounts described in clauses (i) through (vi) of Section 2.3(a) above for such Distribution Date and (2) during the Series 2023-3 Rapid Amortization Period, the product of the Class A/B/C Percentage and the Series 2023-3 Trustee’s Fees for such Distribution Date, over (B) the amounts available from the Series 2023-3 Accrued Interest Account and (z) the Class A/B/C Letter of Credit Liquidity Amount or (II) if no Class A Notes, Class B Notes or Class C Notes remain outstanding, the least of (x) such Series 2023-3 Lease Interest Payment Deficit, (y) the excess, if any, of (A) the sum of (1) the amounts described in clauses (i) through (viii) of Section 2.3(a) above for such Distribution Date and (2) during the Series 2023-3 Rapid Amortization Period, the Series 2023-3 Trustee’s Fees for such Distribution Date, over (B) the amounts available from the Series 2023-3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2023-3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75260"/>
                <wp:effectExtent l="0" t="0" r="0" b="0"/>
                <wp:wrapNone/>
                <wp:docPr id="435" name="Frame4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Account and deposit in the Series 2023-3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2023-3 Lease Interest Payment Deficit, (y) the excess, if any, of (A) the sum of (1) the amounts described in clauses (vii) through (x) of Section 2.3(a) above for such Distribution Date and (2) during the Series 2023-3 Rapid Amortization Period, the product of the Class D Percentage and the Series 2023-3 Trustee’s Fees for such Distribution Date, over (B) the excess of (1) the sum of (X) the amounts available from the Series 2023-3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2023-3 Rapid Amortization Period, the product of the Class A/B/C Percentage and the Series 2023-3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2023-3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2023-3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2023-3 Reserve Accounts</w:t>
      </w:r>
      <w:r>
        <w:rPr>
          <w:rFonts w:ascii="Times New Roman;sans-serif" w:hAnsi="Times New Roman;sans-serif"/>
          <w:b w:val="false"/>
          <w:color w:val="000000"/>
          <w:sz w:val="24"/>
        </w:rPr>
        <w:t xml:space="preserve">. If the Administrator determines on any Distribution Date that the amounts available from the Series 2023-3 Accrued 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to be drawn under the Multi-Series Letters of Credit and/or withdrawn from the Series 2023-3 Cash Collateral Accounts pursuant to Section 2.3(c) are insufficient to pay the sum of (A) the amounts described in clauses (i) through (x) of Section 2.3(a) above on such Distribution Date and (B) during the Series 2023-3 Rapid Amortization Period, the Series 2023-3 Trustee’s Fees for such Distribution Date, the Administrator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instruct the Trustee in writing to withdraw from the Class A/B/C Reserve Account and deposit in the Series 2023-3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75260"/>
                <wp:effectExtent l="0" t="0" r="0" b="0"/>
                <wp:wrapNone/>
                <wp:docPr id="436" name="Frame4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clauses (i) through (vi) of Section 2.3(a) above with respect to such Distribution Date and (2) during the Series 2023-3 Rapid Amortization Period, the product of the Class A/B/C Percentage and the Series 2023-3 Trustee’s Fees for such Distribution Date or (II) if no Class A Notes, Class B Notes or Class C Notes remain outstanding, the sum of (1) the amounts described in clauses (i) through (x) of Section 2.3(a) above with respect to such Distribution Date and (2) during the Series 2023-3 Rapid Amortization Period, the Series 2023-3 Trustee’s Fees for such Distribution Date over (B) the sum of (1) the amounts available from the Series 2023-3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2023-3 Distribution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instruct the Trustee in writing to withdraw from the Class D Reserve Account and deposit in the Series 2023-3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2023-3 Rapid Amortization Period, the product of the Class D Percentage and the Series 2023-3 Trustee’s Fees for such Distribution Date over (B) the excess with respect to such Distribution Date of (1) the sum of (W) the amounts available from the Series 2023-3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2023-3 Rapid Amortization Period, the product of the Class A/B/C Percentage and the Series 2023-3 Trustee’s Fees for such Distribution Date. The Trustee shall withdraw such amount from the Class D Reserve Account and deposit such amount in the Series 2023-3 Distribution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pursuant to the Administration Agreement to pay the balance (after making the payments required in Section 2.4), if any, of the amounts available from the Series 2023-3 Accrued Interest Account and the Series 2023-3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Multi-Series Letters of Credit and/or withdrawn from the Series 2023-3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2023-3 Reserve Accounts pursuant to Section 2.3(d)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each Distribution Date during the Series 2023-3 Revolving Period or the Series 2023-3 Controlled Amortization Period, (1) first, to the Administrator, </w:t>
      </w:r>
    </w:p>
    <w:p>
      <w:pPr>
        <w:pStyle w:val="TextBody"/>
        <w:bidi w:val="0"/>
        <w:spacing w:before="0" w:after="0"/>
        <w:jc w:val="left"/>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37" name="Frame4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 amount equal to the Series 2023-3 Percentage as of the beginning of the Series 2023-3 Interest Period ending on the day preceding such Distribution Date of the portion of the Monthly Administration Fee payable by ABRCF (as specified in clause (iii) of the definition thereof) for such Series 2023-3 Interest Period, (2) second, to the Trustee, an amount equal to the Series 2023-3 Percentage as of the beginning of such Series 2023-3 Interest Period of the fees owing to the Trustee under the Base Indenture for such Series 2023-3 Interest Period, (3) third to pay any Carrying Charges (other than Carrying Charges provided for above) to the Persons to whom such amounts are owed, an amount equal to the Series 2023-3 Percentage as of the beginning of such Series 2023-3 Interest Period of such Carrying Charges (other than Carrying Charges provided for above) for such Series 2023-3 Interest Period and (4) fourth, the balance, if any, shall be withdrawn by the Paying Agent from the Series 2023-3 Collection Account and deposited in the Series 2023-3 Excess Collection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on each Distribution Date during the Series 2023-3 Rapid Amortization Period, (1) first, to the Series 2023-3 Distribution Account, an amount equal to Class D Monthly Subordinated Interest with respect to the Series 2023-3 Interest Period ending on the date immediately preceding such Distribution Date to be treated as Principal Collections, (2) second, to the Trustee, an amount equal to the Series 2023-3 Percentage as of the beginning of such Series 2023-3 Interest Period ending on the day preceding such Distribution Date of the fees owing to the Trustee under the Base Indenture for such Series 2023-3 Interest Period, (3) third, to the Administrator, an amount equal to the Series 2023-3 Percentage as of the beginning of such Series 2023-3 Interest Period of the portion of the Monthly Administration Fee (as specified in clause (iii) of the definition thereof) payable by ABRCF for such Series 2023-3 Interest Period, (4) fourth, to pay any Carrying Charges (other than Carrying Charges provided for above) to the Persons to whom such amounts are owed, an amount equal to the Series 2023-3 Percentage as of the beginning of such Series 2023-3 Interest Period of such Carrying Charges (other than Carrying Charges provided for above) for such Series 2023-3 Interest Period and (5) fifth, so long as the Series 2023-3 Invested Amount is greater than the Monthly Total Principal Allocations for the Related Month, an amount equal to the excess of the Series 2023-3 Invested Amount over the Monthly Total Principal Allocations for the Related Month shall be treated as Principal Collections.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If the amounts described in Section 2.3 are insufficient to pay the Class A Monthly Interest on any Distribution Date, payments of interest to the Class A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the amounts described in Section 2.3 are insufficient to pay the amounts described in clauses (i) and (ii) of Section 2.3(a) and the Class B Monthly Interest on any Distribution Date, payments of interest to the Class B Noteholders will be reduced </w:t>
      </w:r>
    </w:p>
    <w:p>
      <w:pPr>
        <w:pStyle w:val="TextBody"/>
        <w:bidi w:val="0"/>
        <w:spacing w:before="0" w:after="0"/>
        <w:jc w:val="left"/>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75260"/>
                <wp:effectExtent l="0" t="0" r="0" b="0"/>
                <wp:wrapNone/>
                <wp:docPr id="438" name="Frame4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B Monthly Interest for the Series 2023-3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B Shortfall</w:t>
      </w:r>
      <w:r>
        <w:rPr>
          <w:color w:val="000000"/>
        </w:rPr>
        <w:t>”</w:t>
      </w:r>
      <w:r>
        <w:rPr>
          <w:rFonts w:ascii="Times New Roman;sans-serif" w:hAnsi="Times New Roman;sans-serif"/>
          <w:b w:val="false"/>
          <w:color w:val="000000"/>
          <w:sz w:val="24"/>
        </w:rPr>
        <w:t>. Interest shall accrue on the Class B Shortfall at the Class B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2023-3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2023-3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If (A) the amounts described in Section 2.3 are insufficient to pay the amounts described in clauses (i) through (viii) of Section 2.3(a) and the Class D Monthly Subordinated Interest on any Distribution Date and/or (B) the Series 2023-3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Subordinated Interest for the Series 2023-3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Interest shall accrue on the Class D Subordinated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w:t>
      </w:r>
    </w:p>
    <w:p>
      <w:pPr>
        <w:pStyle w:val="TextBody"/>
        <w:bidi w:val="0"/>
        <w:spacing w:before="0" w:after="0"/>
        <w:jc w:val="left"/>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75260"/>
                <wp:effectExtent l="0" t="0" r="0" b="0"/>
                <wp:wrapNone/>
                <wp:docPr id="439" name="Frame4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any, of such deficiency on any Distribution Date (which deficiency on any Distribution Date shall not exceed the Class R Monthly Interest for the Series 2023-3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R Shortfall</w:t>
      </w:r>
      <w:r>
        <w:rPr>
          <w:color w:val="000000"/>
        </w:rPr>
        <w:t>”</w:t>
      </w:r>
      <w:r>
        <w:rPr>
          <w:rFonts w:ascii="Times New Roman;sans-serif" w:hAnsi="Times New Roman;sans-serif"/>
          <w:b w:val="false"/>
          <w:color w:val="000000"/>
          <w:sz w:val="24"/>
        </w:rPr>
        <w:t>. Interest shall accrue on the Class R Shortfall at the Class R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2023-3 Distribution Account pursuant to Section 2.3:</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the Class D Noteholders, the amounts due to the Class D Noteholders described in Sections 2.3(a)(vii) and (viii);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if the Series 2020-2 Rapid Amortization Period is not continuing as of such Distribution Date, the amounts due to the Class D Noteholders described in Section 2.3(a)(ix) and (x); and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On each Determination Date, commencing on the second Determination Date during the Series 2023-3 Controlled Amortization Period or the first Determination Date after the commencement of the Series 2023-3 Rapid Amortization Period, the Administrator shall instruct the Trustee and the Paying Agent in writing pursuant to the Administration Agreement and in accordance with this Section 2.5 as to (1) the amount allocated to the Series 2023-3 Notes during the Related Month pursuant to Section 2.2(b)(ii), (c)(ii) or (d)(ii), as the case may be, (2) any amounts to be drawn on the Series 2023-3 Demand Notes and/or on the Multi-Series Letters of Credit (or withdrawn from the Series 2023-3 Cash Collateral Accounts) pursuant to this Section 2.5 and (3) any amounts to be withdrawn from the Series 2023-3 Reserve Accounts pursuant to this Section 2.5 and deposited into the Series 2023-3 Distribution Account. On the Distribution Date following each such Determination Date, the Trustee shall withdraw the amount allocated to the Series 2023-3 Notes during the Related Month pursuant to Section 2.2(b)(ii), (c)(ii) or (d)(ii), as the case may be, from the Series 2023-3 Collection Account and deposit such amount in the Series 2023-3 Distribution Account, to be paid to the holders of the Series 2023-3 Notes.</w:t>
      </w:r>
    </w:p>
    <w:p>
      <w:pPr>
        <w:pStyle w:val="TextBody"/>
        <w:bidi w:val="0"/>
        <w:spacing w:before="0" w:after="0"/>
        <w:jc w:val="left"/>
        <w:rPr/>
      </w:pP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75260"/>
                <wp:effectExtent l="0" t="0" r="0" b="0"/>
                <wp:wrapNone/>
                <wp:docPr id="440" name="Frame4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Multi-Series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2023-3 Rapid Amortization Period that on such Distribution Date there will exist a Series 2023-3 Lease Principal Payment Deficit, the Administrator shall instruct the Trustee in writing to: </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    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2023-3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2023-3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2023-3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2023-3 Distribution Account an amount equal to the lesser of (x) the Class A/B/C Cash Collateral Percentage for such date of the lesser of the Series 2023-3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2023-3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2023-3 Lease Principal Payment Deficit over (B) the amount, if any, to be drawn on the </w:t>
      </w:r>
    </w:p>
    <w:p>
      <w:pPr>
        <w:pStyle w:val="TextBody"/>
        <w:bidi w:val="0"/>
        <w:spacing w:before="0" w:after="0"/>
        <w:jc w:val="left"/>
        <w:rPr/>
      </w:pP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75260"/>
                <wp:effectExtent l="0" t="0" r="0" b="0"/>
                <wp:wrapNone/>
                <wp:docPr id="441" name="Frame4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2023-3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2023-3 Distribution Account an amount equal to the lesser of (x) the Class A/B/C Cash Collateral Percentage for such date of the lesser of (A) the excess of (1) the Series 2023-3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 </w:t>
      </w:r>
    </w:p>
    <w:p>
      <w:pPr>
        <w:pStyle w:val="TextBody"/>
        <w:bidi w:val="0"/>
        <w:spacing w:lineRule="auto" w:line="288" w:before="0" w:after="120"/>
        <w:ind w:left="0" w:right="0" w:firstLine="720"/>
        <w:jc w:val="both"/>
        <w:rPr/>
      </w:pPr>
      <w:r>
        <w:rPr>
          <w:rFonts w:ascii="Times New Roman;sans-serif" w:hAnsi="Times New Roman;sans-serif"/>
          <w:b w:val="false"/>
          <w:color w:val="000000"/>
          <w:sz w:val="24"/>
        </w:rPr>
        <w:t xml:space="preserve">(iii)    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2023-3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2023-3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2023-3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withdraw from the Class D Cash Collateral Account and deposit in the Series 2023-3 Distribution Account an amount equal to the lesser of (x) the Class D Cash Collateral Percentage for such date of the lesser of (A) the excess of (1) the Series 2023-3 Lease Principal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75260"/>
                <wp:effectExtent l="0" t="0" r="0" b="0"/>
                <wp:wrapNone/>
                <wp:docPr id="442" name="Frame4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2023-3 Final Distribution Date.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2023-3 Distribution Account in accordance with Section 2.5(a) together with any amounts to be deposited therein in accordance with Section 2.5(b) on the Series 2023-3 Final Distribution Date is less than the Series 2023-3 Senior Invested Amount and there are any Multi-Series Letters of Credit on such date, then, prior to 10:00 a.m. (New York City time) on the second Business Day prior to the Series 2023-3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2023-3 Demand Notes in an amount equal to the lesser of (x) such insufficiency and (y) the sum of the Class A/B/C Letter of Credit Amount and the Class D Letter of Credit Amount. The Trustee shall, prior to 12:00 noon (New York City time) on the second Business Day preceding such Series 2023-3 Final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2023-3 Demand Notes to be deposited into the Series 2023-3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xml:space="preserve">. In the event that either (x) on or prior to 10:00 a.m. (New York City time) on the Business Day immediately preceding the Series 2023-3 Final Distribution Date a Demand Notice has been transmitted by the Trustee to </w:t>
      </w:r>
    </w:p>
    <w:p>
      <w:pPr>
        <w:pStyle w:val="TextBody"/>
        <w:bidi w:val="0"/>
        <w:spacing w:before="0" w:after="0"/>
        <w:jc w:val="left"/>
        <w:rPr/>
      </w:pP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75260"/>
                <wp:effectExtent l="0" t="0" r="0" b="0"/>
                <wp:wrapNone/>
                <wp:docPr id="443" name="Frame4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Demand Note Issuers pursuant to clause (i) of this Section 2.5(c) and any Demand Note Issuer shall have failed to pay to the Trustee or deposit into the Series 2023-3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2023-3 Final Distribution Date, then, in the case of (x) or (y) the Trustee shall:</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draw on the Multi-Series Letters of Credit by 12:00 noon (New York City time) on such Business Day an amount allocable to the Class A/B/C Notes equal to the lesser of (a) the amount that the Demand Note Issuers so failed to pay under the Series 2023-3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2023-3 Distribution Account an amount equal to the lesser of (x) the Class A/B/C Cash Collateral Percentage on such Business Day of the amount that the Demand Note Issuers so failed to pay under the Series 2023-3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2023-3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2023-3 Distribution Account;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draw on the Multi-Series Letters of Credit by 12:00 noon (New York City time) on such Business Day an amount allocable to the Class D Notes equal to the lesser of (a) the excess of (x) the amount that the Demand Note Issuers so failed to pay under the Series 2023-3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w:t>
      </w:r>
    </w:p>
    <w:p>
      <w:pPr>
        <w:pStyle w:val="TextBody"/>
        <w:bidi w:val="0"/>
        <w:spacing w:before="0" w:after="0"/>
        <w:jc w:val="left"/>
        <w:rPr/>
      </w:pP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75260"/>
                <wp:effectExtent l="0" t="0" r="0" b="0"/>
                <wp:wrapNone/>
                <wp:docPr id="444" name="Frame4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br/>
        <w:t xml:space="preserve">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2023-3 Distribution Account an amount equal to the lesser of (x) the Class D Cash Collateral Percentage on such Business Day of the excess of (A) the amount that the Demand Note Issuers so failed to pay under the Series 2023-3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2023-3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2023-3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If, after giving effect to the deposit into the Series 2023-3 Distribution Account of the amount to be deposited in accordance with Section 2.5(a) and the amounts described in clauses (i) and (ii) of this Section 2.5(c), the amount to be deposited in the Series 2023-3 Distribution Account with respect to the Series 2023-3 Final Distribution Date is or will be less than the Series 2023-3 Senior Invested Amount, then, prior to 12:00 noon (New York City time) on the second Business Day prior to such Series 2023-3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Reserve Account) and, in each case, deposit it in the Series 2023-3 Distribution Account on such Series 2023-3 Final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2023-3 Final Distribution Date, on which the Class A/B/C Principal Deficit Amount is greater than zero, amounts shall be transferred to the Series 2023-3 Distribution Account as follows: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on any Determination Date, the Administrator determines that the Class A/B/C Principal Deficit Amount with respect to the next succeeding Distribution Date will be greater than zero and there are any Multi-</w:t>
      </w:r>
    </w:p>
    <w:p>
      <w:pPr>
        <w:pStyle w:val="TextBody"/>
        <w:bidi w:val="0"/>
        <w:spacing w:before="0" w:after="0"/>
        <w:jc w:val="left"/>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75260"/>
                <wp:effectExtent l="0" t="0" r="0" b="0"/>
                <wp:wrapNone/>
                <wp:docPr id="445" name="Frame4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2023-3 Demand Note to be deposited into the Series 2023-3 Distribution Account.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2023-3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2023-3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2023-3 Distribution Account an amount equal to the lesser of (x) the Class A/B/C Cash Collateral Percentage on such Business Day of the aggregate amount that the Demand Note Issuers so failed to pay under the Series 2023-3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2023-3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2023-3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w:t>
      </w:r>
    </w:p>
    <w:p>
      <w:pPr>
        <w:pStyle w:val="TextBody"/>
        <w:bidi w:val="0"/>
        <w:spacing w:before="0" w:after="0"/>
        <w:jc w:val="left"/>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75260"/>
                <wp:effectExtent l="0" t="0" r="0" b="0"/>
                <wp:wrapNone/>
                <wp:docPr id="446" name="Frame4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2023-3 Distribution Account in accordance with clauses (i) and (ii) of this Section 2.5(d) and deposit it in the Series 2023-3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2023-3 Final Distribution Date, on which the Class A Notes, Class B Notes and Class C Notes will have been paid in full and the Class D Principal Deficit Amount is greater than zero, amounts shall be transferred to the Series 2023-3 Distribution Account as follows: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2023-3 Demand Note to be deposited into the Series 2023-3 Distribution Account.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2023-3 Distribution Account the amount specified in such Demand Notice delivered pursuant to Section 2.5I(i)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2023-3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75260"/>
                <wp:effectExtent l="0" t="0" r="0" b="0"/>
                <wp:wrapNone/>
                <wp:docPr id="447" name="Frame4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2023-3 Distribution Account an amount equal to the lesser of (x) the Class A/B/C Cash Collateral Percentage on such Business Day of the aggregate amount that the Demand Note Issuers so failed to pay under the Series 2023-3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2023-3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2023-3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2023-3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2023-3 Distribution Account in accordance with clauses (i) and (ii) of this Section 2.5(e) and deposit it in the Series 2023-3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2023-3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if any, an amount allocable to the Class D Notes equal to the lesser of (i) Class D Letter of Credit Amount and (ii) the excess of (A) the aggregate amount that the Demand Note Issuers so failed to pay under the Series 2023-3 Demand Notes (or, the amount that the Trustee failed to demand for payment thereunder) over (B) the amount deposited into the Series 2023-3 Distribution Account in accordance with Section 2.5(e)(ii) and (iii) above,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withdraw from the Class D Cash Collateral Account and deposit in the Series 2023-3 Distribution Account an amount equal to the lesser of (x) the Class D Cash Collateral Percentage on such Business Day of the excess of (A) the aggregate amount that </w:t>
      </w:r>
    </w:p>
    <w:p>
      <w:pPr>
        <w:pStyle w:val="TextBody"/>
        <w:bidi w:val="0"/>
        <w:spacing w:before="0" w:after="0"/>
        <w:jc w:val="left"/>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75260"/>
                <wp:effectExtent l="0" t="0" r="0" b="0"/>
                <wp:wrapNone/>
                <wp:docPr id="448" name="Frame4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Demand Note Issuers so failed to pay under the Series 2023-3 Demand Notes (or, the amount that the Trustee failed to demand for payment thereunder) over (B) the amount deposited into the Series 2023-3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2023-3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2023-3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2023-3 Distribution Account in accordance with clauses (i) through (iv) of this Section 2.5(e) and deposit it in the Series 2023-3 Distribution Account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2023-3 Collection Account pursuant to Section 2.5(a) or amounts are deposited in the Series 2023-3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2023-3 Distribution Account the amount deposited therein pursuant to Section 2.5(a), (b), (c) or (d), to the extent necessary to pay the Class A Controlled Distribution Amount during the Series 2023-3 Controlled Amortization Period or to the extent necessary to pay the Class A Invested Amount during the Series 2023-3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2023-3 Collection Account pursuant to Section 2.5(a) or amounts are deposited in the Series 2023-3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2023-3 Distribution Account the amount deposited therein pursuant to Section 2.5(a), (b), (c) or (d) less the aggregate amount applied to make the payments required pursuant to Section 2.5(f)(i), to the extent necessary to pay the Class B Controlled Distribution Amount during the Series 2023-3 Controlled Amortization Period or to the extent necessary to pay the Class B Invested Amount during the Series 2023-3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2023-3 Collection Account pursuant to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75260"/>
                <wp:effectExtent l="0" t="0" r="0" b="0"/>
                <wp:wrapNone/>
                <wp:docPr id="449" name="Frame4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2.5(a) or amounts are deposited in the Series 2023-3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2023-3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2023-3 Controlled Amortization Period or to the extent necessary to pay the Class C Invested Amount during the Series 2023-3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2023-3 Collection Account pursuant to Section 2.5(a) or amounts are deposited in the Series 2023-3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2023-3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2023-3 Controlled Amortization Period or to the extent necessary to pay the Class D Invested Amount during the Series 2023-3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xml:space="preserve">. On each Distribution Date occurring during the Series 2023-3 Rapid Amortization Period, after giving effect to the payments made pursuant to clauses (i), (ii), (iii) and (iv) of this Section 2.5(f), the Paying Agent shall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2023-3 Distribution Account the amount deposited therein pursuant to Section 2.3(ii)(1), to the extent necessary to pay the Class D Subordinated Interest Shortfall as of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2023-3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R Noteholder from the Series 2023-3 Distribution Account the amount deposited therein pursuant to Section 2.5(a) less the aggregate amount applied to make the payments required pursuant to Section 2.5(f)(i), Section 2.5(f)(ii), Section 2.5(f)(iii) and Section 2.5(f)(iv), to the extent necessary to pay the Class R Controlled Amortization Amount during the Series 2023-3 Controlled Amortization Period or to the extent necessary to pay the Class R Invested Amount during the Series 2023-3 Rapid Amortization Period.</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Draw or Payment</w:t>
      </w:r>
      <w:r>
        <w:rPr>
          <w:rFonts w:ascii="Times New Roman;sans-serif" w:hAnsi="Times New Roman;sans-serif"/>
          <w:b w:val="false"/>
          <w:color w:val="000000"/>
          <w:sz w:val="24"/>
        </w:rPr>
        <w:t xml:space="preserve">. If the Administrator fails to give notice or instructions to make (i) any payment from or deposit into the Collection Account, (ii) any draw on the Series 2023-3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2023-3 Demand Notes or </w:t>
      </w:r>
    </w:p>
    <w:p>
      <w:pPr>
        <w:pStyle w:val="TextBody"/>
        <w:bidi w:val="0"/>
        <w:spacing w:before="0" w:after="0"/>
        <w:jc w:val="left"/>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75260"/>
                <wp:effectExtent l="0" t="0" r="0" b="0"/>
                <wp:wrapNone/>
                <wp:docPr id="450" name="Frame4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3" w:before="0" w:after="120"/>
        <w:jc w:val="both"/>
        <w:rPr/>
      </w:pPr>
      <w:r>
        <w:rPr>
          <w:rFonts w:ascii="Times New Roman;sans-serif" w:hAnsi="Times New Roman;sans-serif"/>
          <w:b w:val="false"/>
          <w:color w:val="000000"/>
          <w:sz w:val="24"/>
        </w:rPr>
        <w:t xml:space="preserve">the Multi-Series Letters of Credit, or such withdrawal from such Account, in each case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2023-3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2023-3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2023-3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2023-3 Agent in writing to transfer all cash and investments from the non-qualifying Class A/B/C Reserve Account into the new Class A/B/C Reserve Account. The Class A/B/C Reserve Account has initially been established with The Bank of New York Mellon Trust Company, N.A. </w:t>
      </w:r>
    </w:p>
    <w:p>
      <w:pPr>
        <w:pStyle w:val="TextBody"/>
        <w:bidi w:val="0"/>
        <w:spacing w:lineRule="auto" w:line="283" w:before="0" w:after="12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xml:space="preserve">, that in the case of Permitted Investments held in the Series 2023-3 Reserve Account and so long as any Series 2023-3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w:t>
      </w:r>
    </w:p>
    <w:p>
      <w:pPr>
        <w:pStyle w:val="TextBody"/>
        <w:bidi w:val="0"/>
        <w:spacing w:before="0" w:after="0"/>
        <w:jc w:val="left"/>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75260"/>
                <wp:effectExtent l="0" t="0" r="0" b="0"/>
                <wp:wrapNone/>
                <wp:docPr id="451" name="Frame4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3"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2023-3 Senior Notes</w:t>
      </w:r>
      <w:r>
        <w:rPr>
          <w:rFonts w:ascii="Times New Roman;sans-serif" w:hAnsi="Times New Roman;sans-serif"/>
          <w:b w:val="false"/>
          <w:color w:val="000000"/>
          <w:sz w:val="24"/>
        </w:rPr>
        <w:t>. In order to secure and provide for the repayment and payment of the ABRCF Obligations with respect to the Series 2023-3 Senior Notes, ABRCF hereby grants a security interest in and assigns, pledges, grants, transfers and sets over to the Trustee, for the benefit of the Series 2023-3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2023-3 Noteholders. The Series 2023-3 Agent hereby agrees (i) to act as the securities intermediary (as defined in Section 8-102(a)(14) of the New York UCC) with respect to the Class A/B/C Reserve Account; (ii) that its jurisdiction as 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xml:space="preserve">. In the event that the Class A/B/C Reserve Account Surplus on any Distribution Date, after giving effect to all withdrawals from the Class A/B/C Reserve Account, is greater than zero, if no Series 2023-3 Enhancement Deficiency or AESOP I Operating Lease Vehicle Deficiency would result therefrom or exist thereafter, the Trustee, acting in accordance with the written instructions of the Administrator pursuant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75260"/>
                <wp:effectExtent l="0" t="0" r="0" b="0"/>
                <wp:wrapNone/>
                <wp:docPr id="452" name="Frame4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2023-3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2023-3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w:t>
      </w:r>
    </w:p>
    <w:p>
      <w:pPr>
        <w:pStyle w:val="TextBody"/>
        <w:bidi w:val="0"/>
        <w:spacing w:before="0" w:after="0"/>
        <w:jc w:val="left"/>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75260"/>
                <wp:effectExtent l="0" t="0" r="0" b="0"/>
                <wp:wrapNone/>
                <wp:docPr id="453" name="Frame4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2023-3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2023-3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xml:space="preserve">. Upon the termination of the Indenture pursuant to Section 11.1 of the Base Indenture, the Trustee, acting in accordance with </w:t>
      </w:r>
    </w:p>
    <w:p>
      <w:pPr>
        <w:pStyle w:val="TextBody"/>
        <w:bidi w:val="0"/>
        <w:spacing w:before="0" w:after="0"/>
        <w:jc w:val="left"/>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75260"/>
                <wp:effectExtent l="0" t="0" r="0" b="0"/>
                <wp:wrapNone/>
                <wp:docPr id="454" name="Frame4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Multi-Series Letters of Credit and Series 2023-3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Multi-Series Letters of Credit and Series 2023-3 Cash Collateral Account Constitute Additional Collateral for Series 2023-3 Senior Notes</w:t>
      </w:r>
      <w:r>
        <w:rPr>
          <w:rFonts w:ascii="Times New Roman;sans-serif" w:hAnsi="Times New Roman;sans-serif"/>
          <w:b w:val="false"/>
          <w:color w:val="000000"/>
          <w:sz w:val="24"/>
        </w:rPr>
        <w:t>. In order to secure and provide for the repayment and payment of the ABRCF Obligations with respect to the Series 2023-3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2023-3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xml:space="preserve">.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w:t>
      </w:r>
    </w:p>
    <w:p>
      <w:pPr>
        <w:pStyle w:val="TextBody"/>
        <w:bidi w:val="0"/>
        <w:spacing w:before="0" w:after="0"/>
        <w:jc w:val="left"/>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75260"/>
                <wp:effectExtent l="0" t="0" r="0" b="0"/>
                <wp:wrapNone/>
                <wp:docPr id="455" name="Frame4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2023-3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2023-3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2023-3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w:t>
      </w:r>
    </w:p>
    <w:p>
      <w:pPr>
        <w:pStyle w:val="TextBody"/>
        <w:bidi w:val="0"/>
        <w:spacing w:before="0" w:after="0"/>
        <w:jc w:val="left"/>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75260"/>
                <wp:effectExtent l="0" t="0" r="0" b="0"/>
                <wp:wrapNone/>
                <wp:docPr id="456" name="Frame4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2023-3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2023-3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2023-3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2023-3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w:t>
      </w:r>
    </w:p>
    <w:p>
      <w:pPr>
        <w:pStyle w:val="TextBody"/>
        <w:bidi w:val="0"/>
        <w:spacing w:before="0" w:after="0"/>
        <w:jc w:val="left"/>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75260"/>
                <wp:effectExtent l="0" t="0" r="0" b="0"/>
                <wp:wrapNone/>
                <wp:docPr id="457" name="Frame4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2023-3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2023-3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76"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76"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Multi-Series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w:t>
      </w:r>
    </w:p>
    <w:p>
      <w:pPr>
        <w:pStyle w:val="TextBody"/>
        <w:bidi w:val="0"/>
        <w:spacing w:before="0" w:after="0"/>
        <w:jc w:val="left"/>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75260"/>
                <wp:effectExtent l="0" t="0" r="0" b="0"/>
                <wp:wrapNone/>
                <wp:docPr id="458" name="Frame4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Multi-Series Letters of Credit</w:t>
      </w:r>
      <w:r>
        <w:rPr>
          <w:rFonts w:ascii="Times New Roman;sans-serif" w:hAnsi="Times New Roman;sans-serif"/>
          <w:b w:val="false"/>
          <w:color w:val="000000"/>
          <w:sz w:val="24"/>
        </w:rPr>
        <w:t xml:space="preserve">. Prior to 10:00 a.m. (New York City time) on the Business Day immediately succeeding the Multi-Series Letter of Credit Termination Date, the Administrator shall determine the Series 2023-3 Demand Note Payment Amount, if any, as of the Multi-Series Letter of Credit Termination Date and, if the Series 2023-3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2023-3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 (x) the Series 2023-3 Demand Note Payment Amount over (y) the amounts drawn on the Multi-Series Letter of Credit 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D Cash Collateral Percentage and (b) the lesser of the amounts </w:t>
      </w:r>
    </w:p>
    <w:p>
      <w:pPr>
        <w:pStyle w:val="TextBody"/>
        <w:bidi w:val="0"/>
        <w:spacing w:before="0" w:after="0"/>
        <w:jc w:val="left"/>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75260"/>
                <wp:effectExtent l="0" t="0" r="0" b="0"/>
                <wp:wrapNone/>
                <wp:docPr id="459" name="Frame4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referred to in clause (i) and (ii) on such Business Day on the Multi-Series Letters of Credit, as calculated by the Administrator and provided in writing to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Multi-Series Letters of Credit</w:t>
      </w:r>
      <w:r>
        <w:rPr>
          <w:rFonts w:ascii="Times New Roman;sans-serif" w:hAnsi="Times New Roman;sans-serif"/>
          <w:b w:val="false"/>
          <w:color w:val="000000"/>
          <w:sz w:val="24"/>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in the case of Permitted Investments held in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75260"/>
                <wp:effectExtent l="0" t="0" r="0" b="0"/>
                <wp:wrapNone/>
                <wp:docPr id="460" name="Frame4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instruct the Trustee in writing to transfer all cash and investments from the non-qualifying Class D Cash Collateral Account into the new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w:t>
      </w:r>
    </w:p>
    <w:p>
      <w:pPr>
        <w:pStyle w:val="TextBody"/>
        <w:bidi w:val="0"/>
        <w:spacing w:before="0" w:after="0"/>
        <w:jc w:val="left"/>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75260"/>
                <wp:effectExtent l="0" t="0" r="0" b="0"/>
                <wp:wrapNone/>
                <wp:docPr id="461" name="Frame4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2023-3 Cash Collateral Accounts</w:t>
      </w:r>
      <w:r>
        <w:rPr>
          <w:rFonts w:ascii="Times New Roman;sans-serif" w:hAnsi="Times New Roman;sans-serif"/>
          <w:b w:val="false"/>
          <w:color w:val="000000"/>
          <w:sz w:val="24"/>
        </w:rPr>
        <w:t>. All interest and earnings (net of losses and investment expenses) paid on funds on deposit in the Series 2023-3 Cash Collateral Accounts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2023-3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2023-3 Reimbursement Agreement, for application in accordance with the provisions of the related Series 2023-3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2023-3 Reimbursement Agreement, for application in accordance with the provisions of the related Series 2023-3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2023-3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2023-3 Noteholders and payable from any Series 2023-3 Cash Collateral Account as provided herein, shall (i) withdraw from the Class A/B/C Cash Collateral Account all amounts on deposit therein (to the extent not withdrawn pursuant to Section 2.8 (m)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2023-3 Reimbursement Agreement, for application in accordance with the provisions of the related Series 2023-3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t>
      </w:r>
    </w:p>
    <w:p>
      <w:pPr>
        <w:pStyle w:val="TextBody"/>
        <w:bidi w:val="0"/>
        <w:spacing w:before="0" w:after="0"/>
        <w:jc w:val="left"/>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75260"/>
                <wp:effectExtent l="0" t="0" r="0" b="0"/>
                <wp:wrapNone/>
                <wp:docPr id="462" name="Frame4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2023-3 Reimbursement Agreement, for application in accordance with the provisions of the related Series 2023-3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Series 2023-3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2023-3 Distribution Account</w:t>
      </w:r>
      <w:r>
        <w:rPr>
          <w:rFonts w:ascii="Times New Roman;sans-serif" w:hAnsi="Times New Roman;sans-serif"/>
          <w:b w:val="false"/>
          <w:color w:val="000000"/>
          <w:sz w:val="24"/>
        </w:rPr>
        <w:t>. ABRCF has established and shall maintain in the name of the Trustee for the benefit of the Series 2023-3 Noteholders, or cause to be established and maintained, an account (the “</w:t>
      </w:r>
      <w:r>
        <w:rPr>
          <w:rFonts w:ascii="Times New Roman;sans-serif" w:hAnsi="Times New Roman;sans-serif"/>
          <w:b w:val="false"/>
          <w:color w:val="000000"/>
          <w:sz w:val="24"/>
          <w:u w:val="single"/>
        </w:rPr>
        <w:t>Series 2023-3 Distribution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2023-3 Noteholders. The Series 2023-3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2023-3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2023-3 Distribution Account with a new Qualified Institution. If the Series 2023-3 Distribution Account is not maintained in accordance with the previous sentence, ABRCF shall establish a new Series 2023-3 Distribution Account, within ten (10) Business Days after obtaining knowledge of such fact, which complies with such sentence, and shall instruct the Series 2023-3 Agent in writing to transfer all cash and investments from the non-qualifying Series 2023-3 Distribution Account into the new Series 2023-3 Distribution Account. The Series 2023-3 Distribution Account has initially been established with The Bank of New York Mellon Trust Company, N.A.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2023-3 Distribution Account</w:t>
      </w:r>
      <w:r>
        <w:rPr>
          <w:rFonts w:ascii="Times New Roman;sans-serif" w:hAnsi="Times New Roman;sans-serif"/>
          <w:b w:val="false"/>
          <w:color w:val="000000"/>
          <w:sz w:val="24"/>
        </w:rPr>
        <w:t xml:space="preserve">. The Administrator may instruct the institution maintaining the Series 2023-3 Distribution Account to invest funds on deposit in the Series 2023-3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Series 2023-3 Distribution Account is held with the Paying Agent, then such investment may mature on such Distribution Date and such funds shall be available for withdrawal on or prior to such Distribution Date. All such Permitted Investments will be credited to the Series 2023-3 Distribution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2023-3 Distribution Account. ABRCF shall not direct the Trustee to dispose of (or permit the disposal of) any Permitted Investment prior to the maturity thereof to the extent such disposal would result in a loss of the purchase price of such Permitted </w:t>
      </w:r>
    </w:p>
    <w:p>
      <w:pPr>
        <w:pStyle w:val="TextBody"/>
        <w:bidi w:val="0"/>
        <w:spacing w:before="0" w:after="0"/>
        <w:jc w:val="left"/>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75260"/>
                <wp:effectExtent l="0" t="0" r="0" b="0"/>
                <wp:wrapNone/>
                <wp:docPr id="463" name="Frame4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Investment. In the absence of written investment instructions hereunder, funds on deposit in the Series 2023-3 Distribution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2023-3 Distribution Account</w:t>
      </w:r>
      <w:r>
        <w:rPr>
          <w:rFonts w:ascii="Times New Roman;sans-serif" w:hAnsi="Times New Roman;sans-serif"/>
          <w:b w:val="false"/>
          <w:color w:val="000000"/>
          <w:sz w:val="24"/>
        </w:rPr>
        <w:t>. All interest and earnings (net of losses and investment expenses) paid on funds on deposit in the Series 2023-3 Distribution Account shall be deemed to be on deposit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2023-3 Distribution Account Constitutes Additional Collateral for Series 2023-3 Notes</w:t>
      </w:r>
      <w:r>
        <w:rPr>
          <w:rFonts w:ascii="Times New Roman;sans-serif" w:hAnsi="Times New Roman;sans-serif"/>
          <w:b w:val="false"/>
          <w:color w:val="000000"/>
          <w:sz w:val="24"/>
        </w:rPr>
        <w:t>. In order to secure and provide for the repayment and payment of the ABRCF Obligations with respect to the Series 2023-3 Notes, ABRCF hereby grants a security interest in and assigns, pledges, grants, transfers and sets over to the Trustee, for the benefit of the Series 2023-3 Noteholders, all of ABRCF’s right, title and interest in and to the following (whether now or hereafter existing or acquired): (i) the Series 2023-3 Distribution Account, including any security entitlement thereto; (ii) all funds on deposit therein from time to time; (iii) all certificates and instruments, if any, representing or evidencing any or all of the Series 2023-3 Distribution Account or the funds on deposit therein from time to time; (iv) all investments made at any time and from time to time with monies in the Series 2023-3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2023-3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2023-3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2023-3 Distribution Account and in and to all proceeds thereof, and shall be the only person authorized to originate entitlement orders in respect of the Series 2023-3 Distribution Account. The Series 2023-3 Distribution Account Collateral shall be under the sole dominion and control of the Trustee for the benefit of the Series 2023-3 Noteholders. The Series 2023-3 Agent hereby agrees (i) to act as the securities intermediary (as defined in Section 8-102(a)(14) of the New York UCC) with respect to the Series 2023-3 Distribution Account; (ii) that its jurisdiction as securities intermediary is New York, (iii) that each item of property (whether investment property, financial asset, security, instrument or cash) credited to the Series 2023-3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2023-3 Accounts Permitted Investments</w:t>
      </w:r>
      <w:r>
        <w:rPr>
          <w:rFonts w:ascii="Times New Roman;sans-serif" w:hAnsi="Times New Roman;sans-serif"/>
          <w:b w:val="false"/>
          <w:color w:val="000000"/>
          <w:sz w:val="24"/>
        </w:rPr>
        <w:t xml:space="preserve">. ABRCF shall not, and shall not permit, funds on deposit in the Series 2023-3 Accounts to be invested in: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Permitted Investments that do not mature at least one (1) Business Day before the next Distribution Date;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with a maturity in excess of 360 days;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commercial paper which is not rated “P-1” by Moody’s; </w:t>
      </w:r>
    </w:p>
    <w:p>
      <w:pPr>
        <w:pStyle w:val="TextBody"/>
        <w:bidi w:val="0"/>
        <w:spacing w:before="0" w:after="0"/>
        <w:jc w:val="left"/>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75260"/>
                <wp:effectExtent l="0" t="0" r="0" b="0"/>
                <wp:wrapNone/>
                <wp:docPr id="464" name="Frame4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money market funds or eurodollar time deposits which are not rated at least “P-1” by Moody’s;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eurodollar deposits that are not rated “P-1” by Moody’s or that are with financial institutions not organized under the laws of a G-7 nation; or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investment, instrument or security not otherwise listed in clause (i) through (vi) of the definition of “Permitted Investments” in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2023-3 Demand Notes Constitute Additional Collateral for Series 2023-3 Senior Notes</w:t>
      </w:r>
      <w:r>
        <w:rPr>
          <w:rFonts w:ascii="Times New Roman;sans-serif" w:hAnsi="Times New Roman;sans-serif"/>
          <w:b w:val="false"/>
          <w:color w:val="000000"/>
          <w:sz w:val="24"/>
        </w:rPr>
        <w:t>. In order to secure and provide for the repayment and payment of the ABRCF Obligations with respect to the Series 2023-3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2023-3 Demand Notes; (ii) all certificates and instruments, if any, representing or evidencing the Series 2023-3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2023-3 Demand Note, endorsed in blank. The Trustee, for the benefit of the Class A Noteholders, the Class B Noteholders, the Class C Noteholders and the Class D Noteholders, shall be the only Person authorized to make a demand for payments on the Series 2023-3 Demand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2023-3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2023-3 Rapid Amortization Period or on the Series 2023-3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all accrued interest, all Class A Shortfall and all interest accrued on such Class A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2023-3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75260"/>
                <wp:effectExtent l="0" t="0" r="0" b="0"/>
                <wp:wrapNone/>
                <wp:docPr id="465" name="Frame4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of principal shall be made with respect to the Class C Notes during the Series 2023-3 Rapid Amortization Period or on the Series 2023-3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2023-3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2023-3 Rapid Amortization Period or on the Series 2023-3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2023-3 Controlled Amortization Period or the Series 2023-3 Rapid Amortization Period or on the Series 2023-3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40" w:before="18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75260"/>
                <wp:effectExtent l="0" t="0" r="0" b="0"/>
                <wp:wrapNone/>
                <wp:docPr id="466" name="Frame4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2023-3 Notes and collectively shall constitute the Amortization Events set forth in Section 9.1(n) of the Base Indenture with respect to the Series 2023-3 Notes (without notice or other action on the part of the Trustee or any holders of the Series 2023-3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a Series 2023-3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2023-3 Enhancement Deficiency shall have been cured in accordance with the terms and conditions of the Indenture and the Related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either case, such event or condition shall not be an Amortization Event if during such two Business Day period such insufficiency shall have been cured in accordance with the terms and conditions of the Indenture and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2023-3 Collection Account, the Series 2023-3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2023-3 Notes is not paid in full on or before the Series 2023-3 Expected Final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Multi-Series Letter of Credit shall not be in full force and effect for at least two Business Days and either (x) a Series 2023-3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from and after the funding of any Series 2023-3 Cash Collateral Account, such Series 2023-3 Cash Collateral Account shall be subject to an injunction, estoppel or other stay or a lien (other than Liens permitted under the Related Documents) for at least two Business Days and either (x) a Series 2023-3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before="0" w:after="0"/>
        <w:jc w:val="left"/>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75260"/>
                <wp:effectExtent l="0" t="0" r="0" b="0"/>
                <wp:wrapNone/>
                <wp:docPr id="467" name="Frame4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Multi-Series Letter of Credit Provider or any Multi-Series Letter of Credit Provider repudiates its Multi-Series Letter of Credit or refuses to honor a proper draw thereon and either (x) a Series 2023-3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2023-3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2023-3 Notes</w:t>
      </w:r>
      <w:r>
        <w:rPr>
          <w:rFonts w:ascii="Times New Roman;sans-serif" w:hAnsi="Times New Roman;sans-serif"/>
          <w:b w:val="false"/>
          <w:color w:val="000000"/>
          <w:sz w:val="24"/>
        </w:rPr>
        <w:t>. Each Class of the Series 2023-3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2023-3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6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2023-3 Notes; Permanent Global Series 2023-3 Notes</w:t>
      </w:r>
      <w:r>
        <w:rPr>
          <w:rFonts w:ascii="Times New Roman;sans-serif" w:hAnsi="Times New Roman;sans-serif"/>
          <w:b w:val="false"/>
          <w:color w:val="000000"/>
          <w:sz w:val="24"/>
        </w:rPr>
        <w:t>. Each Class of the Series 2023-3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2023-3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 xml:space="preserve">which shall be deposited on behalf of the purchasers of such Class of the Series 2023-3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2023-3 Note </w:t>
      </w:r>
    </w:p>
    <w:p>
      <w:pPr>
        <w:pStyle w:val="TextBody"/>
        <w:bidi w:val="0"/>
        <w:spacing w:before="0" w:after="0"/>
        <w:jc w:val="left"/>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75260"/>
                <wp:effectExtent l="0" t="0" r="0" b="0"/>
                <wp:wrapNone/>
                <wp:docPr id="468" name="Frame4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8" w:before="0" w:after="60"/>
        <w:jc w:val="both"/>
        <w:rPr/>
      </w:pPr>
      <w:r>
        <w:rPr>
          <w:rFonts w:ascii="Times New Roman;sans-serif" w:hAnsi="Times New Roman;sans-serif"/>
          <w:b w:val="false"/>
          <w:color w:val="000000"/>
          <w:sz w:val="24"/>
        </w:rPr>
        <w:br/>
        <w:t>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2023-3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2023-3 Note and the Base Indenture (as modified by this Supplement). Interests in a Permanent Global Series 2023-3 Note will be exchangeable for a definitive Series 2023-3 Note in accordance with the provisions of such Permanent Global Series 2023-3 Note and the Base Indenture (as modified by this Supplement). The Restricted Global Class A Notes, the Temporary Global Class A Notes and the Permanent Global Class A Notes are collectively referred to as the “</w:t>
      </w:r>
      <w:r>
        <w:rPr>
          <w:rFonts w:ascii="Times New Roman;sans-serif" w:hAnsi="Times New Roman;sans-serif"/>
          <w:b w:val="false"/>
          <w:color w:val="000000"/>
          <w:sz w:val="24"/>
          <w:u w:val="single"/>
        </w:rPr>
        <w:t>Global Class A Notes</w:t>
      </w:r>
      <w:r>
        <w:rPr>
          <w:color w:val="000000"/>
        </w:rPr>
        <w:t>”</w:t>
      </w:r>
      <w:r>
        <w:rPr>
          <w:rFonts w:ascii="Times New Roman;sans-serif" w:hAnsi="Times New Roman;sans-serif"/>
          <w:b w:val="false"/>
          <w:color w:val="000000"/>
          <w:sz w:val="24"/>
        </w:rPr>
        <w:t>, the Restricted Global Class B Notes, the Temporary Global Class B Notes and the Permanent Global Class B Notes are collectively referred to as the “</w:t>
      </w:r>
      <w:r>
        <w:rPr>
          <w:rFonts w:ascii="Times New Roman;sans-serif" w:hAnsi="Times New Roman;sans-serif"/>
          <w:b w:val="false"/>
          <w:color w:val="000000"/>
          <w:sz w:val="24"/>
          <w:u w:val="single"/>
        </w:rPr>
        <w:t>Global Class B Notes</w:t>
      </w:r>
      <w:r>
        <w:rPr>
          <w:color w:val="000000"/>
        </w:rPr>
        <w:t>”</w:t>
      </w:r>
      <w:r>
        <w:rPr>
          <w:rFonts w:ascii="Times New Roman;sans-serif" w:hAnsi="Times New Roman;sans-serif"/>
          <w:b w:val="false"/>
          <w:color w:val="000000"/>
          <w:sz w:val="24"/>
        </w:rPr>
        <w:t>, the Restricted Global Class C Notes, the Temporary Global Class C Notes and the Permanent Global Class C Notes are collectively referred to as the “</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and the Restricted Global Class R Notes, the Temporary Global Class R Notes and the Permanent Global Class R Notes are collectively referred to as the “</w:t>
      </w:r>
      <w:r>
        <w:rPr>
          <w:rFonts w:ascii="Times New Roman;sans-serif" w:hAnsi="Times New Roman;sans-serif"/>
          <w:b w:val="false"/>
          <w:color w:val="000000"/>
          <w:sz w:val="24"/>
          <w:u w:val="single"/>
        </w:rPr>
        <w:t>Global Class R Notes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Section 4.5.    .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with such insertions 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2023-3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2023-3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2023-3 Repurchase Amount</w:t>
      </w:r>
      <w:r>
        <w:rPr>
          <w:color w:val="000000"/>
        </w:rPr>
        <w:t>”</w:t>
      </w:r>
      <w:r>
        <w:rPr>
          <w:rFonts w:ascii="Times New Roman;sans-serif" w:hAnsi="Times New Roman;sans-serif"/>
          <w:b w:val="false"/>
          <w:color w:val="000000"/>
          <w:sz w:val="24"/>
        </w:rPr>
        <w:t xml:space="preserve">). The repurchase price for any Series 2023-3 Note subject to a Clean-up </w:t>
      </w:r>
    </w:p>
    <w:p>
      <w:pPr>
        <w:pStyle w:val="TextBody"/>
        <w:bidi w:val="0"/>
        <w:spacing w:before="0" w:after="0"/>
        <w:jc w:val="left"/>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75260"/>
                <wp:effectExtent l="0" t="0" r="0" b="0"/>
                <wp:wrapNone/>
                <wp:docPr id="469" name="Frame4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Repurchase shall equal the aggregate outstanding principal balance of such Series 2023-3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Series 2023-3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2023-3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2023-3 Note subject to an Optional Repurchase shall equal (1) the aggregate outstanding principal balance of such Series 2023-3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2023-3 Note.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2023-3 Noteholders, or their designated agent, copies of all information furnished to the Trustee or ABRCF pursuant to the Related Documents, as such information relates to the Series 2023-3 Notes or the Series 2023-3 Collateral.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7199" w:type="dxa"/>
        <w:jc w:val="left"/>
        <w:tblInd w:w="0" w:type="dxa"/>
        <w:tblLayout w:type="fixed"/>
        <w:tblCellMar>
          <w:top w:w="28" w:type="dxa"/>
          <w:left w:w="28" w:type="dxa"/>
          <w:bottom w:w="28" w:type="dxa"/>
          <w:right w:w="28" w:type="dxa"/>
        </w:tblCellMar>
      </w:tblPr>
      <w:tblGrid>
        <w:gridCol w:w="473"/>
        <w:gridCol w:w="415"/>
        <w:gridCol w:w="417"/>
        <w:gridCol w:w="1726"/>
        <w:gridCol w:w="1726"/>
        <w:gridCol w:w="2442"/>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442"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2023-3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2023-3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2023-3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2023-3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2023-3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2023-3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2023-3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2023-3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2023-3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2023-3 Note, Class D</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2023-3 Note, Class R</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2023-3 Note, Class R</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2023-3 Note, Class R</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2023-3 Demand Note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Multi-Series Letter of Credit</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75260"/>
                <wp:effectExtent l="0" t="0" r="0" b="0"/>
                <wp:wrapNone/>
                <wp:docPr id="470" name="Frame4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tbl>
      <w:tblPr>
        <w:tblW w:w="8414" w:type="dxa"/>
        <w:jc w:val="left"/>
        <w:tblInd w:w="0" w:type="dxa"/>
        <w:tblLayout w:type="fixed"/>
        <w:tblCellMar>
          <w:top w:w="28" w:type="dxa"/>
          <w:left w:w="28" w:type="dxa"/>
          <w:bottom w:w="28" w:type="dxa"/>
          <w:right w:w="28" w:type="dxa"/>
        </w:tblCellMar>
      </w:tblPr>
      <w:tblGrid>
        <w:gridCol w:w="489"/>
        <w:gridCol w:w="429"/>
        <w:gridCol w:w="431"/>
        <w:gridCol w:w="2070"/>
        <w:gridCol w:w="2070"/>
        <w:gridCol w:w="292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Master Exchange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Q:</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Escrow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R:</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Original AESOP Nominee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U:</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Disposition Agent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V:</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Back-up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W-1:</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W-2:</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by the Requisite Series 2023-3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Amortization Event has occurred and is continuing and (ii) the Rating Agency Consent Condition is met with respect to the outstanding Series 2023-3 Notes (other than the Class R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75260"/>
                <wp:effectExtent l="0" t="0" r="0" b="0"/>
                <wp:wrapNone/>
                <wp:docPr id="471" name="Frame4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2023-3 Maximum Amount at any time with the consent of a Requisite Series 2023-3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(x) respect to the Class D Notes, solely with the consent of the Class D Noteholders (and without the consent of any other Series 2023-3 Noteholders) and (y) satisfaction of the Rating Agency Consent Condition.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2023-3 Notes without the consent of the Requisite Series 2023-3 Noteholders.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ABRCF agrees that on the Class D Notes Closing Date it will have capitalization in an amount equal to or greater than 3% of the sum of (x) the Series 2023-3 Invested Amount and (y) the invested amount of the Series 2010-6 Notes, the Series 2011-4 Notes, the Series 2015-3 Notes, the Series 2019-2 Notes, the Series 2019-3 Notes, the Series 2020-1 Notes, the Series 2020-2 Notes, the Series 2021-1 Notes, the Series 2021-2 Notes and the Series 2022-1 Notes, the Series 2022-3 Notes, the Series 2022-4 Notes, the Series 2022-5 Notes, the Series 2023-1 Notes, the Series 2023-2 Notes, the Series 2023-4 Notes, the Series 2023-5 Notes, the Series 2023-6 Notes, the Series 2023-7 Notes, the Series 2023-8 Notes, the Series 2024-1 Notes, the Series 2024-2 Notes and the Series 2024-3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xml:space="preserve">. Subject to Section 5.7 above, any action pursuant to Section 5.6, Section 8.13 or Article 9 of the Base Indenture that requires the consent of, or is permissible at the direction of, the Required Noteholders with respect to the Series 2023-3 Notes pursuant to the Base Indenture shall only be allowed with the consent of, or at the direction of, the Required Controlling Class Series 2023-3 Noteholders. Any other action pursuant to any Related Document which requires the consent or approval of, or the waiver by, the Required Noteholders with respect to the Series 2023-3 Notes shall require the consent or approval of, or waiver by, the Requisite Series 2023-3 Noteholders.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2023-3 Demand Notes</w:t>
      </w:r>
      <w:r>
        <w:rPr>
          <w:rFonts w:ascii="Times New Roman;sans-serif" w:hAnsi="Times New Roman;sans-serif"/>
          <w:b w:val="false"/>
          <w:color w:val="000000"/>
          <w:sz w:val="24"/>
        </w:rPr>
        <w:t xml:space="preserve">. Other than pursuant to a demand thereon pursuant to Section 2.5, ABRCF shall not reduce the amount of the Series 2023-3 Demand Notes or forgive amounts payable thereunder so that the outstanding principal amount of the Series 2023-3 Demand Notes after such reduction or forgiveness is less than the sum of (x) the Class </w:t>
      </w:r>
    </w:p>
    <w:p>
      <w:pPr>
        <w:pStyle w:val="TextBody"/>
        <w:bidi w:val="0"/>
        <w:spacing w:before="0" w:after="0"/>
        <w:jc w:val="left"/>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75260"/>
                <wp:effectExtent l="0" t="0" r="0" b="0"/>
                <wp:wrapNone/>
                <wp:docPr id="472" name="Frame4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A/B/C Letter of Credit Liquidity Amount plus (y) the Class D Letter of Credit Liquidity Amount. ABRCF shall not agree to any amendment of the Series 2023-3 Demand Notes without first satisfying the Rating Agency Confirmation Condition and the Rating Agency Consent Condition.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2023-3 Notes theretofore authenticated and issued have been delivered (other than destroyed, lost, or stolen Series 2023-3 Notes which have been replaced or paid) to the Trustee for cancellation, ABRCF has paid all sums payable hereunder, and, if the Series 2023-3 Demand Note Payment Amount on the Multi-Series Letter of Credit Termination Date was greater than zero, all amounts have been withdrawn from the Series 2023-3 Cash Collateral Accounts in accordance with Section 2.8(m).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2023-3 Noteholder, upon any acquisition of a Series 2023-3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(vi) the execution of an amendment to the AESOP II Operating Lease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(vii) the execution of an amendment to the Master Exchange Agreement substantially in the form of </w:t>
      </w:r>
      <w:r>
        <w:rPr>
          <w:rFonts w:ascii="Times New Roman;sans-serif" w:hAnsi="Times New Roman;sans-serif"/>
          <w:b w:val="false"/>
          <w:color w:val="000000"/>
          <w:sz w:val="24"/>
          <w:u w:val="single"/>
        </w:rPr>
        <w:t>Exhibit P</w:t>
      </w:r>
      <w:r>
        <w:rPr>
          <w:color w:val="000000"/>
        </w:rPr>
        <w:t xml:space="preserve"> </w:t>
      </w:r>
      <w:r>
        <w:rPr>
          <w:rFonts w:ascii="Times New Roman;sans-serif" w:hAnsi="Times New Roman;sans-serif"/>
          <w:b w:val="false"/>
          <w:color w:val="000000"/>
          <w:sz w:val="24"/>
        </w:rPr>
        <w:t xml:space="preserve">hereto, (viii) the execution of an amendment to the Escrow Agreement substantially in the form of </w:t>
      </w:r>
      <w:r>
        <w:rPr>
          <w:rFonts w:ascii="Times New Roman;sans-serif" w:hAnsi="Times New Roman;sans-serif"/>
          <w:b w:val="false"/>
          <w:color w:val="000000"/>
          <w:sz w:val="24"/>
          <w:u w:val="single"/>
        </w:rPr>
        <w:t>Exhibit Q</w:t>
      </w:r>
      <w:r>
        <w:rPr>
          <w:color w:val="000000"/>
        </w:rPr>
        <w:t xml:space="preserve"> </w:t>
      </w:r>
      <w:r>
        <w:rPr>
          <w:rFonts w:ascii="Times New Roman;sans-serif" w:hAnsi="Times New Roman;sans-serif"/>
          <w:b w:val="false"/>
          <w:color w:val="000000"/>
          <w:sz w:val="24"/>
        </w:rPr>
        <w:t xml:space="preserve">hereto, (ix) the execution of an amendment to the Administration Agreement substantially in the form of </w:t>
      </w:r>
      <w:r>
        <w:rPr>
          <w:rFonts w:ascii="Times New Roman;sans-serif" w:hAnsi="Times New Roman;sans-serif"/>
          <w:b w:val="false"/>
          <w:color w:val="000000"/>
          <w:sz w:val="24"/>
          <w:u w:val="single"/>
        </w:rPr>
        <w:t>Exhibit R</w:t>
      </w:r>
      <w:r>
        <w:rPr>
          <w:color w:val="000000"/>
        </w:rPr>
        <w:t xml:space="preserve"> </w:t>
      </w:r>
      <w:r>
        <w:rPr>
          <w:rFonts w:ascii="Times New Roman;sans-serif" w:hAnsi="Times New Roman;sans-serif"/>
          <w:b w:val="false"/>
          <w:color w:val="000000"/>
          <w:sz w:val="24"/>
        </w:rPr>
        <w:t xml:space="preserve">hereto, (x) the execution of an amendment to the AESOP II Operating Lease Loan Agreement substantially in the form of </w:t>
      </w:r>
      <w:r>
        <w:rPr>
          <w:rFonts w:ascii="Times New Roman;sans-serif" w:hAnsi="Times New Roman;sans-serif"/>
          <w:b w:val="false"/>
          <w:color w:val="000000"/>
          <w:sz w:val="24"/>
          <w:u w:val="single"/>
        </w:rPr>
        <w:t>Exhibit S</w:t>
      </w:r>
      <w:r>
        <w:rPr>
          <w:color w:val="000000"/>
        </w:rPr>
        <w:t xml:space="preserve"> </w:t>
      </w:r>
      <w:r>
        <w:rPr>
          <w:rFonts w:ascii="Times New Roman;sans-serif" w:hAnsi="Times New Roman;sans-serif"/>
          <w:b w:val="false"/>
          <w:color w:val="000000"/>
          <w:sz w:val="24"/>
        </w:rPr>
        <w:t xml:space="preserve">hereto, (xi) the execution of an amendment to the Original AESOP Nominee Agreement substantially in the form of </w:t>
      </w:r>
      <w:r>
        <w:rPr>
          <w:rFonts w:ascii="Times New Roman;sans-serif" w:hAnsi="Times New Roman;sans-serif"/>
          <w:b w:val="false"/>
          <w:color w:val="000000"/>
          <w:sz w:val="24"/>
          <w:u w:val="single"/>
        </w:rPr>
        <w:t>Exhibit T</w:t>
      </w:r>
      <w:r>
        <w:rPr>
          <w:color w:val="000000"/>
        </w:rPr>
        <w:t xml:space="preserve"> </w:t>
      </w:r>
      <w:r>
        <w:rPr>
          <w:rFonts w:ascii="Times New Roman;sans-serif" w:hAnsi="Times New Roman;sans-serif"/>
          <w:b w:val="false"/>
          <w:color w:val="000000"/>
          <w:sz w:val="24"/>
        </w:rPr>
        <w:t xml:space="preserve">hereto, (xii) the execution of an amendment to the Disposition Agent Agreement substantially in the form of </w:t>
      </w:r>
      <w:r>
        <w:rPr>
          <w:rFonts w:ascii="Times New Roman;sans-serif" w:hAnsi="Times New Roman;sans-serif"/>
          <w:b w:val="false"/>
          <w:color w:val="000000"/>
          <w:sz w:val="24"/>
          <w:u w:val="single"/>
        </w:rPr>
        <w:t>Exhibit U</w:t>
      </w:r>
      <w:r>
        <w:rPr>
          <w:color w:val="000000"/>
        </w:rPr>
        <w:t xml:space="preserve"> </w:t>
      </w:r>
      <w:r>
        <w:rPr>
          <w:rFonts w:ascii="Times New Roman;sans-serif" w:hAnsi="Times New Roman;sans-serif"/>
          <w:b w:val="false"/>
          <w:color w:val="000000"/>
          <w:sz w:val="24"/>
        </w:rPr>
        <w:t xml:space="preserve">hereto and (xiii) the execution of an amendment to the Back-up Administration Agreement substantially in the form of </w:t>
      </w:r>
      <w:r>
        <w:rPr>
          <w:rFonts w:ascii="Times New Roman;sans-serif" w:hAnsi="Times New Roman;sans-serif"/>
          <w:b w:val="false"/>
          <w:color w:val="000000"/>
          <w:sz w:val="24"/>
          <w:u w:val="single"/>
        </w:rPr>
        <w:t>Exhibit V</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U</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[Reserved].Confidential Information</w:t>
      </w:r>
      <w:r>
        <w:rPr>
          <w:rFonts w:ascii="Times New Roman;sans-serif" w:hAnsi="Times New Roman;sans-serif"/>
          <w:b w:val="false"/>
          <w:color w:val="000000"/>
          <w:sz w:val="24"/>
        </w:rPr>
        <w:t xml:space="preserve">. (a) The Trustee and each Series 2023-3 Note Owner agrees, by its acceptance and holding of a beneficial interest in a Series 2023-3 Note, to maintain the confidentiality of all Confidential Information in accordance with procedures adopted by the Trustee or such Series 2023-3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2023-3 Note Owner; (iv) any Person of the type that would be, to such Person’s knowledge, permitted to acquire an interest in the Series 2023-3 Notes in </w:t>
      </w:r>
    </w:p>
    <w:p>
      <w:pPr>
        <w:pStyle w:val="TextBody"/>
        <w:bidi w:val="0"/>
        <w:spacing w:before="0" w:after="0"/>
        <w:jc w:val="left"/>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75260"/>
                <wp:effectExtent l="0" t="0" r="0" b="0"/>
                <wp:wrapNone/>
                <wp:docPr id="473" name="Frame4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accordance with the requirements of the Indenture to which such Person sells or offers to sell any such Series 2023-3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2023-3 Notes has occurred and is continuing, to the extent such Person may reasonably determine such delivery and disclosure to be necessary or appropriate in the enforcement or for the protection of the rights and remedies under the Series 2023-3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delivery to any Series 2023-3 Note Owner of any report or information required by the terms of the Indenture to be provided to such Series 2023-3 Note Owner shall not be a violation of this Section 5.16. Each Series 2023-3 Note Owner agrees, by acceptance of a beneficial interest in a Series 2023-3 Note, except as set forth in clauses (v), (vi) and (ix) above, that it shall use the Confidential Information for the sole purpose of making an investment in the Series 2023-3 Notes or administering its investment in the Series 2023-3 Notes. In the event of any required disclosure of the Confidential Information by such Series 2023-3 Note Owner, such Series 2023-3 Note Owner agrees to use reasonable efforts to protect the confidentiality of the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2023-3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term does not include information that: (i) was publicly known or otherwise known to the Trustee or such Series 2023-3 Note Owner prior to the time of such disclosure; (ii) subsequently becomes publicly known through no act or omission by the Trustee, any Series 2023-3 Note Owner or any person acting on behalf of the Trustee or any Series 2023-3 Note Owner; (iii) otherwise is known or becomes known to the Trustee or any Series 2023-3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 xml:space="preserve">Section 5.17.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xml:space="preserve">.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w:t>
      </w:r>
    </w:p>
    <w:p>
      <w:pPr>
        <w:pStyle w:val="TextBody"/>
        <w:bidi w:val="0"/>
        <w:spacing w:before="0" w:after="0"/>
        <w:jc w:val="left"/>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75260"/>
                <wp:effectExtent l="0" t="0" r="0" b="0"/>
                <wp:wrapNone/>
                <wp:docPr id="474" name="Frame4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its directors, officers, agents or employees have been advised of the likelihood of such loss or damage and regardless of the form of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2023-3 Agent</w:t>
      </w:r>
      <w:r>
        <w:rPr>
          <w:rFonts w:ascii="Times New Roman;sans-serif" w:hAnsi="Times New Roman;sans-serif"/>
          <w:b w:val="false"/>
          <w:color w:val="000000"/>
          <w:sz w:val="24"/>
        </w:rPr>
        <w:t>. The Series 2023-3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2023-3 NOTES, THE SERIES 2023-3 DEMAND NOTES, THE MULTI-SERIES LETTER OF CREDIT AND ANY OTHER RELATED DOCUMENTS EXECUTED IN CONNECTION WITH THE ISSUANCE OF THE SERIES 2023-3 NOTES, OR ANY COURSE OF CONDUCT, COURSE OF DEALING, STATEMENTS (WHETHER ORAL OR WRITTEN), OR ACTIONS OF THE PARTIES HERETO. THIS PROVISION IS A MATERIAL INDUCEMENT FOR THE PARTIES HERETO TO ENTER INTO THIS SUPPLEMENT.</w:t>
      </w:r>
    </w:p>
    <w:p>
      <w:pPr>
        <w:pStyle w:val="TextBody"/>
        <w:bidi w:val="0"/>
        <w:spacing w:lineRule="auto" w:line="276" w:before="0" w:after="22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2023-3 NOTES, THE SERIES 2023-3 DEMAND NOTES, THE MULTI-SERIES LETTER OF CREDIT AND ANY OTHER RELATED DOCUMENTS EXECUTED IN CONNECTION WITH THE ISSUANCE OF THE SERIES 2023-3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w:t>
      </w:r>
    </w:p>
    <w:p>
      <w:pPr>
        <w:pStyle w:val="TextBody"/>
        <w:bidi w:val="0"/>
        <w:spacing w:before="0" w:after="0"/>
        <w:jc w:val="left"/>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75260"/>
                <wp:effectExtent l="0" t="0" r="0" b="0"/>
                <wp:wrapNone/>
                <wp:docPr id="475" name="Frame4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76" w:before="0" w:after="220"/>
        <w:jc w:val="both"/>
        <w:rPr/>
      </w:pPr>
      <w:r>
        <w:rPr>
          <w:rFonts w:ascii="Times New Roman;sans-serif" w:hAnsi="Times New Roman;sans-serif"/>
          <w:b w:val="false"/>
          <w:color w:val="000000"/>
          <w:sz w:val="24"/>
        </w:rPr>
        <w:br/>
        <w:t xml:space="preserve">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2023-3 NOTES, THE SERIES 2023-3 DEMAND NOTES, THE MULTI-SERIES LETTER OF CREDIT AND ANY OTHER RELATED DOCUMENTS EXECUTED IN CONNECTION WITH THE ISSUANCE OF THE SERIES 2023-3 NOTES IN ANY OTHER COUNTRY, STATE OR PLACE HAVING JURISDICTION OVER SUCH ACTION OR PROCEEDING.</w:t>
      </w:r>
    </w:p>
    <w:p>
      <w:pPr>
        <w:pStyle w:val="TextBody"/>
        <w:bidi w:val="0"/>
        <w:spacing w:lineRule="auto" w:line="276" w:before="0" w:after="22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2023-3 Notes</w:t>
      </w:r>
      <w:r>
        <w:rPr>
          <w:rFonts w:ascii="Times New Roman;sans-serif" w:hAnsi="Times New Roman;sans-serif"/>
          <w:b w:val="false"/>
          <w:color w:val="000000"/>
          <w:sz w:val="24"/>
        </w:rPr>
        <w:t xml:space="preserve">. </w:t>
      </w:r>
    </w:p>
    <w:p>
      <w:pPr>
        <w:pStyle w:val="TextBody"/>
        <w:bidi w:val="0"/>
        <w:spacing w:lineRule="auto" w:line="276" w:before="0" w:after="2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Solely with respect to this Supplement and the Series 2023-3 Notes: </w:t>
      </w:r>
    </w:p>
    <w:p>
      <w:pPr>
        <w:pStyle w:val="TextBody"/>
        <w:bidi w:val="0"/>
        <w:spacing w:lineRule="auto" w:line="276" w:before="0" w:after="220"/>
        <w:ind w:left="0" w:right="0" w:firstLine="1440"/>
        <w:jc w:val="both"/>
        <w:rPr/>
      </w:pPr>
      <w:r>
        <w:rPr>
          <w:rFonts w:ascii="Times New Roman;sans-serif" w:hAnsi="Times New Roman;sans-serif"/>
          <w:b w:val="false"/>
          <w:color w:val="000000"/>
          <w:sz w:val="24"/>
        </w:rPr>
        <w:t xml:space="preserve">(i)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C Notes and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C Notes and the Class R Notes for any Series issued after the date hereof.</w:t>
      </w:r>
    </w:p>
    <w:p>
      <w:pPr>
        <w:pStyle w:val="TextBody"/>
        <w:bidi w:val="0"/>
        <w:spacing w:lineRule="auto" w:line="276" w:before="0" w:after="2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spacing w:lineRule="auto" w:line="276" w:before="0" w:after="2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For so long as the Series 2023-3 Notes are outstanding the Issuer will agree to (1) take all actions reasonably necessary to cause a first-priority perfected security interest in, and a lien on, the Vehicles owned by AESOP Leasing and AESOP Leasing II that are titled in Ohio, Oklahoma and Nebraska and acquired on or after the Class D Notes Closing Date, including any interest of their respective Permitted Nominees in such Vehicles and (2) take all actions reasonably necessary to cause the Trustee to be noted as the first lienholder on the certificate of title with respect to Vehicles owned by AESOP Leasing and AESOP Leasing II that are titled in Ohio, Oklahoma and Nebraska and acquired on or after the Class D Notes Closing Date, or the certificate of title has been submitted to the appropriate state authorities for such notation.</w:t>
      </w:r>
    </w:p>
    <w:p>
      <w:pPr>
        <w:pStyle w:val="TextBody"/>
        <w:bidi w:val="0"/>
        <w:spacing w:lineRule="auto" w:line="276" w:before="0" w:after="220"/>
        <w:ind w:left="0" w:right="0" w:firstLine="1440"/>
        <w:jc w:val="both"/>
        <w:rPr/>
      </w:pPr>
      <w:r>
        <w:rPr>
          <w:rFonts w:ascii="Times New Roman;sans-serif" w:hAnsi="Times New Roman;sans-serif"/>
          <w:b w:val="false"/>
          <w:color w:val="000000"/>
          <w:sz w:val="24"/>
        </w:rPr>
        <w:t>(c)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sans-serif" w:hAnsi="Times New Roman;sans-serif"/>
          <w:b w:val="false"/>
          <w:color w:val="000000"/>
          <w:sz w:val="24"/>
          <w:u w:val="single"/>
        </w:rPr>
        <w:t>Exhibit W-1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W-2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w:t>
      </w:r>
    </w:p>
    <w:p>
      <w:pPr>
        <w:pStyle w:val="TextBody"/>
        <w:bidi w:val="0"/>
        <w:spacing w:before="0" w:after="0"/>
        <w:jc w:val="left"/>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75260"/>
                <wp:effectExtent l="0" t="0" r="0" b="0"/>
                <wp:wrapNone/>
                <wp:docPr id="476" name="Frame4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 xml:space="preserve">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W-1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75260"/>
                <wp:effectExtent l="0" t="0" r="0" b="0"/>
                <wp:wrapNone/>
                <wp:docPr id="477" name="Frame4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240"/>
        <w:ind w:left="0" w:right="0" w:firstLine="1440"/>
        <w:jc w:val="both"/>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75260"/>
                <wp:effectExtent l="0" t="0" r="0" b="0"/>
                <wp:wrapNone/>
                <wp:docPr id="478" name="Frame4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240" w:after="360"/>
        <w:ind w:left="0" w:right="0" w:hanging="360"/>
        <w:jc w:val="left"/>
        <w:rPr/>
      </w:pPr>
      <w:r>
        <w:rPr/>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2023-3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75260"/>
                <wp:effectExtent l="0" t="0" r="0" b="0"/>
                <wp:wrapNone/>
                <wp:docPr id="479" name="Frame4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205" w:type="dxa"/>
        <w:jc w:val="center"/>
        <w:tblInd w:w="0" w:type="dxa"/>
        <w:tblLayout w:type="fixed"/>
        <w:tblCellMar>
          <w:top w:w="28" w:type="dxa"/>
          <w:left w:w="28" w:type="dxa"/>
          <w:bottom w:w="28" w:type="dxa"/>
          <w:right w:w="28" w:type="dxa"/>
        </w:tblCellMar>
      </w:tblPr>
      <w:tblGrid>
        <w:gridCol w:w="715"/>
        <w:gridCol w:w="544"/>
        <w:gridCol w:w="544"/>
        <w:gridCol w:w="2837"/>
        <w:gridCol w:w="2596"/>
        <w:gridCol w:w="2575"/>
        <w:gridCol w:w="114"/>
        <w:gridCol w:w="114"/>
        <w:gridCol w:w="166"/>
      </w:tblGrid>
      <w:tr>
        <w:trPr/>
        <w:tc>
          <w:tcPr>
            <w:tcW w:w="7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2023-3 ALLOCATIONS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Series 2023-3 Collection Account, Series 2023-3 Excess Collection Account and Series 2023-3 Accrued Interest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2023-3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Draw or </w:t>
              <w:br/>
              <w:t>Payment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2023-3 Reserve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Multi-Series Letters of Credit and Series 2023-3 Cash Collateral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2023-3 Distribution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2023-3 Accounts Permitted Investments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2023-3 Demand Notes Constitute Additional Collateral for Series </w:t>
              <w:br/>
              <w:t>2023-3 Senior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71</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2023-3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2023-3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2023-3 Notes; Permanent Global Series 2023-3 </w:t>
              <w:b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2023-3 Demand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Issuance of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75260"/>
                <wp:effectExtent l="0" t="0" r="0" b="0"/>
                <wp:wrapNone/>
                <wp:docPr id="480" name="Frame4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165" w:type="dxa"/>
        <w:jc w:val="center"/>
        <w:tblInd w:w="0" w:type="dxa"/>
        <w:tblLayout w:type="fixed"/>
        <w:tblCellMar>
          <w:top w:w="28" w:type="dxa"/>
          <w:left w:w="28" w:type="dxa"/>
          <w:bottom w:w="28" w:type="dxa"/>
          <w:right w:w="28" w:type="dxa"/>
        </w:tblCellMar>
      </w:tblPr>
      <w:tblGrid>
        <w:gridCol w:w="516"/>
        <w:gridCol w:w="454"/>
        <w:gridCol w:w="455"/>
        <w:gridCol w:w="1448"/>
        <w:gridCol w:w="1448"/>
        <w:gridCol w:w="1453"/>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2023-3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2023-3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75260"/>
                <wp:effectExtent l="0" t="0" r="0" b="0"/>
                <wp:wrapNone/>
                <wp:docPr id="481" name="Frame4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10.62</w:t>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2023-5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2023-5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2023-5 5.78%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2023-5 6.12%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2023-5 6.85%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2023-5 9.657%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2023-5 8.768% Rental Car Asset Backed Notes, Class R</w:t>
      </w:r>
    </w:p>
    <w:p>
      <w:pPr>
        <w:pStyle w:val="TextBody"/>
        <w:bidi w:val="0"/>
        <w:spacing w:before="0" w:after="240"/>
        <w:ind w:left="0" w:right="0" w:firstLine="144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75260"/>
                <wp:effectExtent l="0" t="0" r="0" b="0"/>
                <wp:wrapNone/>
                <wp:docPr id="482" name="Frame4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AMENDED AND RESTATED SERIES 2023-5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2023-5 Agent</w:t>
      </w:r>
      <w:r>
        <w:rPr>
          <w:color w:val="000000"/>
        </w:rPr>
        <w:t>”</w:t>
      </w:r>
      <w:r>
        <w:rPr>
          <w:rFonts w:ascii="Times New Roman;sans-serif" w:hAnsi="Times New Roman;sans-serif"/>
          <w:b w:val="false"/>
          <w:color w:val="000000"/>
          <w:sz w:val="24"/>
        </w:rPr>
        <w:t>) for the benefit of the Series 2023-5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and the Trustee entered into the Series 2023-5 Supplement, dated June 1, 2023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June 1, 2023, ABRCF issued its Series 2023-5 5.78% Rental Car Asset Backed Notes, Class A, its Series 2023-5 6.12% Rental Car Asset Backed Notes, Class B, its Series 2023-5 6.85% Rental Car Asset Backed Notes, Class C, and its Series 2023-5 8.768% Rental Car Asset Backed Notes, Class R under the Prior Supplement;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was created a Series of Notes issued pursuant to the Base Indenture and the Prior Supplement, and such Series of Notes was designated generally as the “Series 2023-5 Rental Car Asset Backed Notes”. The Series 2023-5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75260"/>
                <wp:effectExtent l="0" t="0" r="0" b="0"/>
                <wp:wrapNone/>
                <wp:docPr id="483" name="Frame4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before="0" w:after="240"/>
        <w:ind w:left="0" w:right="0" w:firstLine="720"/>
        <w:jc w:val="right"/>
        <w:rPr/>
      </w:pPr>
      <w:r>
        <w:rPr/>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2023-5 5.78% Rental Car Asset Backed Notes, Class A”, (ii) one tranche of Class B Notes designated as the “Series 2023-5 6.12% Rental Car Asset Backed Notes, Class B”, (iii) one tranche of Class C Notes designated as the “Series 2023-5 6.85% Rental Car Asset Backed Notes, Class C” and (iv) one tranche of Class R Notes designated the “Series 2023-5 8.768% Rental Car Asset Backed Notes, Class R”.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2023-5 9.657% Rental Car Asset Backed Notes, Class D” and (ii) the Additional Class R Notes.</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2023-5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2023-5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2023-5 Notes and not to any other Series of Notes issued by ABRCF. In the event that a term used herein shall be defined both herein and in the Base Indenture, the definition of such term herein shall govern.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2023-5 Notes and the definitions of such terms are applicable to the singular as well as the plural form of such terms and to the masculine as well as the feminine and neuter genders of such terms:</w:t>
      </w:r>
    </w:p>
    <w:p>
      <w:pPr>
        <w:pStyle w:val="TextBody"/>
        <w:bidi w:val="0"/>
        <w:spacing w:before="0" w:after="0"/>
        <w:jc w:val="left"/>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75260"/>
                <wp:effectExtent l="0" t="0" r="0" b="0"/>
                <wp:wrapNone/>
                <wp:docPr id="484" name="Frame4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2023-5 Controlled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2023-5 Notes, which may be the Class A Notes, the Class B Notes, the Class C Notes, the Class D Notes or the Class R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2023-5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2023-5 Controlled Amortization Period, the Class A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2023-5 Controlled Amortization Period, $62,832,000.00.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2023-5 Controlled Amortization Period, an amount equal to the sum of the Class A Controlled Amortization Amount and any Class A Carryover Controlled Amortization Amount for such Related Month.</w:t>
      </w:r>
    </w:p>
    <w:p>
      <w:pPr>
        <w:pStyle w:val="TextBody"/>
        <w:bidi w:val="0"/>
        <w:spacing w:before="0" w:after="0"/>
        <w:jc w:val="left"/>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75260"/>
                <wp:effectExtent l="0" t="0" r="0" b="0"/>
                <wp:wrapNone/>
                <wp:docPr id="485" name="Frame4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$376,992,000.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2023-5 Interest Period, an amount equal to $1,150,035.04 and (ii) any other Series 2023-5 Interest Period, an amount equal to the product of (A) one-twelfth of the Class A Note Rate and (B) the Class A Invested Amount on the first day of such Series 2023-5 Interest Period, after giving effect to any principal payments made on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2023-5 5.78%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5.78%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A/B/C Required Liquidity Amount divided by “Required Liquidity Amount” for each applicable Series for which such Multi-Series Letter of Credit is providing credit enhancement.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w:t>
      </w:r>
    </w:p>
    <w:p>
      <w:pPr>
        <w:pStyle w:val="TextBody"/>
        <w:bidi w:val="0"/>
        <w:spacing w:before="0" w:after="0"/>
        <w:jc w:val="left"/>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75260"/>
                <wp:effectExtent l="0" t="0" r="0" b="0"/>
                <wp:wrapNone/>
                <wp:docPr id="486" name="Frame4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2023-5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Multi-Series Letter of Credit Termination Date, the Class A/B/C Cash Collateral Account Surplus shall mean the excess, if any, of (x) the Class A/B/C Available Cash Collateral Account Amount over (y) the Series 2023-5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2023-5 Collection Account (not including amounts allocable to the Series 2023-5 Accrued Interest Account) and the Series 2023-5 Excess Collection Account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2023-5 Demand Notes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75260"/>
                <wp:effectExtent l="0" t="0" r="0" b="0"/>
                <wp:wrapNone/>
                <wp:docPr id="487" name="Frame4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Series 2023-5 Maximum Jaguar Amount, Series 2023-5 Maximum Tesla Amount, the Series 2023-5 Maximum Land Rover Amount, the Series 2023-5 Maximum Mitsubishi Amount, the Series 2023-5 Maximum Isuzu Amount, the Series 2023-5 Maximum Subaru Amount, the Series 2023-5 Maximum Hyundai Amount, the Series 2023-5 Maximum Kia Amount, the Series 2023-5 Maximum Suzuki Amount, the Series 2023-5 Maximum Specified States Amount (if applicable), the Series 2023-5 Maximum Non-Perfected Vehicle Amount, the Series 2023-5 Maximum Non-Eligible Manufacturer Amount and the Series 2023-5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Non-Perfected Vehicle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br/>
      </w:r>
    </w:p>
    <w:p>
      <w:pPr>
        <w:pStyle w:val="TextBody"/>
        <w:bidi w:val="0"/>
        <w:spacing w:before="0" w:after="0"/>
        <w:jc w:val="left"/>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75260"/>
                <wp:effectExtent l="0" t="0" r="0" b="0"/>
                <wp:wrapNone/>
                <wp:docPr id="488" name="Frame4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June 1, 2023.</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2023-5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2023-5 Invested Amount and the Class D Required Overcollateralization Amount and (ii) as of any other date of determination, 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2023-5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2023-5 AESOP I Operating Lease Loan Agreement Borrowing Base on such date and (2) the lesser of (a) the Class A/B/C Liquidity Amount on such date and (b) the Class A/B/C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75260"/>
                <wp:effectExtent l="0" t="0" r="0" b="0"/>
                <wp:wrapNone/>
                <wp:docPr id="489" name="Frame4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available amount allocated to the Class A/B/C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 xml:space="preserve">means, as of any date of determination, the sum, without duplication, of (i) the Series 2023-5 Moody’s Required Enhancement Amount as of such date, (ii) the Series 2023-5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2023-5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2023-5 AESOP I Operating Lease Vehicle Percentage as of the immediately preceding Business Day of the excess, if any, of the aggregate Net Book Value of all Vehicles manufactured by Subaru and leased under the Leases as of such date over the Series 2023-5 Maximum Subaru Amount as of such date, (v) the Series 2023-5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2023-5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2023-5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2023-5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2023-5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2023-5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2023-5 AESOP I Operating Lease </w:t>
      </w:r>
    </w:p>
    <w:p>
      <w:pPr>
        <w:pStyle w:val="TextBody"/>
        <w:bidi w:val="0"/>
        <w:spacing w:before="0" w:after="0"/>
        <w:jc w:val="left"/>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75260"/>
                <wp:effectExtent l="0" t="0" r="0" b="0"/>
                <wp:wrapNone/>
                <wp:docPr id="490" name="Frame4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2023-5 Maximum Non-Perfected Vehicle Amount (as applicable) as of such date, (xii) the Series 2023-5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2023-5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3.75% and the Class A/B/C Senior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2023-5 Collection Account (not including amounts allocable to the Series 2023-5 Accrued Interest Account) and the Series 2023-5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2023-5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2023-5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75260"/>
                <wp:effectExtent l="0" t="0" r="0" b="0"/>
                <wp:wrapNone/>
                <wp:docPr id="491" name="Frame4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pPr>
      <w:r>
        <w:rPr>
          <w:rFonts w:ascii="Times New Roman;sans-serif" w:hAnsi="Times New Roman;sans-serif"/>
          <w:b w:val="false"/>
          <w:color w:val="000000"/>
          <w:sz w:val="24"/>
        </w:rPr>
        <w:br/>
        <w:t xml:space="preserve">Related Month during the Series 2023-5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2023-5 Controlled Amortization Period, the Class B Carryover Controlled Amortization Amount shall be zero.</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2023-5 Controlled Amortization Period other than the Related Month immediately preceding the Series 2023-5 Expected Final Distribution Date, $10,035,666.66 and (ii) with respect to the Related Month immediately preceding the Series 2023-5 Expected Final Distribution Date, $10,035,666.70.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2023-5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$60,214,000.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2023-5 Interest Period, an amount equal to $194,491.22 and (ii) any other Series 2023-5 Interest Period, an amount equal to the product of (A) one-twelfth of the Class B Note Rate and (B) the Class B Invested Amount on the first day of such Series 2023-5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2023-5 6.12% Rental Car Asset Backed Notes, Class B, executed by ABRCF and authenticated by or on behalf of the Trustee,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6.12%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2023-5 Controlled Amortization Period, the amount, if any, by which the portion of the Monthly Total Principal Allocation paid to the Class C Noteholders pursuant to Section 2.5(f)(iii) for the previous Related Month was less than the Class C Controlled </w:t>
      </w:r>
    </w:p>
    <w:p>
      <w:pPr>
        <w:pStyle w:val="TextBody"/>
        <w:bidi w:val="0"/>
        <w:spacing w:before="0" w:after="0"/>
        <w:jc w:val="left"/>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75260"/>
                <wp:effectExtent l="0" t="0" r="0" b="0"/>
                <wp:wrapNone/>
                <wp:docPr id="492" name="Frame4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2023-5 Controlled Amortization Period, the Class C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2023-5 Controlled Amortization Period other than the Related Month immediately preceding the Series 2023-5 Expected Final Distribution Date, $6,465,666.66 and (ii) with respect to the Related Month immediately preceding the Series 2023-5 Expected Final Distribution Date, $6,465,666.70.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2023-5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$38,794,000.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(A) for so long as ABRCF owns 100% of the Class C Notes, $0 and (B) if ABRCF owns less than 100% of the Class C Notes, with respect to (i) the initial Series 2023-5 Interest Period, an amount equal to $140,251.09 and (ii) any other Series 2023-5 Interest Period, an amount equal to the product of (A) one-twelfth of the Class C Note Rate and (B) the Class C Invested Amount on the first day of such Series 2023-5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2023-5 6.85%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6.85% per annum.</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D Required Liquidity Amount divided by “Required Liquidity Amount” for each applicable Series for which such Multi-Series Letter of Credit is providing credit enhancement.</w:t>
      </w:r>
    </w:p>
    <w:p>
      <w:pPr>
        <w:pStyle w:val="TextBody"/>
        <w:bidi w:val="0"/>
        <w:spacing w:before="0" w:after="0"/>
        <w:jc w:val="left"/>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75260"/>
                <wp:effectExtent l="0" t="0" r="0" b="0"/>
                <wp:wrapNone/>
                <wp:docPr id="493" name="Frame4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2023-5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2023-5 Controlled Amortization Period, the Class D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Multi-Series Letter of Credit Termination Date, the Class D Cash Collateral Account Surplus shall mean the excess, if any, of (x) the Class D Available Cash Collateral Account Amount over (y) the Series 2023-5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2023-5 Controlled Amortization Period other than the Related Month immediately preceding the Series 2023-5 Expected Final Distribution Date, $10,816,666.66 and (ii) with respect to the Related Month immediately preceding the Series 2023-5 Expected Final Distribution Date, $10,816,666.70.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2023-5 Controlled Amortization Period, an amount equal to the sum of the Class D Controlled Amortization Amount and any Class D Carryover Controlled Amortization Amount for such Related Month.</w:t>
      </w:r>
    </w:p>
    <w:p>
      <w:pPr>
        <w:pStyle w:val="TextBody"/>
        <w:bidi w:val="0"/>
        <w:spacing w:before="0" w:after="0"/>
        <w:jc w:val="left"/>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75260"/>
                <wp:effectExtent l="0" t="0" r="0" b="0"/>
                <wp:wrapNone/>
                <wp:docPr id="494" name="Frame4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2023-5 Collection Account (not including amounts allocable to the Series 2023-5 Accrued Interest Account) and the Series 2023-5 Excess Collection Account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means the aggregate initial principal amount of the Class D Notes, which is $64,900,000.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means 9.657%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2023-5 Demand Notes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 xml:space="preserve">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w:t>
      </w:r>
    </w:p>
    <w:p>
      <w:pPr>
        <w:pStyle w:val="TextBody"/>
        <w:bidi w:val="0"/>
        <w:spacing w:before="0" w:after="0"/>
        <w:jc w:val="left"/>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75260"/>
                <wp:effectExtent l="0" t="0" r="0" b="0"/>
                <wp:wrapNone/>
                <wp:docPr id="495" name="Frame4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applicable), the Class D Maximum Non-Perfected Vehicle Amount, the Class D Maximum Non-Eligible Manufacturer Amount and the Class D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means, with respect to (i) the initial Series 2023-5 Interest Period for the Class D Notes, an amount equal to $922,700 and (ii) any other Series 2023-</w:t>
      </w:r>
    </w:p>
    <w:p>
      <w:pPr>
        <w:pStyle w:val="TextBody"/>
        <w:bidi w:val="0"/>
        <w:spacing w:before="0" w:after="0"/>
        <w:jc w:val="left"/>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75260"/>
                <wp:effectExtent l="0" t="0" r="0" b="0"/>
                <wp:wrapNone/>
                <wp:docPr id="496" name="Frame4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5 Interest Period, an amount equal to the product of (A) one-twelfth of the Class D Note Rate in effect on the first day of such Series 2023-5 Interest Period and (B) the Class D Invested Amount on the first day of such Series 2023-5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means, with respect to (i) the initial Series 2023-5 Interest Period for the Class D Notes, an amount equal to $922,700 and (ii) any other Series 2023-5 Interest Period, an amount equal to the product of (A) one-twelfth of the Class D Initial Note Rate and (B) the Class D Invested Amount on the first day of such Series 2023-5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means, with respect to any Series 2023-5 Interest Period, an amount equal to the excess, if any, of (x) the Class D Monthly Interest with respect to such Series 2023-5 Interest Period over (x) the Class D Monthly Senior Interest with respect to such Series 2023-5 Interest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2023-5 9.657%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on and after March 19, 2025 and thereafter, (1) if any Class D Noteholder holds Subject Class D Notes in an aggregate principal amount of at least $190,000,000, the Class D Note Rate shall equal the greater of (x) the Class D Note Rate on March 18, 2025 plus 1.00% and (y) the sum of the Interpolated Treasury Rate on March 18, 2025 and 6.50% and (2) if no Class D Noteholder holds 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plus 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plus 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plus 1.00% and (y) the sum of the Interpolated Treasury Rate as of December 14, 2025 and 10.50%.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before="0" w:after="0"/>
        <w:jc w:val="left"/>
        <w:rPr/>
      </w:pPr>
      <w:r>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497" name="Frame4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2023-5 AESOP I Operating Lease Loan Agreement Borrowing Base as of such date over (y) the Series 2023-5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distribution of the Monthly Total Principal Allocation for the Related Month if such date is a Distribution Date) over (ii) the Series 2023-5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2023-5 AESOP I Operating Lease Loan Agreement Borrowing Base on such date and (2) the lesser of (a) the Class D Liquidity Amount on such date and (b) the Class D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2023-5 Moody’s Required Enhancement Amount as of such date, (ii) the Series 2023-5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2023-5 AESOP I Operating Lease Vehicle Percentage as of the immediately preceding Business Day of the excess, if any, of the aggregate Net Book Value of all Vehicles manufactured by Isuzu </w:t>
      </w:r>
    </w:p>
    <w:p>
      <w:pPr>
        <w:pStyle w:val="TextBody"/>
        <w:bidi w:val="0"/>
        <w:spacing w:before="0" w:after="0"/>
        <w:jc w:val="left"/>
        <w:rPr/>
      </w:pPr>
      <w:r>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175260"/>
                <wp:effectExtent l="0" t="0" r="0" b="0"/>
                <wp:wrapNone/>
                <wp:docPr id="498" name="Frame4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and leased under the Leases as of such date over the Class D Maximum Isuzu Amount as of such date, (iv) the Series 2023-5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2023-5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2023-5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2023-5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2023-5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2023-5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2023-5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2023-5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2023-5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2023-5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 xml:space="preserve">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w:t>
      </w:r>
    </w:p>
    <w:p>
      <w:pPr>
        <w:pStyle w:val="TextBody"/>
        <w:bidi w:val="0"/>
        <w:spacing w:before="0" w:after="0"/>
        <w:jc w:val="left"/>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175260"/>
                <wp:effectExtent l="0" t="0" r="0" b="0"/>
                <wp:wrapNone/>
                <wp:docPr id="499" name="Frame4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(iv) the Class D Available Reserve Account Amount on such date and (v) the amount of cash and Permitted Investments on deposit in the Series 2023-5 Collection Account (not including amounts allocable to the Series 2023-5 Accrued Interest Account) and the Series 2023-5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2023-5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 xml:space="preserve">has the meaning set forth in Section 2.3(g)(v).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2023-5 Controlled Amortization Period other than the Related Month immediately preceding the Series 2023-5 Expected Final Distribution Date, $0 and (ii) with respect to the Related Month immediately preceding the Series 2023-5 Expected Final Distribution Date, $29,800,000.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$29,800,000.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2023-5 Interest Period, an amount equal to $121,241.96, (ii) the initial Series 2023-5 Interest Period following the Class D Notes Closing Date, an amount equal to $46,481 and (iii) any other Series 2023-5 Interest Period, an amount equal to the product of (A) one-twelfth of the Class R Note Rate and (B) the Class R Invested Amount on the first day of such Series 2023-5 Interest Period, after giving effect to any principal payments made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75260"/>
                <wp:effectExtent l="0" t="0" r="0" b="0"/>
                <wp:wrapNone/>
                <wp:docPr id="500" name="Frame4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2023-5 8.768%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8.768%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2023-5 Demand Note.</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75260"/>
                <wp:effectExtent l="0" t="0" r="0" b="0"/>
                <wp:wrapNone/>
                <wp:docPr id="501" name="Frame4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Ratings, Inc.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A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B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R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 xml:space="preserve">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Lease Deficit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2023-5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2023-5 Note of the excess, if any, of (x) the sum of the Discounted Values for each Remaining Distribution Amount with respect to each Applicable Distribution Date over (y) the Series 2023-5 Invested Amount as of such Optional Repurchase Distribution Date (determined after giving effect to any payments made pursuant to Section 2.5(a)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 xml:space="preserve">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w:t>
      </w:r>
    </w:p>
    <w:p>
      <w:pPr>
        <w:pStyle w:val="TextBody"/>
        <w:bidi w:val="0"/>
        <w:spacing w:before="0" w:after="0"/>
        <w:jc w:val="left"/>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75260"/>
                <wp:effectExtent l="0" t="0" r="0" b="0"/>
                <wp:wrapNone/>
                <wp:docPr id="502" name="Frame4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under the AESOP I Operating Lease and the Finance Lease as of the preceding Determination Date and the two Determination Dates precedent thereto.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2023-5 Principal Allocations with respect to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2023-5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w:t>
      </w:r>
    </w:p>
    <w:p>
      <w:pPr>
        <w:pStyle w:val="TextBody"/>
        <w:bidi w:val="0"/>
        <w:spacing w:before="0" w:after="0"/>
        <w:jc w:val="left"/>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75260"/>
                <wp:effectExtent l="0" t="0" r="0" b="0"/>
                <wp:wrapNone/>
                <wp:docPr id="503" name="Frame4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2023-5 Eligible Letter of Credit Provider in favor of the Trustee for the benefit, in whole or in part, of the Series 2023-5 Noteholders (provided that a Multi-Series Letter of Credit may also benefit Noteholders of certain other Series).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Expiration Date</w:t>
      </w:r>
      <w:r>
        <w:rPr>
          <w:color w:val="000000"/>
        </w:rPr>
        <w:t xml:space="preserve">” </w:t>
      </w:r>
      <w:r>
        <w:rPr>
          <w:rFonts w:ascii="Times New Roman;sans-serif" w:hAnsi="Times New Roman;sans-serif"/>
          <w:b w:val="false"/>
          <w:color w:val="000000"/>
          <w:sz w:val="24"/>
        </w:rPr>
        <w:t>means, with respect to any Multi-Series Letter of Credit, the expiration date set forth in such Multi-Series Letter of Credit, as such date may be extended in accordance with the terms of such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Provider</w:t>
      </w:r>
      <w:r>
        <w:rPr>
          <w:color w:val="000000"/>
        </w:rPr>
        <w:t xml:space="preserve">” </w:t>
      </w:r>
      <w:r>
        <w:rPr>
          <w:rFonts w:ascii="Times New Roman;sans-serif" w:hAnsi="Times New Roman;sans-serif"/>
          <w:b w:val="false"/>
          <w:color w:val="000000"/>
          <w:sz w:val="24"/>
        </w:rPr>
        <w:t>means any issuer of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2023-5 Notes are fully paid and (b) the Series 2023-5 Termination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before="0" w:after="0"/>
        <w:jc w:val="left"/>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75260"/>
                <wp:effectExtent l="0" t="0" r="0" b="0"/>
                <wp:wrapNone/>
                <wp:docPr id="504" name="Frame4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Series 2023-5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2023-5 Demand Notes included in the Series 2023-5 Demand Note Payment Amount as of the Multi-Series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2023-5 Demand Note Payment Amount as of the date of the conclusion or dismissal of such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November 2026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November 2026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November 2026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November 2026 Distribution Date, the Class R Controlled Amortization Amount with respect to the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75260"/>
                <wp:effectExtent l="0" t="0" r="0" b="0"/>
                <wp:wrapNone/>
                <wp:docPr id="505" name="Frame4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Month preceding the first such 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Required Controlling Class Series 2023-5 Noteholders</w:t>
      </w:r>
      <w:r>
        <w:rPr>
          <w:color w:val="000000"/>
        </w:rPr>
        <w:t xml:space="preserve">” </w:t>
      </w:r>
      <w:r>
        <w:rPr>
          <w:rFonts w:ascii="Times New Roman;sans-serif" w:hAnsi="Times New Roman;sans-serif"/>
          <w:b w:val="false"/>
          <w:color w:val="000000"/>
          <w:sz w:val="24"/>
        </w:rPr>
        <w:t xml:space="preserve">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2023-5 Notes held by ABCR or any Affiliate of ABCR unless ABCR or such Affiliate is the sole Series 2023-5 Noteholder) and (v) if no Class A Notes, Class B Notes, Class C Notes or Class D Notes are outstanding, Class R Noteholders holding more than 50% Class R Invested Amount (excluding, for the purpose of making any of the foregoing calculations, any Series 2023-5 Notes held by ABCR or any Affiliate of ABCR unless ABCR or such Affiliate is the sole Series 2023-5 Noteholder). </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Requisite Series 2023-5 Noteholders</w:t>
      </w:r>
      <w:r>
        <w:rPr>
          <w:color w:val="000000"/>
        </w:rPr>
        <w:t xml:space="preserve">” </w:t>
      </w:r>
      <w:r>
        <w:rPr>
          <w:rFonts w:ascii="Times New Roman;sans-serif" w:hAnsi="Times New Roman;sans-serif"/>
          <w:b w:val="false"/>
          <w:color w:val="000000"/>
          <w:sz w:val="24"/>
        </w:rPr>
        <w:t>means Series 2023-5 Noteholders holding, in the aggregate, more than 50% of the Series 2023-5 Invested Amount (excluding, for the purpose of making the foregoing calculation (x) for all purposes, any Series 2023-5 Notes held by ABCR or any Affiliate of ABCR unless ABCR is the sole Series 2023-5 Noteholder and (y) for so long as any Class A Notes, the Class B Notes, or the Class C Notes are outstanding, any Class D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being published but such Vehicle is not included therein, the Market Value of such Vehicle shall </w:t>
      </w:r>
    </w:p>
    <w:p>
      <w:pPr>
        <w:pStyle w:val="TextBody"/>
        <w:bidi w:val="0"/>
        <w:spacing w:before="0" w:after="0"/>
        <w:jc w:val="left"/>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75260"/>
                <wp:effectExtent l="0" t="0" r="0" b="0"/>
                <wp:wrapNone/>
                <wp:docPr id="506" name="Frame4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t xml:space="preserve">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 xml:space="preserve">means the Series of Notes designated as the Series 2010-6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 xml:space="preserve">means the Series of Notes designated as the Series 2011-4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means the Series of Notes designated as the Series 2015-3</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 xml:space="preserve">means the Series of Notes designated as the Series 2019-2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 xml:space="preserve">means the Series of Notes designated as the Series 2019-3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 xml:space="preserve">means the Series of Notes designated as the Series 2020-1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 xml:space="preserve">means the Series of Notes designated as the Series 2020-2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 xml:space="preserve">means the Series of Notes designated as the Series 2021-1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 xml:space="preserve">means the Series of Notes designated as the Series 2021-2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 xml:space="preserve">means the Series of Notes designated as the Series 2022-1 </w:t>
        <w:br/>
        <w:t>Notes.</w:t>
      </w:r>
    </w:p>
    <w:p>
      <w:pPr>
        <w:pStyle w:val="TextBody"/>
        <w:bidi w:val="0"/>
        <w:spacing w:before="0" w:after="0"/>
        <w:jc w:val="left"/>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75260"/>
                <wp:effectExtent l="0" t="0" r="0" b="0"/>
                <wp:wrapNone/>
                <wp:docPr id="507" name="Frame4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 xml:space="preserve">means the Series of Notes designated as the Series 2022-3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 xml:space="preserve">means the Series of Notes designated as the Series 2022-4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 xml:space="preserve">means the Series of Notes designated as the Series 2022-5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 xml:space="preserve">means the Series of Notes designated as the Series 2023-1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 xml:space="preserve">means the Series of Notes designated as the Series 2023-2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 xml:space="preserve">means the Series of Notes designated as the Series 2023-3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 xml:space="preserve">means the Series of Notes designated as the Series 2023-4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Accounts</w:t>
      </w:r>
      <w:r>
        <w:rPr>
          <w:color w:val="000000"/>
        </w:rPr>
        <w:t xml:space="preserve">” </w:t>
      </w:r>
      <w:r>
        <w:rPr>
          <w:rFonts w:ascii="Times New Roman;sans-serif" w:hAnsi="Times New Roman;sans-serif"/>
          <w:b w:val="false"/>
          <w:color w:val="000000"/>
          <w:sz w:val="24"/>
        </w:rPr>
        <w:t>means each of the Series 2023-5 Distribution Account, the Class A/B/C Reserve Account, the Class D Reserve Account, the Series 2023-5 Collection Account, the Series 2023-5 Excess Collection Account and the Series 2023-5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2023-5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2023-5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2023-5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2023-5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2023-5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2023-5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2023-5 Invested Percentage (calculated with respect to Principal Collections) as of such date.</w:t>
      </w:r>
    </w:p>
    <w:p>
      <w:pPr>
        <w:pStyle w:val="TextBody"/>
        <w:bidi w:val="0"/>
        <w:spacing w:before="24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75260"/>
                <wp:effectExtent l="0" t="0" r="0" b="0"/>
                <wp:wrapNone/>
                <wp:docPr id="508" name="Frame4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Collateral</w:t>
      </w:r>
      <w:r>
        <w:rPr>
          <w:color w:val="000000"/>
        </w:rPr>
        <w:t xml:space="preserve">” </w:t>
      </w:r>
      <w:r>
        <w:rPr>
          <w:rFonts w:ascii="Times New Roman;sans-serif" w:hAnsi="Times New Roman;sans-serif"/>
          <w:b w:val="false"/>
          <w:color w:val="000000"/>
          <w:sz w:val="24"/>
        </w:rPr>
        <w:t>means the Collateral, the Multi-Series Letters of Credit, each Series 2023-5 Demand Note, the Series 2023-5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Controlled Amortization Period</w:t>
      </w:r>
      <w:r>
        <w:rPr>
          <w:color w:val="000000"/>
        </w:rPr>
        <w:t xml:space="preserve">” </w:t>
      </w:r>
      <w:r>
        <w:rPr>
          <w:rFonts w:ascii="Times New Roman;sans-serif" w:hAnsi="Times New Roman;sans-serif"/>
          <w:b w:val="false"/>
          <w:color w:val="000000"/>
          <w:sz w:val="24"/>
        </w:rPr>
        <w:t>means the period commencing upon the close of business on September 30, 2026 (or, if such day is not a Business Day, the Business Day immediately preceding such day) and continuing to the earliest of (i) the commencement of the Series 2023-5 Rapid Amortization Period, (ii) the date on which the Series 2023-5 Notes are fully paid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Demand Note Payment Amount</w:t>
      </w:r>
      <w:r>
        <w:rPr>
          <w:color w:val="000000"/>
        </w:rPr>
        <w:t xml:space="preserve">” </w:t>
      </w:r>
      <w:r>
        <w:rPr>
          <w:rFonts w:ascii="Times New Roman;sans-serif" w:hAnsi="Times New Roman;sans-serif"/>
          <w:b w:val="false"/>
          <w:color w:val="000000"/>
          <w:sz w:val="24"/>
        </w:rPr>
        <w:t xml:space="preserve">means, as of the Multi-Series Letter of Credit Termination Date, the aggregate amount of all proceeds of demands made on the Series 2023-5 Demand Notes pursuant to Section 2.(c)(i), (d)(i) or (e)(i) that were deposited into the Series 2023-5 Distribution Account and paid to the Series 2023-5 Noteholders during the one year period ending on the Multi-Series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2023-5 Demand Note Payment Amount as of the Multi-Series Letter of Credit Termination Date shall equal the Series 2023-5 Demand Note Payment Amount as if it were calculated as of the date of such occurrence.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Series 2023-5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Multi-Series Letter of Credit Provider (or a letter of credit provider under the Series Supplement for any other Series of Notes), then such Person shall not be a Series 2023-5 Eligible Letter of Credit Provider until ABRCF has provided ten (10) days’ prior notice to the Rating Agencies that such Person has been proposed as a Multi-Series Letter of Credit Provider.</w:t>
      </w:r>
    </w:p>
    <w:p>
      <w:pPr>
        <w:pStyle w:val="TextBody"/>
        <w:bidi w:val="0"/>
        <w:spacing w:before="0" w:after="0"/>
        <w:jc w:val="left"/>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75260"/>
                <wp:effectExtent l="0" t="0" r="0" b="0"/>
                <wp:wrapNone/>
                <wp:docPr id="509" name="Frame4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Multi-Series Letters of Credit, the Series 2023-5 Demand Notes, the Class D Overcollateralization Amount and the Class A/B/C Required Reserve Account Amount.</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Excess Tesla Percentage</w:t>
      </w:r>
      <w:r>
        <w:rPr>
          <w:color w:val="000000"/>
        </w:rPr>
        <w:t xml:space="preserve">” </w:t>
      </w:r>
      <w:r>
        <w:rPr>
          <w:rFonts w:ascii="Times New Roman;sans-serif" w:hAnsi="Times New Roman;sans-serif"/>
          <w:b w:val="false"/>
          <w:color w:val="000000"/>
          <w:sz w:val="24"/>
        </w:rPr>
        <w:t>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Expected Final Distribution Date</w:t>
      </w:r>
      <w:r>
        <w:rPr>
          <w:color w:val="000000"/>
        </w:rPr>
        <w:t xml:space="preserve">” </w:t>
      </w:r>
      <w:r>
        <w:rPr>
          <w:rFonts w:ascii="Times New Roman;sans-serif" w:hAnsi="Times New Roman;sans-serif"/>
          <w:b w:val="false"/>
          <w:color w:val="000000"/>
          <w:sz w:val="24"/>
        </w:rPr>
        <w:t>means the April 2027 Distribution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Final Distribution Date</w:t>
      </w:r>
      <w:r>
        <w:rPr>
          <w:color w:val="000000"/>
        </w:rPr>
        <w:t xml:space="preserve">” </w:t>
      </w:r>
      <w:r>
        <w:rPr>
          <w:rFonts w:ascii="Times New Roman;sans-serif" w:hAnsi="Times New Roman;sans-serif"/>
          <w:b w:val="false"/>
          <w:color w:val="000000"/>
          <w:sz w:val="24"/>
        </w:rPr>
        <w:t>means the April 2028 Distribution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Interest Period</w:t>
      </w:r>
      <w:r>
        <w:rPr>
          <w:color w:val="000000"/>
        </w:rPr>
        <w:t xml:space="preserve">” </w:t>
      </w:r>
      <w:r>
        <w:rPr>
          <w:rFonts w:ascii="Times New Roman;sans-serif" w:hAnsi="Times New Roman;sans-serif"/>
          <w:b w:val="false"/>
          <w:color w:val="000000"/>
          <w:sz w:val="24"/>
        </w:rPr>
        <w:t>means a period commencing on and including the 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each calendar month and ending on and including the 19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in the following calendar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2023-5 Interest Period with respect to the Class A Notes, the Class B Notes and the Class C Notes commenced on and included the Class A/B/C Notes Closing Date and ended on and included June 19, 2023 and (y) the initial Series 2023-5 Interest Period with respect to the Class D Notes shall commence on and include the Class D Closing Date and shall end on and include February 19, 2025.</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Series 2023-5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2023-5 Invested Amount and the Class D Overcollateralization Amount, determined during the Series 2023-5 Revolving Period as of the end of the Related Month (or, until the end of the Related Month during which the Class D Notes Closing Date occurs, on the Class D Notes Closing Date), or, during the Series 2023-5 Controlled Amortization Period and the Series 2023-5 Rapid Amortization Period, as of the end of the Series 2023-5 Revolving Period, and the denominator of which shall be the greater of (I) the Aggregate Asset Amount as of the end of the Related Month or, until the end of the initial Related Month, as of the Class A/B/C Notes Closing Date, and (II) as of the same date as in clause (I), the sum of the </w:t>
        <w:br/>
      </w:r>
    </w:p>
    <w:p>
      <w:pPr>
        <w:pStyle w:val="TextBody"/>
        <w:bidi w:val="0"/>
        <w:spacing w:before="0" w:after="0"/>
        <w:jc w:val="left"/>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75260"/>
                <wp:effectExtent l="0" t="0" r="0" b="0"/>
                <wp:wrapNone/>
                <wp:docPr id="510" name="Frame4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numerators used to determine the invested percentages for allocations with respect to Principal Collections (for all Series of Notes and all classes of such Series of 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when used with respect to Interest Collections, the percentage equivalent (which percentage shall never exceed 100%) of a fraction, the numerator of which shall be the Accrued Amounts with respect to the Series 2023-5 Notes on such date of determination, and the denominator of which shall be the aggregate Accrued Amounts with respect to all Series of Notes on such date of determination. For so long as ABRCF owns 100% of the Class C Notes, the accrued and unpaid interest with respect to the Class C Notes shall be $0 for purposes of calculating the Accrued Amounts with respect to the Series 2023-5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2023-5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2023-5 Accrued Interest Account (excluding any amounts paid into the Series 2023-5 Accrued Interest Account pursuant to the proviso in Sections 2.2(c)(ii) and/or 2.2(d)(ii)) from and excluding the preceding Distribution Date to and including the Business Day immediately preceding such Distribution Date over (2) the Class R Monthly Interest with respect to the Series 2023-5 Interest Period ended on the day preceding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Lease Payment Deficit</w:t>
      </w:r>
      <w:r>
        <w:rPr>
          <w:color w:val="000000"/>
        </w:rPr>
        <w:t xml:space="preserve">” </w:t>
      </w:r>
      <w:r>
        <w:rPr>
          <w:rFonts w:ascii="Times New Roman;sans-serif" w:hAnsi="Times New Roman;sans-serif"/>
          <w:b w:val="false"/>
          <w:color w:val="000000"/>
          <w:sz w:val="24"/>
        </w:rPr>
        <w:t>means either a Series 2023-5 Lease Interest Payment Deficit or a Series 2023-5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2023-5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2023-5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Lease Principal Payment Deficit</w:t>
      </w:r>
      <w:r>
        <w:rPr>
          <w:color w:val="000000"/>
        </w:rPr>
        <w:t xml:space="preserve">” </w:t>
      </w:r>
      <w:r>
        <w:rPr>
          <w:rFonts w:ascii="Times New Roman;sans-serif" w:hAnsi="Times New Roman;sans-serif"/>
          <w:b w:val="false"/>
          <w:color w:val="000000"/>
          <w:sz w:val="24"/>
        </w:rPr>
        <w:t>means on any Distribution Date, the sum of (a) the Series 2023-5 Monthly Lease Principal Payment Deficit for such Distribution Date and (b) the Series 2023-5 Lease Principal Payment Carryover Deficit for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2023-5 Limited Liquidation Event of Default if the Trustee shall have received the written consent of the Requisite Series 2023-5 Noteholders waiving the occurrence of such Series 2023-5 Limited Liquidation Event of Default. The Trustee shall promptly (but in any event within two (2) days) provide the Rating Agencies with written notice of such waiver.</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75260"/>
                <wp:effectExtent l="0" t="0" r="0" b="0"/>
                <wp:wrapNone/>
                <wp:docPr id="511" name="Frame4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2023-5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2023-5 Collection Account (without giving effect to any amounts paid into the Series 2023-5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Highest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14.00% (with respect to calculating the Class D Required Enhancement Amount) or 27.55% (with respect to calculating the Class A/B/C Required Enhancement Amount), (b) the greater of (x) the highest, for any calendar month within the preceding 12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Measurement Month Average for the immediately preceding Measurement Month and (y)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a percentage equal to the product of (x) the Series 2023-5 Excess Tesla Percentage and (y) 10%.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sum of (a) the Series 2023-5 Moody’s Lowest Enhanced Vehicle Percentage, (b) the Series 2023-5 Moody’s Highest Enhanced Vehicle Percentage and (c) the Series 2023-5 Moody’s Trucks Percentage.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16.15%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Lowest Enhanced Vehicle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w:t>
      </w:r>
    </w:p>
    <w:p>
      <w:pPr>
        <w:pStyle w:val="TextBody"/>
        <w:bidi w:val="0"/>
        <w:spacing w:before="0" w:after="0"/>
        <w:jc w:val="left"/>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75260"/>
                <wp:effectExtent l="0" t="0" r="0" b="0"/>
                <wp:wrapNone/>
                <wp:docPr id="512" name="Frame4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12.65%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Required Enhancement Amount</w:t>
      </w:r>
      <w:r>
        <w:rPr>
          <w:color w:val="000000"/>
        </w:rPr>
        <w:t xml:space="preserve">” </w:t>
      </w:r>
      <w:r>
        <w:rPr>
          <w:rFonts w:ascii="Times New Roman;sans-serif" w:hAnsi="Times New Roman;sans-serif"/>
          <w:b w:val="false"/>
          <w:color w:val="000000"/>
          <w:sz w:val="24"/>
        </w:rPr>
        <w:t xml:space="preserve">means, as of any date of determination, the product of (i) the applicable Series 2023-5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the Series 2023-5 Senior Invested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Series 2023-5 Allocated Cash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Required Enhancement Percentage</w:t>
      </w:r>
      <w:r>
        <w:rPr>
          <w:color w:val="000000"/>
        </w:rPr>
        <w:t xml:space="preserve">” </w:t>
      </w:r>
      <w:r>
        <w:rPr>
          <w:rFonts w:ascii="Times New Roman;sans-serif" w:hAnsi="Times New Roman;sans-serif"/>
          <w:b w:val="false"/>
          <w:color w:val="000000"/>
          <w:sz w:val="24"/>
        </w:rPr>
        <w:t>means, as of any date of determination, the sum of (i) the product of (A) the Series 2023-5 Moody’s Lowest Enhancement Rate as of such date and (B) the Series 2023-5 Moody’s Lowest Enhanced Vehicle Percentage as of such date, (ii) the product of (A) the Series 2023-5 Moody’s Intermediate Enhancement Rate as of such date and (B) the Series 2023-5 Moody’s Intermediate Enhanced Vehicle Percentage as of such date, (iii) the product of (A) the Series 2023-5 Moody’s Highest Enhancement Rate as of such date and (B) the Series 2023-5 Moody’s Highest Enhanced Vehicle Percentage as of such date and (iv) the product of (A) the Series 2023-5 Moody’s Trucks Enhancement Rate as of such date and (B) the Series 2023-5 Moody’s Trucks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 Owner</w:t>
      </w:r>
      <w:r>
        <w:rPr>
          <w:color w:val="000000"/>
        </w:rPr>
        <w:t xml:space="preserve">” </w:t>
      </w:r>
      <w:r>
        <w:rPr>
          <w:rFonts w:ascii="Times New Roman;sans-serif" w:hAnsi="Times New Roman;sans-serif"/>
          <w:b w:val="false"/>
          <w:color w:val="000000"/>
          <w:sz w:val="24"/>
        </w:rPr>
        <w:t xml:space="preserve">means each beneficial owner of a Series 2023-5 Note. </w:t>
      </w:r>
    </w:p>
    <w:p>
      <w:pPr>
        <w:pStyle w:val="TextBody"/>
        <w:bidi w:val="0"/>
        <w:spacing w:before="0" w:after="0"/>
        <w:jc w:val="left"/>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75260"/>
                <wp:effectExtent l="0" t="0" r="0" b="0"/>
                <wp:wrapNone/>
                <wp:docPr id="513" name="Frame4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2023-5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2023-5 Notes and ending upon the earliest to occur of (i) the date on which the Series 2023-5 Notes are fully paid, (ii) the Series 2023-5 Final Distribution Date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2023-5 Controlled Amortization Period and (ii) the commencement of the Series 2023-5 Rapid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2023-5 Interest Period ended on the day preceding such Distribution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75260"/>
                <wp:effectExtent l="0" t="0" r="0" b="0"/>
                <wp:wrapNone/>
                <wp:docPr id="514" name="Frame4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Termination Date</w:t>
      </w:r>
      <w:r>
        <w:rPr>
          <w:color w:val="000000"/>
        </w:rPr>
        <w:t xml:space="preserve">” </w:t>
      </w:r>
      <w:r>
        <w:rPr>
          <w:rFonts w:ascii="Times New Roman;sans-serif" w:hAnsi="Times New Roman;sans-serif"/>
          <w:b w:val="false"/>
          <w:color w:val="000000"/>
          <w:sz w:val="24"/>
        </w:rPr>
        <w:t>means the April 2028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Trustee’s Fees</w:t>
      </w:r>
      <w:r>
        <w:rPr>
          <w:color w:val="000000"/>
        </w:rPr>
        <w:t xml:space="preserve">” </w:t>
      </w:r>
      <w:r>
        <w:rPr>
          <w:rFonts w:ascii="Times New Roman;sans-serif" w:hAnsi="Times New Roman;sans-serif"/>
          <w:b w:val="false"/>
          <w:color w:val="000000"/>
          <w:sz w:val="24"/>
        </w:rPr>
        <w:t xml:space="preserve">means, for any Distribution Date during the Series 2023-5 Rapid Amortization Period on which there exists a Series 2023-5 Lease Interest Payment Deficit, a portion of the fees payable to the Trustee in an amount equal to the product of (i) the Series 2023-5 Percentage as of the beginning of the Series 2023-5 Interest Period ending on the 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2023-5 Trustee’s Fees in the aggregate for all Distribution Dates shall not exceed 1.1% of the Series 2023-5 Required AESOP I Operating Lease Vehicle Amount as of the last day of the Series 2023-5 Revolving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 xml:space="preserve">means the Series of Notes designated as the Series 2023-6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 xml:space="preserve">means the Series of Notes designated as the Series 2023-7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 xml:space="preserve">means the Series of Notes designated as the Series 2023-8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 xml:space="preserve">means the Series of Notes designated as the Series 2024-1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 xml:space="preserve">means the Series of Notes designated as the Series 2024-2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 xml:space="preserve">means the Series of Notes designated as the Series 2024-3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means a rate per annum equal to the secured overnight financing rate as administered by the SOFR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 xml:space="preserve">means the NYFRB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NYFRB’s Website, or any successor source for the secured overnight financing rate identified as such by the SOFR Administrator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(Non-Perfected Lien)</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w:t>
      </w:r>
    </w:p>
    <w:p>
      <w:pPr>
        <w:pStyle w:val="TextBody"/>
        <w:bidi w:val="0"/>
        <w:spacing w:before="0" w:after="0"/>
        <w:jc w:val="left"/>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75260"/>
                <wp:effectExtent l="0" t="0" r="0" b="0"/>
                <wp:wrapNone/>
                <wp:docPr id="515" name="Frame5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remove the limitations in the Related Documents related to Vehicles titled in Ohio, Oklahoma and Nebraska (the liens on which are not perfected) and replace such references with limitations that would allow a limited amount of Vehicles titled anywhere in the United States to be subject to liens that are not perfected.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(Trucks)</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allow for “medium duty” and “heavy duty” trucks to be considered an “Eligible Vehicle” under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 xml:space="preserve">means (x) the Class D Notes and (y) the Classes of Notes designated as the Series 2020-2 Notes, Class D, the Series 2022-5 Notes, Class D, the Series 2023-2 Notes, Class D, the Series 2023-3 Notes, Class D, and the Series 2024-2 Notes, Class D.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2023-5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Unpaid Demand Note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75260"/>
                <wp:effectExtent l="0" t="0" r="0" b="0"/>
                <wp:wrapNone/>
                <wp:docPr id="516" name="Frame5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means the federal interagency credit risk retention rules, codified at 17 C.F.R. Part 246.</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2023-5 Invested Amount (or any component thereof) on any date shall, unless otherwise stated, be calculated after giving effect to any payment of principal made to the applicable Series 2023-5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2023-5 ALLOCATIONS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2023-5 Notes, the following shall apply: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2023-5 Collection Account, Series 2023-5 Excess Collection Account and Series 2023-5 Accrued Interest Account</w:t>
      </w:r>
      <w:r>
        <w:rPr>
          <w:rFonts w:ascii="Times New Roman;sans-serif" w:hAnsi="Times New Roman;sans-serif"/>
          <w:b w:val="false"/>
          <w:color w:val="000000"/>
          <w:sz w:val="24"/>
        </w:rPr>
        <w:t>. (a) All Collections allocable to the Series 2023-5 Notes shall be allocated to the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2023-5 Noteholders: the Series 2023-5 Collection Account (such sub-account, the “</w:t>
      </w:r>
      <w:r>
        <w:rPr>
          <w:rFonts w:ascii="Times New Roman;sans-serif" w:hAnsi="Times New Roman;sans-serif"/>
          <w:b w:val="false"/>
          <w:color w:val="000000"/>
          <w:sz w:val="24"/>
          <w:u w:val="single"/>
        </w:rPr>
        <w:t>Series 2023-5 Collection Account</w:t>
      </w:r>
      <w:r>
        <w:rPr>
          <w:color w:val="000000"/>
        </w:rPr>
        <w:t>”</w:t>
      </w:r>
      <w:r>
        <w:rPr>
          <w:rFonts w:ascii="Times New Roman;sans-serif" w:hAnsi="Times New Roman;sans-serif"/>
          <w:b w:val="false"/>
          <w:color w:val="000000"/>
          <w:sz w:val="24"/>
        </w:rPr>
        <w:t>), the Series 2023-5 Excess Collection Account (such sub-account, the “</w:t>
      </w:r>
      <w:r>
        <w:rPr>
          <w:rFonts w:ascii="Times New Roman;sans-serif" w:hAnsi="Times New Roman;sans-serif"/>
          <w:b w:val="false"/>
          <w:color w:val="000000"/>
          <w:sz w:val="24"/>
          <w:u w:val="single"/>
        </w:rPr>
        <w:t>Series 2023-5 Excess Collection Account</w:t>
      </w:r>
      <w:r>
        <w:rPr>
          <w:color w:val="000000"/>
        </w:rPr>
        <w:t>”</w:t>
      </w:r>
      <w:r>
        <w:rPr>
          <w:rFonts w:ascii="Times New Roman;sans-serif" w:hAnsi="Times New Roman;sans-serif"/>
          <w:b w:val="false"/>
          <w:color w:val="000000"/>
          <w:sz w:val="24"/>
        </w:rPr>
        <w:t>) and the Series 2023-5 Accrued Interest Account (such sub-account, the “</w:t>
      </w:r>
      <w:r>
        <w:rPr>
          <w:rFonts w:ascii="Times New Roman;sans-serif" w:hAnsi="Times New Roman;sans-serif"/>
          <w:b w:val="false"/>
          <w:color w:val="000000"/>
          <w:sz w:val="24"/>
          <w:u w:val="single"/>
        </w:rPr>
        <w:t>Series 2023-5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2023-5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2023-5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2023-5 Revolving Period</w:t>
      </w:r>
      <w:r>
        <w:rPr>
          <w:rFonts w:ascii="Times New Roman;sans-serif" w:hAnsi="Times New Roman;sans-serif"/>
          <w:b w:val="false"/>
          <w:color w:val="000000"/>
          <w:sz w:val="24"/>
        </w:rPr>
        <w:t>. During the Series 2023-5 Revolving Period, the Administrator will direct the Trustee in writing pursuant to the Administration Agreement to allocate, prior to 11:00 a.m. (New York City time) on each Series 2023-5 Deposit Date, all amounts deposited into the Collection Account as set forth below:</w:t>
      </w:r>
    </w:p>
    <w:p>
      <w:pPr>
        <w:pStyle w:val="TextBody"/>
        <w:bidi w:val="0"/>
        <w:spacing w:before="0" w:after="0"/>
        <w:jc w:val="left"/>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75260"/>
                <wp:effectExtent l="0" t="0" r="0" b="0"/>
                <wp:wrapNone/>
                <wp:docPr id="517" name="Frame5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2023-5 Collection Account an amount equal to the Series 2023-5 Invested Percentage (as of such day) of the aggregate amount of Interest Collections on such day. All such amounts allocated to the Series 2023-5 Collection Account shall be further allocated to the Series 2023-5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allocate to the Series 2023-5 Excess Collection Account an amount equal to the Series 2023-5 Invested Percentage (as of such day) of the aggregate amount of Principal Collections on such day (for any such day, the “</w:t>
      </w:r>
      <w:r>
        <w:rPr>
          <w:rFonts w:ascii="Times New Roman;sans-serif" w:hAnsi="Times New Roman;sans-serif"/>
          <w:b w:val="false"/>
          <w:color w:val="000000"/>
          <w:sz w:val="24"/>
          <w:u w:val="single"/>
        </w:rPr>
        <w:t>Series 2023-5 Principal Allocation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2023-5 Controlled Amortization Period</w:t>
      </w:r>
      <w:r>
        <w:rPr>
          <w:rFonts w:ascii="Times New Roman;sans-serif" w:hAnsi="Times New Roman;sans-serif"/>
          <w:b w:val="false"/>
          <w:color w:val="000000"/>
          <w:sz w:val="24"/>
        </w:rPr>
        <w:t>. With respect to the Series 2023-5 Controlled Amortization Period, the Administrator will direct the Trustee in writing pursuant to the Administration Agreement to allocate, prior to 11:00 a.m. (New York City time) on any Series 2023-5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2023-5 Collection Account an amount determined as set forth in Section 2.2(a)(i) above for such day, which amount shall be further allocated to the Series 2023-5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2023-5 Collection Account an amount equal to the Series 2023-5 Principal Allocation for such day, which amount shall be used to make principal payments in respect of the Series 2023-5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2023-5 Excess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2023-5 Rapid Amortization Period</w:t>
      </w:r>
      <w:r>
        <w:rPr>
          <w:rFonts w:ascii="Times New Roman;sans-serif" w:hAnsi="Times New Roman;sans-serif"/>
          <w:b w:val="false"/>
          <w:color w:val="000000"/>
          <w:sz w:val="24"/>
        </w:rPr>
        <w:t>. With respect to the Series 2023-5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2023-5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2023-5 Collection Account an amount determined as set forth in Section 2.2(a)(i) above for such day, which amount shall be further allocated to the Series 2023-5 Accrued Interest Account; and</w:t>
      </w:r>
    </w:p>
    <w:p>
      <w:pPr>
        <w:pStyle w:val="TextBody"/>
        <w:bidi w:val="0"/>
        <w:spacing w:before="0" w:after="0"/>
        <w:jc w:val="left"/>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75260"/>
                <wp:effectExtent l="0" t="0" r="0" b="0"/>
                <wp:wrapNone/>
                <wp:docPr id="518" name="Frame5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2023-5 Collection Account an amount equal to the Series 2023-5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2023-5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2023-5 Notes during the Related Month equal to the lesser of such insufficiency and the Class A/B/C Enhancement Amount to the Series 2023-5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2023-5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2023-5 Notes during the Related Month equal to the lesser of such insufficiency and the Class D Enhancement Amount to the Series 2023-5 Accrued Interest Account to be treated as Interest Collections on such Distribution Date.</w:t>
      </w: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75260"/>
                <wp:effectExtent l="0" t="0" r="0" b="0"/>
                <wp:wrapNone/>
                <wp:docPr id="519" name="Frame5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2023-5 Deposit Date, all amounts attributable to the AESOP I Operating Lease Loan Agreement deposited into the Collection Account as set forth below:</w:t>
      </w:r>
    </w:p>
    <w:p>
      <w:pPr>
        <w:pStyle w:val="TextBody"/>
        <w:bidi w:val="0"/>
        <w:spacing w:lineRule="auto" w:line="288" w:before="0" w:after="12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2023-5 Collection Account an amount equal to the Series 2023-5 AESOP I Operating Lease Vehicle Percentage as of the date of the occurrence of such Event of Bankruptcy of the aggregate amount of Interest Collections made under the AESOP I Operating Lease Loan Agreement for such day. All such amounts allocated to the Series 2023-5 Collection Account shall be further allocated to the Series 2023-5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2023-5 Collection Account an amount equal to the Series 2023-5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2023-5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2023-5 Notes during the Related Month equal to the lesser of such insufficiency and the Class A/B/C Enhancement Amount to the Series 2023-5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w:t>
      </w:r>
    </w:p>
    <w:p>
      <w:pPr>
        <w:pStyle w:val="TextBody"/>
        <w:bidi w:val="0"/>
        <w:spacing w:before="0" w:after="0"/>
        <w:jc w:val="lef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75260"/>
                <wp:effectExtent l="0" t="0" r="0" b="0"/>
                <wp:wrapNone/>
                <wp:docPr id="520" name="Frame5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and the Class C Invested Amount on such Distribution Date) (A) the Administrator determines that, after giving effect to the preceding proviso, the amount anticipated to be available from Interest Collections allocable to the Series 2023-5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2023-5 Notes during the Related Month equal to the lesser of such insufficiency and the Class D Enhancement Amount to the Series 2023-5 Accrued Interest Account to be treated as Interest Collections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2023-5 Excess Collection Account</w:t>
      </w:r>
      <w:r>
        <w:rPr>
          <w:rFonts w:ascii="Times New Roman;sans-serif" w:hAnsi="Times New Roman;sans-serif"/>
          <w:b w:val="false"/>
          <w:color w:val="000000"/>
          <w:sz w:val="24"/>
        </w:rPr>
        <w:t xml:space="preserve">. Amounts allocated to the Series 2023-5 Excess Collection Account on any Series 2023-5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2023-5 Enhancement Deficiency or AESOP I Operating Lease Vehicle Deficiency would result therefrom or exist immediately thereafter. Upon the occurrence of an Amortization Event and once a Trust Officer has actual knowledge of the Amortization Event, funds on deposit in the Series 2023-5 Excess Collection Account will be withdrawn by the Trustee, deposited in the Series 2023-5 Collection Account and allocated as Principal Collections to reduce the Series 2023-5 Invested Amount on the immediately succeeding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2023-5 Notes (i) during the Series 2023-5 Revolving Period shall be allocated to the Series 2023-5 Excess Collection Account and applied in accordance with Section 2.2(e) and (ii) during the Series 2023-5 Controlled Amortization Period or the Series 2023-5 Rapid Amortization Period shall be allocated to the Series 2023-5 Collection Account and applied in accordance with Section 2.2(b) or 2.2(c), as applicable, to make principal payments in respect of the Series 2023-5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xml:space="preserve">. Notwithstanding the foregoing, if in the case of Section 2.2(a) or (b), after the occurrence of a Series 2023-5 Lease Payment Deficit, the Lessees shall make payments of Monthly Base Rent or other amounts payable by the Lessees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260"/>
                <wp:effectExtent l="0" t="0" r="0" b="0"/>
                <wp:wrapNone/>
                <wp:docPr id="521" name="Frame5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Leases on or prior to the fifth Business Day after the occurrence of such Series 2023-5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2023-5 Collection Account an amount equal to the Series 2023-5 Invested Percentage as of the date of the occurrence of such Series 2023-5 Lease Payment Deficit of the Collections attributable to such Past Due Rent Payment (the “</w:t>
      </w:r>
      <w:r>
        <w:rPr>
          <w:rFonts w:ascii="Times New Roman;sans-serif" w:hAnsi="Times New Roman;sans-serif"/>
          <w:b w:val="false"/>
          <w:color w:val="000000"/>
          <w:sz w:val="24"/>
          <w:u w:val="single"/>
        </w:rPr>
        <w:t>Series 2023-5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2023-5 Collection Account and apply the Series 2023-5 Past Due Rent Payment in the following order: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the occurrence of such Series 2023-5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2023-5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2023-5 Past Due Rent Payment;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the occurrence of such Series 2023-5 Lease Payment Deficit resulted in a withdrawal being made from the Class A/B/C Cash Collateral Account, deposit in the Class A/B/C Cash Collateral Account an amount equal to the lesser of (x) the amount of the Series 2023-5 Past Due Rent Payment remaining after any payment pursuant to clause (i) above and (y) the amount withdrawn from the Class A/B/C Cash Collateral Account on account of such Series 2023-5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the occurrence of such Series 2023-5 Lease Payment Deficit resulted in a withdrawal being made from the Class A/B/C Reserve Account pursuant to Section 2.3(d), deposit in the Class A/B/C Reserve Account an amount equal to the lesser of (x) the amount of the Series 2023-5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the occurrence of such Series 2023-5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2023-5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2023-5 Past Due Rent Payment remaining after any payment pursuant to clauses (i) through (iii) above;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if the occurrence of such Series 2023-5 Lease Payment Deficit resulted in a withdrawal being made from the Class D Cash Collateral Account, deposit in </w:t>
      </w:r>
    </w:p>
    <w:p>
      <w:pPr>
        <w:pStyle w:val="TextBody"/>
        <w:bidi w:val="0"/>
        <w:spacing w:before="0" w:after="0"/>
        <w:jc w:val="left"/>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75260"/>
                <wp:effectExtent l="0" t="0" r="0" b="0"/>
                <wp:wrapNone/>
                <wp:docPr id="522" name="Frame5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Class D Cash Collateral Account an amount equal to the lesser of (x) the amount of the Series 2023-5 Past Due Rent Payment remaining after any payment pursuant to clause (i) through (iv) above and (y) the amount withdrawn from the Class D Cash Collateral Account on account of such Series 2023-5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if the occurrence of such Series 2023-5 Lease Payment Deficit resulted in a withdrawal being made from the Class D Reserve Account pursuant to Section 2.3(d), deposit in the Class D Reserve Account an amount equal to the lesser of (x) the amount of the Series 2023-5 Past Due Rent Payment remaining after any payments pursuant to clauses (i) through (v) above and (y) the excess, if any, of the Class D Required Reserve Account Amount over the Class D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allocate to the Series 2023-5 Accrued Interest Account the amount, if any, by which the Series 2023-5 Lease Interest Payment Deficit, if any, relating to such Series 2023-5 Lease Payment Deficit exceeds the amount of the Series 2023-5 Past Due Rent Payment applied pursuant to clauses (i) (vi) above; and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treat the remaining amount of the Series 2023-5 Past Due Rent Payment as Principal Collections allocated to the Series 2023-5 Notes in accordance with Section 2.2(a)(ii) or 2.2(b)(ii), as the case may be.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2023-5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2023-5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2023-5 Accrued Interest Account to the extent funds are anticipated to be available from Interest Collections allocable to the Series 2023-5 Notes processed from but not including the preceding Distribution Date through the succeeding Distribution Date in respect of (i) an amount equal to the Class A Monthly Interest for the Series 2023-5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2023-5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2023-5 Interest Period ending on the day preceding the related Distribution Date, (vi) an amount equal to the amount of any unpaid Class C Shortfall as of the preceding Distribution Date (together with any accrued interest on such Class C Shortfall), (vii) an amount equal to the Class D Monthly Senior Interest for the Series 2023-5 Interest Period ending on the </w:t>
      </w:r>
    </w:p>
    <w:p>
      <w:pPr>
        <w:pStyle w:val="TextBody"/>
        <w:bidi w:val="0"/>
        <w:spacing w:before="0" w:after="0"/>
        <w:jc w:val="left"/>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75260"/>
                <wp:effectExtent l="0" t="0" r="0" b="0"/>
                <wp:wrapNone/>
                <wp:docPr id="523" name="Frame5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day preceding the related Distribution Date, (viii) an amount equal to the amount of any unpaid Class D Senior Interest Shortfall as of the preceding Distribution Date (together with any accrued interest on such Class D Senior Interest Shortfall), (ix) if either (A) no Series 2023-5 Rapid Amortization Period is continuing as of such Determination Date or (B) no Class A Notes, Class B Notes or Class C Notes are outstanding as of such Determination Date, an amount equal to the Class D Monthly Subordinated Interest for the Series 2023-5 Interest Period ending on the day preceding the related Distribution Date, (x) if either (A) no Series 2023-5 Rapid Amortization Period is continuing as of such Determination Date or (B) no Class A Notes, Class B Notes or Class C Notes are outstanding as of such Determination Date, an amount equal to the amount of any unpaid Class D Subordinated Interest Shortfall as of the preceding Distribution Date (together with any accrued interest on such Class D Subordinated Interest Shortfall), (xi) an amount equal to the Class R Monthly Interest for the Series 2023-5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2023-5 Accrued Interest Account and deposit such amounts in the Series 2023-5 Distribution Account. For the avoidance of doubt, no interest shall accrue or be due and payable with respect to the Class C Notes for so long as ABRCF owns 100% of the Class C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2023-5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Multi-Series Letters of Credit For Series 2023-5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2023-5 Lease Interest Payment Deficit, the Administrator shall: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2023-5 Lease Interest Payment Deficit over the sum of (1) the amounts described in clauses (vii) and (viii) of Section 2.3(a) above and (2) during the Series 2023-5 Rapid Amortization Period, the product of the Class D Percentage and the Series 2023-5 Trustee’s Fees for such Distribution Date, (y) the excess, if any, of (A) the sum of (1) the amounts described in clauses (i) through (vi) of Section 2.3(a) above for such Distribution Date and (2) during the Series 2023-5 Rapid Amortization Period, the product of the Class A/B/C Percentage and the Series 2023-5 Trustee’s Fees for such Distribution Date, over (B) the amounts available from the Series 2023-5 Accrued Interest Account and (z) the Class A/B/C Letter of Credit Liquidity Amount or (II) if no Class A Notes, Class B Notes or Class C Notes remain outstanding, the least of (x) such Series 2023-5 Lease Interest Payment Deficit, (y) the excess, if any, of (A) the sum of (1) the amounts described in clauses (i) through (viii) of Section 2.3(a) </w:t>
      </w:r>
    </w:p>
    <w:p>
      <w:pPr>
        <w:pStyle w:val="TextBody"/>
        <w:bidi w:val="0"/>
        <w:spacing w:before="0" w:after="0"/>
        <w:jc w:val="left"/>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75260"/>
                <wp:effectExtent l="0" t="0" r="0" b="0"/>
                <wp:wrapNone/>
                <wp:docPr id="524" name="Frame5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above for such Distribution Date and (2) during the Series 2023-5 Rapid Amortization Period, the Series 2023-5 Trustee’s Fees for such Distribution Date, over (B) the amounts available from the Series 2023-5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2023-5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2023-5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2023-5 Lease Interest Payment Deficit, (y) the excess, if any, of (A) the sum of (1) the amounts described in clauses (vii) through (x) of Section 2.3(a) above for such Distribution Date and (2) during the Series 2023-5 Rapid Amortization Period, the product of the Class D Percentage and the Series 2023-5 Trustee’s Fees for such Distribution Date, over (B) the excess of (1) the sum of (X) the amounts available from the Series 2023-5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2023-5 Rapid Amortization Period, the product of the Class A/B/C Percentage and the Series 2023-5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2023-5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2023-5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2023-5 Reserve Accounts</w:t>
      </w:r>
      <w:r>
        <w:rPr>
          <w:rFonts w:ascii="Times New Roman;sans-serif" w:hAnsi="Times New Roman;sans-serif"/>
          <w:b w:val="false"/>
          <w:color w:val="000000"/>
          <w:sz w:val="24"/>
        </w:rPr>
        <w:t xml:space="preserve">. If the Administrator determines on any Distribution Date that the amounts available from the Series 2023-5 Accrued 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to be drawn under the Multi-Series Letters of Credit and/or withdrawn from the Series 2023-5 Cash Collateral Accounts pursuant to Section 2.3(c) are </w:t>
      </w:r>
    </w:p>
    <w:p>
      <w:pPr>
        <w:pStyle w:val="TextBody"/>
        <w:bidi w:val="0"/>
        <w:spacing w:before="0" w:after="0"/>
        <w:jc w:val="left"/>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75260"/>
                <wp:effectExtent l="0" t="0" r="0" b="0"/>
                <wp:wrapNone/>
                <wp:docPr id="525" name="Frame5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insufficient to pay the sum of (A) the amounts described in clauses (i) through (x) of Section 2.3(a) above on such Distribution Date and (B) during the Series 2023-5 Rapid Amortization Period, the Series 2023-5 Trustee’s Fees for such Distribution Date, the Administrator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instruct the Trustee in writing to withdraw from the Class A/B/C Reserve Account and deposit in the Series 2023-5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2023-5 Rapid Amortization Period, the product of the Class A/B/C Percentage and the Series 2023-5 Trustee’s Fees for such Distribution Date or (II) if no Class A Notes, Class B Notes or Class C Notes remain outstanding, the sum of (1) the amounts described in clauses (i) through (x) of Section 2.3(a) above with respect to such Distribution Date and (2) during the Series 2023-5 Rapid Amortization Period, the Series 2023-5 Trustee’s Fees for such Distribution Date over (B) the sum of (1) the amounts available from the Series 2023-5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2023-5 Distribution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instruct the Trustee in writing to withdraw from the Class D Reserve Account and deposit in the Series 2023-5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2023-5 Rapid Amortization Period, the product of the Class D Percentage and the Series 2023-5 Trustee’s Fees for such Distribution Date over (B) the excess with respect to such Distribution Date of (1) the sum of (W) the amounts available from the Series 2023-5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2023-5 Rapid Amortization Period, the product of the Class A/B/C Percentage and the Series 2023-5 Trustee’s Fees for such Distribution Date. The Trustee shall withdraw such amount from the Class D Reserve Account and deposit such amount in the Series 2023-5 Distribution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w:t>
      </w:r>
    </w:p>
    <w:p>
      <w:pPr>
        <w:pStyle w:val="TextBody"/>
        <w:bidi w:val="0"/>
        <w:spacing w:before="0" w:after="0"/>
        <w:jc w:val="left"/>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75260"/>
                <wp:effectExtent l="0" t="0" r="0" b="0"/>
                <wp:wrapNone/>
                <wp:docPr id="526" name="Frame5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pursuant to the Administration Agreement to pay the balance (after making the payments required in Section 2.4), if any, of the amounts available from the Series 2023-5 Accrued Interest Account and the Series 2023-5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Multi-Series Letters of Credit and/or withdrawn from the Series 2023-5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2023-5 Reserve Accounts pursuant to Section 2.3(d)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on each Distribution Date during the Series 2023-5 Revolving Period or the Series 2023-5 Controlled Amortization Period, (1) first, to the Administrator, an amount equal to the Series 2023-5 Percentage as of the beginning of the Series 2023-5 Interest Period ending on the day preceding such Distribution Date of the portion of the Monthly Administration Fee payable by ABRCF (as specified in clause (iii) of the definition thereof) for such Series 2023-5 Interest Period, (2) second, to the Trustee, an amount equal to the Series 2023-5 Percentage as of the beginning of such Series 2023-5 Interest Period of the fees owing to the Trustee under the Base Indenture for such Series 2023-5 Interest Period, (3) third to pay any Carrying Charges (other than Carrying Charges provided for above) to the Persons to whom such amounts are owed, an amount equal to the Series 2023-5 Percentage as of the beginning of such Series 2023-5 Interest Period of such Carrying Charges (other than Carrying Charges provided for above) for such Series 2023-5 Interest Period and (4) fourth, the balance, if any, shall be withdrawn by the Paying Agent from the Series 2023-5 Collection Account and deposited in the Series 2023-5 Excess Collection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on each Distribution Date during the Series 2023-5 Rapid Amortization Period, (1) first, to the Series 2023-5 Distribution Account, an amount equal to Class D Monthly Subordinated Interest with respect to the Series 2023-5 Interest Period ending on the date immediately preceding such Distribution Date to be treated as Principal Collections, (2) second, to the Trustee, an amount equal to the Series 2023-5 Percentage as of the beginning of such Series 2023-5 Interest Period ending on the day preceding such Distribution Date of the fees owing to the Trustee under the Base Indenture for such Series 2023-5 Interest Period, (3) third, to the Administrator, an amount equal to the Series 2023-5 Percentage as of the beginning of such Series 2023-5 Interest Period of the portion of the Monthly Administration Fee (as specified in clause (iii) of the definition thereof) payable by ABRCF for such Series 2023-5 Interest Period, (4) fourth, to pay any Carrying Charges (other than Carrying Charges provided for above) to the Persons to whom such amounts are owed, an amount equal to the Series 2023-5 Percentage as of the beginning of such Series 2023-5 Interest Period of such Carrying Charges (other than Carrying Charges provided for above) for such Series 2023-5 Interest Period and (5) fifth, so long as the Series 2023-5 Invested Amount is greater than the Monthly Total Principal Allocations for the Related Month, an amount equal to the excess of the Series 2023-5 Invested Amount over the Monthly Total Principal Allocations for the Related Month shall be treated as Principal Collections.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If the amounts described in Section 2.3 are insufficient to pay the Class A Monthly Interest on any Distribution Date, payments of interest to the Class A </w:t>
      </w:r>
    </w:p>
    <w:p>
      <w:pPr>
        <w:pStyle w:val="TextBody"/>
        <w:bidi w:val="0"/>
        <w:spacing w:before="0" w:after="0"/>
        <w:jc w:val="left"/>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75260"/>
                <wp:effectExtent l="0" t="0" r="0" b="0"/>
                <wp:wrapNone/>
                <wp:docPr id="527" name="Frame5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B Monthly Interest for the Series 2023-5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B Shortfall</w:t>
      </w:r>
      <w:r>
        <w:rPr>
          <w:color w:val="000000"/>
        </w:rPr>
        <w:t>”</w:t>
      </w:r>
      <w:r>
        <w:rPr>
          <w:rFonts w:ascii="Times New Roman;sans-serif" w:hAnsi="Times New Roman;sans-serif"/>
          <w:b w:val="false"/>
          <w:color w:val="000000"/>
          <w:sz w:val="24"/>
        </w:rPr>
        <w:t>. Interest shall accrue on the Class B Shortfall at the Class B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2023-5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2023-5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If (A) the amounts described in Section 2.3 are insufficient to pay the amounts described in clauses (i) through (viii) of Section 2.3(a) and the Class D Monthly Subordinated Interest on any Distribution Date and/or (B) the Series 2023-5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Distribution Date (which deficiency on any Distribution Date shall not exceed the Class D Monthly Subordinated Interest for the Series 2023-5 Interest Period ended on the day </w:t>
      </w:r>
    </w:p>
    <w:p>
      <w:pPr>
        <w:pStyle w:val="TextBody"/>
        <w:bidi w:val="0"/>
        <w:spacing w:before="0" w:after="0"/>
        <w:jc w:val="left"/>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75260"/>
                <wp:effectExtent l="0" t="0" r="0" b="0"/>
                <wp:wrapNone/>
                <wp:docPr id="528" name="Frame5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Interest shall accrue on the Class D Subordinated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R Monthly Interest for the Series 2023-5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R Shortfall</w:t>
      </w:r>
      <w:r>
        <w:rPr>
          <w:color w:val="000000"/>
        </w:rPr>
        <w:t>”</w:t>
      </w:r>
      <w:r>
        <w:rPr>
          <w:rFonts w:ascii="Times New Roman;sans-serif" w:hAnsi="Times New Roman;sans-serif"/>
          <w:b w:val="false"/>
          <w:color w:val="000000"/>
          <w:sz w:val="24"/>
        </w:rPr>
        <w:t>. Interest shall accrue on the Class R Shortfall at the Class R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2023-5 Distribution Account pursuant to Section 2.3:</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the Class D Noteholders, the amounts due to the Class D Noteholders described in Sections 2.3(a)(vii) and (viii);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if the Series 2023-5 Rapid Amortization Period is not continuing as of such Distribution Date, the amounts due to the Class D Noteholders described in Section 2.3(a)(ix) and (x); and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xml:space="preserve">. On each Determination Date, commencing on the second Determination Date during the Series 2023-5 Controlled Amortization Period or the first Determination Date after the commencement of the Series 2023-5 Rapid Amortization Period, the Administrator shall instruct the Trustee and the Paying Agent in writing pursuant to the Administration Agreement and in accordance with this Section 2.5 as to (1) the amount allocated to the Series 2023-5 Notes during the Related Month pursuant to Section 2.2(b)(ii), (c)(ii) or (d)(ii), as the case may be, (2) any amounts to be drawn on the Series 2023-5 </w:t>
      </w:r>
    </w:p>
    <w:p>
      <w:pPr>
        <w:pStyle w:val="TextBody"/>
        <w:bidi w:val="0"/>
        <w:spacing w:before="0" w:after="0"/>
        <w:jc w:val="left"/>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75260"/>
                <wp:effectExtent l="0" t="0" r="0" b="0"/>
                <wp:wrapNone/>
                <wp:docPr id="529" name="Frame5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Demand Notes and/or on the Multi-Series Letters of Credit (or withdrawn from the Series 2023-5 Cash Collateral Accounts) pursuant to this Section 2.5 and (3) any amounts to be withdrawn from the Series 2023-5 Reserve Accounts pursuant to this Section 2.5 and deposited into the Series 2023-5 Distribution Account. On the Distribution Date following each such Determination Date, the Trustee shall withdraw the amount allocated to the Series 2023-5 Notes during the Related Month pursuant to Section 2.2(b)(ii), (c)(ii) or (d)(ii), as the case may be, from the Series 2023-5 Collection Account and deposit such amount in the Series 2023-5 Distribution Account, to be paid to the holders of the Series 2023-5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Multi-Series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2023-5 Rapid Amortization Period that on such Distribution Date there will exist a Series 2023-5 Lease Principal Payment Deficit, the Administrator shall instruct the Trustee in writing to: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2023-5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2023-5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2023-5 Distribution Account an amount equal to the lesser of (x) the Class A/B/C Cash Collateral Percentage for such date of the lesser of the Series 2023-5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75260"/>
                <wp:effectExtent l="0" t="0" r="0" b="0"/>
                <wp:wrapNone/>
                <wp:docPr id="530" name="Frame5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2023-5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2023-5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2023-5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2023-5 Distribution Account an amount equal to the lesser of (x) the Class A/B/C Cash Collateral Percentage for such date of the lesser of (A) the excess of (1) the Series 2023-5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2023-5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2023-5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w:t>
      </w:r>
    </w:p>
    <w:p>
      <w:pPr>
        <w:pStyle w:val="TextBody"/>
        <w:bidi w:val="0"/>
        <w:spacing w:before="0" w:after="0"/>
        <w:jc w:val="left"/>
        <w:rPr/>
      </w:pP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75260"/>
                <wp:effectExtent l="0" t="0" r="0" b="0"/>
                <wp:wrapNone/>
                <wp:docPr id="531" name="Frame5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2023-5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2023-5 Distribution Account an amount equal to the lesser of (x) the Class D Cash Collateral Percentage for such date of the lesser of (A) the excess of (1) the Series 2023-5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2023-5 Final Distribution Date.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2023-5 Distribution Account in accordance with Section 2.5(a) together with any amounts to be deposited therein in accordance with Section 2.5(b) on the Series 2023-5 Final Distribution Date is less than the Series 2023-5 Senior Invested Amount and there are any Multi-Series Letters of Credit on such date, then, prior to 10:00 a.m. (New York City time) on the second Business Day prior to the Series 2023-5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2023-5 Demand Notes in an amount equal to the lesser of (x) such insufficiency and (y) the sum of the Class A/B/C Letter of Credit Amount and the Class D Letter of Credit Amount. The Trustee shall, prior to 12:00 noon (New York City time) on the second Business Day preceding such Series 2023-5 Final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w:t>
      </w:r>
    </w:p>
    <w:p>
      <w:pPr>
        <w:pStyle w:val="TextBody"/>
        <w:bidi w:val="0"/>
        <w:spacing w:before="0" w:after="0"/>
        <w:jc w:val="left"/>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75260"/>
                <wp:effectExtent l="0" t="0" r="0" b="0"/>
                <wp:wrapNone/>
                <wp:docPr id="532" name="Frame5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2023-5 Demand Notes to be deposited into the Series 2023-5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In the event that either (x) on or prior to 10:00 a.m. (New York City time) on the Business Day immediately preceding the Series 2023-5 Final Distribution Date a Demand Notice has been transmitted by the Trustee to the Demand Note Issuers pursuant to clause (i) of this Section 2.5(c) and any Demand Note Issuer shall have failed to pay to the Trustee or deposit into the Series 2023-5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2023-5 Final Distribution Date, then, in the case of (x) or (y) the Trustee shall:</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draw on the Multi-Series Letters of Credit by 12:00 noon (New York City time) on such Business Day an amount allocable to the Class A/B/C Notes equal to the lesser of (a) the amount that the Demand Note Issuers so failed to pay under the Series 2023-5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2023-5 Distribution Account an amount equal to the lesser of (x) the Class A/B/C Cash Collateral Percentage on such Business Day of the amount that the Demand Note Issuers so failed to pay under the Series 2023-5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2023-5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2023-5 Distribution Account;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draw on the Multi-Series Letters of Credit by 12:00 noon (New York City time) on such Business Day an amount allocable to the Class D </w:t>
      </w:r>
    </w:p>
    <w:p>
      <w:pPr>
        <w:pStyle w:val="TextBody"/>
        <w:bidi w:val="0"/>
        <w:spacing w:before="0" w:after="0"/>
        <w:jc w:val="left"/>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260"/>
                <wp:effectExtent l="0" t="0" r="0" b="0"/>
                <wp:wrapNone/>
                <wp:docPr id="533" name="Frame5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240" w:after="240"/>
        <w:jc w:val="both"/>
        <w:rPr/>
      </w:pPr>
      <w:r>
        <w:rPr>
          <w:rFonts w:ascii="Times New Roman;sans-serif" w:hAnsi="Times New Roman;sans-serif"/>
          <w:b w:val="false"/>
          <w:color w:val="000000"/>
          <w:sz w:val="24"/>
        </w:rPr>
        <w:br/>
        <w:t xml:space="preserve">Notes equal to the lesser of (a) the excess of (x) the amount that the Demand Note Issuers so failed to pay under the Series 2023-5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2023-5 Distribution Account an amount equal to the lesser of (x) the Class D Cash Collateral Percentage on such Business Day of the excess of (A) the amount that the Demand Note Issuers so failed to pay under the Series 2023-5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2023-5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2023-5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xml:space="preserve">. If, after giving effect to the deposit into the Series 2023-5 Distribution Account of the amount to be deposited in accordance with Section 2.5(a) and the amounts described in clauses (i) and (ii) of this Section 2.5(c), the amount to be deposited in the Series 2023-5 Distribution Account with respect to the Series 2023-5 Final Distribution Date is or will be less than the Series 2023-5 Senior Invested Amount, then, prior to 12:00 noon (New York City time) on the second Business Day prior to such Series 2023-5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w:t>
      </w:r>
    </w:p>
    <w:p>
      <w:pPr>
        <w:pStyle w:val="TextBody"/>
        <w:bidi w:val="0"/>
        <w:spacing w:before="0" w:after="0"/>
        <w:jc w:val="lef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260"/>
                <wp:effectExtent l="0" t="0" r="0" b="0"/>
                <wp:wrapNone/>
                <wp:docPr id="534" name="Frame5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Reserve Account) and, in each case, deposit it in the Series 2023-5 Distribution Account on such Series 2023-5 Final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2023-5 Final Distribution Date, on which the Class A/B/C Principal Deficit Amount is greater than zero, amounts shall be transferred to the Series 2023-5 Distribution Account as follows: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2023-5 Demand Note to be deposited into the Series 2023-5 Distribution Account.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2023-5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2023-5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2023-5 Distribution Account an amount equal to the lesser of (x) the Class A/B/C Cash Collateral Percentage on such Business Day of the aggregate amount that the Demand Note Issuers so failed to pay under the Series 2023-5 Demand Notes (or, the amount that the Trustee failed to demand for payment thereunder) and (y) the Class A/B/C Available Cash </w:t>
      </w:r>
    </w:p>
    <w:p>
      <w:pPr>
        <w:pStyle w:val="TextBody"/>
        <w:bidi w:val="0"/>
        <w:spacing w:before="0" w:after="0"/>
        <w:jc w:val="left"/>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260"/>
                <wp:effectExtent l="0" t="0" r="0" b="0"/>
                <wp:wrapNone/>
                <wp:docPr id="535" name="Frame5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Collateral Account Amount on such Business Day and draw an amount equal to the remainder of the aggregate amount that the Demand Note Issuers so failed to pay under the Series 2023-5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2023-5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2023-5 Distribution Account in accordance with clauses (i) and (ii) of this Section 2.5(d) and deposit it in the Series 2023-5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2023-5 Final Distribution Date, on which the Class A Notes, Class B Notes and Class C Notes will have been paid in full and the Class D Principal Deficit Amount is greater than zero, amounts shall be transferred to the Series 2023-5 Distribution Account as follows: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2023-5 Demand Note to be deposited into the Series 2023-5 Distribution Account.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2023-5 Distribution Account the amount specified in such Demand Notice delivered pursuant to Section 2.5I(i) in whole or in part or (y) due to the occurrence of an Event of </w:t>
      </w:r>
    </w:p>
    <w:p>
      <w:pPr>
        <w:pStyle w:val="TextBody"/>
        <w:bidi w:val="0"/>
        <w:spacing w:before="0" w:after="0"/>
        <w:jc w:val="left"/>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260"/>
                <wp:effectExtent l="0" t="0" r="0" b="0"/>
                <wp:wrapNone/>
                <wp:docPr id="536" name="Frame5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pPr>
      <w:r>
        <w:rPr>
          <w:rFonts w:ascii="Times New Roman;sans-serif" w:hAnsi="Times New Roman;sans-serif"/>
          <w:b w:val="false"/>
          <w:color w:val="000000"/>
          <w:sz w:val="24"/>
        </w:rPr>
        <w:br/>
        <w:br/>
        <w:t xml:space="preserve">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2023-5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2023-5 Distribution Account an amount equal to the lesser of (x) the Class A/B/C Cash Collateral Percentage on such Business Day of the aggregate amount that the Demand Note Issuers so failed to pay under the Series 2023-5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2023-5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2023-5 Distribution Account.</w:t>
      </w:r>
    </w:p>
    <w:p>
      <w:pPr>
        <w:pStyle w:val="TextBody"/>
        <w:bidi w:val="0"/>
        <w:spacing w:lineRule="auto" w:line="276" w:before="0" w:after="6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2023-5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2023-5 Distribution Account in accordance with clauses (i) and (ii) of this Section 2.5(e) and deposit it in the Series 2023-5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2023-5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w:t>
      </w:r>
    </w:p>
    <w:p>
      <w:pPr>
        <w:pStyle w:val="TextBody"/>
        <w:bidi w:val="0"/>
        <w:spacing w:before="0" w:after="0"/>
        <w:jc w:val="left"/>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260"/>
                <wp:effectExtent l="0" t="0" r="0" b="0"/>
                <wp:wrapNone/>
                <wp:docPr id="537" name="Frame5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if any, an amount allocable to the Class D Notes equal to the lesser of (i) Class D Letter of Credit Amount and (ii) the excess of (A) the aggregate amount that the Demand Note Issuers so failed to pay under the Series 2023-5 Demand Notes (or, the amount that the Trustee failed to demand for payment thereunder) over (B) the amount deposited into the Series 2023-5 Distribution Account in accordance with Section 2.5(e)(ii) and (iii) above,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2023-5 Distribution Account an amount equal to the lesser of (x) the Class D Cash Collateral Percentage on such Business Day of the excess of (A) the aggregate amount that the Demand Note Issuers so failed to pay under the Series 2023-5 Demand Notes (or, the amount that the Trustee failed to demand for payment thereunder) over (B) the amount deposited into the Series 2023-5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2023-5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2023-5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2023-5 Distribution Account in accordance with clauses (i) through (iv) of this Section 2.5(e) and deposit it in the Series 2023-5 Distribution Account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2023-5 Collection Account pursuant to Section 2.5(a) or amounts are deposited in the Series 2023-5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2023-5 Distribution Account the amount deposited therein pursuant to Section 2.5(a), (b), (c) or (d), to the extent necessary to pay the Class A Controlled Distribution Amount during the Series 2023-5 Controlled Amortization Period or to the extent necessary to pay the Class A Invested Amount during the Series 2023-5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2023-5 Collection Account pursuant to Section </w:t>
      </w:r>
    </w:p>
    <w:p>
      <w:pPr>
        <w:pStyle w:val="TextBody"/>
        <w:bidi w:val="0"/>
        <w:spacing w:before="0" w:after="0"/>
        <w:jc w:val="left"/>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260"/>
                <wp:effectExtent l="0" t="0" r="0" b="0"/>
                <wp:wrapNone/>
                <wp:docPr id="538" name="Frame5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2.5(a) or amounts are deposited in the Series 2023-5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2023-5 Distribution Account the amount deposited therein pursuant to Section 2.5(a), (b), (c) or (d) less the aggregate amount applied to make the payments required pursuant to Section 2.5(f)(i), to the extent necessary to pay the Class B Controlled Distribution Amount during the Series 2023-5 Controlled Amortization Period or to the extent necessary to pay the Class B Invested Amount during the Series 2023-5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2023-5 Collection Account pursuant to Section 2.5(a) or amounts are deposited in the Series 2023-5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2023-5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2023-5 Controlled Amortization Period or to the extent necessary to pay the Class C Invested Amount during the Series 2023-5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2023-5 Collection Account pursuant to Section 2.5(a) or amounts are deposited in the Series 2023-5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2023-5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2023-5 Controlled Amortization Period or to the extent necessary to pay the Class D Invested Amount during the Series 2023-5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On each Distribution Date occurring during the Series 2023-5 Rapid Amortization Period, after giving effect to the payments made pursuant to clauses (i), (ii), (iii) and (iv) of this Section 2.5(f), the Paying Agent shall pay pro rata to each Class D Noteholder from the Series 2023-5 Distribution Account the amount deposited therein pursuant to Section 2.3(ii)(1), to the extent necessary to pay the Class D Subordinated Interest Shortfall as of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2023-5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to each Class R Noteholder from the Series 2023-5 Distribution Account the amount deposited therein pursuant to Section 2.5(a) less the aggregate amount applied to make the payments required pursuant to Section 2.5(f)(i), Section 2.5(f)(ii), Section 2.5(f)(iii) and Section 2.5(f)(iv), to the extent necessary to pay the Class R Controlled </w:t>
      </w:r>
    </w:p>
    <w:p>
      <w:pPr>
        <w:pStyle w:val="TextBody"/>
        <w:bidi w:val="0"/>
        <w:spacing w:before="0" w:after="0"/>
        <w:jc w:val="left"/>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539" name="Frame5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Amortization Amount during the Series 2023-5 Controlled Amortization Period or to the extent necessary to pay the Class R Invested Amount during the Series 2023-5 Rapid Amortization Period.</w:t>
      </w:r>
    </w:p>
    <w:p>
      <w:pPr>
        <w:pStyle w:val="TextBody"/>
        <w:bidi w:val="0"/>
        <w:spacing w:lineRule="auto" w:line="276" w:before="0" w:after="12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Draw or Payment</w:t>
      </w:r>
      <w:r>
        <w:rPr>
          <w:rFonts w:ascii="Times New Roman;sans-serif" w:hAnsi="Times New Roman;sans-serif"/>
          <w:b w:val="false"/>
          <w:color w:val="000000"/>
          <w:sz w:val="24"/>
        </w:rPr>
        <w:t xml:space="preserve">. If the Administrator fails to give notice or instructions to make (i) any payment from or deposit into the Collection Account, (ii) any draw on the Series 2023-5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2023-5 Demand Notes or the Multi-Series Letters of Credit, or such withdrawal from such Account, in each case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2023-5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2023-5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2023-5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2023-5 Agent in writing to transfer all cash and investments from the non-qualifying Class A/B/C Reserve Account into the new Class A/B/C Reserve Account. The Class A/B/C Reserve Account has initially been established with The Bank of New York Mellon Trust Company, N.A.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xml:space="preserve">, that in the case of Permitted Investments </w:t>
      </w:r>
    </w:p>
    <w:p>
      <w:pPr>
        <w:pStyle w:val="TextBody"/>
        <w:bidi w:val="0"/>
        <w:spacing w:before="0" w:after="0"/>
        <w:jc w:val="left"/>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260"/>
                <wp:effectExtent l="0" t="0" r="0" b="0"/>
                <wp:wrapNone/>
                <wp:docPr id="540" name="Frame5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held in the Series 2023-5 Reserve Account and so long as any Series 2023-5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2023-5 Senior Notes</w:t>
      </w:r>
      <w:r>
        <w:rPr>
          <w:rFonts w:ascii="Times New Roman;sans-serif" w:hAnsi="Times New Roman;sans-serif"/>
          <w:b w:val="false"/>
          <w:color w:val="000000"/>
          <w:sz w:val="24"/>
        </w:rPr>
        <w:t>. In order to secure and provide for the repayment and payment of the ABRCF Obligations with respect to the Series 2023-5 Senior Notes, ABRCF hereby grants a security interest in and assigns, pledges, grants, transfers and sets over to the Trustee, for the benefit of the Series 2023-5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2023-5 Noteholders. The Series 2023-5 Agent hereby agrees (i) to act as the securities intermediary (as defined in Section 8-102(a)(14) of the New York UCC) with respect to the Class A/B/C Reserve Account; (ii) that its jurisdiction as </w:t>
      </w:r>
    </w:p>
    <w:p>
      <w:pPr>
        <w:pStyle w:val="TextBody"/>
        <w:bidi w:val="0"/>
        <w:spacing w:before="0" w:after="0"/>
        <w:jc w:val="left"/>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260"/>
                <wp:effectExtent l="0" t="0" r="0" b="0"/>
                <wp:wrapNone/>
                <wp:docPr id="541" name="Frame5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In the event that the Class A/B/C Reserve Account Surplus on any Distribution Date, after giving effect to all withdrawals from the Class A/B/C Reserve Account, is greater than zero, if no Series 2023-5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2023-5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2023-5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w:t>
      </w:r>
    </w:p>
    <w:p>
      <w:pPr>
        <w:pStyle w:val="TextBody"/>
        <w:bidi w:val="0"/>
        <w:spacing w:before="0" w:after="0"/>
        <w:jc w:val="left"/>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260"/>
                <wp:effectExtent l="0" t="0" r="0" b="0"/>
                <wp:wrapNone/>
                <wp:docPr id="542" name="Frame5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2023-5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260"/>
                <wp:effectExtent l="0" t="0" r="0" b="0"/>
                <wp:wrapNone/>
                <wp:docPr id="543" name="Frame5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2023-5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Multi-Series Letters of Credit and Series 2023-5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Multi-Series Letters of Credit and Series 2023-5 Cash Collateral Account Constitute Additional Collateral for Series 2023-5 Senior Notes</w:t>
      </w:r>
      <w:r>
        <w:rPr>
          <w:rFonts w:ascii="Times New Roman;sans-serif" w:hAnsi="Times New Roman;sans-serif"/>
          <w:b w:val="false"/>
          <w:color w:val="000000"/>
          <w:sz w:val="24"/>
        </w:rPr>
        <w:t>. In order to secure and provide for the repayment and payment of the ABRCF Obligations with respect to the Series 2023-5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xml:space="preserve">).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2023-5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w:t>
      </w:r>
    </w:p>
    <w:p>
      <w:pPr>
        <w:pStyle w:val="TextBody"/>
        <w:bidi w:val="0"/>
        <w:spacing w:before="0" w:after="0"/>
        <w:jc w:val="left"/>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260"/>
                <wp:effectExtent l="0" t="0" r="0" b="0"/>
                <wp:wrapNone/>
                <wp:docPr id="544" name="Frame5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2023-5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2023-5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w:t>
      </w:r>
    </w:p>
    <w:p>
      <w:pPr>
        <w:pStyle w:val="TextBody"/>
        <w:bidi w:val="0"/>
        <w:spacing w:before="0" w:after="0"/>
        <w:jc w:val="left"/>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260"/>
                <wp:effectExtent l="0" t="0" r="0" b="0"/>
                <wp:wrapNone/>
                <wp:docPr id="545" name="Frame5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2023-5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2023-5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2023-5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2023-5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w:t>
      </w:r>
    </w:p>
    <w:p>
      <w:pPr>
        <w:pStyle w:val="TextBody"/>
        <w:bidi w:val="0"/>
        <w:spacing w:before="0" w:after="0"/>
        <w:jc w:val="left"/>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260"/>
                <wp:effectExtent l="0" t="0" r="0" b="0"/>
                <wp:wrapNone/>
                <wp:docPr id="546" name="Frame5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2023-5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2023-5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2023-5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Multi-Series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w:t>
      </w:r>
    </w:p>
    <w:p>
      <w:pPr>
        <w:pStyle w:val="TextBody"/>
        <w:bidi w:val="0"/>
        <w:spacing w:before="0" w:after="0"/>
        <w:jc w:val="left"/>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260"/>
                <wp:effectExtent l="0" t="0" r="0" b="0"/>
                <wp:wrapNone/>
                <wp:docPr id="547" name="Frame5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Multi-Series Letters of Credit</w:t>
      </w:r>
      <w:r>
        <w:rPr>
          <w:rFonts w:ascii="Times New Roman;sans-serif" w:hAnsi="Times New Roman;sans-serif"/>
          <w:b w:val="false"/>
          <w:color w:val="000000"/>
          <w:sz w:val="24"/>
        </w:rPr>
        <w:t xml:space="preserve">. Prior to 10:00 a.m. (New York City time) on the Business Day immediately succeeding the Multi-Series Letter of Credit Termination Date, the Administrator shall determine the Series 2023-5 Demand Note Payment Amount, if any, as of the Multi-Series Letter of Credit Termination Date and, if the Series 2023-5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2023-5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 (x) the Series 2023-5 Demand Note Payment Amount over (y) the amounts drawn on the Multi-Series Letter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260"/>
                <wp:effectExtent l="0" t="0" r="0" b="0"/>
                <wp:wrapNone/>
                <wp:docPr id="548" name="Frame5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D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Multi-Series Letters of Credit</w:t>
      </w:r>
      <w:r>
        <w:rPr>
          <w:rFonts w:ascii="Times New Roman;sans-serif" w:hAnsi="Times New Roman;sans-serif"/>
          <w:b w:val="false"/>
          <w:color w:val="000000"/>
          <w:sz w:val="24"/>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or “BBB-”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pStyle w:val="TextBody"/>
        <w:bidi w:val="0"/>
        <w:spacing w:before="0" w:after="0"/>
        <w:jc w:val="left"/>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260"/>
                <wp:effectExtent l="0" t="0" r="0" b="0"/>
                <wp:wrapNone/>
                <wp:docPr id="549" name="Frame5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A/B/C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w:t>
      </w:r>
    </w:p>
    <w:p>
      <w:pPr>
        <w:pStyle w:val="TextBody"/>
        <w:bidi w:val="0"/>
        <w:spacing w:before="0" w:after="0"/>
        <w:jc w:val="left"/>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75260"/>
                <wp:effectExtent l="0" t="0" r="0" b="0"/>
                <wp:wrapNone/>
                <wp:docPr id="550" name="Frame5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instruct the Trustee in writing to transfer all cash and investments from the non-qualifying Class D Cash Collateral Account into the new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2023-5 Cash Collateral Accounts</w:t>
      </w:r>
      <w:r>
        <w:rPr>
          <w:rFonts w:ascii="Times New Roman;sans-serif" w:hAnsi="Times New Roman;sans-serif"/>
          <w:b w:val="false"/>
          <w:color w:val="000000"/>
          <w:sz w:val="24"/>
        </w:rPr>
        <w:t>. All interest and earnings (net of losses and investment expenses) paid on funds on deposit in the Series 2023-5 Cash Collateral Accounts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2023-5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2023-5 Reimbursement Agreement, for application in accordance with the provisions of the related Series 2023-5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2023-5 Reimbursement Agreement, for application in accordance with the provisions of the related Series 2023-5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before="0" w:after="0"/>
        <w:jc w:val="lef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260"/>
                <wp:effectExtent l="0" t="0" r="0" b="0"/>
                <wp:wrapNone/>
                <wp:docPr id="551" name="Frame5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2023-5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2023-5 Noteholders and payable from any Series 2023-5 Cash Collateral Account as provided herein, shall (i) withdraw from the Class A/B/C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2023-5 Reimbursement Agreement, for application in accordance with the provisions of the related Series 2023-5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2023-5 Reimbursement Agreement, for application in accordance with the provisions of the related Series 2023-5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Series 2023-5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2023-5 Distribution Account</w:t>
      </w:r>
      <w:r>
        <w:rPr>
          <w:rFonts w:ascii="Times New Roman;sans-serif" w:hAnsi="Times New Roman;sans-serif"/>
          <w:b w:val="false"/>
          <w:color w:val="000000"/>
          <w:sz w:val="24"/>
        </w:rPr>
        <w:t>. ABRCF has established and shall maintain in the name of the Trustee for the benefit of the Series 2023-5 Noteholders, or cause to be established and maintained, an account (the “</w:t>
      </w:r>
      <w:r>
        <w:rPr>
          <w:rFonts w:ascii="Times New Roman;sans-serif" w:hAnsi="Times New Roman;sans-serif"/>
          <w:b w:val="false"/>
          <w:color w:val="000000"/>
          <w:sz w:val="24"/>
          <w:u w:val="single"/>
        </w:rPr>
        <w:t>Series 2023-5 Distribution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2023-5 Noteholders. The Series 2023-5 Distribution Account shall be maintained (i) with a Qualified Institution, or (ii) as a segregated trust account with the corporate trust department of a depository institution or trust company having corporate trust powers and acting as trustee for funds deposited in the Series 2023-5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2023-5 Distribution Account with a new Qualified Institution. If the Series 2023-5 Distribution Account is not maintained in accordance with the previous sentence, ABRCF shall establish a new Series 2023-5 Distribution Account, within ten (10) Business Days after obtaining knowledge of such fact, which complies with such sentence, and shall instruct the Series 2023-5 Agent in writing to transfer all cash and investments from the non-qualifying Series 2023-5 Distribution Account into the new Series 2023-5 Distribution Account. The Series 2023-5 Distribution Account has initially been established with The Bank of New York Mellon Trust Company, N.A.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2023-5 Distribution Account</w:t>
      </w:r>
      <w:r>
        <w:rPr>
          <w:rFonts w:ascii="Times New Roman;sans-serif" w:hAnsi="Times New Roman;sans-serif"/>
          <w:b w:val="false"/>
          <w:color w:val="000000"/>
          <w:sz w:val="24"/>
        </w:rPr>
        <w:t xml:space="preserve">. The Administrator may instruct the institution maintaining the Series 2023-5 Distribution Account to invest funds on deposit in the Series 2023-5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Series 2023-5 Distribution Account is held with the Paying Agent, then such investment may mature on such Distribution Date and such funds shall be available for withdrawal on or prior to such Distribution Date. All such Permitted Investments will be credited to the Series 2023-5 Distribution Account and any such Permitted Investments that constitute (i) physical property (and that is not either a United States security entitlement or a </w:t>
      </w:r>
    </w:p>
    <w:p>
      <w:pPr>
        <w:pStyle w:val="TextBody"/>
        <w:bidi w:val="0"/>
        <w:spacing w:before="0" w:after="0"/>
        <w:jc w:val="left"/>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75260"/>
                <wp:effectExtent l="0" t="0" r="0" b="0"/>
                <wp:wrapNone/>
                <wp:docPr id="552" name="Frame5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2023-5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2023-5 Distribution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2023-5 Distribution Account</w:t>
      </w:r>
      <w:r>
        <w:rPr>
          <w:rFonts w:ascii="Times New Roman;sans-serif" w:hAnsi="Times New Roman;sans-serif"/>
          <w:b w:val="false"/>
          <w:color w:val="000000"/>
          <w:sz w:val="24"/>
        </w:rPr>
        <w:t>. All interest and earnings (net of losses and investment expenses) paid on funds on deposit in the Series 2023-5 Distribution Account shall be deemed to be on deposit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2023-5 Distribution Account Constitutes Additional Collateral for Series 2023-5 Notes</w:t>
      </w:r>
      <w:r>
        <w:rPr>
          <w:rFonts w:ascii="Times New Roman;sans-serif" w:hAnsi="Times New Roman;sans-serif"/>
          <w:b w:val="false"/>
          <w:color w:val="000000"/>
          <w:sz w:val="24"/>
        </w:rPr>
        <w:t>. In order to secure and provide for the repayment and payment of the ABRCF Obligations with respect to the Series 2023-5 Notes, ABRCF hereby grants a security interest in and assigns, pledges, grants, transfers and sets over to the Trustee, for the benefit of the Series 2023-5 Noteholders, all of ABRCF’s right, title and interest in and to the following (whether now or hereafter existing or acquired): (i) the Series 2023-5 Distribution Account, including any security entitlement thereto; (ii) all funds on deposit therein from time to time; (iii) all certificates and instruments, if any, representing or evidencing any or all of the Series 2023-5 Distribution Account or the funds on deposit therein from time to time; (iv) all investments made at any time and from time to time with monies in the Series 2023-5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2023-5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2023-5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2023-5 Distribution Account and in and to all proceeds thereof, and shall be the only person authorized to originate entitlement orders in respect of the Series 2023-5 Distribution Account. The Series 2023-5 Distribution Account Collateral shall be under the sole dominion and control of the Trustee for the benefit of the Series 2023-5 Noteholders. The Series 2023-5 Agent hereby agrees (i) to act as the securities intermediary (as defined in Section 8-102(a)(14) of the New York UCC) with respect to the Series 2023-5 Distribution Account; (ii) that its jurisdiction as securities intermediary is New York, (iii) that each item of property (whether investment property, financial asset, security, instrument or cash) credited to the Series 2023-5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left"/>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75260"/>
                <wp:effectExtent l="0" t="0" r="0" b="0"/>
                <wp:wrapNone/>
                <wp:docPr id="553" name="Frame5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2023-5 Accounts Permitted Investments</w:t>
      </w:r>
      <w:r>
        <w:rPr>
          <w:rFonts w:ascii="Times New Roman;sans-serif" w:hAnsi="Times New Roman;sans-serif"/>
          <w:b w:val="false"/>
          <w:color w:val="000000"/>
          <w:sz w:val="24"/>
        </w:rPr>
        <w:t xml:space="preserve">. ABRCF shall not, and shall not permit, funds on deposit in the Series 2023-5 Accounts to be invested in: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Permitted Investments that do not mature at least one (1) Business Day before the next Distribution Date;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with a maturity in excess of 360 days;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commercial paper which is not rated “P-1” by Moody’s;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money market funds or eurodollar time deposits which are not rated at least “P-1” by Moody’s;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eurodollar deposits that are not rated “P-1” by Moody’s or that are with financial institutions not organized under the laws of a G-7 nation; or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investment, instrument or security not otherwise listed in clause (i) through (vi) of the definition of “Permitted Investments” in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2023-5 Demand Notes Constitute Additional Collateral for Series 2023-5 Senior Notes</w:t>
      </w:r>
      <w:r>
        <w:rPr>
          <w:rFonts w:ascii="Times New Roman;sans-serif" w:hAnsi="Times New Roman;sans-serif"/>
          <w:b w:val="false"/>
          <w:color w:val="000000"/>
          <w:sz w:val="24"/>
        </w:rPr>
        <w:t>. In order to secure and provide for the repayment and payment of the ABRCF Obligations with respect to the Series 2023-5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2023-5 Demand Notes; (ii) all certificates and instruments, if any, representing or evidencing the Series 2023-5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2023-5 Demand Note, endorsed in blank. The Trustee, for the benefit of the Class A Noteholders, the Class B Noteholders, the Class C Noteholders and the Class D Noteholders, shall be the only Person authorized to make a demand for payments on the Series 2023-5 Demand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xml:space="preserve">.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2023-5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2023-5 Rapid Amortization Period or on the Series 2023-5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w:t>
      </w:r>
    </w:p>
    <w:p>
      <w:pPr>
        <w:pStyle w:val="TextBody"/>
        <w:bidi w:val="0"/>
        <w:spacing w:before="0" w:after="0"/>
        <w:jc w:val="left"/>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75260"/>
                <wp:effectExtent l="0" t="0" r="0" b="0"/>
                <wp:wrapNone/>
                <wp:docPr id="554" name="Frame5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all accrued interest, all Class A Shortfall and all interest accrued on such Class A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2023-5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2023-5 Rapid Amortization Period or on the Series 2023-5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2023-5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2023-5 Rapid Amortization Period or on the Series 2023-5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2023-5 Controlled Amortization Period or the Series 2023-5 Rapid Amortization Period or on the Series 2023-5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w:t>
      </w:r>
    </w:p>
    <w:p>
      <w:pPr>
        <w:pStyle w:val="TextBody"/>
        <w:bidi w:val="0"/>
        <w:spacing w:before="0" w:after="0"/>
        <w:jc w:val="left"/>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75260"/>
                <wp:effectExtent l="0" t="0" r="0" b="0"/>
                <wp:wrapNone/>
                <wp:docPr id="555" name="Frame5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2023-5 Notes and collectively shall constitute the Amortization Events set forth in Section 9.1(n) of the Base Indenture with respect to the Series 2023-5 Notes (without notice or other action on the part of the Trustee or any holders of the Series 2023-5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a Series 2023-5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2023-5 Enhancement Deficiency shall have been cured in accordance with the terms and conditions of the Indenture and the Related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either case, such event or condition shall not be an Amortization Event if during such two Business Day period such insufficiency shall have been cured in accordance with the terms and conditions of the Indenture and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2023-5 Collection Account, the Series 2023-5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2023-5 Notes is not paid in full on or before the Series 2023-5 Expected Final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Multi-Series Letter of Credit shall not be in full force and effect for at least two Business Days and either (x) a Series 2023-5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from and after the funding of any Series 2023-5 Cash Collateral Account, such Series 2023-5 Cash Collateral Account shall be subject to an injunction, estoppel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75260"/>
                <wp:effectExtent l="0" t="0" r="0" b="0"/>
                <wp:wrapNone/>
                <wp:docPr id="556" name="Frame5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stay or a lien (other than Liens permitted under the Related Documents) for at least two Business Days and either (x) a Series 2023-5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Multi-Series Letter of Credit Provider or any Multi-Series Letter of Credit Provider repudiates its Multi-Series Letter of Credit or refuses to honor a proper draw thereon and either (x) a Series 2023-5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2023-5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2023-5 Notes</w:t>
      </w:r>
      <w:r>
        <w:rPr>
          <w:rFonts w:ascii="Times New Roman;sans-serif" w:hAnsi="Times New Roman;sans-serif"/>
          <w:b w:val="false"/>
          <w:color w:val="000000"/>
          <w:sz w:val="24"/>
        </w:rPr>
        <w:t>. Each Class of the Series 2023-5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2023-5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2023-5 Notes; Permanent Global Series 2023-5 Notes</w:t>
      </w:r>
      <w:r>
        <w:rPr>
          <w:rFonts w:ascii="Times New Roman;sans-serif" w:hAnsi="Times New Roman;sans-serif"/>
          <w:b w:val="false"/>
          <w:color w:val="000000"/>
          <w:sz w:val="24"/>
        </w:rPr>
        <w:t xml:space="preserve">. Each Class of the Series 2023-5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w:t>
      </w:r>
    </w:p>
    <w:p>
      <w:pPr>
        <w:pStyle w:val="TextBody"/>
        <w:bidi w:val="0"/>
        <w:spacing w:before="0" w:after="0"/>
        <w:jc w:val="left"/>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75260"/>
                <wp:effectExtent l="0" t="0" r="0" b="0"/>
                <wp:wrapNone/>
                <wp:docPr id="557" name="Frame5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2023-5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which shall be deposited on behalf of the purchasers of such Class of the Series 2023-5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2023-5 Note 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2023-5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2023-5 Note and the Base Indenture (as modified by this Supplement). Interests in a Permanent Global Series 2023-5 Note will be exchangeable for a definitive Series 2023-5 Note in accordance with the provisions of such Permanent Global Series 2023-5 Note and the Base Indenture (as modified by this Supplement). The Restricted Global Class A Notes, the Temporary Global Class A Notes and the Permanent Global Class A Notes are collectively referred to as the “</w:t>
      </w:r>
      <w:r>
        <w:rPr>
          <w:rFonts w:ascii="Times New Roman;sans-serif" w:hAnsi="Times New Roman;sans-serif"/>
          <w:b w:val="false"/>
          <w:color w:val="000000"/>
          <w:sz w:val="24"/>
          <w:u w:val="single"/>
        </w:rPr>
        <w:t>Global Class A Notes</w:t>
      </w:r>
      <w:r>
        <w:rPr>
          <w:color w:val="000000"/>
        </w:rPr>
        <w:t>”</w:t>
      </w:r>
      <w:r>
        <w:rPr>
          <w:rFonts w:ascii="Times New Roman;sans-serif" w:hAnsi="Times New Roman;sans-serif"/>
          <w:b w:val="false"/>
          <w:color w:val="000000"/>
          <w:sz w:val="24"/>
        </w:rPr>
        <w:t>, the Restricted Global Class B Notes, the Temporary Global Class B Notes and the Permanent Global Class B Notes are collectively referred to as the “</w:t>
      </w:r>
      <w:r>
        <w:rPr>
          <w:rFonts w:ascii="Times New Roman;sans-serif" w:hAnsi="Times New Roman;sans-serif"/>
          <w:b w:val="false"/>
          <w:color w:val="000000"/>
          <w:sz w:val="24"/>
          <w:u w:val="single"/>
        </w:rPr>
        <w:t>Global Class B Notes</w:t>
      </w:r>
      <w:r>
        <w:rPr>
          <w:color w:val="000000"/>
        </w:rPr>
        <w:t>”</w:t>
      </w:r>
      <w:r>
        <w:rPr>
          <w:rFonts w:ascii="Times New Roman;sans-serif" w:hAnsi="Times New Roman;sans-serif"/>
          <w:b w:val="false"/>
          <w:color w:val="000000"/>
          <w:sz w:val="24"/>
        </w:rPr>
        <w:t>, the Restricted Global Class C Notes, the Temporary Global Class C Notes and the Permanent Global Class C Notes are collectively referred to as the “</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and the Restricted Global Class R Notes, the Temporary Global Class R Notes and the Permanent Global Class R Notes are collectively referred to as the “</w:t>
      </w:r>
      <w:r>
        <w:rPr>
          <w:rFonts w:ascii="Times New Roman;sans-serif" w:hAnsi="Times New Roman;sans-serif"/>
          <w:b w:val="false"/>
          <w:color w:val="000000"/>
          <w:sz w:val="24"/>
          <w:u w:val="single"/>
        </w:rPr>
        <w:t>Global Class R Notes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with such insertions 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75260"/>
                <wp:effectExtent l="0" t="0" r="0" b="0"/>
                <wp:wrapNone/>
                <wp:docPr id="558" name="Frame5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2023-5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2023-5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2023-5 Repurchase Amount</w:t>
      </w:r>
      <w:r>
        <w:rPr>
          <w:color w:val="000000"/>
        </w:rPr>
        <w:t>”</w:t>
      </w:r>
      <w:r>
        <w:rPr>
          <w:rFonts w:ascii="Times New Roman;sans-serif" w:hAnsi="Times New Roman;sans-serif"/>
          <w:b w:val="false"/>
          <w:color w:val="000000"/>
          <w:sz w:val="24"/>
        </w:rPr>
        <w:t xml:space="preserve">). The repurchase price for any Series 2023-5 Note subject to a Clean-up Repurchase shall equal the aggregate outstanding principal balance of such Series 2023-5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(b)    The Series 2023-5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2023-5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2023-5 Note subject to an Optional Repurchase shall equal (1) the aggregate outstanding principal balance of such Series 2023-5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2023-5 Note.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2023-5 Noteholders, or their designated agent, copies of all information furnished to the Trustee or ABRCF pursuant to the Related Documents, as such information relates to the Series 2023-5 Notes or the Series 2023-5 Collateral.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6795" w:type="dxa"/>
        <w:jc w:val="left"/>
        <w:tblInd w:w="0" w:type="dxa"/>
        <w:tblLayout w:type="fixed"/>
        <w:tblCellMar>
          <w:top w:w="28" w:type="dxa"/>
          <w:left w:w="28" w:type="dxa"/>
          <w:bottom w:w="28" w:type="dxa"/>
          <w:right w:w="28" w:type="dxa"/>
        </w:tblCellMar>
      </w:tblPr>
      <w:tblGrid>
        <w:gridCol w:w="473"/>
        <w:gridCol w:w="415"/>
        <w:gridCol w:w="417"/>
        <w:gridCol w:w="1608"/>
        <w:gridCol w:w="1608"/>
        <w:gridCol w:w="227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2023-5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2023-5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2023-5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2023-5 Note, Class D</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75260"/>
                <wp:effectExtent l="0" t="0" r="0" b="0"/>
                <wp:wrapNone/>
                <wp:docPr id="559" name="Frame5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p>
      <w:pPr>
        <w:pStyle w:val="TextBody"/>
        <w:bidi w:val="0"/>
        <w:spacing w:before="0" w:after="0"/>
        <w:jc w:val="right"/>
        <w:rPr/>
      </w:pPr>
      <w:r>
        <w:rPr/>
      </w:r>
    </w:p>
    <w:tbl>
      <w:tblPr>
        <w:tblW w:w="8414" w:type="dxa"/>
        <w:jc w:val="left"/>
        <w:tblInd w:w="0" w:type="dxa"/>
        <w:tblLayout w:type="fixed"/>
        <w:tblCellMar>
          <w:top w:w="28" w:type="dxa"/>
          <w:left w:w="28" w:type="dxa"/>
          <w:bottom w:w="28" w:type="dxa"/>
          <w:right w:w="28" w:type="dxa"/>
        </w:tblCellMar>
      </w:tblPr>
      <w:tblGrid>
        <w:gridCol w:w="489"/>
        <w:gridCol w:w="429"/>
        <w:gridCol w:w="431"/>
        <w:gridCol w:w="2070"/>
        <w:gridCol w:w="2070"/>
        <w:gridCol w:w="292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2023-5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2023-5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2023-5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2023-5 Demand Note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Multi-Series Letter of Credit</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Master Exchange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Q:</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Escrow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R:</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Original AESOP Nominee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U:</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Disposition Agent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V:</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Back-up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W-1:</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W-2:</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w:t>
      </w:r>
    </w:p>
    <w:p>
      <w:pPr>
        <w:pStyle w:val="TextBody"/>
        <w:bidi w:val="0"/>
        <w:spacing w:before="0" w:after="0"/>
        <w:jc w:val="left"/>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75260"/>
                <wp:effectExtent l="0" t="0" r="0" b="0"/>
                <wp:wrapNone/>
                <wp:docPr id="560" name="Frame5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by the Requisite Series 2023-5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Amortization Event has occurred and is continuing and (ii) the Rating Agency Consent Condition is met with respect to the outstanding Series 2023-5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2023-5 Maximum Amount at any time with the consent of a Requisite Series 2023-5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respect to the Class D Notes, solely with (x) the consent of the Class D Noteholders (and without the consent of any other Series 2023-5 Noteholders) and (y) satisfaction of the Rating Agency Consent Condition.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2023-5 Notes without the consent of the Requisite Series 2023-5 Noteholders.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ABRCF agrees that on the Class D Notes Closing Date it will have capitalization in an amount equal to or greater than 3% of the sum of (x) the Series 2023-5 Invested Amount and (y) the invested amount of the Series 2010-6 Notes, the Series 2011-4 Notes, the Series 2015-3 Notes, the Series 2019-2 Notes, the Series 2019-3 Notes, the Series 2020-1 Notes, the Series 2020-2 Notes, the Series 2021-1 Notes, the Series 2021-2 Notes and the Series 2022-1 Notes, the Series 2022-3 Notes, the Series 2022-4 Notes, the Series 2022-5 Notes, the Series 2023-1 Notes, the Series 2023-2 Notes, the Series 2023-3 Notes, the Series 2023-4 Notes, the Series 2023-6 Notes, the Series 2023-7 Notes, the Series 2023-8 Notes, the Series 2024-1 Notes, the Series 2024-2 Notes and the Series 2024-3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xml:space="preserve">. Subject to Section 5.7 above, any action pursuant to Section 5.6, Section 8.13 or Article 9 of the Base Indenture that requires the consent </w:t>
      </w:r>
    </w:p>
    <w:p>
      <w:pPr>
        <w:pStyle w:val="TextBody"/>
        <w:bidi w:val="0"/>
        <w:spacing w:before="0" w:after="0"/>
        <w:jc w:val="left"/>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75260"/>
                <wp:effectExtent l="0" t="0" r="0" b="0"/>
                <wp:wrapNone/>
                <wp:docPr id="561" name="Frame5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of, or is permissible at the direction of, the Required Noteholders with respect to the Series 2023-5 Notes pursuant to the Base Indenture shall only be allowed with the consent of, or at the direction of, the Required Controlling Class Series 2023-5 Noteholders. Any other action pursuant to any Related Document which requires the consent or approval of, or the waiver by, the Required Noteholders with respect to the Series 2023-5 Notes shall require the consent or approval of, or waiver by, the Requisite Series 2023-5 Noteholders.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2023-5 Demand Notes</w:t>
      </w:r>
      <w:r>
        <w:rPr>
          <w:rFonts w:ascii="Times New Roman;sans-serif" w:hAnsi="Times New Roman;sans-serif"/>
          <w:b w:val="false"/>
          <w:color w:val="000000"/>
          <w:sz w:val="24"/>
        </w:rPr>
        <w:t>. Other than pursuant to a demand thereon pursuant to Section 2.5, ABRCF shall not reduce the amount of the Series 2023-5 Demand Notes or forgive amounts payable thereunder so that the outstanding principal amount of the Series 2023-5 Demand Notes after such reduction or forgiveness is less than the sum of (x) the Class A/B/C Letter of Credit Liquidity Amount plus (y) the Class D Letter of Credit Liquidity Amount. ABRCF shall not agree to any amendment of the Series 2023-5 Demand Notes without first satisfying the Rating Agency Confirmation Condition and the Rating Agency Consent Condition.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2023-5 Notes theretofore authenticated and issued have been delivered (other than destroyed, lost, or stolen Series 2023-5 Notes which have been replaced or paid) to the Trustee for cancellation, ABRCF has paid all sums payable hereunder, and, if the Series 2023-5 Demand Note Payment Amount on the Multi-Series Letter of Credit Termination Date was greater than zero, all amounts have been withdrawn from the Series 2023-5 Cash Collateral Accounts in accordance with Section 2.8(m).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2023-5 Noteholder, upon any acquisition of a Series 2023-5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(vi) the execution of an amendment to the AESOP II Operating Lease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(vii) the execution of an amendment to the Master Exchange Agreement substantially in the form of </w:t>
      </w:r>
      <w:r>
        <w:rPr>
          <w:rFonts w:ascii="Times New Roman;sans-serif" w:hAnsi="Times New Roman;sans-serif"/>
          <w:b w:val="false"/>
          <w:color w:val="000000"/>
          <w:sz w:val="24"/>
          <w:u w:val="single"/>
        </w:rPr>
        <w:t>Exhibit P</w:t>
      </w:r>
      <w:r>
        <w:rPr>
          <w:color w:val="000000"/>
        </w:rPr>
        <w:t xml:space="preserve"> </w:t>
      </w:r>
      <w:r>
        <w:rPr>
          <w:rFonts w:ascii="Times New Roman;sans-serif" w:hAnsi="Times New Roman;sans-serif"/>
          <w:b w:val="false"/>
          <w:color w:val="000000"/>
          <w:sz w:val="24"/>
        </w:rPr>
        <w:t xml:space="preserve">hereto, (viii) the execution of an amendment to the Escrow Agreement substantially in the form of </w:t>
      </w:r>
      <w:r>
        <w:rPr>
          <w:rFonts w:ascii="Times New Roman;sans-serif" w:hAnsi="Times New Roman;sans-serif"/>
          <w:b w:val="false"/>
          <w:color w:val="000000"/>
          <w:sz w:val="24"/>
          <w:u w:val="single"/>
        </w:rPr>
        <w:t>Exhibit Q</w:t>
      </w:r>
      <w:r>
        <w:rPr>
          <w:color w:val="000000"/>
        </w:rPr>
        <w:t xml:space="preserve"> </w:t>
      </w:r>
      <w:r>
        <w:rPr>
          <w:rFonts w:ascii="Times New Roman;sans-serif" w:hAnsi="Times New Roman;sans-serif"/>
          <w:b w:val="false"/>
          <w:color w:val="000000"/>
          <w:sz w:val="24"/>
        </w:rPr>
        <w:t xml:space="preserve">hereto, (ix) the execution of an amendment to the Administration Agreement substantially in the form of </w:t>
      </w:r>
      <w:r>
        <w:rPr>
          <w:rFonts w:ascii="Times New Roman;sans-serif" w:hAnsi="Times New Roman;sans-serif"/>
          <w:b w:val="false"/>
          <w:color w:val="000000"/>
          <w:sz w:val="24"/>
          <w:u w:val="single"/>
        </w:rPr>
        <w:t>Exhibit R</w:t>
      </w:r>
      <w:r>
        <w:rPr>
          <w:color w:val="000000"/>
        </w:rPr>
        <w:t xml:space="preserve"> </w:t>
      </w:r>
      <w:r>
        <w:rPr>
          <w:rFonts w:ascii="Times New Roman;sans-serif" w:hAnsi="Times New Roman;sans-serif"/>
          <w:b w:val="false"/>
          <w:color w:val="000000"/>
          <w:sz w:val="24"/>
        </w:rPr>
        <w:t xml:space="preserve">hereto, (x) the execution of an amendment to the AESOP II Operating Lease Loan Agreement substantially in the form of </w:t>
      </w:r>
      <w:r>
        <w:rPr>
          <w:rFonts w:ascii="Times New Roman;sans-serif" w:hAnsi="Times New Roman;sans-serif"/>
          <w:b w:val="false"/>
          <w:color w:val="000000"/>
          <w:sz w:val="24"/>
          <w:u w:val="single"/>
        </w:rPr>
        <w:t>Exhibit S</w:t>
      </w:r>
      <w:r>
        <w:rPr>
          <w:color w:val="000000"/>
        </w:rPr>
        <w:t xml:space="preserve"> </w:t>
      </w:r>
      <w:r>
        <w:rPr>
          <w:rFonts w:ascii="Times New Roman;sans-serif" w:hAnsi="Times New Roman;sans-serif"/>
          <w:b w:val="false"/>
          <w:color w:val="000000"/>
          <w:sz w:val="24"/>
        </w:rPr>
        <w:t xml:space="preserve">hereto, (xi) the execution of an amendment to the Original AESOP Nominee Agreement substantially in the form of </w:t>
      </w:r>
      <w:r>
        <w:rPr>
          <w:rFonts w:ascii="Times New Roman;sans-serif" w:hAnsi="Times New Roman;sans-serif"/>
          <w:b w:val="false"/>
          <w:color w:val="000000"/>
          <w:sz w:val="24"/>
          <w:u w:val="single"/>
        </w:rPr>
        <w:t>Exhibit T</w:t>
      </w:r>
      <w:r>
        <w:rPr>
          <w:color w:val="000000"/>
        </w:rPr>
        <w:t xml:space="preserve"> </w:t>
      </w:r>
      <w:r>
        <w:rPr>
          <w:rFonts w:ascii="Times New Roman;sans-serif" w:hAnsi="Times New Roman;sans-serif"/>
          <w:b w:val="false"/>
          <w:color w:val="000000"/>
          <w:sz w:val="24"/>
        </w:rPr>
        <w:t xml:space="preserve">hereto, (xii) the execution of an amendment to the Disposition Agent Agreement substantially in the form of </w:t>
      </w:r>
      <w:r>
        <w:rPr>
          <w:rFonts w:ascii="Times New Roman;sans-serif" w:hAnsi="Times New Roman;sans-serif"/>
          <w:b w:val="false"/>
          <w:color w:val="000000"/>
          <w:sz w:val="24"/>
          <w:u w:val="single"/>
        </w:rPr>
        <w:t>Exhibit U</w:t>
      </w:r>
      <w:r>
        <w:rPr>
          <w:color w:val="000000"/>
        </w:rPr>
        <w:t xml:space="preserve"> </w:t>
      </w:r>
      <w:r>
        <w:rPr>
          <w:rFonts w:ascii="Times New Roman;sans-serif" w:hAnsi="Times New Roman;sans-serif"/>
          <w:b w:val="false"/>
          <w:color w:val="000000"/>
          <w:sz w:val="24"/>
        </w:rPr>
        <w:t xml:space="preserve">hereto and (xiii) the execution of an amendment to the Back-up Administration Agreement substantially in the form of </w:t>
      </w:r>
      <w:r>
        <w:rPr>
          <w:rFonts w:ascii="Times New Roman;sans-serif" w:hAnsi="Times New Roman;sans-serif"/>
          <w:b w:val="false"/>
          <w:color w:val="000000"/>
          <w:sz w:val="24"/>
          <w:u w:val="single"/>
        </w:rPr>
        <w:t>Exhibit V</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U</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75260"/>
                <wp:effectExtent l="0" t="0" r="0" b="0"/>
                <wp:wrapNone/>
                <wp:docPr id="562" name="Frame5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  The Trustee and each Series 2023-5 Note Owner agrees, by its acceptance and holding of a beneficial interest in a Series 2023-5 Note, to maintain the confidentiality of all Confidential Information in accordance with procedures adopted by the Trustee or such Series 2023-5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2023-5 Note Owner; (iv) any Person of the type that would be, to such Person’s knowledge, permitted to acquire an interest in the Series 2023-5 Notes in accordance with the requirements of the Indenture to which such Person sells or offers to sell any such Series 2023-5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2023-5 Notes has occurred and is continuing, to the extent such Person may reasonably determine such delivery and disclosure to be necessary or appropriate in the enforcement or for the protection of the rights and remedies under the Series 2023-5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delivery to any Series 2023-5 Note Owner of any report or information required by the terms of the Indenture to be provided to such Series 2023-5 Note Owner shall not be a violation of this Section 5.16. Each Series 2023-5 Note Owner agrees, by acceptance of a beneficial interest in a Series 2023-5 Note, except as set forth in clauses (v), (vi) and (ix) above, that it shall use the Confidential Information for the sole purpose of making an investment in the Series 2023-5 Notes or administering its investment in the Series 2023-5 Notes. In the event of any required disclosure of the Confidential Information by such Series 2023-5 Note Owner, such Series 2023-5 Note Owner agrees to use reasonable efforts to protect the confidentiality of the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2023-5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term does not include </w:t>
      </w:r>
    </w:p>
    <w:p>
      <w:pPr>
        <w:pStyle w:val="TextBody"/>
        <w:bidi w:val="0"/>
        <w:spacing w:before="0" w:after="0"/>
        <w:jc w:val="left"/>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75260"/>
                <wp:effectExtent l="0" t="0" r="0" b="0"/>
                <wp:wrapNone/>
                <wp:docPr id="563" name="Frame5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that: (i) was publicly known or otherwise known to the Trustee or such Series 2023-5 Note Owner prior to the time of such disclosure; (ii) subsequently becomes publicly known through no act or omission by the Trustee, any Series 2023-5 Note Owner or any person acting on behalf of the Trustee or any Series 2023-5 Note Owner; (iii) otherwise is known or becomes known to the Trustee or any Series 2023-5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2023-5 Agent</w:t>
      </w:r>
      <w:r>
        <w:rPr>
          <w:rFonts w:ascii="Times New Roman;sans-serif" w:hAnsi="Times New Roman;sans-serif"/>
          <w:b w:val="false"/>
          <w:color w:val="000000"/>
          <w:sz w:val="24"/>
        </w:rPr>
        <w:t>. The Series 2023-5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EACH OF THE PARTIES HERETO HEREBY KNOWINGLY, VOLUNTARILY AND INTENTIONALLY WAIVES (TO THE EXTENT PERMITTED BY APPLICABLE LAW) ANY RIGHTS IT MAY HAVE TO A TRIAL BY JURY IN RESPECT OF ANY LITIGATION BASED HEREON, OR ARISING OUT OF, UNDER, OR IN CONNECTION WITH, THIS SUPPLEMENT, THE SERIES 2023-5 NOTES, THE SERIES 2023-5 DEMAND NOTES, THE MULTI-SERIES LETTER OF CREDIT AND ANY OTHER RELATED DOCUMENTS EXECUTED IN CONNECTION WITH THE ISSUANCE OF THE SERIES 2023-5 NOTES, OR ANY COURSE OF CONDUCT, COURSE OF DEALING, STATEMENTS (WHETHER ORAL OR WRITTEN), OR ACTIONS OF THE PARTIES HERETO. THIS PROVISION IS A MATERIAL INDUCEMENT FOR THE PARTIES HERETO TO ENTER INTO THIS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75260"/>
                <wp:effectExtent l="0" t="0" r="0" b="0"/>
                <wp:wrapNone/>
                <wp:docPr id="564" name="Frame5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2023-5 NOTES, THE SERIES 2023-5 DEMAND NOTES, THE MULTI-SERIES LETTER OF CREDIT AND ANY OTHER RELATED DOCUMENTS EXECUTED IN CONNECTION WITH THE ISSUANCE OF THE SERIES 2023-5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2023-5 NOTES, THE SERIES 2023-5 DEMAND NOTES, THE MULTI-SERIES LETTER OF CREDIT AND ANY OTHER RELATED DOCUMENTS EXECUTED IN CONNECTION WITH THE ISSUANCE OF THE SERIES 2023-5 NOTES IN ANY OTHER COUNTRY, STATE OR PLACE HAVING JURISDICTION OVER SUCH ACTION OR PROCEEDING.</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2023-5 Notes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Solely with respect to this Supplement and the Series 2023-5 Notes: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C Notes and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C Notes and the Class R Notes for any Series issued after the date hereof.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the Trustee, at the office of the Trustee, of (x) a transfer certificate from the Transferee </w:t>
      </w:r>
    </w:p>
    <w:p>
      <w:pPr>
        <w:pStyle w:val="TextBody"/>
        <w:bidi w:val="0"/>
        <w:spacing w:before="0" w:after="0"/>
        <w:jc w:val="left"/>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75260"/>
                <wp:effectExtent l="0" t="0" r="0" b="0"/>
                <wp:wrapNone/>
                <wp:docPr id="565" name="Frame5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40"/>
        <w:jc w:val="both"/>
        <w:rPr/>
      </w:pPr>
      <w:r>
        <w:rPr>
          <w:rFonts w:ascii="Times New Roman;sans-serif" w:hAnsi="Times New Roman;sans-serif"/>
          <w:b w:val="false"/>
          <w:color w:val="000000"/>
          <w:sz w:val="24"/>
        </w:rPr>
        <w:br/>
        <w:t xml:space="preserve">substantially in the form of </w:t>
      </w:r>
      <w:r>
        <w:rPr>
          <w:rFonts w:ascii="Times New Roman;sans-serif" w:hAnsi="Times New Roman;sans-serif"/>
          <w:b w:val="false"/>
          <w:color w:val="000000"/>
          <w:sz w:val="24"/>
          <w:u w:val="single"/>
        </w:rPr>
        <w:t>Exhibit W-1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W-2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W-1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W-2</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75260"/>
                <wp:effectExtent l="0" t="0" r="0" b="0"/>
                <wp:wrapNone/>
                <wp:docPr id="566" name="Frame5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240"/>
        <w:ind w:left="0" w:right="0" w:firstLine="1440"/>
        <w:jc w:val="both"/>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31445"/>
                <wp:effectExtent l="0" t="0" r="0" b="0"/>
                <wp:wrapNone/>
                <wp:docPr id="567" name="Frame5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2023-5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2023-5 Indenture Supplement</w:t>
                      </w:r>
                    </w:p>
                  </w:txbxContent>
                </v:textbox>
                <w10:wrap type="none"/>
              </v:rect>
            </w:pict>
          </mc:Fallback>
        </mc:AlternateContent>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2023-5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960"/>
        <w:ind w:left="0" w:right="0" w:hanging="360"/>
        <w:jc w:val="left"/>
        <w:rPr/>
      </w:pPr>
      <w:r>
        <w:rPr/>
      </w:r>
    </w:p>
    <w:p>
      <w:pPr>
        <w:pStyle w:val="TextBody"/>
        <w:bidi w:val="0"/>
        <w:spacing w:before="0" w:after="960"/>
        <w:ind w:left="0" w:right="0" w:hanging="360"/>
        <w:jc w:val="left"/>
        <w:rPr/>
      </w:pPr>
      <w:r>
        <w:rPr/>
      </w:r>
    </w:p>
    <w:p>
      <w:pPr>
        <w:pStyle w:val="TextBody"/>
        <w:bidi w:val="0"/>
        <w:spacing w:before="0" w:after="960"/>
        <w:ind w:left="0" w:right="0" w:hanging="360"/>
        <w:jc w:val="left"/>
        <w:rPr/>
      </w:pPr>
      <w:r>
        <w:rPr/>
      </w:r>
    </w:p>
    <w:p>
      <w:pPr>
        <w:pStyle w:val="TextBody"/>
        <w:bidi w:val="0"/>
        <w:spacing w:before="0" w:after="960"/>
        <w:ind w:left="0" w:right="0" w:hanging="360"/>
        <w:jc w:val="left"/>
        <w:rPr/>
      </w:pPr>
      <w:r>
        <w:rPr/>
      </w:r>
    </w:p>
    <w:p>
      <w:pPr>
        <w:pStyle w:val="TextBody"/>
        <w:bidi w:val="0"/>
        <w:spacing w:before="0" w:after="96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480"/>
        <w:jc w:val="left"/>
        <w:rPr/>
      </w:pPr>
      <w:r>
        <w:rPr/>
      </w: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31445"/>
                <wp:effectExtent l="0" t="0" r="0" b="0"/>
                <wp:wrapNone/>
                <wp:docPr id="568" name="Frame5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2023-5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2023-5 Indenture Supplement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205" w:type="dxa"/>
        <w:jc w:val="center"/>
        <w:tblInd w:w="0" w:type="dxa"/>
        <w:tblLayout w:type="fixed"/>
        <w:tblCellMar>
          <w:top w:w="28" w:type="dxa"/>
          <w:left w:w="28" w:type="dxa"/>
          <w:bottom w:w="28" w:type="dxa"/>
          <w:right w:w="28" w:type="dxa"/>
        </w:tblCellMar>
      </w:tblPr>
      <w:tblGrid>
        <w:gridCol w:w="715"/>
        <w:gridCol w:w="544"/>
        <w:gridCol w:w="544"/>
        <w:gridCol w:w="2837"/>
        <w:gridCol w:w="2596"/>
        <w:gridCol w:w="2575"/>
        <w:gridCol w:w="114"/>
        <w:gridCol w:w="114"/>
        <w:gridCol w:w="166"/>
      </w:tblGrid>
      <w:tr>
        <w:trPr/>
        <w:tc>
          <w:tcPr>
            <w:tcW w:w="7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2023-5 ALLOCATIONS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Series 2023-5 Collection Account, Series 2023-5 Excess Collection Account and Series 2023-5 Accrued Interest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2023-5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Draw or </w:t>
              <w:br/>
              <w:t>Payment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2023-5 Reserve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Multi-Series Letters of Credit and Series 2023-5 Cash Collateral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2023-5 Distribution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2023-5 Accounts Permitted Investments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2023-5 Demand Notes Constitute Additional Collateral for Series </w:t>
              <w:br/>
              <w:t>2023-5 Senior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2023-5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2023-5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2023-5 Notes; Permanent Global Series 2023-5 </w:t>
              <w:b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4.4.</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2023-5 Demand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260"/>
                <wp:effectExtent l="0" t="0" r="0" b="0"/>
                <wp:wrapNone/>
                <wp:docPr id="569" name="Frame5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166" w:type="dxa"/>
        <w:jc w:val="center"/>
        <w:tblInd w:w="0" w:type="dxa"/>
        <w:tblLayout w:type="fixed"/>
        <w:tblCellMar>
          <w:top w:w="28" w:type="dxa"/>
          <w:left w:w="28" w:type="dxa"/>
          <w:bottom w:w="28" w:type="dxa"/>
          <w:right w:w="28" w:type="dxa"/>
        </w:tblCellMar>
      </w:tblPr>
      <w:tblGrid>
        <w:gridCol w:w="516"/>
        <w:gridCol w:w="454"/>
        <w:gridCol w:w="455"/>
        <w:gridCol w:w="1449"/>
        <w:gridCol w:w="1449"/>
        <w:gridCol w:w="1452"/>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2023-5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2023-5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260"/>
                <wp:effectExtent l="0" t="0" r="0" b="0"/>
                <wp:wrapNone/>
                <wp:docPr id="570" name="Frame5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10.67</w:t>
      </w:r>
    </w:p>
    <w:p>
      <w:pPr>
        <w:pStyle w:val="TextBody"/>
        <w:bidi w:val="0"/>
        <w:spacing w:lineRule="auto" w:line="288" w:before="0" w:after="240"/>
        <w:ind w:left="0" w:right="0" w:firstLine="72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bidi w:val="0"/>
        <w:spacing w:before="0" w:after="240"/>
        <w:jc w:val="right"/>
        <w:rPr/>
      </w:pPr>
      <w:r>
        <w:rPr/>
      </w:r>
    </w:p>
    <w:p>
      <w:pPr>
        <w:pStyle w:val="TextBody"/>
        <w:bidi w:val="0"/>
        <w:spacing w:before="0" w:after="240"/>
        <w:jc w:val="right"/>
        <w:rPr/>
      </w:pPr>
      <w:r>
        <w:rPr/>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 (AESOP) LLC,</w:t>
        <w:br/>
        <w:t>as Issuer</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 COMPANY, N.A.,</w:t>
        <w:br/>
        <w:t>as Trustee and Series 2024-2 Agent</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AMENDED AND RESTATED SERIES 2024-2 SUPPLEMENT</w:t>
        <w:br/>
        <w:t xml:space="preserve">dated as of </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December 27, 2024</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to</w:t>
      </w:r>
    </w:p>
    <w:p>
      <w:pPr>
        <w:pStyle w:val="TextBody"/>
        <w:bidi w:val="0"/>
        <w:spacing w:lineRule="auto" w:line="288" w:before="0" w:after="480"/>
        <w:jc w:val="center"/>
        <w:rPr>
          <w:rFonts w:ascii="Times New Roman;sans-serif" w:hAnsi="Times New Roman;sans-serif"/>
          <w:b w:val="false"/>
          <w:color w:val="000000"/>
          <w:sz w:val="24"/>
        </w:rPr>
      </w:pPr>
      <w:r>
        <w:rPr>
          <w:rFonts w:ascii="Times New Roman;sans-serif" w:hAnsi="Times New Roman;sans-serif"/>
          <w:b w:val="false"/>
          <w:color w:val="000000"/>
          <w:sz w:val="24"/>
        </w:rPr>
        <w:t>SECOND AMENDED AND RESTATED BASE INDENTURE</w:t>
        <w:br/>
        <w:t>dated as of June 3, 2004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2024-2 5.13% Rental Car Asset Backed Notes, Class A</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2024-2 5.57% Rental Car Asset Backed Notes, Class B</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2024-2 6.01% Rental Car Asset Backed Notes, Class C</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2024-2 9.672% Rental Car Asset Backed Notes, Class D</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Series 2024-2 7.942% Rental Car Asset Backed Notes, Class R</w:t>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ind w:left="0" w:right="0" w:firstLine="144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260"/>
                <wp:effectExtent l="0" t="0" r="0" b="0"/>
                <wp:wrapNone/>
                <wp:docPr id="571" name="Frame5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AMENDED AND RESTATED SERIES 2024-2 SUPPLEMENT, dated as of December 27, 2024 (this “</w:t>
      </w:r>
      <w:r>
        <w:rPr>
          <w:rFonts w:ascii="Times New Roman;sans-serif" w:hAnsi="Times New Roman;sans-serif"/>
          <w:b w:val="false"/>
          <w:color w:val="000000"/>
          <w:sz w:val="24"/>
          <w:u w:val="single"/>
        </w:rPr>
        <w:t>Supplement</w:t>
      </w:r>
      <w:r>
        <w:rPr>
          <w:color w:val="000000"/>
        </w:rPr>
        <w:t>”</w:t>
      </w:r>
      <w:r>
        <w:rPr>
          <w:rFonts w:ascii="Times New Roman;sans-serif" w:hAnsi="Times New Roman;sans-serif"/>
          <w:b w:val="false"/>
          <w:color w:val="000000"/>
          <w:sz w:val="24"/>
        </w:rPr>
        <w:t>), among AVIS BUDGET RENTAL CAR FUNDING (AESOP) LLC, a special purpose limited liability company established under the laws of Delaware (“</w:t>
      </w:r>
      <w:r>
        <w:rPr>
          <w:rFonts w:ascii="Times New Roman;sans-serif" w:hAnsi="Times New Roman;sans-serif"/>
          <w:b w:val="false"/>
          <w:color w:val="000000"/>
          <w:sz w:val="24"/>
          <w:u w:val="single"/>
        </w:rPr>
        <w:t>ABRCF</w:t>
      </w:r>
      <w:r>
        <w:rPr>
          <w:color w:val="000000"/>
        </w:rPr>
        <w:t>”</w:t>
      </w:r>
      <w:r>
        <w:rPr>
          <w:rFonts w:ascii="Times New Roman;sans-serif" w:hAnsi="Times New Roman;sans-serif"/>
          <w:b w:val="false"/>
          <w:color w:val="000000"/>
          <w:sz w:val="24"/>
        </w:rPr>
        <w:t>), THE BANK OF NEW YORK MELLON TRUST COMPANY, N.A. (formerly known as The Bank of New York), a limited purpose national banking association with trust powers, as trustee (in such capacity, and together with its successors in trust thereunder as provided in the Base Indenture referred to below, the “</w:t>
      </w:r>
      <w:r>
        <w:rPr>
          <w:rFonts w:ascii="Times New Roman;sans-serif" w:hAnsi="Times New Roman;sans-serif"/>
          <w:b w:val="false"/>
          <w:color w:val="000000"/>
          <w:sz w:val="24"/>
          <w:u w:val="single"/>
        </w:rPr>
        <w:t>Trustee</w:t>
      </w:r>
      <w:r>
        <w:rPr>
          <w:color w:val="000000"/>
        </w:rPr>
        <w:t>”</w:t>
      </w:r>
      <w:r>
        <w:rPr>
          <w:rFonts w:ascii="Times New Roman;sans-serif" w:hAnsi="Times New Roman;sans-serif"/>
          <w:b w:val="false"/>
          <w:color w:val="000000"/>
          <w:sz w:val="24"/>
        </w:rPr>
        <w:t>), and THE BANK OF NEW YORK MELLON TRUST COMPANY, N.A. (formerly known as The Bank of New York), as agent (in such capacity, the “</w:t>
      </w:r>
      <w:r>
        <w:rPr>
          <w:rFonts w:ascii="Times New Roman;sans-serif" w:hAnsi="Times New Roman;sans-serif"/>
          <w:b w:val="false"/>
          <w:color w:val="000000"/>
          <w:sz w:val="24"/>
          <w:u w:val="single"/>
        </w:rPr>
        <w:t>Series 2024-2 Agent</w:t>
      </w:r>
      <w:r>
        <w:rPr>
          <w:color w:val="000000"/>
        </w:rPr>
        <w:t>”</w:t>
      </w:r>
      <w:r>
        <w:rPr>
          <w:rFonts w:ascii="Times New Roman;sans-serif" w:hAnsi="Times New Roman;sans-serif"/>
          <w:b w:val="false"/>
          <w:color w:val="000000"/>
          <w:sz w:val="24"/>
        </w:rPr>
        <w:t>) for the benefit of the Series 2024-2 Noteholders, to the Second Amended and Restated Base Indenture, dated as of June 3, 2004, between ABRCF and the Trustee (as amended, modified or supplemented from time to time, exclusive of Supplements creating a new Series of Notes, the “</w:t>
      </w:r>
      <w:r>
        <w:rPr>
          <w:rFonts w:ascii="Times New Roman;sans-serif" w:hAnsi="Times New Roman;sans-serif"/>
          <w:b w:val="false"/>
          <w:color w:val="000000"/>
          <w:sz w:val="24"/>
          <w:u w:val="single"/>
        </w:rPr>
        <w:t>Base Indenture</w:t>
      </w:r>
      <w:r>
        <w:rPr>
          <w:color w:val="000000"/>
        </w:rPr>
        <w:t>”</w:t>
      </w:r>
      <w:r>
        <w:rPr>
          <w:rFonts w:ascii="Times New Roman;sans-serif" w:hAnsi="Times New Roman;sans-serif"/>
          <w:b w:val="false"/>
          <w:color w:val="000000"/>
          <w:sz w:val="24"/>
        </w:rPr>
        <w:t>).</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PRELIMINARY STATEMENT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Sections 2.2 and 12.1 of the Base Indenture provide, among other things, that ABRCF and the Trustee may at any time and from time to time enter into a supplement to the Base Indenture for the purpose of authorizing the issuance of one or more Series of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and the Trustee entered into the Series 2024-2 Supplement, dated March 12, 2024 (the “</w:t>
      </w:r>
      <w:r>
        <w:rPr>
          <w:rFonts w:ascii="Times New Roman;sans-serif" w:hAnsi="Times New Roman;sans-serif"/>
          <w:b w:val="false"/>
          <w:color w:val="000000"/>
          <w:sz w:val="24"/>
          <w:u w:val="single"/>
        </w:rPr>
        <w:t>Prior Supplement</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March 12, 2024, ABRCF issued its Series 2024-2 5.13% Rental Car Asset Backed Notes, Class A, its Series 2024-2 5.57% Rental Car Asset Backed Notes, Class B, its Series 2024-2 6.01% Rental Car Asset Backed Notes, Class C, and its Series 2024-2 7.942% Rental Car Asset Backed Notes, Class R under the Prior Supplement;</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5.15 of the Prior Supplement permits ABRCF to issue Class D Notes and Additional Class R Notes and to make certain amendments to the Prior Supplement in connection with such issuance, subject, in each case, to certain conditions set forth therein;</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WHEREAS, ABRCF desires to issue Class D Notes and additional Class R Notes (the “</w:t>
      </w:r>
      <w:r>
        <w:rPr>
          <w:rFonts w:ascii="Times New Roman;sans-serif" w:hAnsi="Times New Roman;sans-serif"/>
          <w:b w:val="false"/>
          <w:color w:val="000000"/>
          <w:sz w:val="24"/>
          <w:u w:val="single"/>
        </w:rPr>
        <w:t>Additional Class R Notes</w:t>
      </w:r>
      <w:r>
        <w:rPr>
          <w:color w:val="000000"/>
        </w:rPr>
        <w:t>”</w:t>
      </w:r>
      <w:r>
        <w:rPr>
          <w:rFonts w:ascii="Times New Roman;sans-serif" w:hAnsi="Times New Roman;sans-serif"/>
          <w:b w:val="false"/>
          <w:color w:val="000000"/>
          <w:sz w:val="24"/>
        </w:rPr>
        <w:t>) on the Class D Notes Closing Date; and</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in connection with the issuance of the Class D Notes and Additional Class R Notes and in accordance with Section 5.15 of the Prior Supplement, the Prior Supplement is amended and restated on the Class D Notes Closing Date in its entirety as set forth herein; </w:t>
      </w:r>
    </w:p>
    <w:p>
      <w:pPr>
        <w:pStyle w:val="TextBody"/>
        <w:bidi w:val="0"/>
        <w:spacing w:lineRule="auto" w:line="288" w:before="12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the parties hereto agree as follows:</w:t>
      </w:r>
    </w:p>
    <w:p>
      <w:pPr>
        <w:pStyle w:val="TextBody"/>
        <w:bidi w:val="0"/>
        <w:spacing w:lineRule="auto" w:line="288" w:before="120" w:after="240"/>
        <w:jc w:val="center"/>
        <w:rPr>
          <w:rFonts w:ascii="Times New Roman;sans-serif" w:hAnsi="Times New Roman;sans-serif"/>
          <w:b/>
          <w:color w:val="000000"/>
          <w:sz w:val="24"/>
        </w:rPr>
      </w:pPr>
      <w:r>
        <w:rPr>
          <w:rFonts w:ascii="Times New Roman;sans-serif" w:hAnsi="Times New Roman;sans-serif"/>
          <w:b/>
          <w:color w:val="000000"/>
          <w:sz w:val="24"/>
        </w:rPr>
        <w:t>DESIGNATION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was created a Series of Notes issued pursuant to the Base Indenture and the Prior Supplement, and such Series of Notes was designated generally as the “Series 2024-2 Rental Car Asset Backed Notes”. The Series 2024-2 Notes were permitted to be issued in up to five Classes, the first of which is known as the “Class A Notes”, the second of which is known as the “Class B Notes”, the third of which is known as the “Class C Notes”, the fourth of which is known as the “Class R Notes” and the fifth of which shall be known as the “Class 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260"/>
                <wp:effectExtent l="0" t="0" r="0" b="0"/>
                <wp:wrapNone/>
                <wp:docPr id="572" name="Frame5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the Class A/B/C Notes Closing Date, ABRCF issued (i) one tranche of Class A Notes designated as the “Series 2024-2 5.13% Rental Car Asset Backed Notes, Class A”, (ii) one tranche of Class B Notes designated as the “Series 2024-2 5.57% Rental Car Asset Backed Notes, Class B”, (iii) one tranche of Class C Notes designated as the “Series 2024-2 6.01% Rental Car Asset Backed Notes, Class C” and (iv) one tranche of Class R Notes designated the “Series 2024-2 7.942% Rental Car Asset Backed Notes, Class R”.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On the Class D Notes Closing Date, ABRCF shall issue (i) one tranche of Class D Notes designated as the “Series 2024-2 9.672% Rental Car Asset Backed Notes, Class D” and (ii) the Additional Class R Notes.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Class A Notes, Class B Notes, Class C Notes, Class D Notes and Class R Notes collectively, constitute the Series 2024-2 Notes. The Class B Notes shall be subordinated in right of payment to the Class A Notes, to the extent set forth herein. The Class C Notes shall be subordinated in right of payment to the Class A Notes and Class B Notes, to the extent set forth herein. The Class D Notes shall be subordinated in right of payment to the Class A Notes, Class B Notes and Class C Notes, to the extent set forth herein. The Class R Notes shall be subordinated to the Class A Notes, the Class B Notes, the Class C Notes and the Class D Notes.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proceeds from the sale of the Class A Notes, Class B Notes, Class C Notes and Class R Notes were deposited in the Collection Account and were deemed to be Principal Collections, and the proceeds from the sale of the Class D Notes and the Additional Class R Notes shall be deposited in the Collection Account and shall be deemed to be Principal Collections.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Series 2024-2 Notes are a non-Segregated Series of Notes (as more fully described in the Base Indenture). Accordingly, all references in this Supplement to “all” Series of Notes (and all references in this Supplement to terms defined in the Base Indenture that contain references to “all” Series of Notes) shall refer to all Series of Notes other than Segregated Series of Notes.</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All capitalized terms not otherwise defined herein are defined in the Definitions List attached to the Base Indenture as Schedule I thereto. All Article, Section, Subsection or Exhibit references herein shall refer to Articles, Sections, Subsections or Exhibits of this Supplement, except as otherwise provided herein. Unless otherwise stated herein, as the context otherwise requires or if such term is otherwise defined in the Base Indenture, each capitalized term used or defined herein shall relate only to the Series 2024-2 Notes and not to any other Series of Notes issued by ABRCF. In the event that a term used herein shall be defined both herein and in the Base Indenture, the definition of such term herein shall govern.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The following words and phrases shall have the following meanings with respect to the Series 2024-2 Notes and the definitions of such terms are applicable to the singular as well as the plural form of such terms and to the masculine as well as the feminine and neuter genders of such terms:</w:t>
      </w:r>
    </w:p>
    <w:p>
      <w:pPr>
        <w:pStyle w:val="TextBody"/>
        <w:bidi w:val="0"/>
        <w:spacing w:before="0" w:after="0"/>
        <w:jc w:val="center"/>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260"/>
                <wp:effectExtent l="0" t="0" r="0" b="0"/>
                <wp:wrapNone/>
                <wp:docPr id="573" name="Frame5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ABCR</w:t>
      </w:r>
      <w:r>
        <w:rPr>
          <w:color w:val="000000"/>
        </w:rPr>
        <w:t xml:space="preserve">” </w:t>
      </w:r>
      <w:r>
        <w:rPr>
          <w:rFonts w:ascii="Times New Roman;sans-serif" w:hAnsi="Times New Roman;sans-serif"/>
          <w:b w:val="false"/>
          <w:color w:val="000000"/>
          <w:sz w:val="24"/>
        </w:rPr>
        <w:t>means Avis Budget Car Rental, LLC.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Additional Class R Notes</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Adjusted Net Book Value</w:t>
      </w:r>
      <w:r>
        <w:rPr>
          <w:color w:val="000000"/>
        </w:rPr>
        <w:t xml:space="preserve">” </w:t>
      </w:r>
      <w:r>
        <w:rPr>
          <w:rFonts w:ascii="Times New Roman;sans-serif" w:hAnsi="Times New Roman;sans-serif"/>
          <w:b w:val="false"/>
          <w:color w:val="000000"/>
          <w:sz w:val="24"/>
        </w:rPr>
        <w:t>means, as of any date of determination, with respect to each Adjusted Program Vehicle as of such date, the product of 0.965 and the Net Book Value of such Adjusted Program Vehicle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Applicable Distribution Date</w:t>
      </w:r>
      <w:r>
        <w:rPr>
          <w:color w:val="000000"/>
        </w:rPr>
        <w:t xml:space="preserve">” </w:t>
      </w:r>
      <w:r>
        <w:rPr>
          <w:rFonts w:ascii="Times New Roman;sans-serif" w:hAnsi="Times New Roman;sans-serif"/>
          <w:b w:val="false"/>
          <w:color w:val="000000"/>
          <w:sz w:val="24"/>
        </w:rPr>
        <w:t>means each Distribution Date occurring after the later of (i) the Optional Repurchase Distribution Date and (ii) the first Distribution Date occurring during the Series 2024-2 Controlled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Business Day</w:t>
      </w:r>
      <w:r>
        <w:rPr>
          <w:color w:val="000000"/>
        </w:rPr>
        <w:t xml:space="preserve">” </w:t>
      </w:r>
      <w:r>
        <w:rPr>
          <w:rFonts w:ascii="Times New Roman;sans-serif" w:hAnsi="Times New Roman;sans-serif"/>
          <w:b w:val="false"/>
          <w:color w:val="000000"/>
          <w:sz w:val="24"/>
        </w:rPr>
        <w:t>means any day other than (a) a Saturday or a Sunday or (b) a day on which banking institutions in New York City or in the city in which the corporate trust office of the Trustee is located are authorized or obligated by law or executive order to close.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Lease Deficit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A</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Date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D</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Termination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Certificate of Unpaid Demand Note Demand</w:t>
      </w:r>
      <w:r>
        <w:rPr>
          <w:color w:val="000000"/>
        </w:rPr>
        <w:t xml:space="preserve">” </w:t>
      </w:r>
      <w:r>
        <w:rPr>
          <w:rFonts w:ascii="Times New Roman;sans-serif" w:hAnsi="Times New Roman;sans-serif"/>
          <w:b w:val="false"/>
          <w:color w:val="000000"/>
          <w:sz w:val="24"/>
        </w:rPr>
        <w:t xml:space="preserve">means a certificate substantially in the form of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to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w:t>
      </w:r>
      <w:r>
        <w:rPr>
          <w:color w:val="000000"/>
        </w:rPr>
        <w:t xml:space="preserve">” </w:t>
      </w:r>
      <w:r>
        <w:rPr>
          <w:rFonts w:ascii="Times New Roman;sans-serif" w:hAnsi="Times New Roman;sans-serif"/>
          <w:b w:val="false"/>
          <w:color w:val="000000"/>
          <w:sz w:val="24"/>
        </w:rPr>
        <w:t>means a class of the Series 2024-2 Notes, which may be the Class A Notes, the Class B Notes, the Class C Notes, the Class D Notes or the Class R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2024-2 Controlled Amortization Period, the amount, if any, by which the portion of the Monthly Total Principal Allocation paid to the Class A Noteholders pursuant to Section 2.5(f)(i) for the previous Related Month was less than the Class A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2024-2 Controlled Amortization Period, the Class A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Amortization Amount</w:t>
      </w:r>
      <w:r>
        <w:rPr>
          <w:color w:val="000000"/>
        </w:rPr>
        <w:t xml:space="preserve">” </w:t>
      </w:r>
      <w:r>
        <w:rPr>
          <w:rFonts w:ascii="Times New Roman;sans-serif" w:hAnsi="Times New Roman;sans-serif"/>
          <w:b w:val="false"/>
          <w:color w:val="000000"/>
          <w:sz w:val="24"/>
        </w:rPr>
        <w:t>means, with respect to any Related Month during the Series 2024-2 Controlled Amortization Period, $52,800,000.00.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2024-2 Controlled Amortization Period, an amount equal to the sum of the Class A Controlled Amortization Amount and any Class A Carryover Controlled Amortization Amount for such Related Month.</w:t>
      </w:r>
    </w:p>
    <w:p>
      <w:pPr>
        <w:pStyle w:val="TextBody"/>
        <w:bidi w:val="0"/>
        <w:spacing w:before="0" w:after="0"/>
        <w:jc w:val="center"/>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260"/>
                <wp:effectExtent l="0" t="0" r="0" b="0"/>
                <wp:wrapNone/>
                <wp:docPr id="574" name="Frame5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Initial Invested Amount</w:t>
      </w:r>
      <w:r>
        <w:rPr>
          <w:color w:val="000000"/>
        </w:rPr>
        <w:t xml:space="preserve">” </w:t>
      </w:r>
      <w:r>
        <w:rPr>
          <w:rFonts w:ascii="Times New Roman;sans-serif" w:hAnsi="Times New Roman;sans-serif"/>
          <w:b w:val="false"/>
          <w:color w:val="000000"/>
          <w:sz w:val="24"/>
        </w:rPr>
        <w:t>means the aggregate initial principal amount of the Class A Notes, which is $316,800,000.</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A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A Noteholders on or prior to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Monthly Interest</w:t>
      </w:r>
      <w:r>
        <w:rPr>
          <w:color w:val="000000"/>
        </w:rPr>
        <w:t xml:space="preserve">” </w:t>
      </w:r>
      <w:r>
        <w:rPr>
          <w:rFonts w:ascii="Times New Roman;sans-serif" w:hAnsi="Times New Roman;sans-serif"/>
          <w:b w:val="false"/>
          <w:color w:val="000000"/>
          <w:sz w:val="24"/>
        </w:rPr>
        <w:t>means, with respect to (i) the initial Series 2024-2 Interest Period, an amount equal to $1,715,472.00 and (ii) any other Series 2024-2 Interest Period, an amount equal to the product of (A) one-twelfth of the Class A Note Rate and (B) the Class A Invested Amount on the first day of such Series 2024-2 Interest Period, after giving effect to any principal payments made on such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A Note</w:t>
      </w:r>
      <w:r>
        <w:rPr>
          <w:color w:val="000000"/>
        </w:rPr>
        <w:t xml:space="preserve">” </w:t>
      </w:r>
      <w:r>
        <w:rPr>
          <w:rFonts w:ascii="Times New Roman;sans-serif" w:hAnsi="Times New Roman;sans-serif"/>
          <w:b w:val="false"/>
          <w:color w:val="000000"/>
          <w:sz w:val="24"/>
        </w:rPr>
        <w:t xml:space="preserve">means any one of the Series 2024-2 5.13% Rental Car Asset Backed Notes, Class A, executed by ABRCF and authenticated by or on behalf of the Trustee, substantially in the form of </w:t>
      </w: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A-2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 Definitive Class A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Note Rate</w:t>
      </w:r>
      <w:r>
        <w:rPr>
          <w:color w:val="000000"/>
        </w:rPr>
        <w:t xml:space="preserve">” </w:t>
      </w:r>
      <w:r>
        <w:rPr>
          <w:rFonts w:ascii="Times New Roman;sans-serif" w:hAnsi="Times New Roman;sans-serif"/>
          <w:b w:val="false"/>
          <w:color w:val="000000"/>
          <w:sz w:val="24"/>
        </w:rPr>
        <w:t>means 5.13%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Noteholder</w:t>
      </w:r>
      <w:r>
        <w:rPr>
          <w:color w:val="000000"/>
        </w:rPr>
        <w:t xml:space="preserve">” </w:t>
      </w:r>
      <w:r>
        <w:rPr>
          <w:rFonts w:ascii="Times New Roman;sans-serif" w:hAnsi="Times New Roman;sans-serif"/>
          <w:b w:val="false"/>
          <w:color w:val="000000"/>
          <w:sz w:val="24"/>
        </w:rPr>
        <w:t>means the Person in whose name a Class A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 Shortfall</w:t>
      </w:r>
      <w:r>
        <w:rPr>
          <w:color w:val="000000"/>
        </w:rPr>
        <w:t xml:space="preserve">” </w:t>
      </w:r>
      <w:r>
        <w:rPr>
          <w:rFonts w:ascii="Times New Roman;sans-serif" w:hAnsi="Times New Roman;sans-serif"/>
          <w:b w:val="false"/>
          <w:color w:val="000000"/>
          <w:sz w:val="24"/>
        </w:rPr>
        <w:t>has the meaning set forth in Section 2.3(g)(i).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A/B/C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A/B/C Required Liquidity Amount divided by “Required Liquidity Amount” for each applicable Series for which such Multi-Series Letter of Credit is providing credit enhancement.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A/B/C Reserve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w:t>
      </w:r>
      <w:r>
        <w:rPr>
          <w:color w:val="000000"/>
        </w:rPr>
        <w:t xml:space="preserve">” </w:t>
      </w:r>
      <w:r>
        <w:rPr>
          <w:rFonts w:ascii="Times New Roman;sans-serif" w:hAnsi="Times New Roman;sans-serif"/>
          <w:b w:val="false"/>
          <w:color w:val="000000"/>
          <w:sz w:val="24"/>
        </w:rPr>
        <w:t>is defined in Section 2.8(h).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Collateral</w:t>
      </w:r>
      <w:r>
        <w:rPr>
          <w:color w:val="000000"/>
        </w:rPr>
        <w:t xml:space="preserve">” </w:t>
      </w:r>
      <w:r>
        <w:rPr>
          <w:rFonts w:ascii="Times New Roman;sans-serif" w:hAnsi="Times New Roman;sans-serif"/>
          <w:b w:val="false"/>
          <w:color w:val="000000"/>
          <w:sz w:val="24"/>
        </w:rPr>
        <w:t>is defined in Section 2.8(a).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A/B/C Available Cash Collateral Account Amount and (b) the least of (A) the excess, if any, of the Class A/B/C Liquidity Amount (after giving effect </w:t>
      </w:r>
    </w:p>
    <w:p>
      <w:pPr>
        <w:pStyle w:val="TextBody"/>
        <w:bidi w:val="0"/>
        <w:spacing w:before="0" w:after="0"/>
        <w:jc w:val="center"/>
        <w:rPr/>
      </w:pP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260"/>
                <wp:effectExtent l="0" t="0" r="0" b="0"/>
                <wp:wrapNone/>
                <wp:docPr id="575" name="Frame5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to any withdrawal from the Class A/B/C Reserve Account on such Distribution Date) over the Class A/B/C Required Liquidity Amount on such Distribution Date, (B) the excess, if any, of the Class A/B/C Enhancement Amount (after giving effect to any withdrawal from the Class A/B/C Reserve Account on such Distribution Date) over the Class A/B/C Required Enhancement Amount on such Distribution Date and (C) the excess, if any, of the Class D Enhancement Amount (after giving effect to any withdrawal from the Series 2024-2 Reserve Accounts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on any date after the Multi-Series Letter of Credit Termination Date, the Class A/B/C Cash Collateral Account Surplus shall mean the excess, if any, of (x) the Class A/B/C Available Cash Collateral Account Amount over (y) the Series 2024-2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Pre-Preference Period Demand Note Payments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A/B/C Available Cash Collateral Account Amount as of such date and the denominator of which is the Class A/B/C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Amount</w:t>
      </w:r>
      <w:r>
        <w:rPr>
          <w:color w:val="000000"/>
        </w:rPr>
        <w:t xml:space="preserve">” </w:t>
      </w:r>
      <w:r>
        <w:rPr>
          <w:rFonts w:ascii="Times New Roman;sans-serif" w:hAnsi="Times New Roman;sans-serif"/>
          <w:b w:val="false"/>
          <w:color w:val="000000"/>
          <w:sz w:val="24"/>
        </w:rPr>
        <w:t xml:space="preserve">means, as of any date of determination, the sum of (a) the Class A/B/C Overcollateralization Amount as of such date, plus (b) the Class A/B/C Letter of Credit Amount as of such date, plus (c) the Class A/B/C Available Reserve Account Amount as of such date, plus (d) the amount of cash and Permitted Investments on deposit in the Series 2024-2 Collection Account (not including amounts allocable to the Series 2024-2 Accrued Interest Account) and the Series 2024-2 Excess Collection Account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Enhancement Deficiency</w:t>
      </w:r>
      <w:r>
        <w:rPr>
          <w:color w:val="000000"/>
        </w:rPr>
        <w:t xml:space="preserve">” </w:t>
      </w:r>
      <w:r>
        <w:rPr>
          <w:rFonts w:ascii="Times New Roman;sans-serif" w:hAnsi="Times New Roman;sans-serif"/>
          <w:b w:val="false"/>
          <w:color w:val="000000"/>
          <w:sz w:val="24"/>
        </w:rPr>
        <w:t>means, on any date of determination, the amount by which the Class A/B/C Enhancement Amount is less than the Class A/B/C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and the Class C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A/B/C Applicable Multi-Series L/C Amount as of such date under each Multi-Series Letter of Credit (other than any Multi-Series Letter of Credit on which a draw has been made pursuant to Section 2.8(e)), as specified therein, and (ii) if the Class A/B/C Cash Collateral Account has been established and funded pursuant to Section 2.8, the Class A/B/C Available Cash Collateral Account Amount on such date and (b) the aggregate outstanding principal amount of the Series 2024-2 Demand Notes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Letter of Credit Liquidity Amount</w:t>
      </w:r>
      <w:r>
        <w:rPr>
          <w:color w:val="000000"/>
        </w:rPr>
        <w:t xml:space="preserve">” </w:t>
      </w:r>
      <w:r>
        <w:rPr>
          <w:rFonts w:ascii="Times New Roman;sans-serif" w:hAnsi="Times New Roman;sans-serif"/>
          <w:b w:val="false"/>
          <w:color w:val="000000"/>
          <w:sz w:val="24"/>
        </w:rPr>
        <w:t>means, as of any date of determination, the sum of (a) the aggregate amount allocable to the Class A/B/C Notes that is available to be drawn on such date under each Multi-Series Letter of Credit (other than any Multi-Series Letter of Credit on which a draw has been made pursuant to Section 2.8(e)), as specified therein, and (b) if the Class A/B/C Cash Collateral Account has been established and funded pursuant to Section 2.8, the Class A/B/C Available Cash Collateral Account Amount on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260"/>
                <wp:effectExtent l="0" t="0" r="0" b="0"/>
                <wp:wrapNone/>
                <wp:docPr id="576" name="Frame5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Liquidity Amount</w:t>
      </w:r>
      <w:r>
        <w:rPr>
          <w:color w:val="000000"/>
        </w:rPr>
        <w:t xml:space="preserve">” </w:t>
      </w:r>
      <w:r>
        <w:rPr>
          <w:rFonts w:ascii="Times New Roman;sans-serif" w:hAnsi="Times New Roman;sans-serif"/>
          <w:b w:val="false"/>
          <w:color w:val="000000"/>
          <w:sz w:val="24"/>
        </w:rPr>
        <w:t>means, as of any date of determination, the sum of (a) the Class A/B/C Letter of Credit Liquidity Amount on such date and (b) the Class A/B/C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Amounts</w:t>
      </w:r>
      <w:r>
        <w:rPr>
          <w:color w:val="000000"/>
        </w:rPr>
        <w:t xml:space="preserve">” </w:t>
      </w:r>
      <w:r>
        <w:rPr>
          <w:rFonts w:ascii="Times New Roman;sans-serif" w:hAnsi="Times New Roman;sans-serif"/>
          <w:b w:val="false"/>
          <w:color w:val="000000"/>
          <w:sz w:val="24"/>
        </w:rPr>
        <w:t>means, collectively, the Series 2024-2 Maximum Jaguar Amount, Series 2024-2 Maximum Tesla Amount, the Series 2024-2 Maximum Land Rover Amount, the Series 2024-2 Maximum Mitsubishi Amount, the Series 2024-2 Maximum Isuzu Amount, the Series 2024-2 Maximum Subaru Amount, the Series 2024-2 Maximum Hyundai Amount, the Series 2024-2 Maximum Kia Amount, the Series 2024-2 Maximum Suzuki Amount, the Series 2024-2 Maximum Specified States Amount (if applicable), the Series 2024-2 Maximum Non-Perfected Vehicle Amount, the Series 2024-2 Maximum Non-Eligible Manufacturer Amount and the Series 2024-2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Non-Perfected Vehicle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260"/>
                <wp:effectExtent l="0" t="0" r="0" b="0"/>
                <wp:wrapNone/>
                <wp:docPr id="577" name="Frame5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Notes Closing Date</w:t>
      </w:r>
      <w:r>
        <w:rPr>
          <w:color w:val="000000"/>
        </w:rPr>
        <w:t xml:space="preserve">” </w:t>
      </w:r>
      <w:r>
        <w:rPr>
          <w:rFonts w:ascii="Times New Roman;sans-serif" w:hAnsi="Times New Roman;sans-serif"/>
          <w:b w:val="false"/>
          <w:color w:val="000000"/>
          <w:sz w:val="24"/>
        </w:rPr>
        <w:t>means March 12, 2024.</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Overcollateralization Amount</w:t>
      </w:r>
      <w:r>
        <w:rPr>
          <w:color w:val="000000"/>
        </w:rPr>
        <w:t xml:space="preserve">” </w:t>
      </w:r>
      <w:r>
        <w:rPr>
          <w:rFonts w:ascii="Times New Roman;sans-serif" w:hAnsi="Times New Roman;sans-serif"/>
          <w:b w:val="false"/>
          <w:color w:val="000000"/>
          <w:sz w:val="24"/>
        </w:rPr>
        <w:t>means, the excess, if any of (x) the Series 2024-2 AESOP I Operating Lease Loan Agreement Borrowing Base as of such date over (y) the sum of the Class A Invested Amount, the Class B Invested Amount and the Class C Invested Amount, in each case,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Percentage</w:t>
      </w:r>
      <w:r>
        <w:rPr>
          <w:color w:val="000000"/>
        </w:rPr>
        <w:t xml:space="preserve">” </w:t>
      </w:r>
      <w:r>
        <w:rPr>
          <w:rFonts w:ascii="Times New Roman;sans-serif" w:hAnsi="Times New Roman;sans-serif"/>
          <w:b w:val="false"/>
          <w:color w:val="000000"/>
          <w:sz w:val="24"/>
        </w:rPr>
        <w:t>means, (i) as of any date of determination on which the Class A Notes, Class B Notes or Class D Notes remain outstanding, the lesser of (x) 100% and (y) the percentage equivalent of a fraction, the numerator of which is the sum of the Class A/B/C Invested Amount and the Class A/B/C Required Overcollateralization Amount and the denominator of which is the sum of the Series 2024-2 Invested Amount and the Class D Required Overcollateralization Amount and (ii) as of any other date of determination, 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A/B/C Invested Amount on such date (after giving effect to the distribution of the Monthly Total Principal Allocation for the Related Month if such date is a Distribution Date) over (ii) the product of the Class A/B/C Percentage and the Series 2024-2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A/B/C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interest payable on the Notes, will mean the excess, if any, of (x) the Class A/B/C Invested Amount on such date (after giving effect to the distribution of Monthly Total Principal Allocation for the Related Month if such date is a Distribution Date) over (y) the sum of (1) the product of the Class A/B/C Percentage and the Series 2024-2 AESOP I Operating Lease Loan Agreement Borrowing Base on such date and (2) the lesser of (a) the Class A/B/C Liquidity Amount on such date and (b) the Class A/B/C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A/B/C Notes under such Multi-Series Letter of Credit Provider’s Multi-Series Letter of Credit as of such date by (B) an amount equal to the aggregate </w:t>
      </w:r>
    </w:p>
    <w:p>
      <w:pPr>
        <w:pStyle w:val="TextBody"/>
        <w:bidi w:val="0"/>
        <w:spacing w:before="0" w:after="0"/>
        <w:jc w:val="center"/>
        <w:rPr/>
      </w:pP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75260"/>
                <wp:effectExtent l="0" t="0" r="0" b="0"/>
                <wp:wrapNone/>
                <wp:docPr id="578" name="Frame5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available amount allocated to the Class A/B/C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A/B/C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Enhancement Amount</w:t>
      </w:r>
      <w:r>
        <w:rPr>
          <w:color w:val="000000"/>
        </w:rPr>
        <w:t xml:space="preserve">” </w:t>
      </w:r>
      <w:r>
        <w:rPr>
          <w:rFonts w:ascii="Times New Roman;sans-serif" w:hAnsi="Times New Roman;sans-serif"/>
          <w:b w:val="false"/>
          <w:color w:val="000000"/>
          <w:sz w:val="24"/>
        </w:rPr>
        <w:t xml:space="preserve">means, as of any date of determination, the sum, without duplication, of (i) the Series 2024-2 Moody’s Required Enhancement Amount as of such date, (ii) the Series 2024-2 AESOP I Operating Lease Vehicle Percentage as of the immediately preceding Business Day of the excess, if any, of the aggregate Net Book Value of all Vehicles manufactured by Mitsubishi and leased under the Leases as of such date over the Class A/B/C Maximum Mitsubishi Amount as of such date, (iii) the Series 2024-2 AESOP I Operating Lease Vehicle Percentage as of the immediately preceding Business Day of the excess, if any, of the aggregate Net Book Value of all Vehicles manufactured by Isuzu and leased under the Leases as of such date over the Class A/B/C Maximum Isuzu Amount as of such date, (iv) the Series 2024-2 AESOP I Operating Lease Vehicle Percentage as of the immediately preceding Business Day of the excess, if any, of the aggregate Net Book Value of all Vehicles manufactured by Subaru and leased under the Leases as of such date over the Series 2024-2 Maximum Subaru Amount as of such date, (v) the Series 2024-2 AESOP I Operating Lease Vehicle Percentage as of the immediately preceding Business Day of the excess, if any, of the aggregate Net Book Value of all Vehicles manufactured by Hyundai and leased under the Leases as of such date over the Class A/B/C Maximum Hyundai Amount as of such date, (vi) the Series 2024-2 AESOP I Operating Lease Vehicle Percentage as of the immediately preceding Business Day of the excess, if any, of the aggregate Net Book Value of all Vehicles manufactured by Kia and leased under the Leases as of such date over the Class A/B/C Maximum Kia Amount as of such date, (vii) the Series 2024-2 AESOP I Operating Lease Vehicle Percentage as of the immediately preceding Business Day of the excess, if any, of the aggregate Net Book Value of all Vehicles manufactured by Suzuki and leased under the Leases as of such date over the Class A/B/C Maximum Suzuki Amount as of such date, (viii) the Series 2024-2 AESOP I Operating Lease Vehicle Percentage as of the immediately preceding Business Day of the excess, if any, of the aggregate Net Book Value of all Vehicles manufactured by Tesla and leased under the Leases as of such date over the Class A/B/C Maximum Tesla Amount as of such date, (ix) the Series 2024-2 AESOP I Operating Lease Vehicle Percentage as of the immediately preceding Business Day of the excess, if any, of the aggregate Net Book Value of all Vehicles manufactured by Land Rover and leased under the Leases as of such date over the Class A/B/C Maximum Land Rover Amount as of such date, (x) the Series 2024-2 AESOP I Operating Lease Vehicle Percentage as of the immediately preceding Business Day of the excess, if any, of the aggregate Net Book Value of all Vehicles manufactured by Jaguar and leased under the Leases as of such date over the Class A/B/C Maximum Jaguar Amount as of such date, (xi) the Series 2024-2 AESOP I Operating Lease </w:t>
      </w:r>
    </w:p>
    <w:p>
      <w:pPr>
        <w:pStyle w:val="TextBody"/>
        <w:bidi w:val="0"/>
        <w:spacing w:before="0" w:after="0"/>
        <w:jc w:val="center"/>
        <w:rPr/>
      </w:pP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260"/>
                <wp:effectExtent l="0" t="0" r="0" b="0"/>
                <wp:wrapNone/>
                <wp:docPr id="579" name="Frame5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Vehicle Percentage as of the immediately preceding Business Day of the excess, if any, of (x) if the Springing Amendment Condition (Non-Perfected Lien) is not satisfied, the Specified States Amount as of such date over the Class A/B/C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Series 2024-2 Maximum Non-Perfected Vehicle Amount (as applicable) as of such date, (xii) the Series 2024-2 AESOP I Operating Lease Vehicle Percentage as of the immediately preceding Business Day of the excess, if any, of the Non-Eligible Manufacturer Amount as of such date over the Class A/B/C Maximum Non-Eligible Manufacturer Amount as of such date and (xiii) if the Springing Amendment Condition (Trucks) has been satisfied, the Series 2024-2 AESOP I Operating Lease Vehicle Percentage as of the immediately preceding Business Day of the excess, if any, of the Net Book Value of all Vehicles leased under the Leases as of such date that were “medium duty” or “heavy duty” trucks at the time of acquisition over the Class A/B/C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Liquidity Amount</w:t>
      </w:r>
      <w:r>
        <w:rPr>
          <w:color w:val="000000"/>
        </w:rPr>
        <w:t xml:space="preserve">” </w:t>
      </w:r>
      <w:r>
        <w:rPr>
          <w:rFonts w:ascii="Times New Roman;sans-serif" w:hAnsi="Times New Roman;sans-serif"/>
          <w:b w:val="false"/>
          <w:color w:val="000000"/>
          <w:sz w:val="24"/>
        </w:rPr>
        <w:t xml:space="preserve">means, as of any date of determination, an amount equal to the product of 3.50% and the Class A/B/C Senior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Overcollateralization Amount</w:t>
      </w:r>
      <w:r>
        <w:rPr>
          <w:color w:val="000000"/>
        </w:rPr>
        <w:t xml:space="preserve">” </w:t>
      </w:r>
      <w:r>
        <w:rPr>
          <w:rFonts w:ascii="Times New Roman;sans-serif" w:hAnsi="Times New Roman;sans-serif"/>
          <w:b w:val="false"/>
          <w:color w:val="000000"/>
          <w:sz w:val="24"/>
        </w:rPr>
        <w:t>means, as of any date of determination, the excess, if any, of the Class A/B/C Required Enhancement Amount over the sum of (i) the Class A/B/C Letter of Credit Amount as of such date, (ii) the Class A/B/C Available Reserve Account Amount on such date and (iii) the amount of cash and Permitted Investments on deposit in the Series 2024-2 Collection Account (not including amounts allocable to the Series 2024-2 Accrued Interest Account) and the Series 2024-2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greatest of (a) the excess, if any, of the Class A/B/C Required Liquidity Amount as of such date over the Class A/B/C Letter of Credit Liquidity Amount as of such date, (b) the excess, if any, of the Class A/B/C Required Enhancement Amount as of such date over the Class A/B/C Enhancement Amount (excluding therefrom the Class A/B/C Available Reserve Account Amount and calculated after giving effect to any payments of principal to be made on the Series 2024-2 Notes) as of such date and (c) the excess, if any, of the Class D Required Enhancement Amount over the Class D Enhancement Amount (excluding therefrom the Class A/B/C Available Reserve Account Amount and calculated after giving effect to any payments of principal to be made on the Series 2024-2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w:t>
      </w:r>
      <w:r>
        <w:rPr>
          <w:color w:val="000000"/>
        </w:rPr>
        <w:t xml:space="preserve">” </w:t>
      </w:r>
      <w:r>
        <w:rPr>
          <w:rFonts w:ascii="Times New Roman;sans-serif" w:hAnsi="Times New Roman;sans-serif"/>
          <w:b w:val="false"/>
          <w:color w:val="000000"/>
          <w:sz w:val="24"/>
        </w:rPr>
        <w:t>is defined in Section 2.7(a).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Collateral</w:t>
      </w:r>
      <w:r>
        <w:rPr>
          <w:color w:val="000000"/>
        </w:rPr>
        <w:t xml:space="preserve">” </w:t>
      </w:r>
      <w:r>
        <w:rPr>
          <w:rFonts w:ascii="Times New Roman;sans-serif" w:hAnsi="Times New Roman;sans-serif"/>
          <w:b w:val="false"/>
          <w:color w:val="000000"/>
          <w:sz w:val="24"/>
        </w:rPr>
        <w:t>is defined in Section 2.7(d).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A/B/C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A/B/C Available Reserve Account Amount over the Class A/B/C Required Reserve Account Amount on such Distribution Date.</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B Carryover Controlled Amortization Amount</w:t>
      </w:r>
      <w:r>
        <w:rPr>
          <w:color w:val="000000"/>
        </w:rPr>
        <w:t xml:space="preserve">” </w:t>
      </w:r>
      <w:r>
        <w:rPr>
          <w:rFonts w:ascii="Times New Roman;sans-serif" w:hAnsi="Times New Roman;sans-serif"/>
          <w:b w:val="false"/>
          <w:color w:val="000000"/>
          <w:sz w:val="24"/>
        </w:rPr>
        <w:t xml:space="preserve">means, with respect to any </w:t>
      </w:r>
    </w:p>
    <w:p>
      <w:pPr>
        <w:pStyle w:val="TextBody"/>
        <w:bidi w:val="0"/>
        <w:spacing w:before="0" w:after="0"/>
        <w:jc w:val="center"/>
        <w:rPr/>
      </w:pP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580" name="Frame5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Related Month during the Series 2024-2 Controlled Amortization Period, the amount, if any, by which the portion of the Monthly Total Principal Allocation paid to the Class B Noteholders pursuant to Section 2.5(f)(ii) for the previous Related Month was less than the Class B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2024-2 Controlled Amortization Period, the Class B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2024-2 Controlled Amortization Period other than the Related Month immediately preceding the Series 2024-2 Expected Final Distribution Date, $8,433,333.33 and (ii) with respect to the Related Month immediately preceding the Series 2024-2 Expected Final Distribution Date, $8,433,333.35.</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2024-2 Controlled Amortization Period, an amount equal to the sum of the Class B Controlled Amortization Amount and any Class B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Initial Invested Amount</w:t>
      </w:r>
      <w:r>
        <w:rPr>
          <w:color w:val="000000"/>
        </w:rPr>
        <w:t xml:space="preserve">” </w:t>
      </w:r>
      <w:r>
        <w:rPr>
          <w:rFonts w:ascii="Times New Roman;sans-serif" w:hAnsi="Times New Roman;sans-serif"/>
          <w:b w:val="false"/>
          <w:color w:val="000000"/>
          <w:sz w:val="24"/>
        </w:rPr>
        <w:t>means the aggregate initial principal amount of the Class B Notes, which is $50,600,000.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B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B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Monthly Interest</w:t>
      </w:r>
      <w:r>
        <w:rPr>
          <w:color w:val="000000"/>
        </w:rPr>
        <w:t xml:space="preserve">” </w:t>
      </w:r>
      <w:r>
        <w:rPr>
          <w:rFonts w:ascii="Times New Roman;sans-serif" w:hAnsi="Times New Roman;sans-serif"/>
          <w:b w:val="false"/>
          <w:color w:val="000000"/>
          <w:sz w:val="24"/>
        </w:rPr>
        <w:t>means, with respect to (i) the initial Series 2024-2 Interest Period, an amount equal to $297,499.89 and (ii) any other Series 2024-2 Interest Period, an amount equal to the product of (A) one-twelfth of the Class B Note Rate and (B) the Class B Invested Amount on the first day of such Series 2024-2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w:t>
      </w:r>
      <w:r>
        <w:rPr>
          <w:color w:val="000000"/>
        </w:rPr>
        <w:t xml:space="preserve">” </w:t>
      </w:r>
      <w:r>
        <w:rPr>
          <w:rFonts w:ascii="Times New Roman;sans-serif" w:hAnsi="Times New Roman;sans-serif"/>
          <w:b w:val="false"/>
          <w:color w:val="000000"/>
          <w:sz w:val="24"/>
        </w:rPr>
        <w:t xml:space="preserve">means any one of the Series 2024-2 5.57% Rental Car Asset Backed Notes, Class B, executed by ABRCF and authenticated by or on behalf of the Trustee, substantially in the form of </w:t>
      </w: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B-2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 Definitive Class B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 Rate</w:t>
      </w:r>
      <w:r>
        <w:rPr>
          <w:color w:val="000000"/>
        </w:rPr>
        <w:t xml:space="preserve">” </w:t>
      </w:r>
      <w:r>
        <w:rPr>
          <w:rFonts w:ascii="Times New Roman;sans-serif" w:hAnsi="Times New Roman;sans-serif"/>
          <w:b w:val="false"/>
          <w:color w:val="000000"/>
          <w:sz w:val="24"/>
        </w:rPr>
        <w:t>means 5.57%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Noteholder</w:t>
      </w:r>
      <w:r>
        <w:rPr>
          <w:color w:val="000000"/>
        </w:rPr>
        <w:t xml:space="preserve">” </w:t>
      </w:r>
      <w:r>
        <w:rPr>
          <w:rFonts w:ascii="Times New Roman;sans-serif" w:hAnsi="Times New Roman;sans-serif"/>
          <w:b w:val="false"/>
          <w:color w:val="000000"/>
          <w:sz w:val="24"/>
        </w:rPr>
        <w:t>means the Person in whose name a Class B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B Shortfall</w:t>
      </w:r>
      <w:r>
        <w:rPr>
          <w:color w:val="000000"/>
        </w:rPr>
        <w:t xml:space="preserve">” </w:t>
      </w:r>
      <w:r>
        <w:rPr>
          <w:rFonts w:ascii="Times New Roman;sans-serif" w:hAnsi="Times New Roman;sans-serif"/>
          <w:b w:val="false"/>
          <w:color w:val="000000"/>
          <w:sz w:val="24"/>
        </w:rPr>
        <w:t>has the meaning set forth in Section 2.3(g)(ii).</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C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2024-2 Controlled Amortization Period, the amount, if any, by which the portion of the Monthly Total Principal Allocation paid to the Class C Noteholders pursuant to Section 2.5(f)(iii) for the previous Related Month was less than the Class C Controlled </w:t>
      </w:r>
    </w:p>
    <w:p>
      <w:pPr>
        <w:pStyle w:val="TextBody"/>
        <w:bidi w:val="0"/>
        <w:spacing w:before="0" w:after="0"/>
        <w:jc w:val="center"/>
        <w:rPr/>
      </w:pP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581" name="Frame5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br/>
        <w:t xml:space="preserve">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2024-2 Controlled Amortization Period, the Class C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Amortization Amount</w:t>
      </w:r>
      <w:r>
        <w:rPr>
          <w:color w:val="000000"/>
        </w:rPr>
        <w:t xml:space="preserve">” </w:t>
      </w:r>
      <w:r>
        <w:rPr>
          <w:rFonts w:ascii="Times New Roman;sans-serif" w:hAnsi="Times New Roman;sans-serif"/>
          <w:b w:val="false"/>
          <w:color w:val="000000"/>
          <w:sz w:val="24"/>
        </w:rPr>
        <w:t xml:space="preserve">means, (i) with respect to any Related Month during the Series 2024-2 Controlled Amortization Period other than the Related Month immediately preceding the Series 2024-2 Expected Final Distribution Date, $5,433,333.33 and (ii) with respect to the Related Month immediately preceding the Series 2024-2 Expected Final Distribution Date, $5,433,333.35.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2024-2 Controlled Amortization Period, an amount equal to the sum of the Class C Controlled Amortization Amount and any Class C Carryover Controlled Amortization Amount for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Initial Invested Amount</w:t>
      </w:r>
      <w:r>
        <w:rPr>
          <w:color w:val="000000"/>
        </w:rPr>
        <w:t xml:space="preserve">” </w:t>
      </w:r>
      <w:r>
        <w:rPr>
          <w:rFonts w:ascii="Times New Roman;sans-serif" w:hAnsi="Times New Roman;sans-serif"/>
          <w:b w:val="false"/>
          <w:color w:val="000000"/>
          <w:sz w:val="24"/>
        </w:rPr>
        <w:t>means the aggregate initial principal amount of the Class C Notes, which is $32,600,000.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C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C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Monthly Interest</w:t>
      </w:r>
      <w:r>
        <w:rPr>
          <w:color w:val="000000"/>
        </w:rPr>
        <w:t xml:space="preserve">” </w:t>
      </w:r>
      <w:r>
        <w:rPr>
          <w:rFonts w:ascii="Times New Roman;sans-serif" w:hAnsi="Times New Roman;sans-serif"/>
          <w:b w:val="false"/>
          <w:color w:val="000000"/>
          <w:sz w:val="24"/>
        </w:rPr>
        <w:t>means, (A) for so long as ABRCF owns 100% of the Class C Notes, $0 and (B) if ABRCF owns less than 100% of the Class C Notes, with respect to (i) the initial Series 2024-2 Interest Period, an amount equal to $206,810.78 and (ii) any other Series 2024-2 Interest Period, an amount equal to the product of (A) one-twelfth of the Class C Note Rate and (B) the Class C Invested Amount on the first day of such Series 2024-2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w:t>
      </w:r>
      <w:r>
        <w:rPr>
          <w:color w:val="000000"/>
        </w:rPr>
        <w:t xml:space="preserve">” </w:t>
      </w:r>
      <w:r>
        <w:rPr>
          <w:rFonts w:ascii="Times New Roman;sans-serif" w:hAnsi="Times New Roman;sans-serif"/>
          <w:b w:val="false"/>
          <w:color w:val="000000"/>
          <w:sz w:val="24"/>
        </w:rPr>
        <w:t xml:space="preserve">means any one of the Series 2024-2 6.01% Rental Car Asset Backed Notes, Class C, executed by ABRCF and authenticated by or on behalf of the Trustee, substantially in the form of </w:t>
      </w: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 Definitive Class C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 Rate</w:t>
      </w:r>
      <w:r>
        <w:rPr>
          <w:color w:val="000000"/>
        </w:rPr>
        <w:t xml:space="preserve">” </w:t>
      </w:r>
      <w:r>
        <w:rPr>
          <w:rFonts w:ascii="Times New Roman;sans-serif" w:hAnsi="Times New Roman;sans-serif"/>
          <w:b w:val="false"/>
          <w:color w:val="000000"/>
          <w:sz w:val="24"/>
        </w:rPr>
        <w:t>means 6.01%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Noteholder</w:t>
      </w:r>
      <w:r>
        <w:rPr>
          <w:color w:val="000000"/>
        </w:rPr>
        <w:t xml:space="preserve">” </w:t>
      </w:r>
      <w:r>
        <w:rPr>
          <w:rFonts w:ascii="Times New Roman;sans-serif" w:hAnsi="Times New Roman;sans-serif"/>
          <w:b w:val="false"/>
          <w:color w:val="000000"/>
          <w:sz w:val="24"/>
        </w:rPr>
        <w:t>means the Person in whose name a Class C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C Shortfall</w:t>
      </w:r>
      <w:r>
        <w:rPr>
          <w:color w:val="000000"/>
        </w:rPr>
        <w:t xml:space="preserve">” </w:t>
      </w:r>
      <w:r>
        <w:rPr>
          <w:rFonts w:ascii="Times New Roman;sans-serif" w:hAnsi="Times New Roman;sans-serif"/>
          <w:b w:val="false"/>
          <w:color w:val="000000"/>
          <w:sz w:val="24"/>
        </w:rPr>
        <w:t>has the meaning set forth in Section 2.3(g)(iii).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Applicable Multi-Series L/C Amount</w:t>
      </w:r>
      <w:r>
        <w:rPr>
          <w:color w:val="000000"/>
        </w:rPr>
        <w:t xml:space="preserve">” </w:t>
      </w:r>
      <w:r>
        <w:rPr>
          <w:rFonts w:ascii="Times New Roman;sans-serif" w:hAnsi="Times New Roman;sans-serif"/>
          <w:b w:val="false"/>
          <w:color w:val="000000"/>
          <w:sz w:val="24"/>
        </w:rPr>
        <w:t xml:space="preserve">means, as of any date of determination, an amount equal to the sum, for each Multi-Series Letter of Credit, of (1) the aggregate amount allocable to the Class D Notes and available to be drawn on such date under such Multi-Series Letter of Credit </w:t>
      </w:r>
      <w:r>
        <w:rPr>
          <w:rFonts w:ascii="Times New Roman;sans-serif" w:hAnsi="Times New Roman;sans-serif"/>
          <w:b w:val="false"/>
          <w:i/>
          <w:color w:val="000000"/>
          <w:sz w:val="24"/>
        </w:rPr>
        <w:t>times</w:t>
      </w:r>
      <w:r>
        <w:rPr>
          <w:color w:val="000000"/>
        </w:rPr>
        <w:t xml:space="preserve"> </w:t>
      </w:r>
      <w:r>
        <w:rPr>
          <w:rFonts w:ascii="Times New Roman;sans-serif" w:hAnsi="Times New Roman;sans-serif"/>
          <w:b w:val="false"/>
          <w:color w:val="000000"/>
          <w:sz w:val="24"/>
        </w:rPr>
        <w:t>(2) an amount (expressed as a percentage) equal to the Class D Required Liquidity Amount divided by “Required Liquidity Amount” for each applicable Series for which such Multi-Series Letter of Credit is providing credit enhancement.</w:t>
      </w:r>
    </w:p>
    <w:p>
      <w:pPr>
        <w:pStyle w:val="TextBody"/>
        <w:bidi w:val="0"/>
        <w:spacing w:before="0" w:after="0"/>
        <w:jc w:val="center"/>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582" name="Frame5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Cash Collateral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Cash Collateral Account (after giving effect to any deposits thereto and withdrawals and releases therefrom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Available Reserve Account Amount</w:t>
      </w:r>
      <w:r>
        <w:rPr>
          <w:color w:val="000000"/>
        </w:rPr>
        <w:t xml:space="preserve">” </w:t>
      </w:r>
      <w:r>
        <w:rPr>
          <w:rFonts w:ascii="Times New Roman;sans-serif" w:hAnsi="Times New Roman;sans-serif"/>
          <w:b w:val="false"/>
          <w:color w:val="000000"/>
          <w:sz w:val="24"/>
        </w:rPr>
        <w:t>means, as of any date of determination, the amount on deposit in the Class D Reserve Account (after giving effect to any deposits thereto and withdrawals and releases therefrom on such date).</w:t>
      </w:r>
    </w:p>
    <w:p>
      <w:pPr>
        <w:pStyle w:val="TextBody"/>
        <w:bidi w:val="0"/>
        <w:spacing w:lineRule="auto" w:line="288" w:before="0" w:after="120"/>
        <w:ind w:left="0" w:right="0" w:firstLine="1440"/>
        <w:jc w:val="both"/>
        <w:rPr/>
      </w:pPr>
      <w:r>
        <w:rPr>
          <w:color w:val="000000"/>
        </w:rPr>
        <w:t>“</w:t>
      </w:r>
      <w:r>
        <w:rPr>
          <w:rFonts w:ascii="Times New Roman;sans-serif" w:hAnsi="Times New Roman;sans-serif"/>
          <w:b w:val="false"/>
          <w:color w:val="000000"/>
          <w:sz w:val="24"/>
          <w:u w:val="single"/>
        </w:rPr>
        <w:t>Class D Carryover Controlled Amortization Amount</w:t>
      </w:r>
      <w:r>
        <w:rPr>
          <w:color w:val="000000"/>
        </w:rPr>
        <w:t xml:space="preserve">” </w:t>
      </w:r>
      <w:r>
        <w:rPr>
          <w:rFonts w:ascii="Times New Roman;sans-serif" w:hAnsi="Times New Roman;sans-serif"/>
          <w:b w:val="false"/>
          <w:color w:val="000000"/>
          <w:sz w:val="24"/>
        </w:rPr>
        <w:t xml:space="preserve">means, with respect to any Related Month during the Series 2024-2 Controlled Amortization Period, the amount, if any, by which the portion of the Monthly Total Principal Allocation paid to the Class D Noteholders pursuant to Section 2.5(f)(iv) for the previous Related Month was less than the Class D Controlled Distribution Amount for the previous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for the first Related Month in the Series 2024-2 Controlled Amortization Period, the Class D Carryover Controlled Amortization Amount shall be zero.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Account</w:t>
      </w:r>
      <w:r>
        <w:rPr>
          <w:color w:val="000000"/>
        </w:rPr>
        <w:t xml:space="preserve">” </w:t>
      </w:r>
      <w:r>
        <w:rPr>
          <w:rFonts w:ascii="Times New Roman;sans-serif" w:hAnsi="Times New Roman;sans-serif"/>
          <w:b w:val="false"/>
          <w:color w:val="000000"/>
          <w:sz w:val="24"/>
        </w:rPr>
        <w:t>is defined in Section 2.8(j).</w:t>
      </w:r>
    </w:p>
    <w:p>
      <w:pPr>
        <w:pStyle w:val="TextBody"/>
        <w:bidi w:val="0"/>
        <w:spacing w:lineRule="auto" w:line="288" w:before="0" w:after="180"/>
        <w:ind w:left="0" w:right="0" w:firstLine="1440"/>
        <w:jc w:val="both"/>
        <w:rPr/>
      </w:pPr>
      <w:r>
        <w:rPr>
          <w:color w:val="000000"/>
        </w:rPr>
        <w:t>“</w:t>
      </w:r>
      <w:r>
        <w:rPr>
          <w:rFonts w:ascii="Times New Roman;sans-serif" w:hAnsi="Times New Roman;sans-serif"/>
          <w:b w:val="false"/>
          <w:color w:val="000000"/>
          <w:sz w:val="24"/>
          <w:u w:val="single"/>
        </w:rPr>
        <w:t>Class D Cash Collateral Account Surplus</w:t>
      </w:r>
      <w:r>
        <w:rPr>
          <w:color w:val="000000"/>
        </w:rPr>
        <w:t xml:space="preserve">” </w:t>
      </w:r>
      <w:r>
        <w:rPr>
          <w:rFonts w:ascii="Times New Roman;sans-serif" w:hAnsi="Times New Roman;sans-serif"/>
          <w:b w:val="false"/>
          <w:color w:val="000000"/>
          <w:sz w:val="24"/>
        </w:rPr>
        <w:t xml:space="preserve">means, with respect to any Distribution Date, the lesser of (a) the Class D Available Cash Collateral Account Amount and (b) the lesser of (A) the excess, if any, of the Class D Liquidity Amount (after giving effect to any withdrawal from the Class D Reserve Account on such Distribution Date) over the Class D Required Liquidity Amount on such Distribution Date and (B) the excess, if any, of the Class D Enhancement Amount (after giving effect to any withdrawal from the Class A/B/C Reserve Account and the Class D Reserve Account and any draws on the Class A/B/C Letters of Credit (or withdrawals from the Class A/B/C Cash Collateral Account) on such Distribution Date) over the Class D Required Enhancement Amount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 xml:space="preserve">that, on any date after the Multi-Series Letter of Credit Termination Date, the Class D Cash Collateral Account Surplus shall mean the excess, if any, of (x) the Class D Available Cash Collateral Account Amount over (y) the Series 2024-2 Demand Note Payment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Pre-Preference Period Demand Note Payments as of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A/B/C Cash Collateral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Cash Collateral Percentage</w:t>
      </w:r>
      <w:r>
        <w:rPr>
          <w:color w:val="000000"/>
        </w:rPr>
        <w:t xml:space="preserve">” </w:t>
      </w:r>
      <w:r>
        <w:rPr>
          <w:rFonts w:ascii="Times New Roman;sans-serif" w:hAnsi="Times New Roman;sans-serif"/>
          <w:b w:val="false"/>
          <w:color w:val="000000"/>
          <w:sz w:val="24"/>
        </w:rPr>
        <w:t>means, as of any date of determination, the percentage equivalent of a fraction, the numerator of which is the Class D Available Cash Collateral Account Amount as of such date and the denominator of which is the Class D Letter of Credit Liquidity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2024-2 Controlled Amortization Period other than the Related Month immediately preceding the Series 2024-2 Expected Final Distribution Date, $9,091,666.66 and (ii) with respect to the Related Month immediately preceding the Series 2024-2 Expected Final Distribution Date, $9,091,666.70.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Controlled Distribution Amount</w:t>
      </w:r>
      <w:r>
        <w:rPr>
          <w:color w:val="000000"/>
        </w:rPr>
        <w:t xml:space="preserve">” </w:t>
      </w:r>
      <w:r>
        <w:rPr>
          <w:rFonts w:ascii="Times New Roman;sans-serif" w:hAnsi="Times New Roman;sans-serif"/>
          <w:b w:val="false"/>
          <w:color w:val="000000"/>
          <w:sz w:val="24"/>
        </w:rPr>
        <w:t>means, with respect to any Related Month during the Series 2024-2 Controlled Amortization Period, an amount equal to the sum of the Class D Controlled Amortization Amount and any Class D Carryover Controlled Amortization Amount for such Related Month.</w:t>
      </w:r>
    </w:p>
    <w:p>
      <w:pPr>
        <w:pStyle w:val="TextBody"/>
        <w:bidi w:val="0"/>
        <w:spacing w:before="0" w:after="0"/>
        <w:jc w:val="center"/>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583" name="Frame5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Enhancement Amount</w:t>
      </w:r>
      <w:r>
        <w:rPr>
          <w:color w:val="000000"/>
        </w:rPr>
        <w:t xml:space="preserve">” </w:t>
      </w:r>
      <w:r>
        <w:rPr>
          <w:rFonts w:ascii="Times New Roman;sans-serif" w:hAnsi="Times New Roman;sans-serif"/>
          <w:b w:val="false"/>
          <w:color w:val="000000"/>
          <w:sz w:val="24"/>
        </w:rPr>
        <w:t>means, as of any date of determination, an amount equal to (a) the Class D Overcollateralization Amount as of such date, plus (b) the Class D Letter of Credit Amount as of such date, plus (c) the Class D Available Reserve Account Amount as of such date, plus (d) the Class A/B/C Letter of Credit Amount as of such date, plus (e) the Class A/B/C Available Reserve Account Amount as of such date, plus (f) the amount of cash and Permitted Investments on deposit in the Series 2024-2 Collection Account (not including amounts allocable to the Series 2024-2 Accrued Interest Account) and the Series 2024-2 Excess Collection Account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Enhancement Deficiency</w:t>
      </w:r>
      <w:r>
        <w:rPr>
          <w:color w:val="000000"/>
        </w:rPr>
        <w:t xml:space="preserve">” </w:t>
      </w:r>
      <w:r>
        <w:rPr>
          <w:rFonts w:ascii="Times New Roman;sans-serif" w:hAnsi="Times New Roman;sans-serif"/>
          <w:b w:val="false"/>
          <w:color w:val="000000"/>
          <w:sz w:val="24"/>
        </w:rPr>
        <w:t>means, on any date of determination, the amount by which the Class D Enhancement Amount is less than the Class D Required Enhancement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Initial Invested Amount</w:t>
      </w:r>
      <w:r>
        <w:rPr>
          <w:color w:val="000000"/>
        </w:rPr>
        <w:t xml:space="preserve">” </w:t>
      </w:r>
      <w:r>
        <w:rPr>
          <w:rFonts w:ascii="Times New Roman;sans-serif" w:hAnsi="Times New Roman;sans-serif"/>
          <w:b w:val="false"/>
          <w:color w:val="000000"/>
          <w:sz w:val="24"/>
        </w:rPr>
        <w:t>means the aggregate initial principal amount of the Class D Notes, which is $54,550,000.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Initial Note Rate</w:t>
      </w:r>
      <w:r>
        <w:rPr>
          <w:color w:val="000000"/>
        </w:rPr>
        <w:t xml:space="preserve">” </w:t>
      </w:r>
      <w:r>
        <w:rPr>
          <w:rFonts w:ascii="Times New Roman;sans-serif" w:hAnsi="Times New Roman;sans-serif"/>
          <w:b w:val="false"/>
          <w:color w:val="000000"/>
          <w:sz w:val="24"/>
        </w:rPr>
        <w:t xml:space="preserve">means 9.672% per annum.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D Initial Invested Amount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(b) the amount of principal payments made to Class D Noteholders on or prior to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Amount</w:t>
      </w:r>
      <w:r>
        <w:rPr>
          <w:color w:val="000000"/>
        </w:rPr>
        <w:t xml:space="preserve">” </w:t>
      </w:r>
      <w:r>
        <w:rPr>
          <w:rFonts w:ascii="Times New Roman;sans-serif" w:hAnsi="Times New Roman;sans-serif"/>
          <w:b w:val="false"/>
          <w:color w:val="000000"/>
          <w:sz w:val="24"/>
        </w:rPr>
        <w:t>means, as of any date of determination, the lesser of (a) the sum of (i) the Class D Applicable Multi-Series L/C Amount as of such date under each Multi-Series Letter of Credit (other than any Multi-Series Letter of Credit on which any draw has been made pursuant to Section 2.8(e)), as specified therein, and (ii) if the Class D Cash Collateral Account has been established and funded pursuant to Section 2.8, the Class D Available Cash Collateral Account Amount on such date and (b) the aggregate outstanding principal amount of the Series 2024-2 Demand Notes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Letter of Credit Liquidity Amount</w:t>
      </w:r>
      <w:r>
        <w:rPr>
          <w:color w:val="000000"/>
        </w:rPr>
        <w:t xml:space="preserve">” </w:t>
      </w:r>
      <w:r>
        <w:rPr>
          <w:rFonts w:ascii="Times New Roman;sans-serif" w:hAnsi="Times New Roman;sans-serif"/>
          <w:b w:val="false"/>
          <w:color w:val="000000"/>
          <w:sz w:val="24"/>
        </w:rPr>
        <w:t>means, as of any date of determination, the sum of (a) the Class D Applicable Multi-Series L/C Amount as such date under each Multi-Series Letter of Credit (other than any Multi-Series Letter of Credit on which any draw has been made pursuant to Section 2.8(e)), as specified therein, and (b) if the Class D Cash Collateral Account has been established and funded pursuant to Section 2.8, the Class D Available Cash Collateral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Liquidity Amount</w:t>
      </w:r>
      <w:r>
        <w:rPr>
          <w:color w:val="000000"/>
        </w:rPr>
        <w:t xml:space="preserve">” </w:t>
      </w:r>
      <w:r>
        <w:rPr>
          <w:rFonts w:ascii="Times New Roman;sans-serif" w:hAnsi="Times New Roman;sans-serif"/>
          <w:b w:val="false"/>
          <w:color w:val="000000"/>
          <w:sz w:val="24"/>
        </w:rPr>
        <w:t>means, as of any date of determination, the sum of (a) the Class D Letter of Credit Liquidity Amount on such date and (b) the Class D Available Reserve Account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Amounts</w:t>
      </w:r>
      <w:r>
        <w:rPr>
          <w:color w:val="000000"/>
        </w:rPr>
        <w:t xml:space="preserve">” </w:t>
      </w:r>
      <w:r>
        <w:rPr>
          <w:rFonts w:ascii="Times New Roman;sans-serif" w:hAnsi="Times New Roman;sans-serif"/>
          <w:b w:val="false"/>
          <w:color w:val="000000"/>
          <w:sz w:val="24"/>
        </w:rPr>
        <w:t xml:space="preserve">means, collectively, the Class D Maximum Jaguar Amount, Class D Maximum Tesla Amount, the Class D Maximum Land Rover Amount, the Class D Maximum Mitsubishi Amount, the Class D Maximum Isuzu Amount, the Class D Maximum Subaru Amount, the Class D Maximum Hyundai Amount, the Class D Maximum Kia Amount, the Class D Maximum Suzuki Amount, the Class D Maximum Specified States Amount (if </w:t>
      </w:r>
    </w:p>
    <w:p>
      <w:pPr>
        <w:pStyle w:val="TextBody"/>
        <w:bidi w:val="0"/>
        <w:spacing w:before="0" w:after="0"/>
        <w:jc w:val="center"/>
        <w:rPr/>
      </w:pP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84" name="Frame5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applicable), the Class D Maximum Non-Perfected Vehicle Amount, the Class D Maximum Non-Eligible Manufacturer Amount and the Class D Maximum Medium/Heavy Duty Truck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Hyundai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Isuzu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Jaguar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Kia Amount</w:t>
      </w:r>
      <w:r>
        <w:rPr>
          <w:color w:val="000000"/>
        </w:rPr>
        <w:t xml:space="preserve">” </w:t>
      </w:r>
      <w:r>
        <w:rPr>
          <w:rFonts w:ascii="Times New Roman;sans-serif" w:hAnsi="Times New Roman;sans-serif"/>
          <w:b w:val="false"/>
          <w:color w:val="000000"/>
          <w:sz w:val="24"/>
        </w:rPr>
        <w:t>means, as of any day, an amount equal to 55%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Land Rover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Medium/Heavy Duty Truck Amount</w:t>
      </w:r>
      <w:r>
        <w:rPr>
          <w:color w:val="000000"/>
        </w:rPr>
        <w:t xml:space="preserve">” </w:t>
      </w:r>
      <w:r>
        <w:rPr>
          <w:rFonts w:ascii="Times New Roman;sans-serif" w:hAnsi="Times New Roman;sans-serif"/>
          <w:b w:val="false"/>
          <w:color w:val="000000"/>
          <w:sz w:val="24"/>
        </w:rPr>
        <w:t>means, as of any day, an amount equal to 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Mitsubishi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Non-Eligible Manufacturer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Non-Perfected Vehicle Amount</w:t>
      </w:r>
      <w:r>
        <w:rPr>
          <w:color w:val="000000"/>
        </w:rPr>
        <w:t xml:space="preserve">” </w:t>
      </w:r>
      <w:r>
        <w:rPr>
          <w:rFonts w:ascii="Times New Roman;sans-serif" w:hAnsi="Times New Roman;sans-serif"/>
          <w:b w:val="false"/>
          <w:color w:val="000000"/>
          <w:sz w:val="24"/>
        </w:rPr>
        <w:t xml:space="preserve">means, as of any day, an amount equal to 10% of the aggregate Net Book Value of all Vehicles leased under the Leases on such day.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Specified States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Subaru Amount</w:t>
      </w:r>
      <w:r>
        <w:rPr>
          <w:color w:val="000000"/>
        </w:rPr>
        <w:t xml:space="preserve">” </w:t>
      </w:r>
      <w:r>
        <w:rPr>
          <w:rFonts w:ascii="Times New Roman;sans-serif" w:hAnsi="Times New Roman;sans-serif"/>
          <w:b w:val="false"/>
          <w:color w:val="000000"/>
          <w:sz w:val="24"/>
        </w:rPr>
        <w:t>means, as of any day, an amount equal to 12.5%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Suzuki Amount</w:t>
      </w:r>
      <w:r>
        <w:rPr>
          <w:color w:val="000000"/>
        </w:rPr>
        <w:t xml:space="preserve">” </w:t>
      </w:r>
      <w:r>
        <w:rPr>
          <w:rFonts w:ascii="Times New Roman;sans-serif" w:hAnsi="Times New Roman;sans-serif"/>
          <w:b w:val="false"/>
          <w:color w:val="000000"/>
          <w:sz w:val="24"/>
        </w:rPr>
        <w:t>means, as of any day, an amount equal to 10%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Maximum Tesla Amount</w:t>
      </w:r>
      <w:r>
        <w:rPr>
          <w:color w:val="000000"/>
        </w:rPr>
        <w:t xml:space="preserve">” </w:t>
      </w:r>
      <w:r>
        <w:rPr>
          <w:rFonts w:ascii="Times New Roman;sans-serif" w:hAnsi="Times New Roman;sans-serif"/>
          <w:b w:val="false"/>
          <w:color w:val="000000"/>
          <w:sz w:val="24"/>
        </w:rPr>
        <w:t>means, as of any day, an amount equal to 25% of the aggregate Net Book Value of all Vehicles leased under the Leases on such day.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Interest</w:t>
      </w:r>
      <w:r>
        <w:rPr>
          <w:color w:val="000000"/>
        </w:rPr>
        <w:t xml:space="preserve">” </w:t>
      </w:r>
      <w:r>
        <w:rPr>
          <w:rFonts w:ascii="Times New Roman;sans-serif" w:hAnsi="Times New Roman;sans-serif"/>
          <w:b w:val="false"/>
          <w:color w:val="000000"/>
          <w:sz w:val="24"/>
        </w:rPr>
        <w:t>means, with respect to (i) the initial Series 2024-2 Interest Period for the Class D Notes, an amount equal to $776,756 and (ii) any other Series 2024-</w:t>
      </w:r>
    </w:p>
    <w:p>
      <w:pPr>
        <w:pStyle w:val="TextBody"/>
        <w:bidi w:val="0"/>
        <w:spacing w:before="0" w:after="0"/>
        <w:jc w:val="center"/>
        <w:rPr/>
      </w:pP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5" name="Frame5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2 Interest Period, an amount equal to the product of (A) one-twelfth of the Class D Note Rate in effect on the first day of such Series 2024-2 Interest Period and (B) the Class D Invested Amount on the first day of such Series 2024-2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Senior Interest</w:t>
      </w:r>
      <w:r>
        <w:rPr>
          <w:color w:val="000000"/>
        </w:rPr>
        <w:t xml:space="preserve">” </w:t>
      </w:r>
      <w:r>
        <w:rPr>
          <w:rFonts w:ascii="Times New Roman;sans-serif" w:hAnsi="Times New Roman;sans-serif"/>
          <w:b w:val="false"/>
          <w:color w:val="000000"/>
          <w:sz w:val="24"/>
        </w:rPr>
        <w:t>means, with respect to (i) the initial Series 2024-2 Interest Period for the Class D Notes, an amount equal to $776,756 and (ii) any other Series 2024-2 Interest Period, an amount equal to the product of (A) one-twelfth of the Class D Initial Note Rate and (B) the Class D Invested Amount on the first day of such Series 2024-2 Interest Period, after giving effect to any principal payments made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Monthly Subordinated Interest</w:t>
      </w:r>
      <w:r>
        <w:rPr>
          <w:color w:val="000000"/>
        </w:rPr>
        <w:t xml:space="preserve">” </w:t>
      </w:r>
      <w:r>
        <w:rPr>
          <w:rFonts w:ascii="Times New Roman;sans-serif" w:hAnsi="Times New Roman;sans-serif"/>
          <w:b w:val="false"/>
          <w:color w:val="000000"/>
          <w:sz w:val="24"/>
        </w:rPr>
        <w:t xml:space="preserve">means, with respect to any Series 2024-2 Interest Period, an amount equal to the excess, if any, of (x) the Class D Monthly Interest with respect to such Series 2024-2 Interest Period over (x) the Class D Monthly Senior Interest with respect to such Series 2024-2 Interest Period.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w:t>
      </w:r>
      <w:r>
        <w:rPr>
          <w:color w:val="000000"/>
        </w:rPr>
        <w:t xml:space="preserve">” </w:t>
      </w:r>
      <w:r>
        <w:rPr>
          <w:rFonts w:ascii="Times New Roman;sans-serif" w:hAnsi="Times New Roman;sans-serif"/>
          <w:b w:val="false"/>
          <w:color w:val="000000"/>
          <w:sz w:val="24"/>
        </w:rPr>
        <w:t xml:space="preserve">means any one of the Series 2024-2 9.672% Rental Car Asset Backed Notes, Class D, executed by ABRCF and authenticated by or on behalf of the Trustee, substantially in the form of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Definitive Class D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 Rate</w:t>
      </w:r>
      <w:r>
        <w:rPr>
          <w:color w:val="000000"/>
        </w:rPr>
        <w:t xml:space="preserve">” </w:t>
      </w:r>
      <w:r>
        <w:rPr>
          <w:rFonts w:ascii="Times New Roman;sans-serif" w:hAnsi="Times New Roman;sans-serif"/>
          <w:b w:val="false"/>
          <w:color w:val="000000"/>
          <w:sz w:val="24"/>
        </w:rPr>
        <w:t xml:space="preserve">means the Class D Initial Note Rate;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 on and after March 19, 2025 and thereafter, (1) if any Class D Noteholder holds Subject Class D Notes in an aggregate principal amount of at least $190,000,000, the Class D Note Rate shall equal the greater of (x) the Class D Note Rate on March 18, 2025 plus 1.00% and (y) the sum of the Interpolated Treasury Rate on March 18, 2025 and 6.50% and (2) if no Class D Noteholder holds Subject Class D Notes in an aggregate principal amount of at least $190,000,000, the Class D Note Rate shall equal the greater of (x) the Class D Note Rate on March 18, 2025 and (y) the sum of the Interpolated Treasury Rate as of March 18, 2025 and 5.50%, (ii) on and after June 15, 2025 and thereafter, so long as any Class D Noteholder holds any Subject Class D Notes, the Class D Note Rate shall equal the greater of (x) the Class D Note Rate on June 14, 2025 plus 3.00% and (y) the sum of the Interpolated Treasury Rate as of June 14, 2025 and (A) 9.50% if any Class D Noteholder holds Subject Class D Notes in an aggregate principal amount of at least $190,000,000 and (B) otherwise 8.50%, (iii) on and after September 15, 2025 and thereafter, so long as any Class D Noteholder holds any Subject Class D Notes, the Class D Note Rate shall equal the greater of (x) the Class D Note Rate on September 14, 2025 plus 1.00% and (y) the sum of the Interpolated Treasury Rate as of September 14, 2025 and 9.50% and (iv) on and after December 15, 2025 and thereafter, so long as any Class D Noteholder holds any Subject Class D Notes the Class D Note Rate shall equal the greater of (x) the Class D Note Rate on December 14, 2025 plus 1.00% and (y) the sum of the Interpolated Treasury Rate as of December 14, 2025 and 10.50%.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Noteholder</w:t>
      </w:r>
      <w:r>
        <w:rPr>
          <w:color w:val="000000"/>
        </w:rPr>
        <w:t xml:space="preserve">” </w:t>
      </w:r>
      <w:r>
        <w:rPr>
          <w:rFonts w:ascii="Times New Roman;sans-serif" w:hAnsi="Times New Roman;sans-serif"/>
          <w:b w:val="false"/>
          <w:color w:val="000000"/>
          <w:sz w:val="24"/>
        </w:rPr>
        <w:t>means the Person in whose name a Class D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Notes Closing Date</w:t>
      </w:r>
      <w:r>
        <w:rPr>
          <w:color w:val="000000"/>
        </w:rPr>
        <w:t xml:space="preserve">” </w:t>
      </w:r>
      <w:r>
        <w:rPr>
          <w:rFonts w:ascii="Times New Roman;sans-serif" w:hAnsi="Times New Roman;sans-serif"/>
          <w:b w:val="false"/>
          <w:color w:val="000000"/>
          <w:sz w:val="24"/>
        </w:rPr>
        <w:t>means December 27, 2024.</w:t>
      </w:r>
    </w:p>
    <w:p>
      <w:pPr>
        <w:pStyle w:val="TextBody"/>
        <w:bidi w:val="0"/>
        <w:spacing w:before="0" w:after="0"/>
        <w:jc w:val="center"/>
        <w:rPr/>
      </w:pP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86" name="Frame5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Overcollateralization Amount</w:t>
      </w:r>
      <w:r>
        <w:rPr>
          <w:color w:val="000000"/>
        </w:rPr>
        <w:t xml:space="preserve">” </w:t>
      </w:r>
      <w:r>
        <w:rPr>
          <w:rFonts w:ascii="Times New Roman;sans-serif" w:hAnsi="Times New Roman;sans-serif"/>
          <w:b w:val="false"/>
          <w:color w:val="000000"/>
          <w:sz w:val="24"/>
        </w:rPr>
        <w:t>means, the excess, if any of (x) the Series 2024-2 AESOP I Operating Lease Loan Agreement Borrowing Base as of such date over (y) the Series 2024-2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Percentage</w:t>
      </w:r>
      <w:r>
        <w:rPr>
          <w:color w:val="000000"/>
        </w:rPr>
        <w:t xml:space="preserve">” </w:t>
      </w:r>
      <w:r>
        <w:rPr>
          <w:rFonts w:ascii="Times New Roman;sans-serif" w:hAnsi="Times New Roman;sans-serif"/>
          <w:b w:val="false"/>
          <w:color w:val="000000"/>
          <w:sz w:val="24"/>
        </w:rPr>
        <w:t>means, as of any date of determination, a percentage equal to the excess, if any, of (x) 100% over (y) the Class A/B/C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Principal Deficit Amount</w:t>
      </w:r>
      <w:r>
        <w:rPr>
          <w:color w:val="000000"/>
        </w:rPr>
        <w:t xml:space="preserve">” </w:t>
      </w:r>
      <w:r>
        <w:rPr>
          <w:rFonts w:ascii="Times New Roman;sans-serif" w:hAnsi="Times New Roman;sans-serif"/>
          <w:b w:val="false"/>
          <w:color w:val="000000"/>
          <w:sz w:val="24"/>
        </w:rPr>
        <w:t xml:space="preserve">means, as of any date of determination, the excess, if any, of (i) the Class D Invested Amount on such date (after giving effect to the distribution of the Monthly Total Principal Allocation for the Related Month if such date is a Distribution Date) over (ii) the Series 2024-2 AESOP I Operating Lease Loan Agreement Borrowing Base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Class D Principal Deficit Amount on any date occurring during the period commencing on and including the date of the filing by any of the Lessees of a petition for relief under Chapter 11 of the Bankruptcy Code to but excluding the date on which each of the Lessees shall have resumed making all payments of the portion of Monthly Base Rent relating to Loan Interest required to be made under the AESOP I Operating Lease, shall mean the excess, if any, of (x) the Class D Invested Amount on such date (after giving effect to the distribution of Monthly Total Principal Allocation for the Related Month if such date is a Distribution Date) over (y) the sum of (1) the Series 2024-2 AESOP I Operating Lease Loan Agreement Borrowing Base on such date and (2) the lesser of (a) the Class D Liquidity Amount on such date and (b) the Class D Required Liquidity Amount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Pro Rata Share</w:t>
      </w:r>
      <w:r>
        <w:rPr>
          <w:color w:val="000000"/>
        </w:rPr>
        <w:t xml:space="preserve">” </w:t>
      </w:r>
      <w:r>
        <w:rPr>
          <w:rFonts w:ascii="Times New Roman;sans-serif" w:hAnsi="Times New Roman;sans-serif"/>
          <w:b w:val="false"/>
          <w:color w:val="000000"/>
          <w:sz w:val="24"/>
        </w:rPr>
        <w:t xml:space="preserve">means, with respect to any Multi-Series Letter of Credit Provider as of any date, the fraction (expressed as a percentage) obtained by dividing (A) the available amount allocated to the Class D Notes under such Multi-Series Letter of Credit Provider’s Multi-Series Letter of Credit as of such date by (B) an amount equal to the aggregate available amount allocated to the Class D Notes under all Multi-Series Letters of Credit as of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only for purposes of calculating the Class D Pro Rata Share with respect to any Multi-Series Letter of Credit Provider as of any date, if such Multi-Series Letter of Credit Provider has not complied with its obligation to pay the Trustee the amount of any draw under the Multi-Series Letter of Credit made prior to such date, the available amount under such Multi-Series Letter of Credit as of such date shall be treated as reduced (for calculation purposes only) by the amount of such unpaid demand and shall not be reinstated for purposes of such calculation unless and until the date as of which such Multi-Series Letter of Credit Provider has paid such amount to the Trustee and been reimbursed by the Lessee or the applicable Demand Note Issuer, as the case may be, for such amount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foregoing calculation shall not in any manner reduce the undersigned’s actual liability in respect of any failure to pay any demand under the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Enhancement Amount</w:t>
      </w:r>
      <w:r>
        <w:rPr>
          <w:color w:val="000000"/>
        </w:rPr>
        <w:t xml:space="preserve">” </w:t>
      </w:r>
      <w:r>
        <w:rPr>
          <w:rFonts w:ascii="Times New Roman;sans-serif" w:hAnsi="Times New Roman;sans-serif"/>
          <w:b w:val="false"/>
          <w:color w:val="000000"/>
          <w:sz w:val="24"/>
        </w:rPr>
        <w:t xml:space="preserve">means an amount equal to, as of any date of determination, the sum (without duplication) of (i) the applicable Series 2024-2 Moody’s Required Enhancement Amount as of such date, (ii) the Series 2024-2 AESOP I Operating Lease Vehicle Percentage as of the immediately preceding Business Day of the excess, if any, of the aggregate Net Book Value of all Vehicles manufactured by Mitsubishi and leased under the Leases as of such date over the Class D Maximum Mitsubishi Amount as of such date, (iii) the Series 2024-2 AESOP I Operating Lease Vehicle Percentage as of the immediately preceding Business Day of the excess, if any, of the aggregate Net Book Value of all Vehicles manufactured by Isuzu </w:t>
      </w:r>
    </w:p>
    <w:p>
      <w:pPr>
        <w:pStyle w:val="TextBody"/>
        <w:bidi w:val="0"/>
        <w:spacing w:before="0" w:after="0"/>
        <w:jc w:val="center"/>
        <w:rPr/>
      </w:pP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587" name="Frame5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and leased under the Leases as of such date over the Class D Maximum Isuzu Amount as of such date, (iv) the Series 2024-2 AESOP I Operating Lease Vehicle Percentage as of the immediately preceding Business Day of the excess, if any, of the aggregate Net Book Value of all Vehicles manufactured by Subaru and leased under the Leases as of such date over the Class D Maximum Subaru Amount as of such date, (v) the Series 2024-2 AESOP I Operating Lease Vehicle Percentage as of the immediately preceding Business Day of the excess, if any, of the aggregate Net Book Value of all Vehicles manufactured by Hyundai and leased under the Leases as of such date over the Class D Maximum Hyundai Amount as of such date, (vi) the Series 2024-2 AESOP I Operating Lease Vehicle Percentage as of the immediately preceding Business Day of the excess, if any, of the aggregate Net Book Value of all Vehicles manufactured by Kia and leased under the Leases as of such date over the Class D Maximum Kia Amount as of such date, (vii) the Series 2024-2 AESOP I Operating Lease Vehicle Percentage as of the immediately preceding Business Day of the excess, if any, of the aggregate Net Book Value of all Vehicles manufactured by Suzuki and leased under the Leases as of such date over the Class D Maximum Suzuki Amount as of such date, (viii) the Series 2024-2 AESOP I Operating Lease Vehicle Percentage as of the immediately preceding Business Day of the excess, if any, of the aggregate Net Book Value of all Vehicles manufactured by Tesla and leased under the Leases as of such date over the Class D Maximum Tesla Amount as of such date, (ix) the Series 2024-2 AESOP I Operating Lease Vehicle Percentage as of the immediately preceding Business Day of the excess, if any, of the aggregate Net Book Value of all Vehicles manufactured by Land Rover and leased under the Leases as of such date over the Class D Maximum Land Rover Amount as of such date, (x) the Series 2024-2 AESOP I Operating Lease Vehicle Percentage as of the immediately preceding Business Day of the excess, if any, of the aggregate Net Book Value of all Vehicles manufactured by Jaguar and leased under the Leases as of such date over the Class D Maximum Jaguar Amount as of such date, (xi) the Series 2024-2 AESOP I Operating Lease Vehicle Percentage as of the immediately preceding Business Day of the excess, if any, of (x) if the Springing Amendment Condition (Non-Perfected Lien) is not satisfied, the Specified States Amount as of such date over the Class D Maximum Specified States Amount as of such date or (y) if the Springing Amendment Condition (Non-Perfected Lien) is satisfied, the Net Book Value of all Vehicles leased under the Operating Leases with respect to which the lien under the Indenture is not perfected through a notation of such lien on the Certificate of Title or otherwise over the Class D Maximum Non-Perfected Vehicle Amount (as applicable) as of such date, (xii) the Series 2024-2 AESOP I Operating Lease Vehicle Percentage as of the immediately preceding Business Day of the excess, if any, of the Non-Eligible Manufacturer Amount as of such date over the Class D Maximum Non-Eligible Manufacturer Amount as of such date and (xiii) if the Springing Amendment Condition (Trucks) has been satisfied, the Series 2024-2 AESOP I Operating Lease Vehicle Percentage as of the immediately preceding Business Day of the excess, if any, of the Net Book Value of all Vehicles leased under the Leases as of such date that were “medium duty” or “heavy duty” trucks at the time of acquisition over the Class D Maximum Medium/Heavy Duty Truck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Liquidity Amount</w:t>
      </w:r>
      <w:r>
        <w:rPr>
          <w:color w:val="000000"/>
        </w:rPr>
        <w:t xml:space="preserve">” </w:t>
      </w:r>
      <w:r>
        <w:rPr>
          <w:rFonts w:ascii="Times New Roman;sans-serif" w:hAnsi="Times New Roman;sans-serif"/>
          <w:b w:val="false"/>
          <w:color w:val="000000"/>
          <w:sz w:val="24"/>
        </w:rPr>
        <w:t xml:space="preserve">means an amount equal to the product of 5.50% and the Class D Invested Amount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Overcollateralization Amount</w:t>
      </w:r>
      <w:r>
        <w:rPr>
          <w:color w:val="000000"/>
        </w:rPr>
        <w:t xml:space="preserve">” </w:t>
      </w:r>
      <w:r>
        <w:rPr>
          <w:rFonts w:ascii="Times New Roman;sans-serif" w:hAnsi="Times New Roman;sans-serif"/>
          <w:b w:val="false"/>
          <w:color w:val="000000"/>
          <w:sz w:val="24"/>
        </w:rPr>
        <w:t xml:space="preserve">means, as of any date of determination, the excess, if any, of the Class D Required Enhancement Amount over the sum of (i) the Class A/B/C Letter of Credit Amount as of such date, (ii) the Class D Letter of Credit Amount as of such date, (iii) the Class A/B/C Available Reserve Account Amount on such date, </w:t>
      </w:r>
    </w:p>
    <w:p>
      <w:pPr>
        <w:pStyle w:val="TextBody"/>
        <w:bidi w:val="0"/>
        <w:spacing w:before="0" w:after="0"/>
        <w:jc w:val="center"/>
        <w:rPr/>
      </w:pP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588" name="Frame5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(iv) the Class D Available Reserve Account Amount on such date and (v) the amount of cash and Permitted Investments on deposit in the Series 2024-2 Collection Account (not including amounts allocable to the Series 2024-2 Accrued Interest Account) and the Series 2024-2 Excess Collection Account on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Required Reserve Account Amount</w:t>
      </w:r>
      <w:r>
        <w:rPr>
          <w:color w:val="000000"/>
        </w:rPr>
        <w:t xml:space="preserve">” </w:t>
      </w:r>
      <w:r>
        <w:rPr>
          <w:rFonts w:ascii="Times New Roman;sans-serif" w:hAnsi="Times New Roman;sans-serif"/>
          <w:b w:val="false"/>
          <w:color w:val="000000"/>
          <w:sz w:val="24"/>
        </w:rPr>
        <w:t>means, for any date of determination, an amount equal to the greater of (a) the excess, if any, of the Class D Required Liquidity Amount as of such date over the Class D Letter of Credit Liquidity Amount as of such date and (b) the excess, if any, of the Class D Required Enhancement Amount as of such date over the Class D Enhancement Amount (excluding therefrom the Class D Available Reserve Account Amount and calculated after giving effect to any payments of principal to be made on the Series 2024-2 Notes)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w:t>
      </w:r>
      <w:r>
        <w:rPr>
          <w:color w:val="000000"/>
        </w:rPr>
        <w:t xml:space="preserve">” </w:t>
      </w:r>
      <w:r>
        <w:rPr>
          <w:rFonts w:ascii="Times New Roman;sans-serif" w:hAnsi="Times New Roman;sans-serif"/>
          <w:b w:val="false"/>
          <w:color w:val="000000"/>
          <w:sz w:val="24"/>
        </w:rPr>
        <w:t>is defined in Section 2.7(g).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Collateral</w:t>
      </w:r>
      <w:r>
        <w:rPr>
          <w:color w:val="000000"/>
        </w:rPr>
        <w:t xml:space="preserve">” </w:t>
      </w:r>
      <w:r>
        <w:rPr>
          <w:rFonts w:ascii="Times New Roman;sans-serif" w:hAnsi="Times New Roman;sans-serif"/>
          <w:b w:val="false"/>
          <w:color w:val="000000"/>
          <w:sz w:val="24"/>
        </w:rPr>
        <w:t>is defined in Section 2.7(j).</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Reserve Account Surplus</w:t>
      </w:r>
      <w:r>
        <w:rPr>
          <w:color w:val="000000"/>
        </w:rPr>
        <w:t xml:space="preserve">” </w:t>
      </w:r>
      <w:r>
        <w:rPr>
          <w:rFonts w:ascii="Times New Roman;sans-serif" w:hAnsi="Times New Roman;sans-serif"/>
          <w:b w:val="false"/>
          <w:color w:val="000000"/>
          <w:sz w:val="24"/>
        </w:rPr>
        <w:t>means, with respect to any Distribution Date, the excess, if any, of the Class D Available Reserve Account Amount over the Class D Required Reserve Account Amount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Senior Interest Shortfall</w:t>
      </w:r>
      <w:r>
        <w:rPr>
          <w:color w:val="000000"/>
        </w:rPr>
        <w:t xml:space="preserve">” </w:t>
      </w:r>
      <w:r>
        <w:rPr>
          <w:rFonts w:ascii="Times New Roman;sans-serif" w:hAnsi="Times New Roman;sans-serif"/>
          <w:b w:val="false"/>
          <w:color w:val="000000"/>
          <w:sz w:val="24"/>
        </w:rPr>
        <w:t>has the meaning set forth in Section 2.3(g)(iv).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D Subordinated Interest Shortfall</w:t>
      </w:r>
      <w:r>
        <w:rPr>
          <w:color w:val="000000"/>
        </w:rPr>
        <w:t xml:space="preserve">” </w:t>
      </w:r>
      <w:r>
        <w:rPr>
          <w:rFonts w:ascii="Times New Roman;sans-serif" w:hAnsi="Times New Roman;sans-serif"/>
          <w:b w:val="false"/>
          <w:color w:val="000000"/>
          <w:sz w:val="24"/>
        </w:rPr>
        <w:t>has the meaning set forth in Section 2.3(g)(v).</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Controlled Amortization Amount</w:t>
      </w:r>
      <w:r>
        <w:rPr>
          <w:color w:val="000000"/>
        </w:rPr>
        <w:t xml:space="preserve">” </w:t>
      </w:r>
      <w:r>
        <w:rPr>
          <w:rFonts w:ascii="Times New Roman;sans-serif" w:hAnsi="Times New Roman;sans-serif"/>
          <w:b w:val="false"/>
          <w:color w:val="000000"/>
          <w:sz w:val="24"/>
        </w:rPr>
        <w:t>means, (i) with respect to any Related Month during the Series 2024-2 Controlled Amortization Period other than the Related Month immediately preceding the Series 2024-2 Expected Final Distribution Date, $0 and (ii) with respect to the Related Month immediately preceding the Series 2024-2 Expected Final Distribution Date, $25,100,000.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Initial Invested Amount</w:t>
      </w:r>
      <w:r>
        <w:rPr>
          <w:color w:val="000000"/>
        </w:rPr>
        <w:t xml:space="preserve">” </w:t>
      </w:r>
      <w:r>
        <w:rPr>
          <w:rFonts w:ascii="Times New Roman;sans-serif" w:hAnsi="Times New Roman;sans-serif"/>
          <w:b w:val="false"/>
          <w:color w:val="000000"/>
          <w:sz w:val="24"/>
        </w:rPr>
        <w:t>means the aggregate initial principal amount of the Class R Notes, which is $25,100,000.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Invested Amount</w:t>
      </w:r>
      <w:r>
        <w:rPr>
          <w:color w:val="000000"/>
        </w:rPr>
        <w:t xml:space="preserve">” </w:t>
      </w:r>
      <w:r>
        <w:rPr>
          <w:rFonts w:ascii="Times New Roman;sans-serif" w:hAnsi="Times New Roman;sans-serif"/>
          <w:b w:val="false"/>
          <w:color w:val="000000"/>
          <w:sz w:val="24"/>
        </w:rPr>
        <w:t xml:space="preserve">means, when used with respect to any date, an amount equal to (a) the Class R Initial Invested Amount plus (b) the aggregate principal amount of any Additional Class R Notes issued on or prior to such date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(c) the amount of principal payments made to Class R Noteholders on or prior to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Monthly Interest</w:t>
      </w:r>
      <w:r>
        <w:rPr>
          <w:color w:val="000000"/>
        </w:rPr>
        <w:t xml:space="preserve">” </w:t>
      </w:r>
      <w:r>
        <w:rPr>
          <w:rFonts w:ascii="Times New Roman;sans-serif" w:hAnsi="Times New Roman;sans-serif"/>
          <w:b w:val="false"/>
          <w:color w:val="000000"/>
          <w:sz w:val="24"/>
        </w:rPr>
        <w:t>means, with respect to (i) the initial Series 2024-2 Interest Period, an amount equal to $184,430.89, (ii) the initial Series 2024-2 Interest Period following the Class D Notes Closing Date, an amount equal to $36,246 and (iii) any other Series 2024-2 Interest Period, an amount equal to the product of (A) one-twelfth of the Class R Note Rate and (B) the Class R Invested Amount on the first day of such Series 2024-2 Interest Period, after giving effect to any principal payments made on such date.</w:t>
      </w:r>
    </w:p>
    <w:p>
      <w:pPr>
        <w:pStyle w:val="TextBody"/>
        <w:bidi w:val="0"/>
        <w:spacing w:before="0" w:after="24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589" name="Frame5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w:t>
      </w:r>
      <w:r>
        <w:rPr>
          <w:color w:val="000000"/>
        </w:rPr>
        <w:t xml:space="preserve">” </w:t>
      </w:r>
      <w:r>
        <w:rPr>
          <w:rFonts w:ascii="Times New Roman;sans-serif" w:hAnsi="Times New Roman;sans-serif"/>
          <w:b w:val="false"/>
          <w:color w:val="000000"/>
          <w:sz w:val="24"/>
        </w:rPr>
        <w:t xml:space="preserve">means any one of the Series 2024-2 7.942% Rental Car Asset Backed Notes, Class R, executed by ABRCF and authenticated by or on behalf of the Trustee, substantially in the form of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 Definitive Class R Notes shall have such insertions and deletions as are necessary to give effect to the provisions of Section 2.18 of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 Rate</w:t>
      </w:r>
      <w:r>
        <w:rPr>
          <w:color w:val="000000"/>
        </w:rPr>
        <w:t xml:space="preserve">” </w:t>
      </w:r>
      <w:r>
        <w:rPr>
          <w:rFonts w:ascii="Times New Roman;sans-serif" w:hAnsi="Times New Roman;sans-serif"/>
          <w:b w:val="false"/>
          <w:color w:val="000000"/>
          <w:sz w:val="24"/>
        </w:rPr>
        <w:t>means 7.942% per annum</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Noteholder</w:t>
      </w:r>
      <w:r>
        <w:rPr>
          <w:color w:val="000000"/>
        </w:rPr>
        <w:t xml:space="preserve">” </w:t>
      </w:r>
      <w:r>
        <w:rPr>
          <w:rFonts w:ascii="Times New Roman;sans-serif" w:hAnsi="Times New Roman;sans-serif"/>
          <w:b w:val="false"/>
          <w:color w:val="000000"/>
          <w:sz w:val="24"/>
        </w:rPr>
        <w:t>means the Person in whose name a Class R Note is registered in the Note Register.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Class R Shortfall</w:t>
      </w:r>
      <w:r>
        <w:rPr>
          <w:color w:val="000000"/>
        </w:rPr>
        <w:t xml:space="preserve">” </w:t>
      </w:r>
      <w:r>
        <w:rPr>
          <w:rFonts w:ascii="Times New Roman;sans-serif" w:hAnsi="Times New Roman;sans-serif"/>
          <w:b w:val="false"/>
          <w:color w:val="000000"/>
          <w:sz w:val="24"/>
        </w:rPr>
        <w:t xml:space="preserve">has the meaning set forth in Section 2.3(g)(vi).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w:t>
      </w:r>
      <w:r>
        <w:rPr>
          <w:color w:val="000000"/>
        </w:rPr>
        <w:t xml:space="preserve">” </w:t>
      </w:r>
      <w:r>
        <w:rPr>
          <w:rFonts w:ascii="Times New Roman;sans-serif" w:hAnsi="Times New Roman;sans-serif"/>
          <w:b w:val="false"/>
          <w:color w:val="000000"/>
          <w:sz w:val="24"/>
        </w:rPr>
        <w:t>means any optional repurchase pursuant to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Clean-up Repurchase Distribution Date</w:t>
      </w:r>
      <w:r>
        <w:rPr>
          <w:color w:val="000000"/>
        </w:rPr>
        <w:t xml:space="preserve">” </w:t>
      </w:r>
      <w:r>
        <w:rPr>
          <w:rFonts w:ascii="Times New Roman;sans-serif" w:hAnsi="Times New Roman;sans-serif"/>
          <w:b w:val="false"/>
          <w:color w:val="000000"/>
          <w:sz w:val="24"/>
        </w:rPr>
        <w:t>has the meaning set forth in Section 5.1(a).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Confirmation Condition</w:t>
      </w:r>
      <w:r>
        <w:rPr>
          <w:color w:val="000000"/>
        </w:rPr>
        <w:t xml:space="preserve">” </w:t>
      </w:r>
      <w:r>
        <w:rPr>
          <w:rFonts w:ascii="Times New Roman;sans-serif" w:hAnsi="Times New Roman;sans-serif"/>
          <w:b w:val="false"/>
          <w:color w:val="000000"/>
          <w:sz w:val="24"/>
        </w:rPr>
        <w:t xml:space="preserve">means, with respect to any Bankrupt Manufacturer which is a debtor in Chapter 11 Proceedings, a condition that shall be satisfied upon the bankruptcy court having competent jurisdiction over such Chapter 11 Proceedings issuing an order that remains in effect approving (i) the assumption of such Bankrupt Manufacturer’s Manufacturer Program (and the related Assignment Agreements) by such Bankrupt Manufacturer or the trustee in bankruptcy of such Bankrupt Manufacturer under Section 365 of the Bankruptcy Code and at the time of such assumption, the payment of all amounts due and payable by such Bankrupt Manufacturer under such Manufacturer Program and the curing of all other defaults by the Bankrupt Manufacturer thereunder or (ii) the execution, delivery and performance by such Bankrupt Manufacturer of a new post-petition Manufacturer Program (and the related Assignment Agreements) on the same terms and covering the same Vehicles as such Bankrupt Manufacturer’s Manufacturer Program (and the related Assignment Agreements) in effect on the date such Bankrupt Manufacturer became subject to such Chapter 11 Proceedings and, at the time of the execution and delivery of such new post-petition Manufacturer Program, the payment of all amounts due and payable by such Bankrupt Manufacturer under such Manufacturer Program and the curing of all other defaults by the Bankrupt Manufacturer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notwithstanding the foregoing, the Confirmation Condition shall be deemed satisfied until the 90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calendar day following the initial filing in respect of such Chapter 11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Daily Simple SOFR</w:t>
      </w:r>
      <w:r>
        <w:rPr>
          <w:color w:val="000000"/>
        </w:rPr>
        <w:t xml:space="preserve">” </w:t>
      </w:r>
      <w:r>
        <w:rPr>
          <w:rFonts w:ascii="Times New Roman;sans-serif" w:hAnsi="Times New Roman;sans-serif"/>
          <w:b w:val="false"/>
          <w:color w:val="000000"/>
          <w:sz w:val="24"/>
        </w:rPr>
        <w:t>means, for any day (a “</w:t>
      </w:r>
      <w:r>
        <w:rPr>
          <w:rFonts w:ascii="Times New Roman;sans-serif" w:hAnsi="Times New Roman;sans-serif"/>
          <w:b w:val="false"/>
          <w:color w:val="000000"/>
          <w:sz w:val="24"/>
          <w:u w:val="single"/>
        </w:rPr>
        <w:t>SOFR Rate Day</w:t>
      </w:r>
      <w:r>
        <w:rPr>
          <w:color w:val="000000"/>
        </w:rPr>
        <w:t>”</w:t>
      </w:r>
      <w:r>
        <w:rPr>
          <w:rFonts w:ascii="Times New Roman;sans-serif" w:hAnsi="Times New Roman;sans-serif"/>
          <w:b w:val="false"/>
          <w:color w:val="000000"/>
          <w:sz w:val="24"/>
        </w:rPr>
        <w:t>), SOFR for the day that is five (5)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Demand Note Issuer</w:t>
      </w:r>
      <w:r>
        <w:rPr>
          <w:color w:val="000000"/>
        </w:rPr>
        <w:t xml:space="preserve">” </w:t>
      </w:r>
      <w:r>
        <w:rPr>
          <w:rFonts w:ascii="Times New Roman;sans-serif" w:hAnsi="Times New Roman;sans-serif"/>
          <w:b w:val="false"/>
          <w:color w:val="000000"/>
          <w:sz w:val="24"/>
        </w:rPr>
        <w:t>means each issuer of a Series 2024-2 Demand Note.</w:t>
      </w:r>
    </w:p>
    <w:p>
      <w:pPr>
        <w:pStyle w:val="TextBody"/>
        <w:bidi w:val="0"/>
        <w:spacing w:before="0" w:after="24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590" name="Frame5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Disbursement</w:t>
      </w:r>
      <w:r>
        <w:rPr>
          <w:color w:val="000000"/>
        </w:rPr>
        <w:t xml:space="preserve">” </w:t>
      </w:r>
      <w:r>
        <w:rPr>
          <w:rFonts w:ascii="Times New Roman;sans-serif" w:hAnsi="Times New Roman;sans-serif"/>
          <w:b w:val="false"/>
          <w:color w:val="000000"/>
          <w:sz w:val="24"/>
        </w:rPr>
        <w:t>means any Lease Deficit Disbursement, any Unpaid Demand Note Disbursement, any Termination Date Disbursement or any Termination Disbursement under a Multi-Series Letter of Credit, or any combination thereof, as the context may require.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Discounted Value</w:t>
      </w:r>
      <w:r>
        <w:rPr>
          <w:color w:val="000000"/>
        </w:rPr>
        <w:t xml:space="preserve">” </w:t>
      </w:r>
      <w:r>
        <w:rPr>
          <w:rFonts w:ascii="Times New Roman;sans-serif" w:hAnsi="Times New Roman;sans-serif"/>
          <w:b w:val="false"/>
          <w:color w:val="000000"/>
          <w:sz w:val="24"/>
        </w:rPr>
        <w:t>means, for each Remaining Distribution Amount, the amount obtained by discounting such Remaining Distribution Amount from the applicable Distribution Date to the Optional Repurchase Distribution Date in accordance with accepted financial practice and at a discount factor equal to the Reinvestment Yield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Finance Guide</w:t>
      </w:r>
      <w:r>
        <w:rPr>
          <w:color w:val="000000"/>
        </w:rPr>
        <w:t xml:space="preserve">” </w:t>
      </w:r>
      <w:r>
        <w:rPr>
          <w:rFonts w:ascii="Times New Roman;sans-serif" w:hAnsi="Times New Roman;sans-serif"/>
          <w:b w:val="false"/>
          <w:color w:val="000000"/>
          <w:sz w:val="24"/>
        </w:rPr>
        <w:t>means the Black Book Official Finance/Lease Guide.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Fitch</w:t>
      </w:r>
      <w:r>
        <w:rPr>
          <w:color w:val="000000"/>
        </w:rPr>
        <w:t xml:space="preserve">” </w:t>
      </w:r>
      <w:r>
        <w:rPr>
          <w:rFonts w:ascii="Times New Roman;sans-serif" w:hAnsi="Times New Roman;sans-serif"/>
          <w:b w:val="false"/>
          <w:color w:val="000000"/>
          <w:sz w:val="24"/>
        </w:rPr>
        <w:t>means Fitch Ratings, Inc.</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A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B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Global Class R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Interpolated Treasury Rate</w:t>
      </w:r>
      <w:r>
        <w:rPr>
          <w:color w:val="000000"/>
        </w:rPr>
        <w:t xml:space="preserve">” </w:t>
      </w:r>
      <w:r>
        <w:rPr>
          <w:rFonts w:ascii="Times New Roman;sans-serif" w:hAnsi="Times New Roman;sans-serif"/>
          <w:b w:val="false"/>
          <w:color w:val="000000"/>
          <w:sz w:val="24"/>
        </w:rPr>
        <w:t xml:space="preserve">means, as of any date of determination, the treasury rate as of 12:00 noon (New York City time) with maturity equal to the remaining weighted average life of the Class D Notes (or, if such maturity is unavailable, such rate shall be determined by linear interpolation using the rates of the treasuries with the two closest maturities (one smaller and one larger) to such remaining average life of the Class D Notes) as agreed upon between the Class D Noteholder and the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Lease Deficit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Lease Deficit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Make Whole Payment</w:t>
      </w:r>
      <w:r>
        <w:rPr>
          <w:color w:val="000000"/>
        </w:rPr>
        <w:t xml:space="preserve">” </w:t>
      </w:r>
      <w:r>
        <w:rPr>
          <w:rFonts w:ascii="Times New Roman;sans-serif" w:hAnsi="Times New Roman;sans-serif"/>
          <w:b w:val="false"/>
          <w:color w:val="000000"/>
          <w:sz w:val="24"/>
        </w:rPr>
        <w:t xml:space="preserve">means, with respect to any Series 2024-2 Note on any Optional Repurchase Distribution Date, the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share with respect to such Series 2024-2 Note of the excess, if any, of (x) the sum of the Discounted Values for each Remaining Distribution Amount with respect to each Applicable Distribution Date over (y) the Series 2024-2 Invested Amount as of such Optional Repurchase Distribution Date (determined after giving effect to any payments made pursuant to Section 2.5(a)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Market Value Average</w:t>
      </w:r>
      <w:r>
        <w:rPr>
          <w:color w:val="000000"/>
        </w:rPr>
        <w:t xml:space="preserve">” </w:t>
      </w:r>
      <w:r>
        <w:rPr>
          <w:rFonts w:ascii="Times New Roman;sans-serif" w:hAnsi="Times New Roman;sans-serif"/>
          <w:b w:val="false"/>
          <w:color w:val="000000"/>
          <w:sz w:val="24"/>
        </w:rPr>
        <w:t xml:space="preserve">means, as of any day, the percentage equivalent of a fraction, the numerator of which is the average of the Selected Fleet Market Value as of the preceding Determination Date and the two Determination Dates precedent thereto and the denominator of which is the sum of (a) the average of the aggregate Net Book Value of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and (b) the average of the aggregate Adjusted Net Book Value of all Adjusted Program Vehicles, in the case of each of clause (a) and (b) leased </w:t>
      </w:r>
    </w:p>
    <w:p>
      <w:pPr>
        <w:pStyle w:val="TextBody"/>
        <w:bidi w:val="0"/>
        <w:spacing w:before="0" w:after="0"/>
        <w:jc w:val="center"/>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260"/>
                <wp:effectExtent l="0" t="0" r="0" b="0"/>
                <wp:wrapNone/>
                <wp:docPr id="591" name="Frame5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under the AESOP I Operating Lease and the Finance Lease as of the preceding Determination Date and the two Determination Dates precedent thereto.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Monthly Total Principal Allocation</w:t>
      </w:r>
      <w:r>
        <w:rPr>
          <w:color w:val="000000"/>
        </w:rPr>
        <w:t xml:space="preserve">” </w:t>
      </w:r>
      <w:r>
        <w:rPr>
          <w:rFonts w:ascii="Times New Roman;sans-serif" w:hAnsi="Times New Roman;sans-serif"/>
          <w:b w:val="false"/>
          <w:color w:val="000000"/>
          <w:sz w:val="24"/>
        </w:rPr>
        <w:t>means for any Related Month the sum of all Series 2024-2 Principal Allocations with respect to such Related Month.</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Amount</w:t>
      </w:r>
      <w:r>
        <w:rPr>
          <w:color w:val="000000"/>
        </w:rPr>
        <w:t xml:space="preserve">” </w:t>
      </w:r>
      <w:r>
        <w:rPr>
          <w:rFonts w:ascii="Times New Roman;sans-serif" w:hAnsi="Times New Roman;sans-serif"/>
          <w:b w:val="false"/>
          <w:color w:val="000000"/>
          <w:sz w:val="24"/>
        </w:rPr>
        <w:t>means, as of any date of determination, an amount equal to the excess, if any, of (x) the sum of the following amounts with respect to each Moody’s Non-Investment Grade Manufacturer as of such date: the product of (i) to the extent such amounts are included in the calculation of AESOP I Operating Lease Loan Agreement Borrowing Base as of such date, all amounts receivable as of such date by AESOP Leasing or the Intermediary from such Moody’s Non-Investment Grade Manufacturer and (ii) the Moody’s Excluded Manufacturer Receivable Specified Percentage for such Moody’s Non-Investment Grade Manufacturer as of such date over (y) the sum of the following amounts with respect to each Moody’s Non-Investment Grade Manufacturer as of such date: the product of (i) the aggregate Net Book Value of any Vehicles subject to a Manufacturer Program from such Manufacturer that have had a Turnback Date but for which (A) AESOP Leasing or its Permitted Nominee continues to be named as the owner of the Vehicle on the Certificate of Title for such Vehicle and (B) AESOP Leasing or its agent continues to hold the Certificate of Title for such Vehicle and (ii) the Moody’s Turnback Vehicle Specified Percentage for such Moody’s Non-Investment Grade Manufacturer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Excluded Manufacturer Receivable Specified Percentage</w:t>
      </w:r>
      <w:r>
        <w:rPr>
          <w:color w:val="000000"/>
        </w:rPr>
        <w:t xml:space="preserve">” </w:t>
      </w:r>
      <w:r>
        <w:rPr>
          <w:rFonts w:ascii="Times New Roman;sans-serif" w:hAnsi="Times New Roman;sans-serif"/>
          <w:b w:val="false"/>
          <w:color w:val="000000"/>
          <w:sz w:val="24"/>
        </w:rPr>
        <w:t xml:space="preserve">means, as of any date of determination, with respect to each Moody’s Non-Investment Grade Manufacturer as of such date, the percentage (not to exceed 100%) most recently specified in writing by Moody’s to ABRCF and the Trustee and consented to by the Requisite Series 2024-2 Noteholders with respect to such Moody’s Non-Investment Grade Manufacturer;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as of the Class A/B/C Notes Closing Date the Moody’s Excluded Manufacturer Receivable Specified Percentage for each Moody’s Non-Investment Grade Manufacturer shall be 100%;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the initial Moody’s Excluded Manufacturer Receivable Specified Percentage with respect to any Manufacturer that becomes a Moody’s Non-Investment Grade Manufacturer after the Class A/B/C Notes Closing Date shall be 100%.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Non-Investment Grade Manufacturer</w:t>
      </w:r>
      <w:r>
        <w:rPr>
          <w:color w:val="000000"/>
        </w:rPr>
        <w:t xml:space="preserve">” </w:t>
      </w:r>
      <w:r>
        <w:rPr>
          <w:rFonts w:ascii="Times New Roman;sans-serif" w:hAnsi="Times New Roman;sans-serif"/>
          <w:b w:val="false"/>
          <w:color w:val="000000"/>
          <w:sz w:val="24"/>
        </w:rPr>
        <w:t xml:space="preserve">means, as of any date of determination, any Manufacturer that (i) is not a Bankrupt Manufacturer and (ii) does not have either (A) a long-term corporate family rating of at least “Baa3” from Moody’s or (B) if such Manufacturer does not have a long-term corporate family rating from Moody’s as of such date, a long-term senior unsecured debt rating of at least “Ba1” from Moody’s;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is downgraded from at least “Baa3” to below “Baa3” by Moody’s or whose long-term senior unsecured debt rating is downgraded from at least “Ba1” to below “Ba1” by Moody’s, as applicable, after the Class A/B/C Notes Closing Date shall not be deemed a Moody’s Non-Investment Grade Manufacturer until the thirtieth (30th)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Moody’s Turnback Vehicle Specified Percentage</w:t>
      </w:r>
      <w:r>
        <w:rPr>
          <w:color w:val="000000"/>
        </w:rPr>
        <w:t xml:space="preserve">” </w:t>
      </w:r>
      <w:r>
        <w:rPr>
          <w:rFonts w:ascii="Times New Roman;sans-serif" w:hAnsi="Times New Roman;sans-serif"/>
          <w:b w:val="false"/>
          <w:color w:val="000000"/>
          <w:sz w:val="24"/>
        </w:rPr>
        <w:t xml:space="preserve">means, as of any date of determination: (i) with respect to each Moody’s Non-Investment Grade Manufacturer that has a long-term corporate family rating from Moody’s on such date of determination of at least “Ba3” </w:t>
      </w:r>
    </w:p>
    <w:p>
      <w:pPr>
        <w:pStyle w:val="TextBody"/>
        <w:bidi w:val="0"/>
        <w:spacing w:before="0" w:after="0"/>
        <w:jc w:val="center"/>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592" name="Frame5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(or, if such Moody’s Non-Investment Grade Manufacturer does not have a long-term corporate family rating from Moody’s as of such date, a long-term senior unsecured debt rating of at least “B1”), 65%; (ii) with respect to each Moody’s Non-Investment Grade Manufacturer that has a long-term corporate family rating from Moody’s on such date of determination of at least “B3” but less than “Ba3” (or, if such Moody’s Non-Investment Grade Manufacturer does not have a long-term corporate family rating from Moody’s as of such date, a long-term senior unsecured debt rating of at least “Caa1” but less than “B1”), 25%; and (iii) with respect to any other Moody’s Non-Investment Grade Manufacturer, 0%;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Manufacturer whose long-term corporate family rating or long-term senior unsecured debt rating from Moody’s is downgraded after the Class A/B/C Notes Closing Date shall be deemed to retain its long-term corporate family rating or long-term senior unsecured debt rating, as applicable, from Moody’s in effect immediately prior to such downgrade until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calendar day following such downgrade.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w:t>
      </w:r>
      <w:r>
        <w:rPr>
          <w:color w:val="000000"/>
        </w:rPr>
        <w:t xml:space="preserve">” </w:t>
      </w:r>
      <w:r>
        <w:rPr>
          <w:rFonts w:ascii="Times New Roman;sans-serif" w:hAnsi="Times New Roman;sans-serif"/>
          <w:b w:val="false"/>
          <w:color w:val="000000"/>
          <w:sz w:val="24"/>
        </w:rPr>
        <w:t xml:space="preserve">means an irrevocable letter of credit, if any, substantially in the form of </w:t>
      </w:r>
      <w:r>
        <w:rPr>
          <w:rFonts w:ascii="Times New Roman;sans-serif" w:hAnsi="Times New Roman;sans-serif"/>
          <w:b w:val="false"/>
          <w:color w:val="000000"/>
          <w:sz w:val="24"/>
          <w:u w:val="single"/>
        </w:rPr>
        <w:t>Exhibit G</w:t>
      </w:r>
      <w:r>
        <w:rPr>
          <w:color w:val="000000"/>
        </w:rPr>
        <w:t xml:space="preserve"> </w:t>
      </w:r>
      <w:r>
        <w:rPr>
          <w:rFonts w:ascii="Times New Roman;sans-serif" w:hAnsi="Times New Roman;sans-serif"/>
          <w:b w:val="false"/>
          <w:color w:val="000000"/>
          <w:sz w:val="24"/>
        </w:rPr>
        <w:t>issued by a Series 2024-2 Eligible Letter of Credit Provider in favor of the Trustee for the benefit, in whole or in part, of the Series 2024-2 Noteholders (provided that a Multi-Series Letter of Credit may also benefit Noteholders of certain other Series).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Expiration Date</w:t>
      </w:r>
      <w:r>
        <w:rPr>
          <w:color w:val="000000"/>
        </w:rPr>
        <w:t xml:space="preserve">” </w:t>
      </w:r>
      <w:r>
        <w:rPr>
          <w:rFonts w:ascii="Times New Roman;sans-serif" w:hAnsi="Times New Roman;sans-serif"/>
          <w:b w:val="false"/>
          <w:color w:val="000000"/>
          <w:sz w:val="24"/>
        </w:rPr>
        <w:t>means, with respect to any Multi-Series Letter of Credit, the expiration date set forth in such Multi-Series Letter of Credit, as such date may be extended in accordance with the terms of such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Provider</w:t>
      </w:r>
      <w:r>
        <w:rPr>
          <w:color w:val="000000"/>
        </w:rPr>
        <w:t xml:space="preserve">” </w:t>
      </w:r>
      <w:r>
        <w:rPr>
          <w:rFonts w:ascii="Times New Roman;sans-serif" w:hAnsi="Times New Roman;sans-serif"/>
          <w:b w:val="false"/>
          <w:color w:val="000000"/>
          <w:sz w:val="24"/>
        </w:rPr>
        <w:t>means any issuer of any Multi-Series Letter of Credit.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Multi-Series Letter of Credit Termination Date</w:t>
      </w:r>
      <w:r>
        <w:rPr>
          <w:color w:val="000000"/>
        </w:rPr>
        <w:t xml:space="preserve">” </w:t>
      </w:r>
      <w:r>
        <w:rPr>
          <w:rFonts w:ascii="Times New Roman;sans-serif" w:hAnsi="Times New Roman;sans-serif"/>
          <w:b w:val="false"/>
          <w:color w:val="000000"/>
          <w:sz w:val="24"/>
        </w:rPr>
        <w:t>means the first to occur of (a) the date on which the Series 2024-2 Notes are fully paid and (b) the Series 2024-2 Termination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w:t>
      </w:r>
      <w:r>
        <w:rPr>
          <w:color w:val="000000"/>
        </w:rPr>
        <w:t xml:space="preserve">” </w:t>
      </w:r>
      <w:r>
        <w:rPr>
          <w:rFonts w:ascii="Times New Roman;sans-serif" w:hAnsi="Times New Roman;sans-serif"/>
          <w:b w:val="false"/>
          <w:color w:val="000000"/>
          <w:sz w:val="24"/>
        </w:rPr>
        <w:t>means the Federal Reserve Bank of New York.</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NYFRB’s Website</w:t>
      </w:r>
      <w:r>
        <w:rPr>
          <w:color w:val="000000"/>
        </w:rPr>
        <w:t xml:space="preserve">” </w:t>
      </w:r>
      <w:r>
        <w:rPr>
          <w:rFonts w:ascii="Times New Roman;sans-serif" w:hAnsi="Times New Roman;sans-serif"/>
          <w:b w:val="false"/>
          <w:color w:val="000000"/>
          <w:sz w:val="24"/>
        </w:rPr>
        <w:t>means the website of the NYFRB at http://www.newyorkfed.org, or any successor source.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Optional Repurchase Distribution Date</w:t>
      </w:r>
      <w:r>
        <w:rPr>
          <w:color w:val="000000"/>
        </w:rPr>
        <w:t xml:space="preserve">” </w:t>
      </w:r>
      <w:r>
        <w:rPr>
          <w:rFonts w:ascii="Times New Roman;sans-serif" w:hAnsi="Times New Roman;sans-serif"/>
          <w:b w:val="false"/>
          <w:color w:val="000000"/>
          <w:sz w:val="24"/>
        </w:rPr>
        <w:t>is defined in Section 5.1(b).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before="0" w:after="0"/>
        <w:jc w:val="center"/>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593" name="Frame5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Permanent Global Series 2024-2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Pre-Preference Period Demand Note Payments</w:t>
      </w:r>
      <w:r>
        <w:rPr>
          <w:color w:val="000000"/>
        </w:rPr>
        <w:t xml:space="preserve">” </w:t>
      </w:r>
      <w:r>
        <w:rPr>
          <w:rFonts w:ascii="Times New Roman;sans-serif" w:hAnsi="Times New Roman;sans-serif"/>
          <w:b w:val="false"/>
          <w:color w:val="000000"/>
          <w:sz w:val="24"/>
        </w:rPr>
        <w:t xml:space="preserve">means, as of any date of determination, the aggregate amount of all proceeds of demands made on the Series 2024-2 Demand Notes included in the Series 2024-2 Demand Note Payment Amount as of the Multi-Series Letter of Credit Termination Date that were paid by the Demand Note Issuers more than one year before such date of determination;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that if an Event of Bankruptcy (or the occurrence of an event described in clause (a) of the definition thereof, without the lapse of a period of sixty (60) consecutive days) with respect to a Demand Note Issuer occurs during such one-year period, (x) the Pre-Preference Period Demand Note Payments as of any date during the period from and including the date of the occurrence of such Event of Bankruptcy to and including the conclusion or dismissal of the proceedings giving rise to such Event of Bankruptcy without continuing jurisdiction by the court in such proceedings shall equal the Pre-Preference Period Demand Note Payments as of the date of such occurrence for all Demand Note Issuers and (y) the Pre-Preference Period Demand Note Payments as of any date after the conclusion or dismissal of such proceedings shall equal the Series 2024-2 Demand Note Payment Amount as of the date of the conclusion or dismissal of such proceedings.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Prior 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Reinvestment Yield</w:t>
      </w:r>
      <w:r>
        <w:rPr>
          <w:color w:val="000000"/>
        </w:rPr>
        <w:t xml:space="preserve">” </w:t>
      </w:r>
      <w:r>
        <w:rPr>
          <w:rFonts w:ascii="Times New Roman;sans-serif" w:hAnsi="Times New Roman;sans-serif"/>
          <w:b w:val="false"/>
          <w:color w:val="000000"/>
          <w:sz w:val="24"/>
        </w:rPr>
        <w:t>means, with respect to any Remaining Distribution Amount, the sum of (i) 0.25% and (ii) the greater of (x) 0% and (y) the U.S. Treasury Rate with respect to such Remaining Distribution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Remaining Distribution Amount</w:t>
      </w:r>
      <w:r>
        <w:rPr>
          <w:color w:val="000000"/>
        </w:rPr>
        <w:t xml:space="preserve">” </w:t>
      </w:r>
      <w:r>
        <w:rPr>
          <w:rFonts w:ascii="Times New Roman;sans-serif" w:hAnsi="Times New Roman;sans-serif"/>
          <w:b w:val="false"/>
          <w:color w:val="000000"/>
          <w:sz w:val="24"/>
        </w:rPr>
        <w:t xml:space="preserve">means, with respect to each Applicable Distribution Date, the sum of (i) the sum of (x) an amount equal to the Class A Controlled Amortization Amount with respect to the Related Month immediately preceding such Applicable Distribution Date (or, if the Optional Repurchase Distribution Date occurs after the May 2027 Distribution Date, the Class A Controlled Distribution Amount with respect to the Related Month preceding the first such Applicable Distribution Date) and (y) the interest that will accrue on such amount from the Optional Repurchase Distribution Date to such Applicable Distribution Date at the Class A Note Rate, (ii) the sum of (x) an amount equal to the Class B Controlled Amortization Amount with respect to the Related Month immediately preceding such Applicable Distribution Date (or, if the Optional Repurchase Distribution Date occurs after the May 2027 Distribution Date, the Class B Controlled Distribution Amount with respect to the Related Month preceding the first such Applicable Distribution Date) and (y) the interest that will accrue on such amount from the Optional Repurchase Distribution Date to such Applicable Distribution Date at the Class B Note Rate, (iii) the sum of (x) an amount equal to the Class C Controlled Amortization Amount with respect to the Related Month immediately preceding such Applicable Distribution Date (or, if the Optional Repurchase Distribution Date occurs after the May 2027 Distribution Date, the Class C Controlled Distribution Amount with respect to the Related Month preceding the first such Applicable Distribution Date) and (y) the interest that will accrue on such amount from the Optional Repurchase Distribution Date to such Applicable Distribution Date at the Class C Note Rate and (iv) the sum of (x) an amount equal to the Class R Controlled Amortization Amount with respect to the Related Month immediately preceding such Applicable Distribution Date (or, if the Optional Repurchase Distribution Date occurs after the May 2027 Distribution Date, the Class R Controlled Amortization Amount with respect to the Related Month preceding the first such </w:t>
      </w:r>
    </w:p>
    <w:p>
      <w:pPr>
        <w:pStyle w:val="TextBody"/>
        <w:bidi w:val="0"/>
        <w:spacing w:before="0" w:after="0"/>
        <w:jc w:val="center"/>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594" name="Frame5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Applicable Distribution Date) and (y) the interest that will accrue on such amount from the Optional Repurchase Distribution Date to such Applicable Distribution Date at the Class R Note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Required Controlling Class Series 2024-2 Noteholders</w:t>
      </w:r>
      <w:r>
        <w:rPr>
          <w:color w:val="000000"/>
        </w:rPr>
        <w:t xml:space="preserve">” </w:t>
      </w:r>
      <w:r>
        <w:rPr>
          <w:rFonts w:ascii="Times New Roman;sans-serif" w:hAnsi="Times New Roman;sans-serif"/>
          <w:b w:val="false"/>
          <w:color w:val="000000"/>
          <w:sz w:val="24"/>
        </w:rPr>
        <w:t xml:space="preserve">means (i) for so long as any Class A Notes are outstanding, Class A Noteholders holding more than 50% of the Class A Invested Amount, (ii) if no Class A Notes are outstanding and for so long as any Class B Notes are outstanding, Class B Noteholders holding more than 50% of the Class B Invested Amount, (iii) if no Class A Notes or Class B Notes are outstanding, Class C Noteholders holding more than 50% of the Class C Invested Amount, (iv) if no Class A Notes, Class B Notes or Class C Notes are outstanding, Class D Noteholders holding more than 50% of the Class D Invested Amount (excluding, for the purpose of making any of the foregoing calculations, any Series 2024-2 Notes held by ABCR or any Affiliate of ABCR unless ABCR or such Affiliate is the sole Series 2024-2 Noteholder) and (v) if no Class A Notes, Class B Notes, Class C Notes or Class D Notes are outstanding, Class R Noteholders holding more than 50% Class R Invested Amount (excluding, for the purpose of making any of the foregoing calculations, any Series 2024-2 Notes held by ABCR or any Affiliate of ABCR unless ABCR or such Affiliate is the sole Series 2024-2 Noteholder).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Requisite Series 2024-2 Noteholders</w:t>
      </w:r>
      <w:r>
        <w:rPr>
          <w:color w:val="000000"/>
        </w:rPr>
        <w:t xml:space="preserve">” </w:t>
      </w:r>
      <w:r>
        <w:rPr>
          <w:rFonts w:ascii="Times New Roman;sans-serif" w:hAnsi="Times New Roman;sans-serif"/>
          <w:b w:val="false"/>
          <w:color w:val="000000"/>
          <w:sz w:val="24"/>
        </w:rPr>
        <w:t>means Series 2024-2 Noteholders holding, in the aggregate, more than 50% of the Series 2024-2 Invested Amount (excluding, for the purpose of making the foregoing calculation (x) for all purposes, any Series 2024-2 Notes held by ABCR or any Affiliate of ABCR unless ABCR is the sole Series 2024-2 Noteholder and (y) for so long as any Class A Notes, the Class B Notes, or the Class C Notes are outstanding, any Class D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A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B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Restricted Global Class R Note</w:t>
      </w:r>
      <w:r>
        <w:rPr>
          <w:color w:val="000000"/>
        </w:rPr>
        <w:t xml:space="preserve">” </w:t>
      </w:r>
      <w:r>
        <w:rPr>
          <w:rFonts w:ascii="Times New Roman;sans-serif" w:hAnsi="Times New Roman;sans-serif"/>
          <w:b w:val="false"/>
          <w:color w:val="000000"/>
          <w:sz w:val="24"/>
        </w:rPr>
        <w:t>is defined in Section 4.1.</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Selected Fleet Market Value</w:t>
      </w:r>
      <w:r>
        <w:rPr>
          <w:color w:val="000000"/>
        </w:rPr>
        <w:t xml:space="preserve">” </w:t>
      </w:r>
      <w:r>
        <w:rPr>
          <w:rFonts w:ascii="Times New Roman;sans-serif" w:hAnsi="Times New Roman;sans-serif"/>
          <w:b w:val="false"/>
          <w:color w:val="000000"/>
          <w:sz w:val="24"/>
        </w:rPr>
        <w:t xml:space="preserve">means, with respect to all Adjusted Program Vehicles and all Non-Program Vehicles (excluding (i) any Unaccepted Program Vehicles, (ii) any Excluded Redesignated Vehicles and (iii) any other Non-Program Vehicles that are subject to a Manufacturer Program with an Eligible Non-Program Manufacturer with respect to which no Manufacturer Event of Default has occurred and is continuing) as of any date of determination, the sum of the respective Market Values of each such Adjusted Program Vehicle and each such Non-Program Vehicle, in each case subject to the AESOP I Operating Lease or the Finance Lease as of such date. For purposes of computing the Selected Fleet Market Value, the “Market Value” of an Adjusted Program Vehicle or a Non-Program Vehicle means the market value of such Vehicle as specified in the most recently published NADA Guide for the model class and model year of such Vehicle based on the average equipment and the average mileage of each Vehicle of such model class and model year then leased under the AESOP I Operating Lease and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NADA Guide is not being published or the NADA Guide is being published but such Vehicle is not included therein, the Market Value of such Vehicle shall </w:t>
      </w:r>
    </w:p>
    <w:p>
      <w:pPr>
        <w:pStyle w:val="TextBody"/>
        <w:bidi w:val="0"/>
        <w:spacing w:before="0" w:after="0"/>
        <w:jc w:val="center"/>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595" name="Frame5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be based on the market value specified in the most recently published Finance Guide for the model class and model year of such Vehicle based on the average equipment and the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being published but such Vehicle is not included therein, the Market Value of such Vehicle shall mean (x) in the case of an Adjusted Program Vehicle, the Adjusted Net Book Value of such Adjusted Program Vehicle and (y) in the case of a Non-Program Vehicle, the Net Book Value of such Non-Program Vehicle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if the Finance Guide is not being published, the Market Value of such Vehicle shall be based on an independent third-party data source selected by the Administrator and approved by each Rating Agency that is rating any Series of Notes at the request of ABRCF based on the average equipment and average mileage of each Vehicle of such model class and model year then leased under the AESOP I Operating Lease or the Finance Lease;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if no such third-party data source or methodology shall have been so approved or any such third-party data source or methodology is not available, the Market Value of such Vehicle shall be equal to a reasonable estimate of the wholesale market value of such Vehicle as determined by the Administrator, based on the Net Book Value of such Vehicle and any other factors deemed relevant by the Administrator.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2010-6 Notes</w:t>
      </w:r>
      <w:r>
        <w:rPr>
          <w:color w:val="000000"/>
        </w:rPr>
        <w:t xml:space="preserve">” </w:t>
      </w:r>
      <w:r>
        <w:rPr>
          <w:rFonts w:ascii="Times New Roman;sans-serif" w:hAnsi="Times New Roman;sans-serif"/>
          <w:b w:val="false"/>
          <w:color w:val="000000"/>
          <w:sz w:val="24"/>
        </w:rPr>
        <w:t xml:space="preserve">means the Series of Notes designated as the Series 2010-6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2011-4 Notes</w:t>
      </w:r>
      <w:r>
        <w:rPr>
          <w:color w:val="000000"/>
        </w:rPr>
        <w:t xml:space="preserve">” </w:t>
      </w:r>
      <w:r>
        <w:rPr>
          <w:rFonts w:ascii="Times New Roman;sans-serif" w:hAnsi="Times New Roman;sans-serif"/>
          <w:b w:val="false"/>
          <w:color w:val="000000"/>
          <w:sz w:val="24"/>
        </w:rPr>
        <w:t xml:space="preserve">means the Series of Notes designated as the Series 2011-4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2015-3 Notes</w:t>
      </w:r>
      <w:r>
        <w:rPr>
          <w:color w:val="000000"/>
        </w:rPr>
        <w:t xml:space="preserve">” </w:t>
      </w:r>
      <w:r>
        <w:rPr>
          <w:rFonts w:ascii="Times New Roman;sans-serif" w:hAnsi="Times New Roman;sans-serif"/>
          <w:b w:val="false"/>
          <w:color w:val="000000"/>
          <w:sz w:val="24"/>
        </w:rPr>
        <w:t xml:space="preserve">means the Series of Notes designated as the Series 2015-3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2019-2 Notes</w:t>
      </w:r>
      <w:r>
        <w:rPr>
          <w:color w:val="000000"/>
        </w:rPr>
        <w:t xml:space="preserve">” </w:t>
      </w:r>
      <w:r>
        <w:rPr>
          <w:rFonts w:ascii="Times New Roman;sans-serif" w:hAnsi="Times New Roman;sans-serif"/>
          <w:b w:val="false"/>
          <w:color w:val="000000"/>
          <w:sz w:val="24"/>
        </w:rPr>
        <w:t xml:space="preserve">means the Series of Notes designated as the Series 2019-2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2019-3 Notes</w:t>
      </w:r>
      <w:r>
        <w:rPr>
          <w:color w:val="000000"/>
        </w:rPr>
        <w:t xml:space="preserve">” </w:t>
      </w:r>
      <w:r>
        <w:rPr>
          <w:rFonts w:ascii="Times New Roman;sans-serif" w:hAnsi="Times New Roman;sans-serif"/>
          <w:b w:val="false"/>
          <w:color w:val="000000"/>
          <w:sz w:val="24"/>
        </w:rPr>
        <w:t xml:space="preserve">means the Series of Notes designated as the Series 2019-3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2020-1 Notes</w:t>
      </w:r>
      <w:r>
        <w:rPr>
          <w:color w:val="000000"/>
        </w:rPr>
        <w:t xml:space="preserve">” </w:t>
      </w:r>
      <w:r>
        <w:rPr>
          <w:rFonts w:ascii="Times New Roman;sans-serif" w:hAnsi="Times New Roman;sans-serif"/>
          <w:b w:val="false"/>
          <w:color w:val="000000"/>
          <w:sz w:val="24"/>
        </w:rPr>
        <w:t xml:space="preserve">means the Series of Notes designated as the Series 2020-1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2020-2 Notes</w:t>
      </w:r>
      <w:r>
        <w:rPr>
          <w:color w:val="000000"/>
        </w:rPr>
        <w:t xml:space="preserve">” </w:t>
      </w:r>
      <w:r>
        <w:rPr>
          <w:rFonts w:ascii="Times New Roman;sans-serif" w:hAnsi="Times New Roman;sans-serif"/>
          <w:b w:val="false"/>
          <w:color w:val="000000"/>
          <w:sz w:val="24"/>
        </w:rPr>
        <w:t xml:space="preserve">means the Series of Notes designated as the Series 2020-2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2021-1 Notes</w:t>
      </w:r>
      <w:r>
        <w:rPr>
          <w:color w:val="000000"/>
        </w:rPr>
        <w:t xml:space="preserve">” </w:t>
      </w:r>
      <w:r>
        <w:rPr>
          <w:rFonts w:ascii="Times New Roman;sans-serif" w:hAnsi="Times New Roman;sans-serif"/>
          <w:b w:val="false"/>
          <w:color w:val="000000"/>
          <w:sz w:val="24"/>
        </w:rPr>
        <w:t xml:space="preserve">means the Series of Notes designated as the Series 2021-1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2021-2 Notes</w:t>
      </w:r>
      <w:r>
        <w:rPr>
          <w:color w:val="000000"/>
        </w:rPr>
        <w:t xml:space="preserve">” </w:t>
      </w:r>
      <w:r>
        <w:rPr>
          <w:rFonts w:ascii="Times New Roman;sans-serif" w:hAnsi="Times New Roman;sans-serif"/>
          <w:b w:val="false"/>
          <w:color w:val="000000"/>
          <w:sz w:val="24"/>
        </w:rPr>
        <w:t xml:space="preserve">means the Series of Notes designated as the Series 2021-2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2022-1 Notes</w:t>
      </w:r>
      <w:r>
        <w:rPr>
          <w:color w:val="000000"/>
        </w:rPr>
        <w:t xml:space="preserve">” </w:t>
      </w:r>
      <w:r>
        <w:rPr>
          <w:rFonts w:ascii="Times New Roman;sans-serif" w:hAnsi="Times New Roman;sans-serif"/>
          <w:b w:val="false"/>
          <w:color w:val="000000"/>
          <w:sz w:val="24"/>
        </w:rPr>
        <w:t xml:space="preserve">means the Series of Notes designated as the Series 2022-1 </w:t>
        <w:br/>
        <w:t>Notes.</w:t>
      </w:r>
    </w:p>
    <w:p>
      <w:pPr>
        <w:pStyle w:val="TextBody"/>
        <w:bidi w:val="0"/>
        <w:spacing w:before="0" w:after="0"/>
        <w:jc w:val="center"/>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260"/>
                <wp:effectExtent l="0" t="0" r="0" b="0"/>
                <wp:wrapNone/>
                <wp:docPr id="596" name="Frame5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2022-3 Notes</w:t>
      </w:r>
      <w:r>
        <w:rPr>
          <w:color w:val="000000"/>
        </w:rPr>
        <w:t xml:space="preserve">” </w:t>
      </w:r>
      <w:r>
        <w:rPr>
          <w:rFonts w:ascii="Times New Roman;sans-serif" w:hAnsi="Times New Roman;sans-serif"/>
          <w:b w:val="false"/>
          <w:color w:val="000000"/>
          <w:sz w:val="24"/>
        </w:rPr>
        <w:t xml:space="preserve">means the Series of Notes designated as the Series 2022-3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2022-4 Notes</w:t>
      </w:r>
      <w:r>
        <w:rPr>
          <w:color w:val="000000"/>
        </w:rPr>
        <w:t xml:space="preserve">” </w:t>
      </w:r>
      <w:r>
        <w:rPr>
          <w:rFonts w:ascii="Times New Roman;sans-serif" w:hAnsi="Times New Roman;sans-serif"/>
          <w:b w:val="false"/>
          <w:color w:val="000000"/>
          <w:sz w:val="24"/>
        </w:rPr>
        <w:t xml:space="preserve">means the Series of Notes designated as the Series 2022-4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2022-5 Notes</w:t>
      </w:r>
      <w:r>
        <w:rPr>
          <w:color w:val="000000"/>
        </w:rPr>
        <w:t xml:space="preserve">” </w:t>
      </w:r>
      <w:r>
        <w:rPr>
          <w:rFonts w:ascii="Times New Roman;sans-serif" w:hAnsi="Times New Roman;sans-serif"/>
          <w:b w:val="false"/>
          <w:color w:val="000000"/>
          <w:sz w:val="24"/>
        </w:rPr>
        <w:t xml:space="preserve">means the Series of Notes designated as the Series 2022-5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2023-1 Notes</w:t>
      </w:r>
      <w:r>
        <w:rPr>
          <w:color w:val="000000"/>
        </w:rPr>
        <w:t xml:space="preserve">” </w:t>
      </w:r>
      <w:r>
        <w:rPr>
          <w:rFonts w:ascii="Times New Roman;sans-serif" w:hAnsi="Times New Roman;sans-serif"/>
          <w:b w:val="false"/>
          <w:color w:val="000000"/>
          <w:sz w:val="24"/>
        </w:rPr>
        <w:t xml:space="preserve">means the Series of Notes designated as the Series 2023-1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2023-2 Notes</w:t>
      </w:r>
      <w:r>
        <w:rPr>
          <w:color w:val="000000"/>
        </w:rPr>
        <w:t xml:space="preserve">” </w:t>
      </w:r>
      <w:r>
        <w:rPr>
          <w:rFonts w:ascii="Times New Roman;sans-serif" w:hAnsi="Times New Roman;sans-serif"/>
          <w:b w:val="false"/>
          <w:color w:val="000000"/>
          <w:sz w:val="24"/>
        </w:rPr>
        <w:t xml:space="preserve">means the Series of Notes designated as the Series 2023-2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2023-3 Notes</w:t>
      </w:r>
      <w:r>
        <w:rPr>
          <w:color w:val="000000"/>
        </w:rPr>
        <w:t xml:space="preserve">” </w:t>
      </w:r>
      <w:r>
        <w:rPr>
          <w:rFonts w:ascii="Times New Roman;sans-serif" w:hAnsi="Times New Roman;sans-serif"/>
          <w:b w:val="false"/>
          <w:color w:val="000000"/>
          <w:sz w:val="24"/>
        </w:rPr>
        <w:t xml:space="preserve">means the Series of Notes designated as the Series 2023-3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2023-4 Notes</w:t>
      </w:r>
      <w:r>
        <w:rPr>
          <w:color w:val="000000"/>
        </w:rPr>
        <w:t xml:space="preserve">” </w:t>
      </w:r>
      <w:r>
        <w:rPr>
          <w:rFonts w:ascii="Times New Roman;sans-serif" w:hAnsi="Times New Roman;sans-serif"/>
          <w:b w:val="false"/>
          <w:color w:val="000000"/>
          <w:sz w:val="24"/>
        </w:rPr>
        <w:t xml:space="preserve">means the Series of Notes designated as the Series 2023-4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2023-5 Notes</w:t>
      </w:r>
      <w:r>
        <w:rPr>
          <w:color w:val="000000"/>
        </w:rPr>
        <w:t xml:space="preserve">” </w:t>
      </w:r>
      <w:r>
        <w:rPr>
          <w:rFonts w:ascii="Times New Roman;sans-serif" w:hAnsi="Times New Roman;sans-serif"/>
          <w:b w:val="false"/>
          <w:color w:val="000000"/>
          <w:sz w:val="24"/>
        </w:rPr>
        <w:t xml:space="preserve">means the Series of Notes designated as the Series 2023-5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2023-6 Notes</w:t>
      </w:r>
      <w:r>
        <w:rPr>
          <w:color w:val="000000"/>
        </w:rPr>
        <w:t xml:space="preserve">” </w:t>
      </w:r>
      <w:r>
        <w:rPr>
          <w:rFonts w:ascii="Times New Roman;sans-serif" w:hAnsi="Times New Roman;sans-serif"/>
          <w:b w:val="false"/>
          <w:color w:val="000000"/>
          <w:sz w:val="24"/>
        </w:rPr>
        <w:t xml:space="preserve">means the Series of Notes designated as the Series 2023-6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2023-7 Notes</w:t>
      </w:r>
      <w:r>
        <w:rPr>
          <w:color w:val="000000"/>
        </w:rPr>
        <w:t xml:space="preserve">” </w:t>
      </w:r>
      <w:r>
        <w:rPr>
          <w:rFonts w:ascii="Times New Roman;sans-serif" w:hAnsi="Times New Roman;sans-serif"/>
          <w:b w:val="false"/>
          <w:color w:val="000000"/>
          <w:sz w:val="24"/>
        </w:rPr>
        <w:t xml:space="preserve">means the Series of Notes designated as the Series 2023-7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2023-8 Notes</w:t>
      </w:r>
      <w:r>
        <w:rPr>
          <w:color w:val="000000"/>
        </w:rPr>
        <w:t xml:space="preserve">” </w:t>
      </w:r>
      <w:r>
        <w:rPr>
          <w:rFonts w:ascii="Times New Roman;sans-serif" w:hAnsi="Times New Roman;sans-serif"/>
          <w:b w:val="false"/>
          <w:color w:val="000000"/>
          <w:sz w:val="24"/>
        </w:rPr>
        <w:t xml:space="preserve">means the Series of Notes designated as the Series 2023-8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2024-1 Notes</w:t>
      </w:r>
      <w:r>
        <w:rPr>
          <w:color w:val="000000"/>
        </w:rPr>
        <w:t xml:space="preserve">” </w:t>
      </w:r>
      <w:r>
        <w:rPr>
          <w:rFonts w:ascii="Times New Roman;sans-serif" w:hAnsi="Times New Roman;sans-serif"/>
          <w:b w:val="false"/>
          <w:color w:val="000000"/>
          <w:sz w:val="24"/>
        </w:rPr>
        <w:t xml:space="preserve">means the Series of Notes designated as the Series 2024-1 </w:t>
        <w:br/>
        <w:t>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Accounts</w:t>
      </w:r>
      <w:r>
        <w:rPr>
          <w:color w:val="000000"/>
        </w:rPr>
        <w:t xml:space="preserve">” </w:t>
      </w:r>
      <w:r>
        <w:rPr>
          <w:rFonts w:ascii="Times New Roman;sans-serif" w:hAnsi="Times New Roman;sans-serif"/>
          <w:b w:val="false"/>
          <w:color w:val="000000"/>
          <w:sz w:val="24"/>
        </w:rPr>
        <w:t>means each of the Series 2024-2 Distribution Account, the Class A/B/C Reserve Account, the Class D Reserve Account, the Series 2024-2 Collection Account, the Series 2024-2 Excess Collection Account and the Series 2024-2 Accrued Interest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Accrued Interest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2024-2 AESOP I Operating Lease Loan Agreement Borrowing Base</w:t>
      </w:r>
      <w:r>
        <w:rPr>
          <w:color w:val="000000"/>
        </w:rPr>
        <w:t xml:space="preserve">” </w:t>
      </w:r>
      <w:r>
        <w:rPr>
          <w:rFonts w:ascii="Times New Roman;sans-serif" w:hAnsi="Times New Roman;sans-serif"/>
          <w:b w:val="false"/>
          <w:color w:val="000000"/>
          <w:sz w:val="24"/>
        </w:rPr>
        <w:t xml:space="preserve">means, as of any date of determination, the product of (a) the Series 2024-2 AESOP I Operating Lease Vehicle Percentage as of such date and (b) the excess of (i) the AESOP I Operating Lease Loan Agreement Borrowing Base as of such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(ii) the Moody’s Excluded Manufacturer Amount as of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260"/>
                <wp:effectExtent l="0" t="0" r="0" b="0"/>
                <wp:wrapNone/>
                <wp:docPr id="597" name="Frame5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2024-2 AESOP I Operating Lease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(which percentage shall never exceed 100%), the numerator of which is the Series 2024-2 Required AESOP I Operating Lease Vehicle Amount as of such date and the denominator of which is the sum of the Required AESOP I Operating Lease Vehicle Amounts for all Series of Notes as of such date.</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2024-2 Agent</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color w:val="000000"/>
          <w:sz w:val="24"/>
          <w:u w:val="single"/>
        </w:rPr>
        <w:t>Series 2024-2 Allocated Cash Amount</w:t>
      </w:r>
      <w:r>
        <w:rPr>
          <w:color w:val="000000"/>
        </w:rPr>
        <w:t xml:space="preserve">” </w:t>
      </w:r>
      <w:r>
        <w:rPr>
          <w:rFonts w:ascii="Times New Roman;sans-serif" w:hAnsi="Times New Roman;sans-serif"/>
          <w:b w:val="false"/>
          <w:color w:val="000000"/>
          <w:sz w:val="24"/>
        </w:rPr>
        <w:t>means, as of any date of determination, an amount equal to (x) all cash on deposit in the Collection Account as of such date times (y) the Series 2024-2 Invested Percentage (calculated with respect to Principal Collections)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Cash Collateral Accounts</w:t>
      </w:r>
      <w:r>
        <w:rPr>
          <w:color w:val="000000"/>
        </w:rPr>
        <w:t xml:space="preserve">” </w:t>
      </w:r>
      <w:r>
        <w:rPr>
          <w:rFonts w:ascii="Times New Roman;sans-serif" w:hAnsi="Times New Roman;sans-serif"/>
          <w:b w:val="false"/>
          <w:color w:val="000000"/>
          <w:sz w:val="24"/>
        </w:rPr>
        <w:t>means, together, the Class A/B/C Cash Collateral Account and the Class D Cash Collateral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Collateral</w:t>
      </w:r>
      <w:r>
        <w:rPr>
          <w:color w:val="000000"/>
        </w:rPr>
        <w:t xml:space="preserve">” </w:t>
      </w:r>
      <w:r>
        <w:rPr>
          <w:rFonts w:ascii="Times New Roman;sans-serif" w:hAnsi="Times New Roman;sans-serif"/>
          <w:b w:val="false"/>
          <w:color w:val="000000"/>
          <w:sz w:val="24"/>
        </w:rPr>
        <w:t>means the Collateral, the Multi-Series Letters of Credit, each Series 2024-2 Demand Note, the Series 2024-2 Distribution Account Collateral, the Class A/B/C Cash Collateral Account Collateral, the Class D Cash Collateral Account Collateral, the Class A/B/C Reserve Account Collateral and the Class D Reserve Account Collateral.</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Controlled Amortization Period</w:t>
      </w:r>
      <w:r>
        <w:rPr>
          <w:color w:val="000000"/>
        </w:rPr>
        <w:t xml:space="preserve">” </w:t>
      </w:r>
      <w:r>
        <w:rPr>
          <w:rFonts w:ascii="Times New Roman;sans-serif" w:hAnsi="Times New Roman;sans-serif"/>
          <w:b w:val="false"/>
          <w:color w:val="000000"/>
          <w:sz w:val="24"/>
        </w:rPr>
        <w:t>means the period commencing upon the close of business on March 31, 2027 (or, if such day is not a Business Day, the Business Day immediately preceding such day) and continuing to the earliest of (i) the commencement of the Series 2024-2 Rapid Amortization Period, (ii) the date on which the Series 2024-2 Notes are fully paid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Demand Note</w:t>
      </w:r>
      <w:r>
        <w:rPr>
          <w:color w:val="000000"/>
        </w:rPr>
        <w:t xml:space="preserve">” </w:t>
      </w:r>
      <w:r>
        <w:rPr>
          <w:rFonts w:ascii="Times New Roman;sans-serif" w:hAnsi="Times New Roman;sans-serif"/>
          <w:b w:val="false"/>
          <w:color w:val="000000"/>
          <w:sz w:val="24"/>
        </w:rPr>
        <w:t xml:space="preserve">means each demand note made by a Demand Note Issuer, substantially in the form of </w:t>
      </w: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 as amended, modified or restated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Demand Note Payment Amount</w:t>
      </w:r>
      <w:r>
        <w:rPr>
          <w:color w:val="000000"/>
        </w:rPr>
        <w:t xml:space="preserve">” </w:t>
      </w:r>
      <w:r>
        <w:rPr>
          <w:rFonts w:ascii="Times New Roman;sans-serif" w:hAnsi="Times New Roman;sans-serif"/>
          <w:b w:val="false"/>
          <w:color w:val="000000"/>
          <w:sz w:val="24"/>
        </w:rPr>
        <w:t xml:space="preserve">means, as of the Multi-Series Letter of Credit Termination Date, the aggregate amount of all proceeds of demands made on the Series 2024-2 Demand Notes pursuant to Section 2.(c)(i), (d)(i) or (e)(i) that were deposited into the Series 2024-2 Distribution Account and paid to the Series 2024-2 Noteholders during the one year period ending on the Multi-Series Letter of Credit Termination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an Event of Bankruptcy (or the occurrence of an event described in clause (a) of the definition thereof, without the lapse of a period of sixty (60) consecutive days) with respect to a Demand Note Issuer shall have occurred during such one year period, the Series 2024-2 Demand Note Payment Amount as of the Multi-Series Letter of Credit Termination Date shall equal the Series 2024-2 Demand Note Payment Amount as if it were calculated as of the date of such occurrence.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Deposit Date</w:t>
      </w:r>
      <w:r>
        <w:rPr>
          <w:color w:val="000000"/>
        </w:rPr>
        <w:t xml:space="preserve">” </w:t>
      </w:r>
      <w:r>
        <w:rPr>
          <w:rFonts w:ascii="Times New Roman;sans-serif" w:hAnsi="Times New Roman;sans-serif"/>
          <w:b w:val="false"/>
          <w:color w:val="000000"/>
          <w:sz w:val="24"/>
        </w:rPr>
        <w:t>is defined in Section 2.2.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Distribution Account</w:t>
      </w:r>
      <w:r>
        <w:rPr>
          <w:color w:val="000000"/>
        </w:rPr>
        <w:t xml:space="preserve">” </w:t>
      </w:r>
      <w:r>
        <w:rPr>
          <w:rFonts w:ascii="Times New Roman;sans-serif" w:hAnsi="Times New Roman;sans-serif"/>
          <w:b w:val="false"/>
          <w:color w:val="000000"/>
          <w:sz w:val="24"/>
        </w:rPr>
        <w:t>is defined in Section 2.9(a).</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Distribution Account Collateral</w:t>
      </w:r>
      <w:r>
        <w:rPr>
          <w:color w:val="000000"/>
        </w:rPr>
        <w:t xml:space="preserve">” </w:t>
      </w:r>
      <w:r>
        <w:rPr>
          <w:rFonts w:ascii="Times New Roman;sans-serif" w:hAnsi="Times New Roman;sans-serif"/>
          <w:b w:val="false"/>
          <w:color w:val="000000"/>
          <w:sz w:val="24"/>
        </w:rPr>
        <w:t>is defined in Section 2.9(d).</w:t>
      </w:r>
    </w:p>
    <w:p>
      <w:pPr>
        <w:pStyle w:val="TextBody"/>
        <w:bidi w:val="0"/>
        <w:spacing w:before="0" w:after="0"/>
        <w:jc w:val="center"/>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75260"/>
                <wp:effectExtent l="0" t="0" r="0" b="0"/>
                <wp:wrapNone/>
                <wp:docPr id="598" name="Frame5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Eligible Letter of Credit Provider</w:t>
      </w:r>
      <w:r>
        <w:rPr>
          <w:color w:val="000000"/>
        </w:rPr>
        <w:t xml:space="preserve">” </w:t>
      </w:r>
      <w:r>
        <w:rPr>
          <w:rFonts w:ascii="Times New Roman;sans-serif" w:hAnsi="Times New Roman;sans-serif"/>
          <w:b w:val="false"/>
          <w:color w:val="000000"/>
          <w:sz w:val="24"/>
        </w:rPr>
        <w:t xml:space="preserve">means a Person satisfactory to ABCR and the Demand Note Issuers and having, at the time of the issuance of the related Multi-Series Letter of Credit, a long-term senior unsecured debt rating (or the equivalent thereof) of at least “A1” from Moody’s and at least “A+” from Fitch and a short-term senior unsecured debt rating of at least “P-1” from Moody’s and at least “F1” from Fitch that is (a) a commercial bank having total assets in excess of $500,000,000, (b) a finance company, insurance company or other financial institution that in the ordinary course of business issues letters of credit and has total assets in excess of $200,000,000 or (c) any other financial institution;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 Person is not a Multi-Series Letter of Credit Provider (or a letter of credit provider under the Series Supplement for any other Series of Notes), then such Person shall not be a Series 2024-2 Eligible Letter of Credit Provider until ABRCF has provided ten (10) days’ prior notice to the Rating Agencies that such Person has been proposed as a Multi-Series Letter of Credit Provider.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Enhancement</w:t>
      </w:r>
      <w:r>
        <w:rPr>
          <w:color w:val="000000"/>
        </w:rPr>
        <w:t xml:space="preserve">” </w:t>
      </w:r>
      <w:r>
        <w:rPr>
          <w:rFonts w:ascii="Times New Roman;sans-serif" w:hAnsi="Times New Roman;sans-serif"/>
          <w:b w:val="false"/>
          <w:color w:val="000000"/>
          <w:sz w:val="24"/>
        </w:rPr>
        <w:t>means the Class A/B/C Cash Collateral Account Collateral, the Class D Cash Collateral Account Collateral, the Multi-Series Letters of Credit, the Series 2024-2 Demand Notes, the Class D Overcollateralization Amount and the Class A/B/C Required Reserve Account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Enhancement Deficiency</w:t>
      </w:r>
      <w:r>
        <w:rPr>
          <w:color w:val="000000"/>
        </w:rPr>
        <w:t xml:space="preserve">” </w:t>
      </w:r>
      <w:r>
        <w:rPr>
          <w:rFonts w:ascii="Times New Roman;sans-serif" w:hAnsi="Times New Roman;sans-serif"/>
          <w:b w:val="false"/>
          <w:color w:val="000000"/>
          <w:sz w:val="24"/>
        </w:rPr>
        <w:t>means a Class A/B/C Enhancement Deficiency or a Class D Enhancement Deficiency.</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Excess Collection Account</w:t>
      </w:r>
      <w:r>
        <w:rPr>
          <w:color w:val="000000"/>
        </w:rPr>
        <w:t xml:space="preserve">” </w:t>
      </w:r>
      <w:r>
        <w:rPr>
          <w:rFonts w:ascii="Times New Roman;sans-serif" w:hAnsi="Times New Roman;sans-serif"/>
          <w:b w:val="false"/>
          <w:color w:val="000000"/>
          <w:sz w:val="24"/>
        </w:rPr>
        <w:t>is defined in Section 2.1(b).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Excess Tesla Percentage</w:t>
      </w:r>
      <w:r>
        <w:rPr>
          <w:color w:val="000000"/>
        </w:rPr>
        <w:t xml:space="preserve">” </w:t>
      </w:r>
      <w:r>
        <w:rPr>
          <w:rFonts w:ascii="Times New Roman;sans-serif" w:hAnsi="Times New Roman;sans-serif"/>
          <w:b w:val="false"/>
          <w:color w:val="000000"/>
          <w:sz w:val="24"/>
        </w:rPr>
        <w:t>means, as of any date of determination, the greater of (1) zero and (2) the percentage equal to (x) a fraction (expressed as a percentage) equal to the aggregate Net Book Value of all Vehicles manufactured by Tesla and leased under the Leases divided by the aggregate Net Book Value of all Vehicles leased under the Leases minus (y) 15 percentage points.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Expected Final Distribution Date</w:t>
      </w:r>
      <w:r>
        <w:rPr>
          <w:color w:val="000000"/>
        </w:rPr>
        <w:t xml:space="preserve">” </w:t>
      </w:r>
      <w:r>
        <w:rPr>
          <w:rFonts w:ascii="Times New Roman;sans-serif" w:hAnsi="Times New Roman;sans-serif"/>
          <w:b w:val="false"/>
          <w:color w:val="000000"/>
          <w:sz w:val="24"/>
        </w:rPr>
        <w:t>means the October 2027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Final Distribution Date</w:t>
      </w:r>
      <w:r>
        <w:rPr>
          <w:color w:val="000000"/>
        </w:rPr>
        <w:t xml:space="preserve">” </w:t>
      </w:r>
      <w:r>
        <w:rPr>
          <w:rFonts w:ascii="Times New Roman;sans-serif" w:hAnsi="Times New Roman;sans-serif"/>
          <w:b w:val="false"/>
          <w:color w:val="000000"/>
          <w:sz w:val="24"/>
        </w:rPr>
        <w:t>means the October 2028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Interest Period</w:t>
      </w:r>
      <w:r>
        <w:rPr>
          <w:color w:val="000000"/>
        </w:rPr>
        <w:t xml:space="preserve">” </w:t>
      </w:r>
      <w:r>
        <w:rPr>
          <w:rFonts w:ascii="Times New Roman;sans-serif" w:hAnsi="Times New Roman;sans-serif"/>
          <w:b w:val="false"/>
          <w:color w:val="000000"/>
          <w:sz w:val="24"/>
        </w:rPr>
        <w:t>means a period commencing on and including the 20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of each calendar month and ending on and including the 19</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in the following calendar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(x) the initial Series 2024-2 Interest Period with respect to the Class A Notes, the Class B Notes and the Class C Notes commenced on and included the Class A/B/C Notes Closing Date and ended on and included April 19, 2024 and (y) the initial Series 2024-2 Interest Period with respect to the Class D Notes shall commence on and include the Class D Closing Date and shall end on and include February 19, 2025.</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Invested Amount</w:t>
      </w:r>
      <w:r>
        <w:rPr>
          <w:color w:val="000000"/>
        </w:rPr>
        <w:t xml:space="preserve">” </w:t>
      </w:r>
      <w:r>
        <w:rPr>
          <w:rFonts w:ascii="Times New Roman;sans-serif" w:hAnsi="Times New Roman;sans-serif"/>
          <w:b w:val="false"/>
          <w:color w:val="000000"/>
          <w:sz w:val="24"/>
        </w:rPr>
        <w:t>means, as of any date of determination, the sum of the Class A Invested Amount as of such date, the Class B Invested Amount as of such date, the Class C Invested Amount as of such date, the Class D Invested Amount as of such date and the Class R Invested Amount as of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260"/>
                <wp:effectExtent l="0" t="0" r="0" b="0"/>
                <wp:wrapNone/>
                <wp:docPr id="599" name="Frame5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Invested Percentage</w:t>
      </w:r>
      <w:r>
        <w:rPr>
          <w:color w:val="000000"/>
        </w:rPr>
        <w:t xml:space="preserve">” </w:t>
      </w:r>
      <w:r>
        <w:rPr>
          <w:rFonts w:ascii="Times New Roman;sans-serif" w:hAnsi="Times New Roman;sans-serif"/>
          <w:b w:val="false"/>
          <w:color w:val="000000"/>
          <w:sz w:val="24"/>
        </w:rPr>
        <w:t>means, as of any date of determination:</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(a) when used with respect to Principal Collections, the percentage equivalent (which percentage shall never exceed 100%) of a fraction, the numerator of which shall be equal to the greater of (x) the sum of the Class A/B/C Invested Amount and the Class A/B/C Overcollateralization Amount and (y) the Series 2024-2 Invested Amount and the Class D Overcollateralization Amount, determined during the Series 2024-2 Revolving Period as of the end of the Related Month (or, until the end of the Related Month during which the Class D Notes Closing Date occurs, on the Class D Notes Closing Date), or, during the Series 2024-2 Controlled Amortization Period and the Series 2024-2 Rapid Amortization Period, as of the end of the Series 2024-2 Revolving Period, and the denominator of which shall be the greater of (I) the Aggregate Asset Amount as of the end of the Related Month or, until the end of the initial Related Month, as of the Class A/B/C Notes Closing Date, and (II) as of the same date as in clause (I), the sum of the numerators used to determine the invested percentages for allocations with respect to Principal Collections (for all Series of Notes and all classes of such Series of Notes);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 when used with respect to Interest Collections, the percentage equivalent (which percentage shall never exceed 100%) of a fraction, the numerator of which shall be the Accrued Amounts with respect to the Series 2024-2 Notes on such date of determination, and the denominator of which shall be the aggregate Accrued Amounts with respect to all Series of Notes on such date of determination.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Lease Interest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Interest Collections which pursuant to Section 2.2(a), (b), (c) or (d) would have been allocated to the Series 2024-2 Accrued Interest Account if all payments of Monthly Base Rent required to have been made under the Leases from and excluding the preceding Distribution Date to and including such Distribution Date were made in full over (b) the aggregate amount of Interest Collections which pursuant to Section 2.2(a), (b), (c) or (d) have been allocated to the Series 2024-2 Accrued Interest Account (excluding any amounts paid into the Series 2024-2 Accrued Interest Account pursuant to the proviso in Sections 2.2(c)(ii) and/or 2.2(d)(ii)) from and excluding the preceding Distribution Date to and including the Business Day immediately preceding such Distribution Date over (2) the Class R Monthly Interest with respect to the Series 2024-2 Interest Period ended on the day preceding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Lease Payment Deficit</w:t>
      </w:r>
      <w:r>
        <w:rPr>
          <w:color w:val="000000"/>
        </w:rPr>
        <w:t xml:space="preserve">” </w:t>
      </w:r>
      <w:r>
        <w:rPr>
          <w:rFonts w:ascii="Times New Roman;sans-serif" w:hAnsi="Times New Roman;sans-serif"/>
          <w:b w:val="false"/>
          <w:color w:val="000000"/>
          <w:sz w:val="24"/>
        </w:rPr>
        <w:t>means either a Series 2024-2 Lease Interest Payment Deficit or a Series 2024-2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Lease Principal Payment Carryover Deficit</w:t>
      </w:r>
      <w:r>
        <w:rPr>
          <w:color w:val="000000"/>
        </w:rPr>
        <w:t xml:space="preserve">” </w:t>
      </w:r>
      <w:r>
        <w:rPr>
          <w:rFonts w:ascii="Times New Roman;sans-serif" w:hAnsi="Times New Roman;sans-serif"/>
          <w:b w:val="false"/>
          <w:color w:val="000000"/>
          <w:sz w:val="24"/>
        </w:rPr>
        <w:t xml:space="preserve">means (a) for the initial Distribution Date, zero and (b) for any other Distribution Date, the excess of (x) the Series 2024-2 Lease Principal Payment Deficit, if any, on the preceding Distribution Date </w:t>
      </w:r>
      <w:r>
        <w:rPr>
          <w:rFonts w:ascii="Times New Roman;sans-serif" w:hAnsi="Times New Roman;sans-serif"/>
          <w:b w:val="false"/>
          <w:color w:val="000000"/>
          <w:sz w:val="24"/>
          <w:u w:val="single"/>
        </w:rPr>
        <w:t>over</w:t>
      </w:r>
      <w:r>
        <w:rPr>
          <w:color w:val="000000"/>
        </w:rPr>
        <w:t xml:space="preserve"> </w:t>
      </w:r>
      <w:r>
        <w:rPr>
          <w:rFonts w:ascii="Times New Roman;sans-serif" w:hAnsi="Times New Roman;sans-serif"/>
          <w:b w:val="false"/>
          <w:color w:val="000000"/>
          <w:sz w:val="24"/>
        </w:rPr>
        <w:t>(y) the amount deposited in the Distribution Account on such preceding Distribution Date pursuant to Section 2.5(b) on account of such Series 2024-2 Lease Principal Payment Deficit.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Lease Principal Payment Deficit</w:t>
      </w:r>
      <w:r>
        <w:rPr>
          <w:color w:val="000000"/>
        </w:rPr>
        <w:t xml:space="preserve">” </w:t>
      </w:r>
      <w:r>
        <w:rPr>
          <w:rFonts w:ascii="Times New Roman;sans-serif" w:hAnsi="Times New Roman;sans-serif"/>
          <w:b w:val="false"/>
          <w:color w:val="000000"/>
          <w:sz w:val="24"/>
        </w:rPr>
        <w:t xml:space="preserve">means on any Distribution Date, the sum of (a) the Series 2024-2 Monthly Lease Principal Payment Deficit for such Distribution </w:t>
      </w:r>
    </w:p>
    <w:p>
      <w:pPr>
        <w:pStyle w:val="TextBody"/>
        <w:bidi w:val="0"/>
        <w:spacing w:before="0" w:after="0"/>
        <w:jc w:val="center"/>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75260"/>
                <wp:effectExtent l="0" t="0" r="0" b="0"/>
                <wp:wrapNone/>
                <wp:docPr id="600" name="Frame5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 and (b) the Series 2024-2 Lease Principal Payment Carryover Deficit for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Limited Liquidation Event of Default</w:t>
      </w:r>
      <w:r>
        <w:rPr>
          <w:color w:val="000000"/>
        </w:rPr>
        <w:t xml:space="preserve">” </w:t>
      </w:r>
      <w:r>
        <w:rPr>
          <w:rFonts w:ascii="Times New Roman;sans-serif" w:hAnsi="Times New Roman;sans-serif"/>
          <w:b w:val="false"/>
          <w:color w:val="000000"/>
          <w:sz w:val="24"/>
        </w:rPr>
        <w:t xml:space="preserve">means, so long as such event or condition continues, any event or condition of the type specified in clauses (a) through (g) of Article III;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event or condition of the type specified in clauses (a) through (g) of Article III shall not constitute a Series 2024-2 Limited Liquidation Event of Default if the Trustee shall have received the written consent of the Requisite Series 2024-2 Noteholders waiving the occurrence of such Series 2024-2 Limited Liquidation Event of Default. The Trustee shall promptly (but in any event within two (2) days) provide the Rating Agencies with written notice of such waiver.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Monthly Lease Principal Payment Deficit</w:t>
      </w:r>
      <w:r>
        <w:rPr>
          <w:color w:val="000000"/>
        </w:rPr>
        <w:t xml:space="preserve">” </w:t>
      </w:r>
      <w:r>
        <w:rPr>
          <w:rFonts w:ascii="Times New Roman;sans-serif" w:hAnsi="Times New Roman;sans-serif"/>
          <w:b w:val="false"/>
          <w:color w:val="000000"/>
          <w:sz w:val="24"/>
        </w:rPr>
        <w:t xml:space="preserve">means, on any Distribution Date, an amount equal to the excess, if any, of (1) the excess, if any, of (a) the aggregate amount of Principal Collections which pursuant to Section 2.2(a), (b), (c) or (d) would have been allocated to the Series 2024-2 Collection Account if all payments required to have been made under the Leases from and excluding the preceding Distribution Date to and including such Distribution Date were made in full over (b) the aggregate amount of Principal Collections which pursuant to Section 2.2(a), (b), (c) or (d) have been allocated to the Series 2024-2 Collection Account (without giving effect to any amounts paid into the Series 2024-2 Accrued Interest Account pursuant to the proviso in Sections 2.2(c)(ii) and/or 2.2(d)(ii)) from and excluding the preceding Distribution Date to and including the Business Day immediately preceding such Distribution Date over (2) the principal due and payable with respect to the Class R Notes on such Distribution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Highest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aggregate Net Book Value of all Vehicles (other than “medium duty” and “heavy duty” trucks) leased under the AESOP I Operating Lease that are either not subject to a Manufacturer Program or not eligible for repurchase under a Manufacturer Program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Highest Enhancement Rate</w:t>
      </w:r>
      <w:r>
        <w:rPr>
          <w:color w:val="000000"/>
        </w:rPr>
        <w:t xml:space="preserve">” </w:t>
      </w:r>
      <w:r>
        <w:rPr>
          <w:rFonts w:ascii="Times New Roman;sans-serif" w:hAnsi="Times New Roman;sans-serif"/>
          <w:b w:val="false"/>
          <w:color w:val="000000"/>
          <w:sz w:val="24"/>
        </w:rPr>
        <w:t xml:space="preserve">means, as of any date of determination, the sum of (a) 14.00% (with respect to calculating the Class D Required Enhancement Amount) or 27.65% (with respect to calculating the Class A/B/C Required Enhancement Amount), (b) the greater of (x) the highest, for any calendar month within the preceding 12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Measurement Month Average for the immediately preceding Measurement Month and (y) the highest, for any calendar month within the preceding 3 calendar months, of an amount (not less than zero) equal to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Market Value Average as of the Determination Date within such calendar month (excluding the Market Value Average for any Determination Date which has not yet occurred) and (c) a percentage equal to the product of (x) the Series 2024-2 Excess Tesla Percentage and (y) 10%.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Intermediate Enhanced Vehicle Percentage</w:t>
      </w:r>
      <w:r>
        <w:rPr>
          <w:color w:val="000000"/>
        </w:rPr>
        <w:t xml:space="preserve">” </w:t>
      </w:r>
      <w:r>
        <w:rPr>
          <w:rFonts w:ascii="Times New Roman;sans-serif" w:hAnsi="Times New Roman;sans-serif"/>
          <w:b w:val="false"/>
          <w:color w:val="000000"/>
          <w:sz w:val="24"/>
        </w:rPr>
        <w:t xml:space="preserve">means, as of any date of determination,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sum of (a) the Series 2024-2 Moody’s Lowest </w:t>
        <w:br/>
      </w:r>
    </w:p>
    <w:p>
      <w:pPr>
        <w:pStyle w:val="TextBody"/>
        <w:bidi w:val="0"/>
        <w:spacing w:before="0" w:after="0"/>
        <w:jc w:val="center"/>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75260"/>
                <wp:effectExtent l="0" t="0" r="0" b="0"/>
                <wp:wrapNone/>
                <wp:docPr id="601" name="Frame5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Enhanced Vehicle Percentage, (b) the Series 2024-2 Moody’s Highest Enhanced Vehicle Percentage and (c) the Series 2024-2 Moody’s Trucks Percentage.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Intermediate Enhancement Rate</w:t>
      </w:r>
      <w:r>
        <w:rPr>
          <w:color w:val="000000"/>
        </w:rPr>
        <w:t xml:space="preserve">” </w:t>
      </w:r>
      <w:r>
        <w:rPr>
          <w:rFonts w:ascii="Times New Roman;sans-serif" w:hAnsi="Times New Roman;sans-serif"/>
          <w:b w:val="false"/>
          <w:color w:val="000000"/>
          <w:sz w:val="24"/>
        </w:rPr>
        <w:t>means, as of any date of determination, 8.50% (with respect to calculating the Class D Required Enhancement Amount) or 16.15%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Lowest Enhanced Vehicle Percentage</w:t>
      </w:r>
      <w:r>
        <w:rPr>
          <w:color w:val="000000"/>
        </w:rPr>
        <w:t xml:space="preserve">” </w:t>
      </w:r>
      <w:r>
        <w:rPr>
          <w:rFonts w:ascii="Times New Roman;sans-serif" w:hAnsi="Times New Roman;sans-serif"/>
          <w:b w:val="false"/>
          <w:color w:val="000000"/>
          <w:sz w:val="24"/>
        </w:rPr>
        <w:t>means, as of any date of determination, a fraction, expressed as a percentage, (a) the numerator of which is the sum, without duplication, of (1) the aggregate Net Book Value of all Program Vehicles (other than “medium duty” and “heavy duty” trucks) leased under the AESOP I Operating Lease that are manufactured by Eligible Program Manufacturers having a long-term corporate family rating of “Baa3” or higher from Moody’s as of such date (or, if any Eligible Program Manufacturer does not have a long-term corporate family rating from Moody’s as of such date, a long-term senior unsecured debt rating of at least “Ba1” from Moody’s as of such date), and (2) so long as any Eligible Non-Program Manufacturer has a long-term corporate family rating of “Baa3” or higher from Moody’s as of such date (or, if any Eligible Non-Program Manufacturer does not have a long-term corporate family rating from Moody’s as of such date, a long-term senior unsecured debt rating of at least “Ba1” from Moody’s as of such date) and no Manufacturer Event of Default has occurred and is continuing with respect to such Eligible Non-Program Manufacturer, the aggregate Net Book Value of all Non-Program Vehicles (other than “medium duty” and “heavy duty” trucks) leased under the AESOP I Operating Lease manufactured by each such Eligible Non-Program Manufacturer that are subject to a Manufacturer Program and remain eligible for repurchase thereunder as of such date and (b) the denominator of which is the aggregate Net Book Value of all Vehicles leased under the AESOP I Operating Lease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Lowest Enhancement Rate</w:t>
      </w:r>
      <w:r>
        <w:rPr>
          <w:color w:val="000000"/>
        </w:rPr>
        <w:t xml:space="preserve">” </w:t>
      </w:r>
      <w:r>
        <w:rPr>
          <w:rFonts w:ascii="Times New Roman;sans-serif" w:hAnsi="Times New Roman;sans-serif"/>
          <w:b w:val="false"/>
          <w:color w:val="000000"/>
          <w:sz w:val="24"/>
        </w:rPr>
        <w:t>means, as of any date of determination, 5.00% (with respect to calculating the Class D Required Enhancement Amount) or 12.65% (with respect to calculating the Class A/B/C Required Enhancement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Required Enhancement Amount</w:t>
      </w:r>
      <w:r>
        <w:rPr>
          <w:color w:val="000000"/>
        </w:rPr>
        <w:t xml:space="preserve">” </w:t>
      </w:r>
      <w:r>
        <w:rPr>
          <w:rFonts w:ascii="Times New Roman;sans-serif" w:hAnsi="Times New Roman;sans-serif"/>
          <w:b w:val="false"/>
          <w:color w:val="000000"/>
          <w:sz w:val="24"/>
        </w:rPr>
        <w:t xml:space="preserve">means, as of any date of determination, the product of (i) the applicable Series 2024-2 Moody’s Required Enhancement Percentage as of such date and (ii) an amount equal to (x) with respect to calculating the Class A/B/C Required Enhancement Amount, the sum of (1) the Class A Invested Amount, (2) the Class B Invested Amount and (3) the Class C Invested Amount, in each case as of such date and (y) with respect to calculating the Class D Required Enhancement Amount, the Series 2024-2 Senior Invested Amount </w:t>
      </w:r>
      <w:r>
        <w:rPr>
          <w:rFonts w:ascii="Times New Roman;sans-serif" w:hAnsi="Times New Roman;sans-serif"/>
          <w:b w:val="false"/>
          <w:i/>
          <w:color w:val="000000"/>
          <w:sz w:val="24"/>
        </w:rPr>
        <w:t>minus</w:t>
      </w:r>
      <w:r>
        <w:rPr>
          <w:color w:val="000000"/>
        </w:rPr>
        <w:t xml:space="preserve"> </w:t>
      </w:r>
      <w:r>
        <w:rPr>
          <w:rFonts w:ascii="Times New Roman;sans-serif" w:hAnsi="Times New Roman;sans-serif"/>
          <w:b w:val="false"/>
          <w:color w:val="000000"/>
          <w:sz w:val="24"/>
        </w:rPr>
        <w:t>the Series 2024-2 Allocated Cash Amount.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Required Enhancement Percentage</w:t>
      </w:r>
      <w:r>
        <w:rPr>
          <w:color w:val="000000"/>
        </w:rPr>
        <w:t xml:space="preserve">” </w:t>
      </w:r>
      <w:r>
        <w:rPr>
          <w:rFonts w:ascii="Times New Roman;sans-serif" w:hAnsi="Times New Roman;sans-serif"/>
          <w:b w:val="false"/>
          <w:color w:val="000000"/>
          <w:sz w:val="24"/>
        </w:rPr>
        <w:t xml:space="preserve">means, as of any date of determination, the sum of (i) the product of (A) the Series 2024-2 Moody’s Lowest Enhancement Rate as of such date and (B) the Series 2024-2 Moody’s Lowest Enhanced Vehicle Percentage as of such date, (ii) the product of (A) the Series 2024-2 Moody’s Intermediate Enhancement Rate as of such date and (B) the Series 2024-2 Moody’s Intermediate Enhanced Vehicle Percentage as of such date, (iii) the product of (A) the Series 2024-2 Moody’s Highest Enhancement Rate as of such date and (B) the Series 2024-2 Moody’s Highest Enhanced Vehicle Percentage as of such date and (iv) the product of (A) the Series 2024-2 Moody’s Trucks </w:t>
      </w:r>
    </w:p>
    <w:p>
      <w:pPr>
        <w:pStyle w:val="TextBody"/>
        <w:bidi w:val="0"/>
        <w:spacing w:before="0" w:after="0"/>
        <w:jc w:val="center"/>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75260"/>
                <wp:effectExtent l="0" t="0" r="0" b="0"/>
                <wp:wrapNone/>
                <wp:docPr id="602" name="Frame5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Enhancement Rate as of such date and (B) the Series 2024-2 Moody’s Trucks Percentage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Trucks Enhancement Rate</w:t>
      </w:r>
      <w:r>
        <w:rPr>
          <w:color w:val="000000"/>
        </w:rPr>
        <w:t xml:space="preserve">” </w:t>
      </w:r>
      <w:r>
        <w:rPr>
          <w:rFonts w:ascii="Times New Roman;sans-serif" w:hAnsi="Times New Roman;sans-serif"/>
          <w:b w:val="false"/>
          <w:color w:val="000000"/>
          <w:sz w:val="24"/>
        </w:rPr>
        <w:t>means, as of any date of determination, 35.80%.</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Moody’s Trucks Percentage</w:t>
      </w:r>
      <w:r>
        <w:rPr>
          <w:color w:val="000000"/>
        </w:rPr>
        <w:t xml:space="preserve">” </w:t>
      </w:r>
      <w:r>
        <w:rPr>
          <w:rFonts w:ascii="Times New Roman;sans-serif" w:hAnsi="Times New Roman;sans-serif"/>
          <w:b w:val="false"/>
          <w:color w:val="000000"/>
          <w:sz w:val="24"/>
        </w:rPr>
        <w:t xml:space="preserve">means, as of any date of determination, a fraction, expressed as a percentage, (a) the numerator of which is the aggregate Net Book Value of all Vehicles leased under the AESOP I Operating Lease that are that are “medium duty” or “heavy duty” trucks as of such date and (b) the denominator of which is the aggregate Net Book Value of all Vehicles leased under the AESOP I Operating Lease as of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 Owner</w:t>
      </w:r>
      <w:r>
        <w:rPr>
          <w:color w:val="000000"/>
        </w:rPr>
        <w:t xml:space="preserve">” </w:t>
      </w:r>
      <w:r>
        <w:rPr>
          <w:rFonts w:ascii="Times New Roman;sans-serif" w:hAnsi="Times New Roman;sans-serif"/>
          <w:b w:val="false"/>
          <w:color w:val="000000"/>
          <w:sz w:val="24"/>
        </w:rPr>
        <w:t xml:space="preserve">means each beneficial owner of a Series 2024-2 Note.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Noteholder</w:t>
      </w:r>
      <w:r>
        <w:rPr>
          <w:color w:val="000000"/>
        </w:rPr>
        <w:t xml:space="preserve">” </w:t>
      </w:r>
      <w:r>
        <w:rPr>
          <w:rFonts w:ascii="Times New Roman;sans-serif" w:hAnsi="Times New Roman;sans-serif"/>
          <w:b w:val="false"/>
          <w:color w:val="000000"/>
          <w:sz w:val="24"/>
        </w:rPr>
        <w:t>means any Class A Noteholder, any Class B Noteholder, any Class C Noteholder, any Class D Noteholder or any Class R Noteholder.</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the Class D Notes, and the Class R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Past Due Rent Payment</w:t>
      </w:r>
      <w:r>
        <w:rPr>
          <w:color w:val="000000"/>
        </w:rPr>
        <w:t xml:space="preserve">” </w:t>
      </w:r>
      <w:r>
        <w:rPr>
          <w:rFonts w:ascii="Times New Roman;sans-serif" w:hAnsi="Times New Roman;sans-serif"/>
          <w:b w:val="false"/>
          <w:color w:val="000000"/>
          <w:sz w:val="24"/>
        </w:rPr>
        <w:t>is defined in Section 2.2(g).</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Percentage</w:t>
      </w:r>
      <w:r>
        <w:rPr>
          <w:color w:val="000000"/>
        </w:rPr>
        <w:t xml:space="preserve">” </w:t>
      </w:r>
      <w:r>
        <w:rPr>
          <w:rFonts w:ascii="Times New Roman;sans-serif" w:hAnsi="Times New Roman;sans-serif"/>
          <w:b w:val="false"/>
          <w:color w:val="000000"/>
          <w:sz w:val="24"/>
        </w:rPr>
        <w:t>means, as of any date of determination, a fraction, expressed as a percentage, the numerator of which is the Series 2024-2 Invested Amount as of such date and the denominator of which is the Aggregate Invested Amount as of such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Principal Allocation</w:t>
      </w:r>
      <w:r>
        <w:rPr>
          <w:color w:val="000000"/>
        </w:rPr>
        <w:t xml:space="preserve">” </w:t>
      </w:r>
      <w:r>
        <w:rPr>
          <w:rFonts w:ascii="Times New Roman;sans-serif" w:hAnsi="Times New Roman;sans-serif"/>
          <w:b w:val="false"/>
          <w:color w:val="000000"/>
          <w:sz w:val="24"/>
        </w:rPr>
        <w:t>is defined in Section 2.2(a)(ii).</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Rapid Amortization Period</w:t>
      </w:r>
      <w:r>
        <w:rPr>
          <w:color w:val="000000"/>
        </w:rPr>
        <w:t xml:space="preserve">” </w:t>
      </w:r>
      <w:r>
        <w:rPr>
          <w:rFonts w:ascii="Times New Roman;sans-serif" w:hAnsi="Times New Roman;sans-serif"/>
          <w:b w:val="false"/>
          <w:color w:val="000000"/>
          <w:sz w:val="24"/>
        </w:rPr>
        <w:t>means the period beginning at the close of business on the Business Day immediately preceding the day on which an Amortization Event is deemed to have occurred with respect to the Series 2024-2 Notes and ending upon the earliest to occur of (i) the date on which the Series 2024-2 Notes are fully paid, (ii) the Series 2024-2 Final Distribution Date and (iii) the termination of the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Reimbursement Agreement</w:t>
      </w:r>
      <w:r>
        <w:rPr>
          <w:color w:val="000000"/>
        </w:rPr>
        <w:t xml:space="preserve">” </w:t>
      </w:r>
      <w:r>
        <w:rPr>
          <w:rFonts w:ascii="Times New Roman;sans-serif" w:hAnsi="Times New Roman;sans-serif"/>
          <w:b w:val="false"/>
          <w:color w:val="000000"/>
          <w:sz w:val="24"/>
        </w:rPr>
        <w:t>means any and each agreement providing for the reimbursement of a Multi-Series Letter of Credit Provider for draws under its Multi-Series Letter of Credit as the same may be amended, supplemented, restated or otherwise modified from time to time.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Repurchase Amount</w:t>
      </w:r>
      <w:r>
        <w:rPr>
          <w:color w:val="000000"/>
        </w:rPr>
        <w:t xml:space="preserve">” </w:t>
      </w:r>
      <w:r>
        <w:rPr>
          <w:rFonts w:ascii="Times New Roman;sans-serif" w:hAnsi="Times New Roman;sans-serif"/>
          <w:b w:val="false"/>
          <w:color w:val="000000"/>
          <w:sz w:val="24"/>
        </w:rPr>
        <w:t xml:space="preserve">is defined in Section 5.1(a).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Required AESOP I Operating Lease Vehicle Amount</w:t>
      </w:r>
      <w:r>
        <w:rPr>
          <w:color w:val="000000"/>
        </w:rPr>
        <w:t xml:space="preserve">” </w:t>
      </w:r>
      <w:r>
        <w:rPr>
          <w:rFonts w:ascii="Times New Roman;sans-serif" w:hAnsi="Times New Roman;sans-serif"/>
          <w:b w:val="false"/>
          <w:color w:val="000000"/>
          <w:sz w:val="24"/>
        </w:rPr>
        <w:t>means, as of any date of determination, the sum of (i) the Class A/B/C Invested Amount as of such date and (ii) the greater of (x) the Class A/B/C Required Overcollateralization Amount as of such date and (y) the sum of (A) the Class D Invested Amount as of such date and (B) the Class D Required Overcollateralization Amount as of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75260"/>
                <wp:effectExtent l="0" t="0" r="0" b="0"/>
                <wp:wrapNone/>
                <wp:docPr id="603" name="Frame5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Reserve Accounts</w:t>
      </w:r>
      <w:r>
        <w:rPr>
          <w:color w:val="000000"/>
        </w:rPr>
        <w:t xml:space="preserve">” </w:t>
      </w:r>
      <w:r>
        <w:rPr>
          <w:rFonts w:ascii="Times New Roman;sans-serif" w:hAnsi="Times New Roman;sans-serif"/>
          <w:b w:val="false"/>
          <w:color w:val="000000"/>
          <w:sz w:val="24"/>
        </w:rPr>
        <w:t>means, together, the Class A/B/C Reserve Account and the Class D Reserve Account.</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Revolving Period</w:t>
      </w:r>
      <w:r>
        <w:rPr>
          <w:color w:val="000000"/>
        </w:rPr>
        <w:t xml:space="preserve">” </w:t>
      </w:r>
      <w:r>
        <w:rPr>
          <w:rFonts w:ascii="Times New Roman;sans-serif" w:hAnsi="Times New Roman;sans-serif"/>
          <w:b w:val="false"/>
          <w:color w:val="000000"/>
          <w:sz w:val="24"/>
        </w:rPr>
        <w:t>means the period from and including the Class A/B/C Notes Closing Date to the earlier of (i) the commencement of the Series 2024-2 Controlled Amortization Period and (ii) the commencement of the Series 2024-2 Rapid Amortization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Senior Invested Amount</w:t>
      </w:r>
      <w:r>
        <w:rPr>
          <w:color w:val="000000"/>
        </w:rPr>
        <w:t xml:space="preserve">” </w:t>
      </w:r>
      <w:r>
        <w:rPr>
          <w:rFonts w:ascii="Times New Roman;sans-serif" w:hAnsi="Times New Roman;sans-serif"/>
          <w:b w:val="false"/>
          <w:color w:val="000000"/>
          <w:sz w:val="24"/>
        </w:rPr>
        <w:t xml:space="preserve">means, on any date, the sum of the Class A Invested Amount on such date, the Class B Invested Amount on such date, the Class C Invested Amount on such date and the Class D Invested Amount on such date.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Senior Monthly Interest</w:t>
      </w:r>
      <w:r>
        <w:rPr>
          <w:color w:val="000000"/>
        </w:rPr>
        <w:t xml:space="preserve">” </w:t>
      </w:r>
      <w:r>
        <w:rPr>
          <w:rFonts w:ascii="Times New Roman;sans-serif" w:hAnsi="Times New Roman;sans-serif"/>
          <w:b w:val="false"/>
          <w:color w:val="000000"/>
          <w:sz w:val="24"/>
        </w:rPr>
        <w:t>means, with respect to any Distribution Date, the sum of the Class A Monthly Interest, the Class B Monthly Interest, the Class C Monthly Interest and the Class D Monthly Interest, in each case with respect to the Series 2024-2 Interest Period ended on the day preceding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Senior Notes</w:t>
      </w:r>
      <w:r>
        <w:rPr>
          <w:color w:val="000000"/>
        </w:rPr>
        <w:t xml:space="preserve">” </w:t>
      </w:r>
      <w:r>
        <w:rPr>
          <w:rFonts w:ascii="Times New Roman;sans-serif" w:hAnsi="Times New Roman;sans-serif"/>
          <w:b w:val="false"/>
          <w:color w:val="000000"/>
          <w:sz w:val="24"/>
        </w:rPr>
        <w:t xml:space="preserve">means, collectively, the Class A Notes, the Class B Notes, the Class C Notes and the Class D Notes.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Shortfall</w:t>
      </w:r>
      <w:r>
        <w:rPr>
          <w:color w:val="000000"/>
        </w:rPr>
        <w:t xml:space="preserve">” </w:t>
      </w:r>
      <w:r>
        <w:rPr>
          <w:rFonts w:ascii="Times New Roman;sans-serif" w:hAnsi="Times New Roman;sans-serif"/>
          <w:b w:val="false"/>
          <w:color w:val="000000"/>
          <w:sz w:val="24"/>
        </w:rPr>
        <w:t>means, on any Distribution Date, the sum of the Class A Shortfall, the Class B Shortfall, the Class C Shortfall, the Class D Senior Interest Shortfall and the Class D Subordinated Interest Shortfall on such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Termination Date</w:t>
      </w:r>
      <w:r>
        <w:rPr>
          <w:color w:val="000000"/>
        </w:rPr>
        <w:t xml:space="preserve">” </w:t>
      </w:r>
      <w:r>
        <w:rPr>
          <w:rFonts w:ascii="Times New Roman;sans-serif" w:hAnsi="Times New Roman;sans-serif"/>
          <w:b w:val="false"/>
          <w:color w:val="000000"/>
          <w:sz w:val="24"/>
        </w:rPr>
        <w:t>means the October 2028 Distribution Date.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2024-2 Trustee’s Fees</w:t>
      </w:r>
      <w:r>
        <w:rPr>
          <w:color w:val="000000"/>
        </w:rPr>
        <w:t xml:space="preserve">” </w:t>
      </w:r>
      <w:r>
        <w:rPr>
          <w:rFonts w:ascii="Times New Roman;sans-serif" w:hAnsi="Times New Roman;sans-serif"/>
          <w:b w:val="false"/>
          <w:color w:val="000000"/>
          <w:sz w:val="24"/>
        </w:rPr>
        <w:t xml:space="preserve">means, for any Distribution Date during the Series 2024-2 Rapid Amortization Period on which there exists a Series 2024-2 Lease Interest Payment Deficit, a portion of the fees payable to the Trustee in an amount equal to the product of (i) the Series 2024-2 Percentage as of the beginning of the Series 2024-2 Interest Period ending on the day preceding such Distribution Date and (ii) the fees owing to the Trustee under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Series 2024-2 Trustee’s Fees in the aggregate for all Distribution Dates shall not exceed 1.1% of the Series 2024-2 Required AESOP I Operating Lease Vehicle Amount as of the last day of the Series 2024-2 Revolving Period.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Series 2024-3 Notes</w:t>
      </w:r>
      <w:r>
        <w:rPr>
          <w:color w:val="000000"/>
        </w:rPr>
        <w:t xml:space="preserve">” </w:t>
      </w:r>
      <w:r>
        <w:rPr>
          <w:rFonts w:ascii="Times New Roman;sans-serif" w:hAnsi="Times New Roman;sans-serif"/>
          <w:b w:val="false"/>
          <w:color w:val="000000"/>
          <w:sz w:val="24"/>
        </w:rPr>
        <w:t>means the Series of Notes designated as the Series 2024-3 Notes.</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w:t>
      </w:r>
      <w:r>
        <w:rPr>
          <w:color w:val="000000"/>
        </w:rPr>
        <w:t xml:space="preserve">” </w:t>
      </w:r>
      <w:r>
        <w:rPr>
          <w:rFonts w:ascii="Times New Roman;sans-serif" w:hAnsi="Times New Roman;sans-serif"/>
          <w:b w:val="false"/>
          <w:color w:val="000000"/>
          <w:sz w:val="24"/>
        </w:rPr>
        <w:t xml:space="preserve">means a rate per annum equal to the secured overnight financing rate as administered by the SOFR Administrator.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w:t>
      </w:r>
      <w:r>
        <w:rPr>
          <w:color w:val="000000"/>
        </w:rPr>
        <w:t xml:space="preserve">” </w:t>
      </w:r>
      <w:r>
        <w:rPr>
          <w:rFonts w:ascii="Times New Roman;sans-serif" w:hAnsi="Times New Roman;sans-serif"/>
          <w:b w:val="false"/>
          <w:color w:val="000000"/>
          <w:sz w:val="24"/>
        </w:rPr>
        <w:t xml:space="preserve">means the NYFRB (or a successor administrator of the secured overnight financing rate).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SOFR Administrator’s Website</w:t>
      </w:r>
      <w:r>
        <w:rPr>
          <w:color w:val="000000"/>
        </w:rPr>
        <w:t xml:space="preserve">” </w:t>
      </w:r>
      <w:r>
        <w:rPr>
          <w:rFonts w:ascii="Times New Roman;sans-serif" w:hAnsi="Times New Roman;sans-serif"/>
          <w:b w:val="false"/>
          <w:color w:val="000000"/>
          <w:sz w:val="24"/>
        </w:rPr>
        <w:t>means the NYFRB’s Website, or any successor source for the secured overnight financing rate identified as such by the SOFR Administrator from time to time.</w:t>
      </w:r>
    </w:p>
    <w:p>
      <w:pPr>
        <w:pStyle w:val="TextBody"/>
        <w:bidi w:val="0"/>
        <w:spacing w:before="0" w:after="240"/>
        <w:ind w:left="0" w:right="0" w:firstLine="144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75260"/>
                <wp:effectExtent l="0" t="0" r="0" b="0"/>
                <wp:wrapNone/>
                <wp:docPr id="604" name="Frame5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(Non-Perfected Lien)</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remove the limitations in the Related Documents related to Vehicles titled in Ohio, Oklahoma and Nebraska (the liens on which may not perfected) and replace such references with limitations that would allow a limited amount of Vehicles titled anywhere in the United States to be subject to liens that are not perfected.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Springing Amendment Condition (Trucks)</w:t>
      </w:r>
      <w:r>
        <w:rPr>
          <w:color w:val="000000"/>
        </w:rPr>
        <w:t xml:space="preserve">” </w:t>
      </w:r>
      <w:r>
        <w:rPr>
          <w:rFonts w:ascii="Times New Roman;sans-serif" w:hAnsi="Times New Roman;sans-serif"/>
          <w:b w:val="false"/>
          <w:color w:val="000000"/>
          <w:sz w:val="24"/>
        </w:rPr>
        <w:t xml:space="preserve">means a condition that will be satisfied if ABRCF confirms to the Trustee in writing that is has implemented, in accordance with the terms of the Related Documents, the amendments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R</w:t>
      </w:r>
      <w:r>
        <w:rPr>
          <w:color w:val="000000"/>
        </w:rPr>
        <w:t xml:space="preserve"> </w:t>
      </w:r>
      <w:r>
        <w:rPr>
          <w:rFonts w:ascii="Times New Roman;sans-serif" w:hAnsi="Times New Roman;sans-serif"/>
          <w:b w:val="false"/>
          <w:color w:val="000000"/>
          <w:sz w:val="24"/>
        </w:rPr>
        <w:t>that ABRCF has determined are required to allow for “medium duty” and “heavy duty” trucks to be considered an “Eligible Vehicle” under the Base Indenture.</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Subject Class D Notes</w:t>
      </w:r>
      <w:r>
        <w:rPr>
          <w:color w:val="000000"/>
        </w:rPr>
        <w:t xml:space="preserve">” </w:t>
      </w:r>
      <w:r>
        <w:rPr>
          <w:rFonts w:ascii="Times New Roman;sans-serif" w:hAnsi="Times New Roman;sans-serif"/>
          <w:b w:val="false"/>
          <w:color w:val="000000"/>
          <w:sz w:val="24"/>
        </w:rPr>
        <w:t>means (x) the Class D Notes and (y) the Classes of Notes designated as the Series 2020-2 Notes, Class D, the Series 2022-5 Notes, Class D, the Series 2023-2 Notes, Class D, the Series 2023-3 Notes, Class D, and the Series 2023-5 Notes, Class 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Supplement</w:t>
      </w:r>
      <w:r>
        <w:rPr>
          <w:color w:val="000000"/>
        </w:rPr>
        <w:t xml:space="preserve">” </w:t>
      </w:r>
      <w:r>
        <w:rPr>
          <w:rFonts w:ascii="Times New Roman;sans-serif" w:hAnsi="Times New Roman;sans-serif"/>
          <w:b w:val="false"/>
          <w:color w:val="000000"/>
          <w:sz w:val="24"/>
        </w:rPr>
        <w:t>is defined in the preamble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A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B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Class R Note</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Temporary Global Series 2024-2 Notes</w:t>
      </w:r>
      <w:r>
        <w:rPr>
          <w:color w:val="000000"/>
        </w:rPr>
        <w:t xml:space="preserve">” </w:t>
      </w:r>
      <w:r>
        <w:rPr>
          <w:rFonts w:ascii="Times New Roman;sans-serif" w:hAnsi="Times New Roman;sans-serif"/>
          <w:b w:val="false"/>
          <w:color w:val="000000"/>
          <w:sz w:val="24"/>
        </w:rPr>
        <w:t>is defined in Section 4.2.</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Date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Date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Termination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Termination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Transferee</w:t>
      </w:r>
      <w:r>
        <w:rPr>
          <w:color w:val="000000"/>
        </w:rPr>
        <w:t xml:space="preserve">” </w:t>
      </w:r>
      <w:r>
        <w:rPr>
          <w:rFonts w:ascii="Times New Roman;sans-serif" w:hAnsi="Times New Roman;sans-serif"/>
          <w:b w:val="false"/>
          <w:color w:val="000000"/>
          <w:sz w:val="24"/>
        </w:rPr>
        <w:t>has the meaning set forth in Section 5.23(b).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Transferor</w:t>
      </w:r>
      <w:r>
        <w:rPr>
          <w:color w:val="000000"/>
        </w:rPr>
        <w:t xml:space="preserve">” </w:t>
      </w:r>
      <w:r>
        <w:rPr>
          <w:rFonts w:ascii="Times New Roman;sans-serif" w:hAnsi="Times New Roman;sans-serif"/>
          <w:b w:val="false"/>
          <w:color w:val="000000"/>
          <w:sz w:val="24"/>
        </w:rPr>
        <w:t>has the meaning set forth in Section 5.23(b).</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Trustee</w:t>
      </w:r>
      <w:r>
        <w:rPr>
          <w:color w:val="000000"/>
        </w:rPr>
        <w:t xml:space="preserve">” </w:t>
      </w:r>
      <w:r>
        <w:rPr>
          <w:rFonts w:ascii="Times New Roman;sans-serif" w:hAnsi="Times New Roman;sans-serif"/>
          <w:b w:val="false"/>
          <w:color w:val="000000"/>
          <w:sz w:val="24"/>
        </w:rPr>
        <w:t>is defined in the recitals hereto.</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Unpaid Demand Note Disbursement</w:t>
      </w:r>
      <w:r>
        <w:rPr>
          <w:color w:val="000000"/>
        </w:rPr>
        <w:t xml:space="preserve">” </w:t>
      </w:r>
      <w:r>
        <w:rPr>
          <w:rFonts w:ascii="Times New Roman;sans-serif" w:hAnsi="Times New Roman;sans-serif"/>
          <w:b w:val="false"/>
          <w:color w:val="000000"/>
          <w:sz w:val="24"/>
        </w:rPr>
        <w:t>means an amount drawn under a Multi-Series Letter of Credit pursuant to a Certificate of Unpaid Demand Note Demand.</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Government Securities Business Day</w:t>
      </w:r>
      <w:r>
        <w:rPr>
          <w:color w:val="000000"/>
        </w:rPr>
        <w:t xml:space="preserve">” </w:t>
      </w:r>
      <w:r>
        <w:rPr>
          <w:rFonts w:ascii="Times New Roman;sans-serif" w:hAnsi="Times New Roman;sans-serif"/>
          <w:b w:val="false"/>
          <w:color w:val="000000"/>
          <w:sz w:val="24"/>
        </w:rPr>
        <w:t xml:space="preserve">means any day except for (i) a Saturday, (ii) a Sunday or (iii) a day on which the Securities Industry and Financial Markets </w:t>
      </w:r>
    </w:p>
    <w:p>
      <w:pPr>
        <w:pStyle w:val="TextBody"/>
        <w:bidi w:val="0"/>
        <w:spacing w:before="0" w:after="0"/>
        <w:jc w:val="center"/>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75260"/>
                <wp:effectExtent l="0" t="0" r="0" b="0"/>
                <wp:wrapNone/>
                <wp:docPr id="605" name="Frame5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Association recommends that the fixed income departments of its members be closed for the entire day for purposes of trading in United States government securities. </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Risk Retention Rules</w:t>
      </w:r>
      <w:r>
        <w:rPr>
          <w:color w:val="000000"/>
        </w:rPr>
        <w:t xml:space="preserve">” </w:t>
      </w:r>
      <w:r>
        <w:rPr>
          <w:rFonts w:ascii="Times New Roman;sans-serif" w:hAnsi="Times New Roman;sans-serif"/>
          <w:b w:val="false"/>
          <w:color w:val="000000"/>
          <w:sz w:val="24"/>
        </w:rPr>
        <w:t>means the federal interagency credit risk retention rules, codified at 17 C.F.R. Part 246.</w:t>
      </w:r>
    </w:p>
    <w:p>
      <w:pPr>
        <w:pStyle w:val="TextBody"/>
        <w:bidi w:val="0"/>
        <w:spacing w:lineRule="auto" w:line="288" w:before="0" w:after="240"/>
        <w:ind w:left="0" w:right="0" w:firstLine="1440"/>
        <w:jc w:val="both"/>
        <w:rPr/>
      </w:pPr>
      <w:r>
        <w:rPr>
          <w:color w:val="000000"/>
        </w:rPr>
        <w:t>“</w:t>
      </w:r>
      <w:r>
        <w:rPr>
          <w:rFonts w:ascii="Times New Roman;sans-serif" w:hAnsi="Times New Roman;sans-serif"/>
          <w:b w:val="false"/>
          <w:color w:val="000000"/>
          <w:sz w:val="24"/>
          <w:u w:val="single"/>
        </w:rPr>
        <w:t>U.S. Treasury Rate</w:t>
      </w:r>
      <w:r>
        <w:rPr>
          <w:color w:val="000000"/>
        </w:rPr>
        <w:t xml:space="preserve">” </w:t>
      </w:r>
      <w:r>
        <w:rPr>
          <w:rFonts w:ascii="Times New Roman;sans-serif" w:hAnsi="Times New Roman;sans-serif"/>
          <w:b w:val="false"/>
          <w:color w:val="000000"/>
          <w:sz w:val="24"/>
        </w:rPr>
        <w:t>means, with respect to any Remaining Distribution Amount, a rate determined one Business Day prior to the Optional Repurchase Distribution Date that is equal to the U.S. Treasury rate on such date (determined by reference to Bloomberg Financial Markets Commodities News) with a maturity equal to the period from such Optional Repurchase Distribution Date to the Applicable Distribution Date with respect to such Remaining Distribution Amount (or, if such maturity is unavailable, such rate shall be determined by linear interpolation using the U.S. Treasury rates with the two closest maturities to such period).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Any amounts calculated by reference to the Series 2024-2 Invested Amount (or any component thereof) on any date shall, unless otherwise stated, be calculated after giving effect to any payment of principal made to the applicable Series 2024-2 Noteholders on such date.</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w:t>
        <w:br/>
        <w:br/>
        <w:t>SERIES 2024-2 ALLOCATIONS</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With respect to the Series 2024-2 Notes, the following shall apply:</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    </w:t>
      </w:r>
      <w:r>
        <w:rPr>
          <w:rFonts w:ascii="Times New Roman;sans-serif" w:hAnsi="Times New Roman;sans-serif"/>
          <w:b w:val="false"/>
          <w:color w:val="000000"/>
          <w:sz w:val="24"/>
          <w:u w:val="single"/>
        </w:rPr>
        <w:t>Establishment of Series 2024-2 Collection Account, Series 2024-2 Excess Collection Account and Series 2024-2 Accrued Interest Account</w:t>
      </w:r>
      <w:r>
        <w:rPr>
          <w:rFonts w:ascii="Times New Roman;sans-serif" w:hAnsi="Times New Roman;sans-serif"/>
          <w:b w:val="false"/>
          <w:color w:val="000000"/>
          <w:sz w:val="24"/>
        </w:rPr>
        <w:t>. (a) All Collections allocable to the Series 2024-2 Notes shall be allocated to the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Trustee has created three administrative subaccounts within the Collection Account for the benefit of the Series 2024-2 Noteholders: the Series 2024-2 Collection Account (such sub-account, the “</w:t>
      </w:r>
      <w:r>
        <w:rPr>
          <w:rFonts w:ascii="Times New Roman;sans-serif" w:hAnsi="Times New Roman;sans-serif"/>
          <w:b w:val="false"/>
          <w:color w:val="000000"/>
          <w:sz w:val="24"/>
          <w:u w:val="single"/>
        </w:rPr>
        <w:t>Series 2024-2 Collection Account</w:t>
      </w:r>
      <w:r>
        <w:rPr>
          <w:color w:val="000000"/>
        </w:rPr>
        <w:t>”</w:t>
      </w:r>
      <w:r>
        <w:rPr>
          <w:rFonts w:ascii="Times New Roman;sans-serif" w:hAnsi="Times New Roman;sans-serif"/>
          <w:b w:val="false"/>
          <w:color w:val="000000"/>
          <w:sz w:val="24"/>
        </w:rPr>
        <w:t>), the Series 2024-2 Excess Collection Account (such sub-account, the “</w:t>
      </w:r>
      <w:r>
        <w:rPr>
          <w:rFonts w:ascii="Times New Roman;sans-serif" w:hAnsi="Times New Roman;sans-serif"/>
          <w:b w:val="false"/>
          <w:color w:val="000000"/>
          <w:sz w:val="24"/>
          <w:u w:val="single"/>
        </w:rPr>
        <w:t>Series 2024-2 Excess Collection Account</w:t>
      </w:r>
      <w:r>
        <w:rPr>
          <w:color w:val="000000"/>
        </w:rPr>
        <w:t>”</w:t>
      </w:r>
      <w:r>
        <w:rPr>
          <w:rFonts w:ascii="Times New Roman;sans-serif" w:hAnsi="Times New Roman;sans-serif"/>
          <w:b w:val="false"/>
          <w:color w:val="000000"/>
          <w:sz w:val="24"/>
        </w:rPr>
        <w:t>) and the Series 2024-2 Accrued Interest Account (such sub-account, the “</w:t>
      </w:r>
      <w:r>
        <w:rPr>
          <w:rFonts w:ascii="Times New Roman;sans-serif" w:hAnsi="Times New Roman;sans-serif"/>
          <w:b w:val="false"/>
          <w:color w:val="000000"/>
          <w:sz w:val="24"/>
          <w:u w:val="single"/>
        </w:rPr>
        <w:t>Series 2024-2 Accrued Interest Account</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2.2.    </w:t>
      </w:r>
      <w:r>
        <w:rPr>
          <w:rFonts w:ascii="Times New Roman;sans-serif" w:hAnsi="Times New Roman;sans-serif"/>
          <w:b w:val="false"/>
          <w:color w:val="000000"/>
          <w:sz w:val="24"/>
          <w:u w:val="single"/>
        </w:rPr>
        <w:t>Allocations with Respect to the Series 2024-2 Notes</w:t>
      </w:r>
      <w:r>
        <w:rPr>
          <w:rFonts w:ascii="Times New Roman;sans-serif" w:hAnsi="Times New Roman;sans-serif"/>
          <w:b w:val="false"/>
          <w:color w:val="000000"/>
          <w:sz w:val="24"/>
        </w:rPr>
        <w:t>. The net proceeds from the initial sale of the Class A Notes, Class B Notes, Class C Notes and Class R Notes were deposited into the Collection Account on the Class A/B/C Notes Closing Date and the net proceeds from the issuance of Class D Notes and Additional Class R Notes shall be deposited into the Collection Account on the Class D Notes Closing Date. On each Business Day on which Collections are deposited into the Collection Account (each such date, a “</w:t>
      </w:r>
      <w:r>
        <w:rPr>
          <w:rFonts w:ascii="Times New Roman;sans-serif" w:hAnsi="Times New Roman;sans-serif"/>
          <w:b w:val="false"/>
          <w:color w:val="000000"/>
          <w:sz w:val="24"/>
          <w:u w:val="single"/>
        </w:rPr>
        <w:t>Series 2024-2 Deposit Date</w:t>
      </w:r>
      <w:r>
        <w:rPr>
          <w:color w:val="000000"/>
        </w:rPr>
        <w:t>”</w:t>
      </w:r>
      <w:r>
        <w:rPr>
          <w:rFonts w:ascii="Times New Roman;sans-serif" w:hAnsi="Times New Roman;sans-serif"/>
          <w:b w:val="false"/>
          <w:color w:val="000000"/>
          <w:sz w:val="24"/>
        </w:rPr>
        <w:t>), the Administrator will direct the Trustee in writing pursuant to the Administration Agreement to allocate all amounts deposited into the Collection Account in accordance with the provisions of this Section 2.2.</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Allocations of Collections During the Series 2024-2 Revolving Period</w:t>
      </w:r>
      <w:r>
        <w:rPr>
          <w:rFonts w:ascii="Times New Roman;sans-serif" w:hAnsi="Times New Roman;sans-serif"/>
          <w:b w:val="false"/>
          <w:color w:val="000000"/>
          <w:sz w:val="24"/>
        </w:rPr>
        <w:t xml:space="preserve">. During the Series 2024-2 Revolving Period, the Administrator will direct the Trustee in writing </w:t>
      </w:r>
    </w:p>
    <w:p>
      <w:pPr>
        <w:pStyle w:val="TextBody"/>
        <w:bidi w:val="0"/>
        <w:spacing w:before="0" w:after="0"/>
        <w:jc w:val="center"/>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75260"/>
                <wp:effectExtent l="0" t="0" r="0" b="0"/>
                <wp:wrapNone/>
                <wp:docPr id="606" name="Frame5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pursuant to the Administration Agreement to allocate, prior to 11:00 a.m. (New York City time) on each Series 2024-2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2024-2 Collection Account an amount equal to the Series 2024-2 Invested Percentage (as of such day) of the aggregate amount of Interest Collections on such day. All such amounts allocated to the Series 2024-2 Collection Account shall be further allocated to the Series 2024-2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allocate to the Series 2024-2 Excess Collection Account an amount equal to the Series 2024-2 Invested Percentage (as of such day) of the aggregate amount of Principal Collections on such day (for any such day, the “</w:t>
      </w:r>
      <w:r>
        <w:rPr>
          <w:rFonts w:ascii="Times New Roman;sans-serif" w:hAnsi="Times New Roman;sans-serif"/>
          <w:b w:val="false"/>
          <w:color w:val="000000"/>
          <w:sz w:val="24"/>
          <w:u w:val="single"/>
        </w:rPr>
        <w:t>Series 2024-2 Principal Allocation</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Allocations of Collections During the Series 2024-2 Controlled Amortization Period</w:t>
      </w:r>
      <w:r>
        <w:rPr>
          <w:rFonts w:ascii="Times New Roman;sans-serif" w:hAnsi="Times New Roman;sans-serif"/>
          <w:b w:val="false"/>
          <w:color w:val="000000"/>
          <w:sz w:val="24"/>
        </w:rPr>
        <w:t>. With respect to the Series 2024-2 Controlled Amortization Period, the Administrator will direct the Trustee in writing pursuant to the Administration Agreement to allocate, prior to 11:00 a.m. (New York City time) on any Series 2024-2 Deposit Date, all amounts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2024-2 Collection Account an amount determined as set forth in Section 2.2(a)(i) above for such day, which amount shall be further allocated to the Series 2024-2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2024-2 Collection Account an amount equal to the Series 2024-2 Principal Allocation for such day, which amount shall be used to make principal payments in respect of the Series 2024-2 Notes in accordance with Section 2.5, (A) first, in respect of the Class A Notes in an amount equal to the Class A Controlled Distribution Amount, (B) second, in respect of the Class B Notes in an amount equal to the Class B Controlled Distribution Amount, (C) third, in respect of the Class C Notes in an amount equal to the Class C Controlled Distribution Amount, (D) fourth, in respect of the Class D Notes in an amount equal to the Class D Controlled Distribution Amount and (E) fifth, in respect of the Class R Notes in an amount equal to the Class R Controlled Amortization Amount, in each case with respect to the Related Month;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Monthly Total Principal Allocation exceeds the sum of the Class A Controlled Distribution Amount, the Class B Controlled Distribution Amount, the Class C Controlled Distribution Amount, the Class D Controlled Distribution Amount and the Class R Controlled Amortization Amount, in each case with respect to the Related Month, then the amount of such excess shall be allocated to the Series 2024-2 Excess Collection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Allocations of Collections During the Series 2024-2 Rapid Amortization Period</w:t>
      </w:r>
      <w:r>
        <w:rPr>
          <w:rFonts w:ascii="Times New Roman;sans-serif" w:hAnsi="Times New Roman;sans-serif"/>
          <w:b w:val="false"/>
          <w:color w:val="000000"/>
          <w:sz w:val="24"/>
        </w:rPr>
        <w:t>. With respect to the Series 2024-2 Rapid Amortization Period, other than after the occurrence of an Event of Bankruptcy with respect to ABCR, any other Lessee or any Permitted Sublessee, the Administrator will direct the Trustee in writing pursuant to the Administration Agreement to allocate, prior to 11:00 a.m. (New York City time) on any Series 2024-2 Deposit Date, all amounts deposited into the Collection Account as set forth below:</w:t>
      </w:r>
    </w:p>
    <w:p>
      <w:pPr>
        <w:pStyle w:val="TextBody"/>
        <w:bidi w:val="0"/>
        <w:spacing w:before="0" w:after="0"/>
        <w:jc w:val="center"/>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75260"/>
                <wp:effectExtent l="0" t="0" r="0" b="0"/>
                <wp:wrapNone/>
                <wp:docPr id="607" name="Frame5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2024-2 Collection Account an amount determined as set forth in Section 2.2(a)(i) above for such day, which amount shall be further allocated to the Series 2024-2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2024-2 Collection Account an amount equal to the Series 2024-2 Principal Allocation for such day, which amount shall be used in accordance with </w:t>
      </w:r>
      <w:r>
        <w:rPr>
          <w:rFonts w:ascii="Times New Roman;sans-serif" w:hAnsi="Times New Roman;sans-serif"/>
          <w:b w:val="false"/>
          <w:color w:val="000000"/>
          <w:sz w:val="24"/>
          <w:u w:val="single"/>
        </w:rPr>
        <w:t>Section 2.5</w:t>
      </w:r>
      <w:r>
        <w:rPr>
          <w:color w:val="000000"/>
        </w:rPr>
        <w:t xml:space="preserve"> </w:t>
      </w:r>
      <w:r>
        <w:rPr>
          <w:rFonts w:ascii="Times New Roman;sans-serif" w:hAnsi="Times New Roman;sans-serif"/>
          <w:b w:val="false"/>
          <w:color w:val="000000"/>
          <w:sz w:val="24"/>
        </w:rPr>
        <w:t>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Class B Notes have been paid in full, shall be used to make principal payments in respect of the Class C Notes until the Class C Notes have been paid in full, and</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(including interest thereon),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2024-2 Notes and other amounts available pursuant to Section 2.3 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2024-2 Notes during the Related Month equal to the lesser of such insufficiency and the Class A/B/C Enhancement Amount to the Series 2024-2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the amount anticipated to be available from Interest Collections allocable to the Series 2024-2 Notes and other amounts available pursuant to Section 2.3 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2024-2 Notes during the Related Month equal to the lesser of such insufficiency and the Class D Enhancement Amount to </w:t>
      </w:r>
    </w:p>
    <w:p>
      <w:pPr>
        <w:pStyle w:val="TextBody"/>
        <w:bidi w:val="0"/>
        <w:spacing w:before="0" w:after="0"/>
        <w:jc w:val="center"/>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75260"/>
                <wp:effectExtent l="0" t="0" r="0" b="0"/>
                <wp:wrapNone/>
                <wp:docPr id="608" name="Frame5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Series 2024-2 Accrued Interest Account to be treated as Interest Collections on such Distribution Date.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Allocations of Collections after the Occurrence of an Event of Bankruptcy</w:t>
      </w:r>
      <w:r>
        <w:rPr>
          <w:rFonts w:ascii="Times New Roman;sans-serif" w:hAnsi="Times New Roman;sans-serif"/>
          <w:b w:val="false"/>
          <w:color w:val="000000"/>
          <w:sz w:val="24"/>
        </w:rPr>
        <w:t>. After the occurrence of an Event of Bankruptcy with respect to ABCR, any other Lessee or any Permitted Sublessee, the Administrator will direct the Trustee in writing pursuant to the Administration Agreement to allocate, prior to 11:00 a.m. (New York City time) on any Series 2024-2 Deposit Date, all amounts attributable to the AESOP I Operating Lease Loan Agreement deposited into the Collection Account as set forth below:</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allocate to the Series 2024-2 Collection Account an amount equal to the Series 2024-2 AESOP I Operating Lease Vehicle Percentage as of the date of the occurrence of such Event of Bankruptcy of the aggregate amount of Interest Collections made under the AESOP I Operating Lease Loan Agreement for such day. All such amounts allocated to the Series 2024-2 Collection Account shall be further allocated to the Series 2024-2 Accrued Interest Account;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allocate to the Series 2024-2 Collection Account an amount equal to the Series 2024-2 AESOP I Operating Lease Vehicle Percentage as of the date of the occurrence of such Event of Bankruptcy of the aggregate amount of Principal Collections made under the AESOP I Operating Lease Loan Agreement, which amount shall be used in accordance with </w:t>
      </w:r>
      <w:r>
        <w:rPr>
          <w:rFonts w:ascii="Times New Roman;sans-serif" w:hAnsi="Times New Roman;sans-serif"/>
          <w:b w:val="false"/>
          <w:color w:val="000000"/>
          <w:sz w:val="24"/>
          <w:u w:val="single"/>
        </w:rPr>
        <w:t>Section 2.5</w:t>
      </w:r>
      <w:r>
        <w:rPr>
          <w:rFonts w:ascii="Times New Roman;sans-serif" w:hAnsi="Times New Roman;sans-serif"/>
          <w:b w:val="false"/>
          <w:color w:val="000000"/>
          <w:sz w:val="24"/>
        </w:rPr>
        <w:t xml:space="preserve">, to make principal payments in respect of the Class A Notes until the Class A Notes have been paid in full, and after the Class A Notes have been paid in full shall be used to make principal payments in respect of the Class B Notes until the Class B Notes have been paid in full, and after the Class A Notes and the Class B Notes have been paid in full shall be used to make principal payments in respect of the Class C Notes until the Class C Notes have been paid in full and after the Class A Notes, the Class B Notes and the Class C Notes have been paid in full, shall be used to make principal payments in respect of the Class D Notes until the Class D Notes have been paid in full and, after the Class A Notes, the Class B Notes, the Class C Notes and the Class D Notes have been paid in full, shall be used to make principal payments in respect of the Class R Notes until the Class R Notes have been paid in full;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Determination Date (A) the Administrator determines that the amount anticipated to be available from Interest Collections allocable to the Series 2024-2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 xml:space="preserve">to pay the sum of (x) the Class A Monthly Interest, the Class B Monthly Interest and the Class C Monthly Interest on the related Distribution Date, and (y) any unpaid Class A Shortfall, Class B Shortfall and Class C Shortfall on such Distribution Date (together with interest on such Class A Shortfall, Class B Shortfall and Class C Shortfall), will be less than the sum of (I) the Class A Monthly Interest for such Distribution Date, (II) the Class B Monthly Interest for such Distribution Date, (III) the Class C Monthly Interest for such Distribution Date and (IV) such Class A Shortfall, Class B Shortfall and Class C Shortfall (together with interest thereon) and (B) the Class A/B/C Enhancement Amount is greater than zero, then the Administrator shall direct the Trustee in writing to reallocate a portion of the Principal Collections allocated to the Series 2024-2 Notes during the Related Month equal to the lesser of such insufficiency and the Class A/B/C Enhancement Amount to the Series 2024-2 Accrued Interest Account to be treated as Interest Collections on such Distribution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on any </w:t>
      </w:r>
    </w:p>
    <w:p>
      <w:pPr>
        <w:pStyle w:val="TextBody"/>
        <w:bidi w:val="0"/>
        <w:spacing w:before="0" w:after="0"/>
        <w:jc w:val="center"/>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75260"/>
                <wp:effectExtent l="0" t="0" r="0" b="0"/>
                <wp:wrapNone/>
                <wp:docPr id="609" name="Frame5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Determination Date with respect to a Distribution Date on which the Class A Notes, the Class B Notes and the Class C Notes will no longer be outstanding (after giving effect to all anticipated reductions in the Class A Invested Amount, the Class B Invested Amount and the Class C Invested Amount on such Distribution Date) (A) the Administrator determines that, after giving effect to the preceding proviso, the amount anticipated to be available from Interest Collections allocable to the Series 2024-2 Notes and other amounts available pursuant to </w:t>
      </w:r>
      <w:r>
        <w:rPr>
          <w:rFonts w:ascii="Times New Roman;sans-serif" w:hAnsi="Times New Roman;sans-serif"/>
          <w:b w:val="false"/>
          <w:color w:val="000000"/>
          <w:sz w:val="24"/>
          <w:u w:val="single"/>
        </w:rPr>
        <w:t>Section 2.3</w:t>
      </w:r>
      <w:r>
        <w:rPr>
          <w:color w:val="000000"/>
        </w:rPr>
        <w:t xml:space="preserve"> </w:t>
      </w:r>
      <w:r>
        <w:rPr>
          <w:rFonts w:ascii="Times New Roman;sans-serif" w:hAnsi="Times New Roman;sans-serif"/>
          <w:b w:val="false"/>
          <w:color w:val="000000"/>
          <w:sz w:val="24"/>
        </w:rPr>
        <w:t>to pay the sum of (x) the Class D Monthly Senior Interest on the related Distribution Date, and (y) any Class D Senior Interest Shortfall on such Distribution Date (together with interest thereon), will be less than the sum of (I) the Class D Monthly Senior Interest for such Distribution Date and (II) such Class D Senior Interest Shortfall (together with interest thereon) and (B) the Class D Enhancement Amount is greater than zero, then the Administrator shall direct the Trustee in writing to reallocate a portion of the Principal Collections allocated to the Series 2024-2 Notes during the Related Month equal to the lesser of such insufficiency and the Class D Enhancement Amount to the Series 2024-2 Accrued Interest Account to be treated as Interest Collections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Series 2024-2 Excess Collection Account</w:t>
      </w:r>
      <w:r>
        <w:rPr>
          <w:rFonts w:ascii="Times New Roman;sans-serif" w:hAnsi="Times New Roman;sans-serif"/>
          <w:b w:val="false"/>
          <w:color w:val="000000"/>
          <w:sz w:val="24"/>
        </w:rPr>
        <w:t xml:space="preserve">. Amounts allocated to the Series 2024-2 Excess Collection Account on any Series 2024-2 Deposit Date will be (v) first, deposited in the Class A/B/C Reserve Account in an amount up to the excess, if any, of the Class A/B/C Required Reserve Account Amount for such date over the Class A/B/C Available Reserve Account Amount for such date, (w) second, deposited in the Class D Reserve Account in an amount up to the excess, if any, of the Class D Required Reserve Account Amount for such date over the Class D Available Reserve Account Amount for such date, (x) third, used to pay the principal amount of other Series of Notes that are then in amortization, (y) fourth, released to AESOP Leasing in an amount equal to the product of (A) the Loan Agreement’s Share with respect to the AESOP I Operating Lease Loan Agreement as of such date and (B)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Loan Payment Allocation Percentage with respect to the AESOP I Operating Lease Loan Agreement as of such date and (C) the amount of any remaining funds and (z) fifth, paid to ABRCF for any use permitted by the Related Documents including to make Loans under the Loan Agreements to the extent the Borrowers have requested Loans thereunder and Eligible Vehicles are available for financing thereunder;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the case of clauses (x), (y) and (z), that no Amortization Event, Series 2024-2 Enhancement Deficiency or AESOP I Operating Lease Vehicle Deficiency would result therefrom or exist immediately thereafter. Upon the occurrence of an Amortization Event and once a Trust Officer has actual knowledge of the Amortization Event, funds on deposit in the Series 2024-2 Excess Collection Account will be withdrawn by the Trustee, deposited in the Series 2024-2 Collection Account and allocated as Principal Collections to reduce the Series 2024-2 Invested Amount on the immediately succeeding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Allocations From Other Series</w:t>
      </w:r>
      <w:r>
        <w:rPr>
          <w:rFonts w:ascii="Times New Roman;sans-serif" w:hAnsi="Times New Roman;sans-serif"/>
          <w:b w:val="false"/>
          <w:color w:val="000000"/>
          <w:sz w:val="24"/>
        </w:rPr>
        <w:t>. Amounts allocated to other Series of Notes that have been reallocated by ABRCF to the Series 2024-2 Notes (i) during the Series 2024-2 Revolving Period shall be allocated to the Series 2024-2 Excess Collection Account and applied in accordance with Section 2.2(e) and (ii) during the Series 2024-2 Controlled Amortization Period or the Series 2024-2 Rapid Amortization Period shall be allocated to the Series 2024-2 Collection Account and applied in accordance with Section 2.2(b) or 2.2(c), as applicable, to make principal payments in respect of the Series 2024-2 Notes.</w:t>
      </w:r>
    </w:p>
    <w:p>
      <w:pPr>
        <w:pStyle w:val="TextBody"/>
        <w:bidi w:val="0"/>
        <w:spacing w:before="0" w:after="0"/>
        <w:jc w:val="center"/>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75260"/>
                <wp:effectExtent l="0" t="0" r="0" b="0"/>
                <wp:wrapNone/>
                <wp:docPr id="610" name="Frame5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Past Due Rent Payments</w:t>
      </w:r>
      <w:r>
        <w:rPr>
          <w:rFonts w:ascii="Times New Roman;sans-serif" w:hAnsi="Times New Roman;sans-serif"/>
          <w:b w:val="false"/>
          <w:color w:val="000000"/>
          <w:sz w:val="24"/>
        </w:rPr>
        <w:t>. Notwithstanding the foregoing, if in the case of Section 2.2(a) or (b), after the occurrence of a Series 2024-2 Lease Payment Deficit, the Lessees shall make payments of Monthly Base Rent or other amounts payable by the Lessees under the Leases on or prior to the fifth Business Day after the occurrence of such Series 2024-2 Lease Payment Deficit (a “</w:t>
      </w:r>
      <w:r>
        <w:rPr>
          <w:rFonts w:ascii="Times New Roman;sans-serif" w:hAnsi="Times New Roman;sans-serif"/>
          <w:b w:val="false"/>
          <w:color w:val="000000"/>
          <w:sz w:val="24"/>
          <w:u w:val="single"/>
        </w:rPr>
        <w:t>Past Due Rent Payment</w:t>
      </w:r>
      <w:r>
        <w:rPr>
          <w:color w:val="000000"/>
        </w:rPr>
        <w:t>”</w:t>
      </w:r>
      <w:r>
        <w:rPr>
          <w:rFonts w:ascii="Times New Roman;sans-serif" w:hAnsi="Times New Roman;sans-serif"/>
          <w:b w:val="false"/>
          <w:color w:val="000000"/>
          <w:sz w:val="24"/>
        </w:rPr>
        <w:t>), the Administrator shall direct the Trustee in writing pursuant to the Administration Agreement to allocate to the Series 2024-2 Collection Account an amount equal to the Series 2024-2 Invested Percentage as of the date of the occurrence of such Series 2024-2 Lease Payment Deficit of the Collections attributable to such Past Due Rent Payment (the “</w:t>
      </w:r>
      <w:r>
        <w:rPr>
          <w:rFonts w:ascii="Times New Roman;sans-serif" w:hAnsi="Times New Roman;sans-serif"/>
          <w:b w:val="false"/>
          <w:color w:val="000000"/>
          <w:sz w:val="24"/>
          <w:u w:val="single"/>
        </w:rPr>
        <w:t>Series 2024-2 Past Due Rent Payment</w:t>
      </w:r>
      <w:r>
        <w:rPr>
          <w:color w:val="000000"/>
        </w:rPr>
        <w:t>”</w:t>
      </w:r>
      <w:r>
        <w:rPr>
          <w:rFonts w:ascii="Times New Roman;sans-serif" w:hAnsi="Times New Roman;sans-serif"/>
          <w:b w:val="false"/>
          <w:color w:val="000000"/>
          <w:sz w:val="24"/>
        </w:rPr>
        <w:t>). The Administrator shall instruct the Trustee in writing pursuant to the Administration Agreement to withdraw from the Series 2024-2 Collection Account and apply the Series 2024-2 Past Due Rent Payment in the following order:</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if the occurrence of such Series 2024-2 Lease Payment Deficit resulted in one or more Lease Deficit Disbursements being made under the Multi-Series Letters of Credit with respect to the Class A/B/C Notes, pay to each Multi-Series Letter of Credit Provider who made such a Lease Deficit Disbursement for application in accordance with the provisions of the applicable Series 2024-2 Reimbursement Agreement an amount equal to the lesser of (x) the unreimbursed amount of such Multi-Series Letter of Credit Provider’s Lease Deficit Disbursement with respect to the Class A/B/C Notes and (y) such Multi-Series Letter of Credit Provider’s Class A/B/C Pro Rata Share of the Series 2024-2 Past Due Rent Payment;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if the occurrence of such Series 2024-2 Lease Payment Deficit resulted in a withdrawal being made from the Class A/B/C Cash Collateral Account, deposit in the Class A/B/C Cash Collateral Account an amount equal to the lesser of (x) the amount of the Series 2024-2 Past Due Rent Payment remaining after any payment pursuant to clause (i) above and (y) the amount withdrawn from the Class A/B/C Cash Collateral Account on account of such Series 2024-2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the occurrence of such Series 2024-2 Lease Payment Deficit resulted in a withdrawal being made from the Class A/B/C Reserve Account pursuant to Section 2.3(d), deposit in the Class A/B/C Reserve Account an amount equal to the lesser of (x) the amount of the Series 2024-2 Past Due Rent Payment remaining after any payments pursuant to clauses (i) and (ii) above and (y) the excess, if any, of the Class A/B/C Required Reserve Account Amount over the Class A/B/C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(iv)    if the occurrence of such Series 2024-2 Lease Payment Deficit resulted in one or more Lease Deficit Disbursements being made under the Multi-Series Letters of Credit with respect to the Class D Notes, pay to each Multi-Series Letter of Credit Provider who made such a Lease Deficit Disbursement for application in accordance with the provisions of the applicable Series 2024-2 Reimbursement Agreement an amount equal to the lesser of (x) the unreimbursed amount of such Multi-Series Letter of Credit Provider’s Lease Deficit Disbursement with respect to the Class D Notes and (y) such Multi-Series Letter of Credit Provider’s Class D Pro Rata Share of the amount of the Series 2024-2 Past Due Rent Payment remaining after any payment pursuant to clauses (i) through (iii) above;</w:t>
      </w:r>
    </w:p>
    <w:p>
      <w:pPr>
        <w:pStyle w:val="TextBody"/>
        <w:bidi w:val="0"/>
        <w:spacing w:before="0" w:after="0"/>
        <w:jc w:val="center"/>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75260"/>
                <wp:effectExtent l="0" t="0" r="0" b="0"/>
                <wp:wrapNone/>
                <wp:docPr id="611" name="Frame5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    if the occurrence of such Series 2024-2 Lease Payment Deficit resulted in a withdrawal being made from the Class D Cash Collateral Account, deposit in the Class D Cash Collateral Account an amount equal to the lesser of (x) the amount of the Series 2024-2 Past Due Rent Payment remaining after any payment pursuant to clause (i) through (iv) above and (y) the amount withdrawn from the Class D Cash Collateral Account on account of such Series 2024-2 Lease Payment Deficit;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    if the occurrence of such Series 2024-2 Lease Payment Deficit resulted in a withdrawal being made from the Class D Reserve Account pursuant to Section 2.3(d), deposit in the Class D Reserve Account an amount equal to the lesser of (x) the amount of the Series 2024-2 Past Due Rent Payment remaining after any payments pursuant to clauses (i) through (v) above and (y) the excess, if any, of the Class D Required Reserve Account Amount over the Class D Available Reserve Account Amount on such day;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    allocate to the Series 2024-2 Accrued Interest Account the amount, if any, by which the Series 2024-2 Lease Interest Payment Deficit, if any, relating to such Series 2024-2 Lease Payment Deficit exceeds the amount of the Series 2024-2 Past Due Rent Payment applied pursuant to clauses (i) (vi) above; and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(viii)    treat the remaining amount of the Series 2024-2 Past Due Rent Payment as Principal Collections allocated to the Series 2024-2 Notes in accordance with Section 2.2(a)(ii) or 2.2(b)(ii), as the case may be.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2.3.    </w:t>
      </w:r>
      <w:r>
        <w:rPr>
          <w:rFonts w:ascii="Times New Roman;sans-serif" w:hAnsi="Times New Roman;sans-serif"/>
          <w:b w:val="false"/>
          <w:color w:val="000000"/>
          <w:sz w:val="24"/>
          <w:u w:val="single"/>
        </w:rPr>
        <w:t>Payments to Noteholders</w:t>
      </w:r>
      <w:r>
        <w:rPr>
          <w:rFonts w:ascii="Times New Roman;sans-serif" w:hAnsi="Times New Roman;sans-serif"/>
          <w:b w:val="false"/>
          <w:color w:val="000000"/>
          <w:sz w:val="24"/>
        </w:rPr>
        <w:t>. On each Determination Date, as provided below, the Administrator shall instruct the Paying Agent in writing pursuant to the Administration Agreement to withdraw, and on the following Distribution Date the Paying Agent, acting in accordance with such instructions, shall withdraw the amounts required to be withdrawn from the Collection Account pursuant to Section 2.3(a) below in respect of all funds available from Interest Collections processed since the preceding Distribution Date and allocated to the holders of the Series 2024-2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Note Interest with Respect to the Series 2024-2 Notes</w:t>
      </w:r>
      <w:r>
        <w:rPr>
          <w:rFonts w:ascii="Times New Roman;sans-serif" w:hAnsi="Times New Roman;sans-serif"/>
          <w:b w:val="false"/>
          <w:color w:val="000000"/>
          <w:sz w:val="24"/>
        </w:rPr>
        <w:t xml:space="preserve">. On each Determination Date, the Administrator shall instruct the Trustee and the Paying Agent in writing pursuant to the Administration Agreement as to the amount to be withdrawn and paid pursuant to Section 2.4 from the Series 2024-2 Accrued Interest Account to the extent funds are anticipated to be available from Interest Collections allocable to the Series 2024-2 Notes processed from but not including the preceding Distribution Date through the succeeding Distribution Date in respect of (i) an amount equal to the Class A Monthly Interest for the Series 2024-2 Interest Period ending on the day preceding the related Distribution Date, (ii) an amount equal to the amount of any unpaid Class A Shortfall as of the preceding Distribution Date (together with any accrued interest on such Class A Shortfall), (iii) an amount equal to the Class B Monthly Interest for the Series 2024-2 Interest Period ending on the day preceding the related Distribution Date, (iv) an amount equal to the amount of any unpaid Class B Shortfall as of the preceding Distribution Date (together with any accrued interest on such Class B Shortfall), (v) an amount equal to the Class C Monthly Interest for the Series 2024-2 Interest Period ending on the day preceding the related Distribution Date, (vi) an amount equal to the amount of any unpaid Class C Shortfall as of the preceding </w:t>
      </w:r>
    </w:p>
    <w:p>
      <w:pPr>
        <w:pStyle w:val="TextBody"/>
        <w:bidi w:val="0"/>
        <w:spacing w:before="0" w:after="0"/>
        <w:jc w:val="center"/>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75260"/>
                <wp:effectExtent l="0" t="0" r="0" b="0"/>
                <wp:wrapNone/>
                <wp:docPr id="612" name="Frame5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8" w:before="0" w:after="180"/>
        <w:jc w:val="both"/>
        <w:rPr>
          <w:rFonts w:ascii="Times New Roman;sans-serif" w:hAnsi="Times New Roman;sans-serif"/>
          <w:b w:val="false"/>
          <w:color w:val="000000"/>
          <w:sz w:val="24"/>
        </w:rPr>
      </w:pPr>
      <w:r>
        <w:rPr>
          <w:rFonts w:ascii="Times New Roman;sans-serif" w:hAnsi="Times New Roman;sans-serif"/>
          <w:b w:val="false"/>
          <w:color w:val="000000"/>
          <w:sz w:val="24"/>
        </w:rPr>
        <w:br/>
        <w:t xml:space="preserve">Distribution Date (together with any accrued interest on such Class C Shortfall), (vii) an amount equal to the Class D Monthly Senior Interest for the Series 2024-2 Interest Period ending on the day preceding the related Distribution Date, (viii) an amount equal to the amount of any unpaid Class D Senior Interest Shortfall as of the preceding Distribution Date (together with any accrued interest on such Class D Senior Interest Shortfall), (ix) if either (A) no Series 2024-2 Rapid Amortization Period is continuing as of such Determination Date or (B) no Class A Notes, Class B Notes or Class C Notes are outstanding as of such Determination Date, an amount equal to the Class D Monthly Subordinated Interest for the Series 2024-2 Interest Period ending on the day preceding the related Distribution Date, (x) if either (A) no Series 2024-2 Rapid Amortization Period is continuing as of such Determination Date or (B) no Class A Notes, Class B Notes or Class C Notes are outstanding as of such Determination Date, an amount equal to the amount of any unpaid Class D Subordinated Interest Shortfall as of the preceding Distribution Date (together with any accrued interest on such Class D Subordinated Interest Shortfall), (xi) an amount equal to the Class R Monthly Interest for the Series 2024-2 Interest Period ending on the day preceding the related Distribution Date and (xii) an amount equal to the amount of any unpaid Class R Shortfall as of the preceding Distribution Date (together with any accrued interest on such Class R Shortfall). On the following Distribution Date, the Trustee shall withdraw the amounts described in the first sentence of this Section 2.3(a) from the Series 2024-2 Accrued Interest Account and deposit such amounts in the Series 2024-2 Distribution Account.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Lease Payment Deficit Notice</w:t>
      </w:r>
      <w:r>
        <w:rPr>
          <w:rFonts w:ascii="Times New Roman;sans-serif" w:hAnsi="Times New Roman;sans-serif"/>
          <w:b w:val="false"/>
          <w:color w:val="000000"/>
          <w:sz w:val="24"/>
        </w:rPr>
        <w:t xml:space="preserve">. On or before 3:00 p.m. (New York City time) on the Business Day immediately preceding each Distribution Date, the Administrator shall notify the Trustee of the amount of any Series 2024-2 Lease Payment Deficit, such notification to be in the form of </w:t>
      </w:r>
      <w:r>
        <w:rPr>
          <w:rFonts w:ascii="Times New Roman;sans-serif" w:hAnsi="Times New Roman;sans-serif"/>
          <w:b w:val="false"/>
          <w:color w:val="000000"/>
          <w:sz w:val="24"/>
          <w:u w:val="single"/>
        </w:rPr>
        <w:t>Exhibit H</w:t>
      </w:r>
      <w:r>
        <w:rPr>
          <w:color w:val="000000"/>
        </w:rPr>
        <w:t xml:space="preserve"> </w:t>
      </w:r>
      <w:r>
        <w:rPr>
          <w:rFonts w:ascii="Times New Roman;sans-serif" w:hAnsi="Times New Roman;sans-serif"/>
          <w:b w:val="false"/>
          <w:color w:val="000000"/>
          <w:sz w:val="24"/>
        </w:rPr>
        <w:t>(each a “</w:t>
      </w:r>
      <w:r>
        <w:rPr>
          <w:rFonts w:ascii="Times New Roman;sans-serif" w:hAnsi="Times New Roman;sans-serif"/>
          <w:b w:val="false"/>
          <w:color w:val="000000"/>
          <w:sz w:val="24"/>
          <w:u w:val="single"/>
        </w:rPr>
        <w:t>Lease Payment Deficit Notice</w:t>
      </w:r>
      <w:r>
        <w:rPr>
          <w:color w:val="000000"/>
        </w:rPr>
        <w:t>”</w:t>
      </w:r>
      <w:r>
        <w:rPr>
          <w:rFonts w:ascii="Times New Roman;sans-serif" w:hAnsi="Times New Roman;sans-serif"/>
          <w:b w:val="false"/>
          <w:color w:val="000000"/>
          <w:sz w:val="24"/>
        </w:rPr>
        <w:t>).</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Draws on Multi-Series Letters of Credit For Series 2024-2 Lease Interest Payment Deficits</w:t>
      </w:r>
      <w:r>
        <w:rPr>
          <w:rFonts w:ascii="Times New Roman;sans-serif" w:hAnsi="Times New Roman;sans-serif"/>
          <w:b w:val="false"/>
          <w:color w:val="000000"/>
          <w:sz w:val="24"/>
        </w:rPr>
        <w:t xml:space="preserve">. If the Administrator determines on the Business Day immediately preceding any Distribution Date that on such Distribution Date there will exist a Series 2024-2 Lease Interest Payment Deficit, the Administrator shall: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on or prior to 3:00 p.m. (New York City time) on such Business Day, instruct the Trustee in writing to draw on the Multi-Series Letters of Credit with respect to the Class A/B/C Notes, if any, and, the Trustee shall, by 5:00 p.m. (New York City time) on such Business Day draw an amount as set forth in such notice equal to (I) so long as any Class A Notes, any Class B Notes or any Class C Notes remain outstanding, the least of (x) the excess, if any, of such Series 2024-2 Lease Interest Payment Deficit over the sum of (1) the amounts described in clauses (vii) and (viii) of Section 2.3(a) above and (2) during the Series 2024-2 Rapid Amortization Period, the product of the Class D Percentage and the Series 2024-2 Trustee’s Fees for such Distribution Date, (y) the excess, if any, of (A) the sum of (1) the amounts described in clauses (i) through (vi) of Section 2.3(a) above for such Distribution Date and (2) during the Series 2024-2 Rapid Amortization Period, the product of the Class A/B/C Percentage and the Series 2024-2 Trustee’s Fees for such Distribution Date, over (B) the amounts available from the Series 2024-2 Accrued Interest Account and (z) the Class A/B/C Letter of Credit Liquidity Amount or (II) if no Class A Notes, Class B Notes or Class C Notes remain outstanding, the least of (x) such Series 2024-2 Lease Interest Payment Deficit, (y) the excess, if any, of (A) the sum of (1) the amounts described in clauses (i) through (viii) of Section 2.3(a) </w:t>
      </w:r>
    </w:p>
    <w:p>
      <w:pPr>
        <w:pStyle w:val="TextBody"/>
        <w:bidi w:val="0"/>
        <w:spacing w:before="0" w:after="0"/>
        <w:jc w:val="center"/>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75260"/>
                <wp:effectExtent l="0" t="0" r="0" b="0"/>
                <wp:wrapNone/>
                <wp:docPr id="613" name="Frame5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above for such Distribution Date and (2) during the Series 2024-2 Rapid Amortization Period, the Series 2024-2 Trustee’s Fees for such Distribution Date, over (B) the amounts available from the Series 2024-2 Accrued Interest Account and (z) the Class A/B/C Letter of Credit Liquidity Amount, in either case, on the Multi-Series Letter of Credit by presenting to each Multi-Series Letter of Credit Provider with respect to the Class A/B/C Notes a draft accompanied by a Certificate of Lease Deficit Demand and shall cause the Lease Deficit Disbursements to be deposited in the Series 2024-2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2024-2 Distribution Account an amount equal to the lesser of (x) the Class A/B/C Cash Collateral Percentage on such date of the least of the amounts described in clauses (I)(x), (y) and (z) above or clauses (II)(x), (y) and (z) above, as applicable, and (y) the Class A/B/C Available Cash Collateral Account Amount on such date and draw an amount equal to the remainder of such amount on the Multi-Series Letters of Credit; and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on or prior to 3:00 p.m. (New York City time) on such Business Day, instruct the Trustee in writing to draw on the Multi-Series Letters of Credit with respect to the Class D Notes, if any, and, the Trustee shall, by 5:00 p.m. (New York City time) on such Business Day draw an amount as set forth in such notice equal to the least of (x) such Series 2024-2 Lease Interest Payment Deficit, (y) the excess, if any, of (A) the sum of (1) the amounts described in clauses (vii) through (x) of Section 2.3(a) above for such Distribution Date and (2) during the Series 2024-2 Rapid Amortization Period, the product of the Class D Percentage and the Series 2024-2 Trustee’s Fees for such Distribution Date, over (B) the excess of (1) the sum of (X) the amounts available from the Series 2024-2 Accrued Interest Account and (Y) the amount drawn on the Multi-Series Letters of Credit with respect to the Class A/B/C Notes (and/or withdrawn from the Class A/B/C Cash Collateral Account) pursuant to Section 2.3(c)(i) above over (2) the sum of (X) the amounts described in clauses (i) through (vi) of Section 2.3(a) above for such Distribution Date and (Y) during the Series 2024-2 Rapid Amortization Period, the product of the Class A/B/C Percentage and the Series 2024-2 Trustee’s Fees for such Distribution Date and (z) the Class D Letter of Credit Liquidity Amount on the Multi-Series Letters of Credit by presenting to each Multi-Series Letter of Credit Provider with respect to the Class D Notes a draft accompanied by a Certificate of Lease Deficit Demand and shall cause the Lease Deficit Disbursements to be deposited in the Series 2024-2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2024-2 Distribution Account an amount equal to the lesser of (x) the Class D Cash Collateral Percentage on such date of the least of the amounts described in clauses (x), (y) and (z) above and (y) the Class D Available Cash Collateral Account Amount on such date and draw an amount equal to the remainder of such amount on the Multi-Series Letters of Credit.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Withdrawals from Series 2024-2 Reserve Accounts</w:t>
      </w:r>
      <w:r>
        <w:rPr>
          <w:rFonts w:ascii="Times New Roman;sans-serif" w:hAnsi="Times New Roman;sans-serif"/>
          <w:b w:val="false"/>
          <w:color w:val="000000"/>
          <w:sz w:val="24"/>
        </w:rPr>
        <w:t xml:space="preserve">. If the Administrator determines on any Distribution Date that the amounts available from the Series 2024-2 Accrued Interest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to be drawn under the Multi-Series Letters of Credit and/or withdrawn from the Series 2024-2 Cash Collateral Accounts pursuant to Section 2.3(c) are </w:t>
      </w:r>
    </w:p>
    <w:p>
      <w:pPr>
        <w:pStyle w:val="TextBody"/>
        <w:bidi w:val="0"/>
        <w:spacing w:before="0" w:after="0"/>
        <w:jc w:val="center"/>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75260"/>
                <wp:effectExtent l="0" t="0" r="0" b="0"/>
                <wp:wrapNone/>
                <wp:docPr id="614" name="Frame5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insufficient to pay the sum of (A) the amounts described in clauses (i) through (x) of Section 2.3(a) above on such Distribution Date and (B) during the Series 2024-2 Rapid Amortization Period, the Series 2024-2 Trustee’s Fees for such Distribution Date, the Administrator shall: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instruct the Trustee in writing to withdraw from the Class A/B/C Reserve Account and deposit in the Series 2024-2 Distribution Account on such Distribution Date an amount equal to the lesser of (x) the Class A/B/C Available Reserve Account Amount and (y) the excess of (A) either (I) so long as any Class A Notes, any Class B or any Class C Notes remain outstanding, the sum of (1) the amounts described in clauses (i) through (vi) of Section 2.3(a) above with respect to such Distribution Date and (2) during the Series 2024-2 Rapid Amortization Period, the product of the Class A/B/C Percentage and the Series 2024-2 Trustee’s Fees for such Distribution Date or (II) if no Class A Notes, Class B Notes or Class C Notes remain outstanding, the sum of (1) the amounts described in clauses (i) through (x) of Section 2.3(a) above with respect to such Distribution Date and (2) during the Series 2024-2 Rapid Amortization Period, the Series 2024-2 Trustee’s Fees for such Distribution Date over (B) the sum of (1) the amounts available from the Series 2024-2 Accrued Interest Account and (2) the amount drawn on the Multi-Series Letters of Credit allocable to the Class A/B/C Notes and/or withdrawn from the Class A/B/C Cash Collateral Account with respect to such Distribution Date in accordance with Section 2.3(c)(i) above. The Trustee shall withdraw such amount from the Class A/B/C Reserve Account and deposit such amount in the Series 2024-2 Distribution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instruct the Trustee in writing to withdraw from the Class D Reserve Account and deposit in the Series 2024-2 Distribution Account on such Distribution Date an amount equal to the lesser of (x) the Class D Available Reserve Account Amount and (y) the excess of (A) the sum of (1) the amounts described in clauses (vii) through (x) of Section 2.3(a) above with respect to such Distribution Date and (2) during the Series 2024-2 Rapid Amortization Period, the product of the Class D Percentage and the Series 2024-2 Trustee’s Fees for such Distribution Date over (B) the excess with respect to such Distribution Date of (1) the sum of (W) the amounts available from the Series 2024-2 Accrued Interest Account, (X) the amount drawn on the Class A/B/C Letters of Credit (and/or withdrawn from the Class A/B/C Cash Collateral Account) in accordance with Section 2.3(c)(i) above, (Y) the amount drawn on the Multi-Series Letters of Credit allocable to the Class D Notes (and/or withdrawn from the Class D Cash Collateral Account) in accordance with Section 2.3(c)(ii) above and (Z) the amount withdrawn from the Class A/B/C Reserve Account in accordance with Section 2.3(d)(i) over (2) the sum of (X) the amounts described in clauses (i) through (vi) of Section 2.3(a) above for such Distribution Date and (Y) during the Series 2024-2 Rapid Amortization Period, the product of the Class A/B/C Percentage and the Series 2024-2 Trustee’s Fees for such Distribution Date. The Trustee shall withdraw such amount from the Class D Reserve Account and deposit such amount in the Series 2024-2 Distribution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[Reserved].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Balance</w:t>
      </w:r>
      <w:r>
        <w:rPr>
          <w:rFonts w:ascii="Times New Roman;sans-serif" w:hAnsi="Times New Roman;sans-serif"/>
          <w:b w:val="false"/>
          <w:color w:val="000000"/>
          <w:sz w:val="24"/>
        </w:rPr>
        <w:t xml:space="preserve">. On or prior to the second Business Day preceding each Distribution Date, the Administrator shall instruct the Trustee and the Paying Agent in writing </w:t>
      </w:r>
    </w:p>
    <w:p>
      <w:pPr>
        <w:pStyle w:val="TextBody"/>
        <w:bidi w:val="0"/>
        <w:spacing w:before="0" w:after="0"/>
        <w:jc w:val="center"/>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75260"/>
                <wp:effectExtent l="0" t="0" r="0" b="0"/>
                <wp:wrapNone/>
                <wp:docPr id="615" name="Frame6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pursuant to the Administration Agreement to pay the balance (after making the payments required in Section 2.4), if any, of the amounts available from the Series 2024-2 Accrued Interest Account and the Series 2024-2 Distribution Account,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the amount, if any, drawn under the Multi-Series Letters of Credit and/or withdrawn from the Series 2024-2 Cash Collateral Accounts pursuant to Section 2.3(c)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the amount, if any, withdrawn from the Series 2024-2 Reserve Accounts pursuant to Section 2.3(d) as follows: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    on each Distribution Date during the Series 2024-2 Revolving Period or the Series 2024-2 Controlled Amortization Period, (1) first, to the Administrator, an amount equal to the Series 2024-2 Percentage as of the beginning of the Series 2024-2 Interest Period ending on the day preceding such Distribution Date of the portion of the Monthly Administration Fee payable by ABRCF (as specified in clause (iii) of the definition thereof) for such Series 2024-2 Interest Period, (2) second, to the Trustee, an amount equal to the Series 2024-2 Percentage as of the beginning of such Series 2024-2 Interest Period of the fees owing to the Trustee under the Base Indenture for such Series 2024-2 Interest Period, (3) third to pay any Carrying Charges (other than Carrying Charges provided for above) to the Persons to whom such amounts are owed, an amount equal to the Series 2024-2 Percentage as of the beginning of such Series 2024-2 Interest Period of such Carrying Charges (other than Carrying Charges provided for above) for such Series 2024-2 Interest Period and (4) fourth, the balance, if any, shall be withdrawn by the Paying Agent from the Series 2024-2 Collection Account and deposited in the Series 2024-2 Excess Collection Account;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    on each Distribution Date during the Series 2024-2 Rapid Amortization Period, (1) first, to the Series 2024-2 Distribution Account, an amount equal to Class D Monthly Subordinated Interest with respect to the Series 2024-2 Interest Period ending on the date immediately preceding such Distribution Date to be treated as Principal Collections, (2) second, to the Trustee, an amount equal to the Series 2024-2 Percentage as of the beginning of such Series 2024-2 Interest Period ending on the day preceding such Distribution Date of the fees owing to the Trustee under the Base Indenture for such Series 2024-2 Interest Period, (3) third, to the Administrator, an amount equal to the Series 2024-2 Percentage as of the beginning of such Series 2024-2 Interest Period of the portion of the Monthly Administration Fee (as specified in clause (iii) of the definition thereof) payable by ABRCF for such Series 2024-2 Interest Period, (4) fourth, to pay any Carrying Charges (other than Carrying Charges provided for above) to the Persons to whom such amounts are owed, an amount equal to the Series 2024-2 Percentage as of the beginning of such Series 2024-2 Interest Period of such Carrying Charges (other than Carrying Charges provided for above) for such Series 2024-2 Interest Period and (5) fifth, so long as the Series 2024-2 Invested Amount is greater than the Monthly Total Principal Allocations for the Related Month, an amount equal to the excess of the Series 2024-2 Invested Amount over the Monthly Total Principal Allocations for the Related Month shall be treated as Principal Collections.</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Shortfalls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If the amounts described in Section 2.3 are insufficient to pay the Class A Monthly Interest on any Distribution Date, payments of interest to the Class A </w:t>
      </w:r>
    </w:p>
    <w:p>
      <w:pPr>
        <w:pStyle w:val="TextBody"/>
        <w:bidi w:val="0"/>
        <w:spacing w:before="0" w:after="0"/>
        <w:jc w:val="center"/>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75260"/>
                <wp:effectExtent l="0" t="0" r="0" b="0"/>
                <wp:wrapNone/>
                <wp:docPr id="616" name="Frame6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A Shortfall</w:t>
      </w:r>
      <w:r>
        <w:rPr>
          <w:color w:val="000000"/>
        </w:rPr>
        <w:t>”</w:t>
      </w:r>
      <w:r>
        <w:rPr>
          <w:rFonts w:ascii="Times New Roman;sans-serif" w:hAnsi="Times New Roman;sans-serif"/>
          <w:b w:val="false"/>
          <w:color w:val="000000"/>
          <w:sz w:val="24"/>
        </w:rPr>
        <w:t xml:space="preserve">. Interest shall accrue on the Class A Shortfall at the Class A Note Rate.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    If the amounts described in Section 2.3 are insufficient to pay the amounts described in clauses (i) and (ii) of Section 2.3(a) and the Class B Monthly Interest on any Distribution Date, payments of interest to the Class B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B Monthly Interest for the Series 2024-2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B Shortfall</w:t>
      </w:r>
      <w:r>
        <w:rPr>
          <w:color w:val="000000"/>
        </w:rPr>
        <w:t>”</w:t>
      </w:r>
      <w:r>
        <w:rPr>
          <w:rFonts w:ascii="Times New Roman;sans-serif" w:hAnsi="Times New Roman;sans-serif"/>
          <w:b w:val="false"/>
          <w:color w:val="000000"/>
          <w:sz w:val="24"/>
        </w:rPr>
        <w:t>. Interest shall accrue on the Class B Shortfall at the Class B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(iii)    If the amounts described in Section 2.3 are insufficient to pay the amounts described in clauses (i) through (iv) of Section 2.3(a) and the Class C Monthly Interest on any Distribution Date, payments of interest to the Class C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C Monthly Interest for the Series 2024-2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C Shortfall</w:t>
      </w:r>
      <w:r>
        <w:rPr>
          <w:color w:val="000000"/>
        </w:rPr>
        <w:t>”</w:t>
      </w:r>
      <w:r>
        <w:rPr>
          <w:rFonts w:ascii="Times New Roman;sans-serif" w:hAnsi="Times New Roman;sans-serif"/>
          <w:b w:val="false"/>
          <w:color w:val="000000"/>
          <w:sz w:val="24"/>
        </w:rPr>
        <w:t>. Interest shall accrue on the Class C Shortfall at the Class C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(iv)    If the amounts described in Section 2.3 are insufficient to pay the amounts described in clauses (i) through (vi) of Section 2.3(a) and the Class D Monthly Senior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D Monthly Senior Interest for the Series 2024-2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Senior Interest Shortfall</w:t>
      </w:r>
      <w:r>
        <w:rPr>
          <w:color w:val="000000"/>
        </w:rPr>
        <w:t>”</w:t>
      </w:r>
      <w:r>
        <w:rPr>
          <w:rFonts w:ascii="Times New Roman;sans-serif" w:hAnsi="Times New Roman;sans-serif"/>
          <w:b w:val="false"/>
          <w:color w:val="000000"/>
          <w:sz w:val="24"/>
        </w:rPr>
        <w:t>. Interest shall accrue on the Class D Senior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    If (A) the amounts described in Section 2.3 are insufficient to pay the amounts described in clauses (i) through (viii) of Section 2.3(a) and the Class D Monthly Subordinated Interest on any Distribution Date and/or (B) the Series 2024-2 Rapid Amortization Period is continuing and the amounts described in Section 2.5(f)(v) are sufficient to pay the Class D Monthly Subordinated Interest on any Distribution Date, payments of interest to the Class D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basis by the amount of such deficiency. The aggregate amount, if any, of such deficiency on any Distribution Date (which deficiency on any Distribution Date shall not exceed the Class D Monthly Subordinated Interest for the Series 2024-2 Interest Period ended on the day </w:t>
      </w:r>
    </w:p>
    <w:p>
      <w:pPr>
        <w:pStyle w:val="TextBody"/>
        <w:bidi w:val="0"/>
        <w:spacing w:before="0" w:after="0"/>
        <w:jc w:val="center"/>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75260"/>
                <wp:effectExtent l="0" t="0" r="0" b="0"/>
                <wp:wrapNone/>
                <wp:docPr id="617" name="Frame6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br/>
        <w:t>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D Subordinated Interest Shortfall</w:t>
      </w:r>
      <w:r>
        <w:rPr>
          <w:color w:val="000000"/>
        </w:rPr>
        <w:t>”</w:t>
      </w:r>
      <w:r>
        <w:rPr>
          <w:rFonts w:ascii="Times New Roman;sans-serif" w:hAnsi="Times New Roman;sans-serif"/>
          <w:b w:val="false"/>
          <w:color w:val="000000"/>
          <w:sz w:val="24"/>
        </w:rPr>
        <w:t>. Interest shall accrue on the Class D Subordinated Interest Shortfall at the Class D Note Rate.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(vi)    If the amounts described in Section 2.3 are insufficient to pay the amounts described in clauses (i) through (x) of Section 2.3(a) and the Class R Monthly Interest on any Distribution Date, payments of interest to the Class R Noteholders will be reduced on a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basis by the amount of such deficiency. The aggregate amount, if any, of such deficiency on any Distribution Date (which deficiency on any Distribution Date shall not exceed the Class R Monthly Interest for the Series 2024-2 Interest Period ended on the day preceding such Distribution Date), together with the aggregate unpaid amount of any such deficiencies with respect to all prior Distribution Dates, shall be referred to as the “</w:t>
      </w:r>
      <w:r>
        <w:rPr>
          <w:rFonts w:ascii="Times New Roman;sans-serif" w:hAnsi="Times New Roman;sans-serif"/>
          <w:b w:val="false"/>
          <w:color w:val="000000"/>
          <w:sz w:val="24"/>
          <w:u w:val="single"/>
        </w:rPr>
        <w:t>Class R Shortfall</w:t>
      </w:r>
      <w:r>
        <w:rPr>
          <w:color w:val="000000"/>
        </w:rPr>
        <w:t>”</w:t>
      </w:r>
      <w:r>
        <w:rPr>
          <w:rFonts w:ascii="Times New Roman;sans-serif" w:hAnsi="Times New Roman;sans-serif"/>
          <w:b w:val="false"/>
          <w:color w:val="000000"/>
          <w:sz w:val="24"/>
        </w:rPr>
        <w:t>. Interest shall accrue on the Class R Shortfall at the Class R Note Rate.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2.4.    </w:t>
      </w:r>
      <w:r>
        <w:rPr>
          <w:rFonts w:ascii="Times New Roman;sans-serif" w:hAnsi="Times New Roman;sans-serif"/>
          <w:b w:val="false"/>
          <w:color w:val="000000"/>
          <w:sz w:val="24"/>
          <w:u w:val="single"/>
        </w:rPr>
        <w:t>Payment of Note Interest</w:t>
      </w:r>
      <w:r>
        <w:rPr>
          <w:rFonts w:ascii="Times New Roman;sans-serif" w:hAnsi="Times New Roman;sans-serif"/>
          <w:b w:val="false"/>
          <w:color w:val="000000"/>
          <w:sz w:val="24"/>
        </w:rPr>
        <w:t>. (a) On each Distribution Date, subject to Section 9.8 of the Base Indenture, the Paying Agent shall, in accordance with Section 6.1 of the Base Indenture, pay the following amounts in the following order of priority from amounts deposited into the Series 2024-2 Distribution Account pursuant to Section 2.3:</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Class A Noteholders, the amounts due to the Class A Noteholders described in Sections 2.3(a)(i) and (ii);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the Class B Noteholders, the amounts due to the Class B Noteholders described in Sections 2.3(a)(iii) and (iv);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third</w:t>
      </w:r>
      <w:r>
        <w:rPr>
          <w:rFonts w:ascii="Times New Roman;sans-serif" w:hAnsi="Times New Roman;sans-serif"/>
          <w:b w:val="false"/>
          <w:color w:val="000000"/>
          <w:sz w:val="24"/>
        </w:rPr>
        <w:t>, to the Class C Noteholders, the amounts due to the Class C Noteholders described in Sections 2.3(a)(v) and (vi);</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fourth</w:t>
      </w:r>
      <w:r>
        <w:rPr>
          <w:rFonts w:ascii="Times New Roman;sans-serif" w:hAnsi="Times New Roman;sans-serif"/>
          <w:b w:val="false"/>
          <w:color w:val="000000"/>
          <w:sz w:val="24"/>
        </w:rPr>
        <w:t xml:space="preserve">, to the Class D Noteholders, the amounts due to the Class D Noteholders described in Sections 2.3(a)(vii) and (viii);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fifth</w:t>
      </w:r>
      <w:r>
        <w:rPr>
          <w:rFonts w:ascii="Times New Roman;sans-serif" w:hAnsi="Times New Roman;sans-serif"/>
          <w:b w:val="false"/>
          <w:color w:val="000000"/>
          <w:sz w:val="24"/>
        </w:rPr>
        <w:t xml:space="preserve">, if the Series 2024-2 Rapid Amortization Period is not continuing as of such Distribution Date, the amounts due to the Class D Noteholders described in Section 2.3(a)(ix) and (x); and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sixth</w:t>
      </w:r>
      <w:r>
        <w:rPr>
          <w:rFonts w:ascii="Times New Roman;sans-serif" w:hAnsi="Times New Roman;sans-serif"/>
          <w:b w:val="false"/>
          <w:color w:val="000000"/>
          <w:sz w:val="24"/>
        </w:rPr>
        <w:t>, to the Class R Noteholders, the amounts due to the Class R Noteholders described in Sections 2.3(a)(xi) and (xii).</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2.5.    </w:t>
      </w:r>
      <w:r>
        <w:rPr>
          <w:rFonts w:ascii="Times New Roman;sans-serif" w:hAnsi="Times New Roman;sans-serif"/>
          <w:b w:val="false"/>
          <w:color w:val="000000"/>
          <w:sz w:val="24"/>
          <w:u w:val="single"/>
        </w:rPr>
        <w:t>Payment of Note Principal</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Monthly Payments During Controlled Amortization Period or Rapid Amortization Period</w:t>
      </w:r>
      <w:r>
        <w:rPr>
          <w:rFonts w:ascii="Times New Roman;sans-serif" w:hAnsi="Times New Roman;sans-serif"/>
          <w:b w:val="false"/>
          <w:color w:val="000000"/>
          <w:sz w:val="24"/>
        </w:rPr>
        <w:t xml:space="preserve">. On each Determination Date, commencing on the second Determination Date during the Series 2024-2 Controlled Amortization Period or the first Determination Date after the commencement of the Series 2024-2 Rapid Amortization Period, the Administrator shall instruct the Trustee and the Paying Agent in writing pursuant to the Administration Agreement and in accordance with this Section 2.5 as to (1) the amount allocated to the Series 2024-2 Notes during the Related Month pursuant to Section 2.2(b)(ii), (c)(ii) or (d)(ii), as the case may be, (2) any amounts to be drawn on the Series 2024-2 </w:t>
      </w:r>
    </w:p>
    <w:p>
      <w:pPr>
        <w:pStyle w:val="TextBody"/>
        <w:bidi w:val="0"/>
        <w:spacing w:before="0" w:after="0"/>
        <w:jc w:val="center"/>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75260"/>
                <wp:effectExtent l="0" t="0" r="0" b="0"/>
                <wp:wrapNone/>
                <wp:docPr id="618" name="Frame6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Demand Notes and/or on the Multi-Series Letters of Credit (or withdrawn from the Series 2024-2 Cash Collateral Accounts) pursuant to this Section 2.5 and (3) any amounts to be withdrawn from the Series 2024-2 Reserve Accounts pursuant to this Section 2.5 and deposited into the Series 2024-2 Distribution Account. On the Distribution Date following each such Determination Date, the Trustee shall withdraw the amount allocated to the Series 2024-2 Notes during the Related Month pursuant to Section 2.2(b)(ii), (c)(ii) or (d)(ii), as the case may be, from the Series 2024-2 Collection Account and deposit such amount in the Series 2024-2 Distribution Account, to be paid to the holders of the Series 2024-2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Principal Draws on Multi-Series Letters of Credit</w:t>
      </w:r>
      <w:r>
        <w:rPr>
          <w:rFonts w:ascii="Times New Roman;sans-serif" w:hAnsi="Times New Roman;sans-serif"/>
          <w:b w:val="false"/>
          <w:color w:val="000000"/>
          <w:sz w:val="24"/>
        </w:rPr>
        <w:t xml:space="preserve">. If the Administrator determines on the Business Day immediately preceding any Distribution Date during the Series 2024-2 Rapid Amortization Period that on such Distribution Date there will exist a Series 2024-2 Lease Principal Payment Deficit, the Administrator shall instruct the Trustee in writing to: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    so long as any Class A Notes, any Class B Notes or any Class C Notes remain outstanding, draw on the Multi-Series Letters of Credit with respect to the Class A/B/C Notes, if any, as provided in this clause (i). Upon receipt of a notice by the Trustee from the Administrator in respect of a Series 2024-2 Lease Principal Payment Deficit on or prior to 3:00 p.m. (New York City time) on the Business Day immediately preceding a Distribution Date, the Trustee shall, by 5:00 p.m. (New York City time) on such Business Day draw an amount as set forth in such notice equal to the least of (i) such Series 2024-2 Lease Principal Payment Deficit, (ii) the Class A/B/C Principal Deficit Amount for such Distribution Date and (iii) the Class A/B/C Letter of Credit Liquidity Amount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2024-2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2024-2 Distribution Account an amount equal to the lesser of (x) the Class A/B/C Cash Collateral Percentage for such date of the lesser of the Series 2024-2 Lease Principal Payment Deficit and the Class A/B/C Principal Deficit Amount for such Distribution Date and (y) the Class A/B/C Available Cash Collateral Account Amount on such date and draw an amount equal to the remainder of such amount on the Multi-Series Letters of Credit that shall be allocable to the Class A/B/C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A/B/C Notes (or withdraw from the Class A/B/C Cash Collateral Account, if applicable) pursuant to this Section 2.5(b)(i), and if such instruction from the Administrator references this Section 2.5(b)(i), the Trustee shall only draw (or withdraw), an amount equal to the lesser of (x) the amount determined as provided in the preceding sentence and (y) the excess, if any, of (A) the Class A/B/C Liquidity Amount on such date over (B) the Class A/B/C Required Liquidity Amount on such date;</w:t>
      </w:r>
    </w:p>
    <w:p>
      <w:pPr>
        <w:pStyle w:val="TextBody"/>
        <w:bidi w:val="0"/>
        <w:spacing w:before="0" w:after="0"/>
        <w:jc w:val="center"/>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75260"/>
                <wp:effectExtent l="0" t="0" r="0" b="0"/>
                <wp:wrapNone/>
                <wp:docPr id="619" name="Frame6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(ii)    if, after giving effect to any payments to be made on such Distribution Date, the Class A Notes, the Class B Notes and the Class C Notes will have been paid in full, draw on the Multi-Series Letters of Credit with respect to the Class A/B/C Notes, if any, as provided in this clause (ii). Upon receipt of a notice by the Trustee from the Administrator in respect of a Series 2024-2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2024-2 Lease Principal Payment Deficit over (B) the amount, if any, to be drawn on the Multi-Series Letters of Credit with respect to the Class A/B/C Notes and/or withdrawn from the Class A/B/C Cash Collateral Account on such Distribution Date in accordance with Section 2.5(b)(i), (y) the Class D Principal Deficit Amount for such Distribution Date and (z) the Class A/B/C Letter of Credit Liquidity Amount (after giving effect to any draws the Multi-Series Letters of Credit allocable to the Class A/B/C Notes and/or withdrawals from the Class A/B/C Cash Collateral Account on such Distribution Date in accordance with Section 2.5(b)(i)) on the Multi-Series Letters of Credit that shall be allocable to the Class A/B/C Notes by presenting to each Multi-Series Letter of Credit Provider with respect to the Class A/B/C Notes a draft accompanied by a Certificate of Lease Deficit Demand and shall cause the Lease Deficit Disbursements to be deposited in the Series 2024-2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2024-2 Distribution Account an amount equal to the lesser of (x) the Class A/B/C Cash Collateral Percentage for such date of the lesser of (A) the excess of (1) the Series 2024-2 Lease Principal Payment Deficit over (2) the amount, if any, to be drawn on the Multi-Series Letters of Credit allocable to the Class A/B/C Notes and/or withdrawn from the Class A/B/C Cash Collateral Account on such Distribution Date in accordance with Section 2.5(b)(i) and (B) the Class D Principal Deficit Amount for such Distribution Date and (y) the Class A/B/C Available Cash Collateral Account Amount on such date (after giving effect to any withdrawals from the Class A/B/C Cash Collateral Account on such Distribution Date in accordance with Section 2.5(b)(i)) and draw an amount equal to the remainder of such amount on the Multi-Series Letters of Credit that shall be allocable to the Class A/B/C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if, after giving effect to any payments to be made on such Distribution Date, the Class A Notes, the Class B Notes and the Class C Notes will have been paid in full, draw on the Multi-Series Letters of Credit with respect to the Class D Notes, if any, as provided in this clause (iii). Upon receipt of a notice by the Trustee from the Administrator in respect of a Series 2024-2 Lease Principal Payment Deficit on or prior to 3:00 p.m. (New York City time) on the Business Day immediately preceding a Distribution Date, the Trustee shall, by 5:00 p.m. (New York City time) on such Business Day draw an amount as set forth in such notice equal to the least of (x) the excess of (A) such Series 2024-2 Lease Principal Payment Deficit over (B) the amount, if any, to be drawn on the Multi-Series Letters of Credit with respect to the Class D Notes and/or withdrawn from the Class A/B/C Cash Collateral Account on such Distribution Date in accordance with Section 2.5(b)(i) and/or (ii), (y) the Class D Principal Deficit Amount for such Distribution Date </w:t>
      </w:r>
    </w:p>
    <w:p>
      <w:pPr>
        <w:pStyle w:val="TextBody"/>
        <w:bidi w:val="0"/>
        <w:spacing w:before="0" w:after="0"/>
        <w:jc w:val="center"/>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75260"/>
                <wp:effectExtent l="0" t="0" r="0" b="0"/>
                <wp:wrapNone/>
                <wp:docPr id="620" name="Frame6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and (z) the Class D Letter of Credit Liquidity Amount on the Multi-Series Letters of Credit that shall be allocable to the Class D Notes by presenting to each Multi-Series Letter of Credit Provider with respect to the Class D Notes a draft accompanied by a Certificate of Lease Deficit Demand and shall cause the Lease Deficit Disbursements to be deposited in the Series 2024-2 Distribution Account on such date;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2024-2 Distribution Account an amount equal to the lesser of (x) the Class D Cash Collateral Percentage for such date of the lesser of (A) the excess of (1) the Series 2024-2 Lease Principal Payment Deficit over (2) the amount, if any, to be drawn on the Multi-Series Letters of Credit allocable to the Class D Notes and/or withdrawn from the Class A/B/C Cash Collateral Account on such Distribution Date in accordance with Section 2.5(b)(i) and/or (ii) and (B) the Class D Principal Deficit Amount for such Distribution Date and (y) the Class D Available Cash Collateral Account Amount on such date and draw an amount equal to the remainder of such amount on the Multi-Series Letters of Credit that shall be allocable to the Class D Notes. Notwithstanding any of the preceding to the contrary, during the period after the date of the filing by any of the Lessees of a petition for relief under Chapter 11 of the Bankruptcy Code until the date on which each of the Lessees shall have resumed making all payments of the portion of Monthly Base Rent relating to Loan Interest required to be made under the AESOP I Operating Lease, the Administrator shall only instruct the Trustee to draw on the Multi-Series Letters of Credit with respect to the Class D Notes (or withdraw from the Class D Cash Collateral Account, if applicable) pursuant to this Section 2.5(b)(iii), and if such instruction from the Administrator references this Section 2.5(b)(iii), the Trustee shall only draw (or withdraw), an amount equal to the lesser of (x) the amount determined as provided in the preceding sentence and (y) the excess, if any, of (A) the Class D Liquidity Amount on such date over (B) the Class D Required Liquidity Amount on such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Final Distribution Date</w:t>
      </w:r>
      <w:r>
        <w:rPr>
          <w:rFonts w:ascii="Times New Roman;sans-serif" w:hAnsi="Times New Roman;sans-serif"/>
          <w:b w:val="false"/>
          <w:color w:val="000000"/>
          <w:sz w:val="24"/>
        </w:rPr>
        <w:t>. Each of the entire Class A Invested Amount, the entire Class B Invested Amount, the entire Class C Invested Amount, the entire Class D Invested Amount and the entire Class R Invested Amount shall be due and payable on the Series 2024-2 Final Distribution Date. In connection therewith:</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If the amount to be deposited in the Series 2024-2 Distribution Account in accordance with Section 2.5(a) together with any amounts to be deposited therein in accordance with Section 2.5(b) on the Series 2024-2 Final Distribution Date is less than the Series 2024-2 Senior Invested Amount and there are any Multi-Series Letters of Credit on such date, then, prior to 10:00 a.m. (New York City time) on the second Business Day prior to the Series 2024-2 Final Distribution Date, the Administrator shall instruct the Trustee in writing to make a demand (a “</w:t>
      </w:r>
      <w:r>
        <w:rPr>
          <w:rFonts w:ascii="Times New Roman;sans-serif" w:hAnsi="Times New Roman;sans-serif"/>
          <w:b w:val="false"/>
          <w:color w:val="000000"/>
          <w:sz w:val="24"/>
          <w:u w:val="single"/>
        </w:rPr>
        <w:t>Demand Notice</w:t>
      </w:r>
      <w:r>
        <w:rPr>
          <w:color w:val="000000"/>
        </w:rPr>
        <w:t>”</w:t>
      </w:r>
      <w:r>
        <w:rPr>
          <w:rFonts w:ascii="Times New Roman;sans-serif" w:hAnsi="Times New Roman;sans-serif"/>
          <w:b w:val="false"/>
          <w:color w:val="000000"/>
          <w:sz w:val="24"/>
        </w:rPr>
        <w:t xml:space="preserve">) substantially in the form attached hereto as </w:t>
      </w:r>
      <w:r>
        <w:rPr>
          <w:rFonts w:ascii="Times New Roman;sans-serif" w:hAnsi="Times New Roman;sans-serif"/>
          <w:b w:val="false"/>
          <w:color w:val="000000"/>
          <w:sz w:val="24"/>
          <w:u w:val="single"/>
        </w:rPr>
        <w:t>Exhibit I</w:t>
      </w:r>
      <w:r>
        <w:rPr>
          <w:color w:val="000000"/>
        </w:rPr>
        <w:t xml:space="preserve"> </w:t>
      </w:r>
      <w:r>
        <w:rPr>
          <w:rFonts w:ascii="Times New Roman;sans-serif" w:hAnsi="Times New Roman;sans-serif"/>
          <w:b w:val="false"/>
          <w:color w:val="000000"/>
          <w:sz w:val="24"/>
        </w:rPr>
        <w:t xml:space="preserve">on the Demand Note Issuers for payment under the Series 2024-2 Demand Notes in an amount equal to the lesser of (x) such insufficiency and (y) the sum of the Class A/B/C Letter of Credit Amount and the Class D Letter of Credit Amount. The Trustee shall, prior to 12:00 noon (New York City time) on the second Business Day preceding such Series 2024-2 Final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w:t>
      </w:r>
    </w:p>
    <w:p>
      <w:pPr>
        <w:pStyle w:val="TextBody"/>
        <w:bidi w:val="0"/>
        <w:spacing w:before="0" w:after="0"/>
        <w:jc w:val="center"/>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75260"/>
                <wp:effectExtent l="0" t="0" r="0" b="0"/>
                <wp:wrapNone/>
                <wp:docPr id="621" name="Frame6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2024-2 Demand Notes to be deposited into the Series 2024-2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Letter of Credit Draw</w:t>
      </w:r>
      <w:r>
        <w:rPr>
          <w:rFonts w:ascii="Times New Roman;sans-serif" w:hAnsi="Times New Roman;sans-serif"/>
          <w:b w:val="false"/>
          <w:color w:val="000000"/>
          <w:sz w:val="24"/>
        </w:rPr>
        <w:t>. In the event that either (x) on or prior to 10:00 a.m. (New York City time) on the Business Day immediately preceding the Series 2024-2 Final Distribution Date a Demand Notice has been transmitted by the Trustee to the Demand Note Issuers pursuant to clause (i) of this Section 2.5(c) and any Demand Note Issuer shall have failed to pay to the Trustee or deposit into the Series 2024-2 Distribution Account the amount specified in such Demand Notice in whole or in part or (y) due to the occurrence of an Event of Bankruptcy (or the occurrence of an event described in clause (a) of the definition thereof, without the lapse of a period of sixty (60) consecutive days) with respect to one or more of the Demand Note Issuers, the Trustee shall not have delivered such Demand Notice to any Demand Note Issuer on the second Business Day preceding the Series 2024-2 Final Distribution Date, then, in the case of (x) or (y) the Trustee shall:</w:t>
      </w:r>
    </w:p>
    <w:p>
      <w:pPr>
        <w:pStyle w:val="TextBody"/>
        <w:bidi w:val="0"/>
        <w:spacing w:lineRule="auto" w:line="288" w:before="240" w:after="240"/>
        <w:ind w:left="0" w:right="0" w:firstLine="720"/>
        <w:jc w:val="both"/>
        <w:rPr/>
      </w:pPr>
      <w:r>
        <w:rPr>
          <w:rFonts w:ascii="Times New Roman;sans-serif" w:hAnsi="Times New Roman;sans-serif"/>
          <w:b w:val="false"/>
          <w:color w:val="000000"/>
          <w:sz w:val="24"/>
        </w:rPr>
        <w:t xml:space="preserve">(1)    draw on the Multi-Series Letters of Credit by 12:00 noon (New York City time) on such Business Day an amount allocable to the Class A/B/C Notes equal to the lesser of (a) the amount that the Demand Note Issuers so failed to pay under the Series 2024-2 Demand Notes (or, the amount that the Trustee failed to demand for payment thereunder) and (b) the Class A/B/C Letter of Credit Amount on such Business Day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2024-2 Distribution Account an amount equal to the lesser of (x) the Class A/B/C Cash Collateral Percentage on such Business Day of the amount that the Demand Note Issuers so failed to pay under the Series 2024-2 Demand Notes (or, the amount that the Trustee failed to demand for payment thereunder) and (y) the Class A/B/C Available Cash Collateral Account Amount on such Business Day and draw an amount equal to the remainder of the amount that the Demand Note Issuers failed to pay under the Series 2024-2 Demand Notes (or, the amount that the Trustee failed to demand for payment thereunder) on the Multi-Series Letters of Credit with respect to the Class A/B/C Notes. The Trustee shall deposit, or cause the deposit of, the applicable portion of the proceeds of any draw on the Multi-Series Letters of Credit allocable to the Class A/B/C Notes and the proceeds of any withdrawal from the Class A/B/C Cash Collateral Account to be deposited in the Series 2024-2 Distribution Account; and</w:t>
      </w:r>
    </w:p>
    <w:p>
      <w:pPr>
        <w:pStyle w:val="TextBody"/>
        <w:bidi w:val="0"/>
        <w:spacing w:lineRule="auto" w:line="288" w:before="24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draw on the Multi-Series Letters of Credit by 12:00 noon (New York City time) on such Business Day an amount allocable to the Class D </w:t>
      </w:r>
    </w:p>
    <w:p>
      <w:pPr>
        <w:pStyle w:val="TextBody"/>
        <w:bidi w:val="0"/>
        <w:spacing w:before="0" w:after="0"/>
        <w:jc w:val="center"/>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75260"/>
                <wp:effectExtent l="0" t="0" r="0" b="0"/>
                <wp:wrapNone/>
                <wp:docPr id="622" name="Frame6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8" w:before="240" w:after="240"/>
        <w:jc w:val="both"/>
        <w:rPr/>
      </w:pPr>
      <w:r>
        <w:rPr>
          <w:rFonts w:ascii="Times New Roman;sans-serif" w:hAnsi="Times New Roman;sans-serif"/>
          <w:b w:val="false"/>
          <w:color w:val="000000"/>
          <w:sz w:val="24"/>
        </w:rPr>
        <w:br/>
        <w:br/>
        <w:t xml:space="preserve">Notes equal to the lesser of (a) the excess of (x) the amount that the Demand Note Issuers so failed to pay under the Series 2024-2 Demand Notes (or, the amount that the Trustee failed to demand for payment thereunder) over (y) the amount drawn on the Multi-Series Letters of Credit allocable to the Class A/B/C Notes and/or withdrawn from the Class A/B/C Cash Collateral Account on such Business Day in accordance with Section 2.5(c)(ii)(1) and (b) the Class D Letter of Credit Amount on such Business Day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2024-2 Distribution Account an amount equal to the lesser of (x) the Class D Cash Collateral Percentage on such Business Day of the excess of (A) the amount that the Demand Note Issuers so failed to pay under the Series 2024-2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and (y) the Class D Available Cash Collateral Account Amount on such Business Day and draw an amount equal to the remainder of the excess of (A) the amount that the Demand Note Issuers so failed to pay under the Series 2024-2 Demand Notes (or, the amount that the Trustee failed to demand for payment thereunder) over (B) the amount drawn on the Multi-Series Letters of Credit allocable to the Class A/B/C Notes and/or withdrawn from the Class A/B/C Cash Collateral Account on such Business Day in accordance with Section 2.5(c)(ii)(1) on the Multi-Series Letters of Credit with respect to the Class D Notes. The Trustee shall deposit, or cause the deposit of, the applicable portion of the proceeds of any draw on the Multi-Series Letters of Credit allocable to the Class D Notes and the proceeds of any withdrawal from the Class D Cash Collateral Account to be deposited in the Series 2024-2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Reserve Account Withdrawal</w:t>
      </w:r>
      <w:r>
        <w:rPr>
          <w:rFonts w:ascii="Times New Roman;sans-serif" w:hAnsi="Times New Roman;sans-serif"/>
          <w:b w:val="false"/>
          <w:color w:val="000000"/>
          <w:sz w:val="24"/>
        </w:rPr>
        <w:t xml:space="preserve">. If, after giving effect to the deposit into the Series 2024-2 Distribution Account of the amount to be deposited in accordance with Section 2.5(a) and the amounts described in clauses (i) and (ii) of this Section 2.5(c), the amount to be deposited in the Series 2024-2 Distribution Account with respect to the Series 2024-2 Final Distribution Date is or will be less than the Series 2024-2 Senior Invested Amount, then, prior to 12:00 noon (New York City time) on the second Business Day prior to such Series 2024-2 Final Distribution Date, the Administrator shall instruct the Trustee in writing to withdraw (x) first, from the Class A/B/C Reserve Account, an amount equal to the lesser of the Class A/B/C Available Reserve Account Amount and such remaining insufficiency and (y) second, from the Class D Reserve Account, an amount equal to the lesser of the Class D Available Reserve Account Amount and such remaining insufficiency (after giving effect to any withdrawal from the Class A/B/C </w:t>
      </w:r>
    </w:p>
    <w:p>
      <w:pPr>
        <w:pStyle w:val="TextBody"/>
        <w:bidi w:val="0"/>
        <w:spacing w:before="0" w:after="0"/>
        <w:jc w:val="center"/>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75260"/>
                <wp:effectExtent l="0" t="0" r="0" b="0"/>
                <wp:wrapNone/>
                <wp:docPr id="623" name="Frame6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Reserve Account) and, in each case, deposit it in the Series 2024-2 Distribution Account on such Series 2024-2 Final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Principal Deficit Amount</w:t>
      </w:r>
      <w:r>
        <w:rPr>
          <w:rFonts w:ascii="Times New Roman;sans-serif" w:hAnsi="Times New Roman;sans-serif"/>
          <w:b w:val="false"/>
          <w:color w:val="000000"/>
          <w:sz w:val="24"/>
        </w:rPr>
        <w:t xml:space="preserve">. On each Distribution Date, other than the Series 2024-2 Final Distribution Date, on which the Class A/B/C Principal Deficit Amount is greater than zero, amounts shall be transferred to the Series 2024-2 Distribution Account as follows: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any Determination Date, the Administrator determines that the Class A/B/C Principal Deficit Amount with respect to the next succeeding Distribution Date will be greater than zero and there are any Multi-Series Letters of Credit with respect to the Class A/B/C Notes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A/B/C Principal Deficit Amount and (B) the Class A/B/C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sixty (60) consecutive days) with respect to a Demand Note Issuer shall have occurred and be continuing, the Trustee shall not be required to deliver such Demand Notice to such Demand Note Issuer. The Trustee shall cause the proceeds of any demand on the Series 2024-2 Demand Note to be deposited into the Series 2024-2 Distribution Account.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2024-2 Distribution Account the amount specified in such Demand Notice delivered pursuant to Section 2.5(d)(i) in whole or in part or (y) due to the occurrence of an Event of Bankruptcy (or the occurrence of an event described in clause (a) of the definition thereof, without the lapse of a period of sixty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an amount allocable to the Class A/B/C Notes equal to the lesser of (i) Class A/B/C Letter of Credit Amount and (ii) the aggregate amount that the Demand Note Issuers so failed to pay under the Series 2024-2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withdraw from the Class A/B/C Cash Collateral Account and deposit in the Series 2024-2 Distribution Account an amount equal to the lesser of (x) the Class A/B/C Cash Collateral Percentage on such Business Day of the aggregate amount that the Demand Note Issuers so failed to pay under the Series 2024-2 Demand Notes (or, the amount that the Trustee failed to demand for payment thereunder) and (y) the Class A/B/C Available Cash </w:t>
      </w:r>
    </w:p>
    <w:p>
      <w:pPr>
        <w:pStyle w:val="TextBody"/>
        <w:bidi w:val="0"/>
        <w:spacing w:before="0" w:after="0"/>
        <w:jc w:val="center"/>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75260"/>
                <wp:effectExtent l="0" t="0" r="0" b="0"/>
                <wp:wrapNone/>
                <wp:docPr id="624" name="Frame6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Collateral Account Amount on such Business Day and draw an amount equal to the remainder of the aggregate amount that the Demand Note Issuers so failed to pay under the Series 2024-2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2024-2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Class A/B/C Letter of Credit Amount will be less than the Class A/B/C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A/B/C Principal Deficit Amount exceeds the amounts to be deposited in the Series 2024-2 Distribution Account in accordance with clauses (i) and (ii) of this Section 2.5(d) and deposit it in the Series 2024-2 Distribution Account on such Distribution Date.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D Principal Deficit Amount</w:t>
      </w:r>
      <w:r>
        <w:rPr>
          <w:rFonts w:ascii="Times New Roman;sans-serif" w:hAnsi="Times New Roman;sans-serif"/>
          <w:b w:val="false"/>
          <w:color w:val="000000"/>
          <w:sz w:val="24"/>
        </w:rPr>
        <w:t xml:space="preserve">. On each Distribution Date, other than the Series 2024-2 Final Distribution Date, on which the Class A Notes, Class B Notes and Class C Notes will have been paid in full and the Class D Principal Deficit Amount is greater than zero, amounts shall be transferred to the Series 2024-2 Distribution Account as follows: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Demand Note Draw</w:t>
      </w:r>
      <w:r>
        <w:rPr>
          <w:rFonts w:ascii="Times New Roman;sans-serif" w:hAnsi="Times New Roman;sans-serif"/>
          <w:b w:val="false"/>
          <w:color w:val="000000"/>
          <w:sz w:val="24"/>
        </w:rPr>
        <w:t xml:space="preserve">. If on the Determination Date with respect to any such Distribution Date, the Administrator determines that the Class D Principal Deficit Amount with respect to the next succeeding Distribution Date will be greater than zero and there are any Multi-Series Letters of Credit on such date, prior to 10:00 a.m. (New York City time) on the second Business Day prior to such Distribution Date, the Administrator shall instruct the Trustee in writing to deliver a Demand Notice to the Demand Note Issuers demanding payment of an amount equal to the lesser of (A) the Class D Principal Deficit Amount and (B) the sum of (x) the Class A/B/C Letter of Credit Amount and (y) the Class D Letter of Credit Amount. The Trustee shall, prior to 12:00 noon (New York City time) on the second Business Day preceding such Distribution Date, deliver such Demand Notice to the Demand Note Issuers;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an Event of Bankruptcy (or the occurrence of an event described in clause (a) of the definition thereof, without the lapse of a period of 60 consecutive days) with respect to a Demand Note Issuer shall have occurred and be continuing, the Trustee shall not be required to deliver such Demand Notice to such Demand Note Issuer. The Trustee shall cause the proceeds of any demand on the Series 2024-2 Demand Note to be deposited into the Series 2024-2 Distribution Account.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A/B/C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2024-2 Distribution Account the amount specified in such Demand Notice delivered pursuant to Section 2.5I(i) in whole or in part or (y) due to the occurrence of an Event of </w:t>
      </w:r>
    </w:p>
    <w:p>
      <w:pPr>
        <w:pStyle w:val="TextBody"/>
        <w:bidi w:val="0"/>
        <w:spacing w:before="0" w:after="0"/>
        <w:jc w:val="center"/>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75260"/>
                <wp:effectExtent l="0" t="0" r="0" b="0"/>
                <wp:wrapNone/>
                <wp:docPr id="625" name="Frame6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A/B/C Notes, if any, an amount allocable to the Class A/B/C Notes equal to the lesser of (i) Class A/B/C Letter of Credit Amount and (ii) the aggregate amount that the Demand Note Issuers so failed to pay under the Series 2024-2 Demand Notes (or, the amount that the Trustee failed to demand for payment thereunder) by presenting to each Multi-Series Letter of Credit Provider with respect to the Class A/B/C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A/B/C Cash Collateral Account has been established and funded, the Trustee shall withdraw from the Class A/B/C Cash Collateral Account and deposit in the Series 2024-2 Distribution Account an amount equal to the lesser of (x) the Class A/B/C Cash Collateral Percentage on such Business Day of the aggregate amount that the Demand Note Issuers so failed to pay under the Series 2024-2 Demand Notes (or, the amount that the Trustee failed to demand for payment thereunder) and (y) the Class A/B/C Available Cash Collateral Account Amount on such Business Day and draw an amount equal to the remainder of the aggregate amount that the Demand Note Issuers so failed to pay under the Series 2024-2 Demand Notes (or, the amount that the Trustee failed to demand for payment thereunder) on the Multi-Series Letters of Credit allocable to the Class A/B/C Notes. The Trustee shall deposit into, or cause the deposit of, the applicable portion of the proceeds of any draw on the Multi-Series Letters of Credit allocable to the Class A/B/C Notes and the proceeds of any withdrawal from the Class A/B/C Cash Collateral Account to be deposited in the Series 2024-2 Distribution Account.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A/B/C Reserve Account Withdrawal</w:t>
      </w:r>
      <w:r>
        <w:rPr>
          <w:rFonts w:ascii="Times New Roman;sans-serif" w:hAnsi="Times New Roman;sans-serif"/>
          <w:b w:val="false"/>
          <w:color w:val="000000"/>
          <w:sz w:val="24"/>
        </w:rPr>
        <w:t xml:space="preserve">. If the amounts to be deposited in the Series 2024-2 Distribution Account in accordance with Section 2.5(c)(i) and (ii) will be less than the Class D Principal Deficit Amount on any Distribution Date, then, prior to 12:00 noon (New York City time) on the second Business Day prior to such Distribution Date, the Administrator shall instruct the Trustee in writing to withdraw from the Class A/B/C Reserve Account, an amount equal to the lesser of (x) the Class A/B/C Available Reserve Account Amount and (y) the amount by which the Class D Principal Deficit Amount exceeds the amounts to be deposited in the Series 2024-2 Distribution Account in accordance with clauses (i) and (ii) of this Section 2.5(e) and deposit it in the Series 2024-2 Distribution Account on such Distribution Date.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Letter of Credit Draw</w:t>
      </w:r>
      <w:r>
        <w:rPr>
          <w:rFonts w:ascii="Times New Roman;sans-serif" w:hAnsi="Times New Roman;sans-serif"/>
          <w:b w:val="false"/>
          <w:color w:val="000000"/>
          <w:sz w:val="24"/>
        </w:rPr>
        <w:t xml:space="preserve">. In the event that either (x) on or prior to 10:00 a.m. (New York City time) on the Business Day prior to such Distribution Date, any Demand Note Issuer shall have failed to pay to the Trustee or deposit into the Series 2024-2 Distribution Account the amount specified in such Demand Notice in whole or in part or (y) due to the occurrence of an Event of Bankruptcy (or the occurrence of an event described in clause (a) of the definition thereof, without the lapse of a period of 60 consecutive days) with respect to any Demand Note Issuer, the Trustee shall not have delivered such Demand Notice to any Demand Note Issuer on the second Business Day preceding such Distribution Date, then, in the case of (x) or (y) the Trustee shall on such Business Day draw on the Multi-Series Letters of Credit with respect to the Class D Notes, </w:t>
      </w:r>
    </w:p>
    <w:p>
      <w:pPr>
        <w:pStyle w:val="TextBody"/>
        <w:bidi w:val="0"/>
        <w:spacing w:before="0" w:after="0"/>
        <w:jc w:val="center"/>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75260"/>
                <wp:effectExtent l="0" t="0" r="0" b="0"/>
                <wp:wrapNone/>
                <wp:docPr id="626" name="Frame6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if any, an amount allocable to the Class D Notes equal to the lesser of (i) Class D Letter of Credit Amount and (ii) the excess of (A) the aggregate amount that the Demand Note Issuers so failed to pay under the Series 2024-2 Demand Notes (or, the amount that the Trustee failed to demand for payment thereunder) over (B) the amount deposited into the Series 2024-2 Distribution Account in accordance with Section 2.5(e)(ii) and (iii) above, by presenting to each Multi-Series Letter of Credit Provider with respect to the Class D Notes a draft accompanied by a Certificate of Unpaid Demand Note Demand;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the Class D Cash Collateral Account has been established and funded, the Trustee shall withdraw from the Class D Cash Collateral Account and deposit in the Series 2024-2 Distribution Account an amount equal to the lesser of (x) the Class D Cash Collateral Percentage on such Business Day of the excess of (A) the aggregate amount that the Demand Note Issuers so failed to pay under the Series 2024-2 Demand Notes (or, the amount that the Trustee failed to demand for payment thereunder) over (B) the amount deposited into the Series 2024-2 Distribution Account in accordance with Section 2.5(e)(ii) and (iii) above and (y) the Class D Available Cash Collateral Account Amount on such Business Day and draw an amount equal to the remainder of such excess on the Multi-Series Letters of Credit allocable to the Class D Notes. The Trustee shall deposit into, or cause the deposit of, the applicable portion of the proceeds of any draw on the Multi-Series Letters of Credit allocable to the Class D Notes and the proceeds of any withdrawal from the Class D Cash Collateral Account to be deposited in the Series 2024-2 Distribution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Reserve Account Withdrawal</w:t>
      </w:r>
      <w:r>
        <w:rPr>
          <w:rFonts w:ascii="Times New Roman;sans-serif" w:hAnsi="Times New Roman;sans-serif"/>
          <w:b w:val="false"/>
          <w:color w:val="000000"/>
          <w:sz w:val="24"/>
        </w:rPr>
        <w:t>. If the amounts to be deposited in the Series 2024-2 Distribution Account in accordance with Section 2.5(e)(i) through (iv) will be less than the Class D Principal Deficit Amount on any Distribution Date, then, prior to 12:00 noon (New York City time) on the second Business Day prior to such Distribution Date, the Administrator shall instruct the Trustee in writing to withdraw from the Class D Reserve Account, an amount equal to the lesser of (x) the Class D Available Reserve Account Amount and (y) the amount by which the Class D Principal Deficit Amount exceeds the amounts to be deposited in the Series 2024-2 Distribution Account in accordance with clauses (i) through (iv) of this Section 2.5(e) and deposit it in the Series 2024-2 Distribution Account on such Distribution Date.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Distributions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Class A Notes</w:t>
      </w:r>
      <w:r>
        <w:rPr>
          <w:rFonts w:ascii="Times New Roman;sans-serif" w:hAnsi="Times New Roman;sans-serif"/>
          <w:b w:val="false"/>
          <w:color w:val="000000"/>
          <w:sz w:val="24"/>
        </w:rPr>
        <w:t xml:space="preserve">. On each Distribution Date occurring on or after the date a withdrawal is made from the Series 2024-2 Collection Account pursuant to Section 2.5(a) or amounts are deposited in the Series 2024-2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A Noteholder from the Series 2024-2 Distribution Account the amount deposited therein pursuant to Section 2.5(a), (b), (c) or (d), to the extent necessary to pay the Class A Controlled Distribution Amount during the Series 2024-2 Controlled Amortization Period or to the extent necessary to pay the Class A Invested Amount during the Series 2024-2 Rapid Amortization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(ii)    </w:t>
      </w:r>
      <w:r>
        <w:rPr>
          <w:rFonts w:ascii="Times New Roman;sans-serif" w:hAnsi="Times New Roman;sans-serif"/>
          <w:b w:val="false"/>
          <w:color w:val="000000"/>
          <w:sz w:val="24"/>
          <w:u w:val="single"/>
        </w:rPr>
        <w:t>Class B Notes</w:t>
      </w:r>
      <w:r>
        <w:rPr>
          <w:rFonts w:ascii="Times New Roman;sans-serif" w:hAnsi="Times New Roman;sans-serif"/>
          <w:b w:val="false"/>
          <w:color w:val="000000"/>
          <w:sz w:val="24"/>
        </w:rPr>
        <w:t xml:space="preserve">. On each Distribution Date occurring on or after the date a withdrawal is made from the Series 2024-2 Collection Account pursuant to Section </w:t>
      </w:r>
    </w:p>
    <w:p>
      <w:pPr>
        <w:pStyle w:val="TextBody"/>
        <w:bidi w:val="0"/>
        <w:spacing w:before="0" w:after="0"/>
        <w:jc w:val="center"/>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75260"/>
                <wp:effectExtent l="0" t="0" r="0" b="0"/>
                <wp:wrapNone/>
                <wp:docPr id="627" name="Frame6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8" w:before="0" w:after="180"/>
        <w:jc w:val="both"/>
        <w:rPr/>
      </w:pPr>
      <w:r>
        <w:rPr>
          <w:rFonts w:ascii="Times New Roman;sans-serif" w:hAnsi="Times New Roman;sans-serif"/>
          <w:b w:val="false"/>
          <w:color w:val="000000"/>
          <w:sz w:val="24"/>
        </w:rPr>
        <w:t xml:space="preserve">2.5(a) or amounts are deposited in the Series 2024-2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B Noteholder from the Series 2024-2 Distribution Account the amount deposited therein pursuant to Section 2.5(a), (b), (c) or (d) less the aggregate amount applied to make the payments required pursuant to Section 2.5(f)(i), to the extent necessary to pay the Class B Controlled Distribution Amount during the Series 2024-2 Controlled Amortization Period or to the extent necessary to pay the Class B Invested Amount during the Series 2024-2 Rapid Amortization Period.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(iii)    </w:t>
      </w:r>
      <w:r>
        <w:rPr>
          <w:rFonts w:ascii="Times New Roman;sans-serif" w:hAnsi="Times New Roman;sans-serif"/>
          <w:b w:val="false"/>
          <w:color w:val="000000"/>
          <w:sz w:val="24"/>
          <w:u w:val="single"/>
        </w:rPr>
        <w:t>Class C Notes</w:t>
      </w:r>
      <w:r>
        <w:rPr>
          <w:rFonts w:ascii="Times New Roman;sans-serif" w:hAnsi="Times New Roman;sans-serif"/>
          <w:b w:val="false"/>
          <w:color w:val="000000"/>
          <w:sz w:val="24"/>
        </w:rPr>
        <w:t xml:space="preserve">. On each Distribution Date occurring on or after the date a withdrawal is made from the Series 2024-2 Collection Account pursuant to Section 2.5(a) or amounts are deposited in the Series 2024-2 Distribution Account pursuant to Section 2.3(f)(ii), 2.5(b), (c) or (d)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C Noteholder from the Series 2024-2 Distribution Account the amount deposited therein pursuant to Section 2.5(a), (b), (c) or (d) less the aggregate amount applied to make the payments required pursuant to Section 2.5(f)(i) and Section 2.5(f)(ii), to the extent necessary to pay the Class C Controlled Distribution Amount during the Series 2024-2 Controlled Amortization Period or to the extent necessary to pay the Class C Invested Amount during the Series 2024-2 Rapid Amortization Period.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(iv)    </w:t>
      </w:r>
      <w:r>
        <w:rPr>
          <w:rFonts w:ascii="Times New Roman;sans-serif" w:hAnsi="Times New Roman;sans-serif"/>
          <w:b w:val="false"/>
          <w:color w:val="000000"/>
          <w:sz w:val="24"/>
          <w:u w:val="single"/>
        </w:rPr>
        <w:t>Class D Notes</w:t>
      </w:r>
      <w:r>
        <w:rPr>
          <w:rFonts w:ascii="Times New Roman;sans-serif" w:hAnsi="Times New Roman;sans-serif"/>
          <w:b w:val="false"/>
          <w:color w:val="000000"/>
          <w:sz w:val="24"/>
        </w:rPr>
        <w:t xml:space="preserve">. On each Distribution Date occurring on or after the date a withdrawal is made from the Series 2024-2 Collection Account pursuant to Section 2.5(a) or amounts are deposited in the Series 2024-2 Distribution Account pursuant to Section 2.3(f)(ii), 2.5(b), (c), (d) or (e)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to each Class D Noteholder from the Series 2024-2 Distribution Account the amount deposited therein pursuant to Section 2.5(a), (b), (c), (d) or (e) less the aggregate amount applied to make the payments required pursuant to Section 2.5(f)(i), Section 2.5(f)(ii) and Section 2.5(f)(iii), to the extent necessary to pay the Class D Controlled Distribution Amount during the Series 2024-2 Controlled Amortization Period or to the extent necessary to pay the Class D Invested Amount during the Series 2024-2 Rapid Amortization Period.</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    </w:t>
      </w:r>
      <w:r>
        <w:rPr>
          <w:rFonts w:ascii="Times New Roman;sans-serif" w:hAnsi="Times New Roman;sans-serif"/>
          <w:b w:val="false"/>
          <w:color w:val="000000"/>
          <w:sz w:val="24"/>
          <w:u w:val="single"/>
        </w:rPr>
        <w:t>Class D Subordinated Interest Shortfall</w:t>
      </w:r>
      <w:r>
        <w:rPr>
          <w:rFonts w:ascii="Times New Roman;sans-serif" w:hAnsi="Times New Roman;sans-serif"/>
          <w:b w:val="false"/>
          <w:color w:val="000000"/>
          <w:sz w:val="24"/>
        </w:rPr>
        <w:t>. On each Distribution Date occurring during the Series 2024-2 Rapid Amortization Period, after giving effect to the payments made pursuant to clauses (i), (ii), (iii) and (iv) of this Section 2.5(f), the Paying Agent shall pay pro rata to each Class D Noteholder from the Series 2024-2 Distribution Account the amount deposited therein pursuant to Section 2.3(ii)(1), to the extent necessary to pay the Class D Subordinated Interest Shortfall as of such Distribution Date.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(vi)    </w:t>
      </w:r>
      <w:r>
        <w:rPr>
          <w:rFonts w:ascii="Times New Roman;sans-serif" w:hAnsi="Times New Roman;sans-serif"/>
          <w:b w:val="false"/>
          <w:color w:val="000000"/>
          <w:sz w:val="24"/>
          <w:u w:val="single"/>
        </w:rPr>
        <w:t>Class R Notes</w:t>
      </w:r>
      <w:r>
        <w:rPr>
          <w:rFonts w:ascii="Times New Roman;sans-serif" w:hAnsi="Times New Roman;sans-serif"/>
          <w:b w:val="false"/>
          <w:color w:val="000000"/>
          <w:sz w:val="24"/>
        </w:rPr>
        <w:t xml:space="preserve">. On each Distribution Date occurring on or after the date a withdrawal is made from the Series 2024-2 Collection Account pursuant to Section 2.5(a) the Paying Agent shall, in accordance with Section 6.1 of the Base Indenture, pay </w:t>
      </w:r>
      <w:r>
        <w:rPr>
          <w:rFonts w:ascii="Times New Roman;sans-serif" w:hAnsi="Times New Roman;sans-serif"/>
          <w:b w:val="false"/>
          <w:color w:val="000000"/>
          <w:sz w:val="24"/>
          <w:u w:val="single"/>
        </w:rPr>
        <w:t>pro</w:t>
      </w:r>
      <w:r>
        <w:rPr>
          <w:color w:val="000000"/>
        </w:rPr>
        <w:t xml:space="preserve"> </w:t>
      </w:r>
      <w:r>
        <w:rPr>
          <w:rFonts w:ascii="Times New Roman;sans-serif" w:hAnsi="Times New Roman;sans-serif"/>
          <w:b w:val="false"/>
          <w:color w:val="000000"/>
          <w:sz w:val="24"/>
          <w:u w:val="single"/>
        </w:rPr>
        <w:t>rata</w:t>
      </w:r>
      <w:r>
        <w:rPr>
          <w:color w:val="000000"/>
        </w:rPr>
        <w:t xml:space="preserve"> </w:t>
      </w:r>
      <w:r>
        <w:rPr>
          <w:rFonts w:ascii="Times New Roman;sans-serif" w:hAnsi="Times New Roman;sans-serif"/>
          <w:b w:val="false"/>
          <w:color w:val="000000"/>
          <w:sz w:val="24"/>
        </w:rPr>
        <w:t xml:space="preserve">to each Class R Noteholder from the Series 2024-2 Distribution Account the amount deposited therein pursuant to Section 2.5(a) less the aggregate amount applied to make the payments required pursuant to Section 2.5(f)(i), Section 2.5(f)(ii), Section 2.5(f)(iii) and Section 2.5(f)(iv), to the extent necessary to pay the Class R Controlled </w:t>
      </w:r>
    </w:p>
    <w:p>
      <w:pPr>
        <w:pStyle w:val="TextBody"/>
        <w:bidi w:val="0"/>
        <w:spacing w:before="0" w:after="0"/>
        <w:jc w:val="center"/>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75260"/>
                <wp:effectExtent l="0" t="0" r="0" b="0"/>
                <wp:wrapNone/>
                <wp:docPr id="628" name="Frame6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40" w:before="0" w:after="60"/>
        <w:jc w:val="both"/>
        <w:rPr>
          <w:rFonts w:ascii="Times New Roman;sans-serif" w:hAnsi="Times New Roman;sans-serif"/>
          <w:b w:val="false"/>
          <w:color w:val="000000"/>
          <w:sz w:val="24"/>
        </w:rPr>
      </w:pPr>
      <w:r>
        <w:rPr>
          <w:rFonts w:ascii="Times New Roman;sans-serif" w:hAnsi="Times New Roman;sans-serif"/>
          <w:b w:val="false"/>
          <w:color w:val="000000"/>
          <w:sz w:val="24"/>
        </w:rPr>
        <w:t>Amortization Amount during the Series 2024-2 Controlled Amortization Period or to the extent necessary to pay the Class R Invested Amount during the Series 2024-2 Rapid Amortization Period.</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2.6.    </w:t>
      </w:r>
      <w:r>
        <w:rPr>
          <w:rFonts w:ascii="Times New Roman;sans-serif" w:hAnsi="Times New Roman;sans-serif"/>
          <w:b w:val="false"/>
          <w:color w:val="000000"/>
          <w:sz w:val="24"/>
          <w:u w:val="single"/>
        </w:rPr>
        <w:t>Administrator’s Failure to Instruct the Trustee to Make a Deposit, Draw or Payment</w:t>
      </w:r>
      <w:r>
        <w:rPr>
          <w:rFonts w:ascii="Times New Roman;sans-serif" w:hAnsi="Times New Roman;sans-serif"/>
          <w:b w:val="false"/>
          <w:color w:val="000000"/>
          <w:sz w:val="24"/>
        </w:rPr>
        <w:t xml:space="preserve">. If the Administrator fails to give notice or instructions to make (i) any payment from or deposit into the Collection Account, (ii) any draw on the Series 2024-2 Demand Notes or the Multi-Series Letters of Credit or (iii) any withdrawals from any Account, in each case required to be given by the Administrator, at the time specified in the Administration Agreement or any other Related Document (including applicable grace periods), the Trustee shall make such payment or deposit into or from the Collection Account, such draw on the Series 2024-2 Demand Notes or the Multi-Series Letters of Credit, or such withdrawal from such Account, in each case without such notice or instruction from the Administrator;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Administrator, upon request of the Trustee, promptly provides the Trustee with all information necessary to allow the Trustee to make such a payment, deposit, draw or withdrawal. When any payment, deposit, draw or withdrawal hereunder or under any other Related Document is required to be made by the Trustee or the Paying Agent at or prior to a specified time, the Administrator shall deliver any applicable written instructions with respect thereto reasonably in advance of such specified time.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2.7.    </w:t>
      </w:r>
      <w:r>
        <w:rPr>
          <w:rFonts w:ascii="Times New Roman;sans-serif" w:hAnsi="Times New Roman;sans-serif"/>
          <w:b w:val="false"/>
          <w:color w:val="000000"/>
          <w:sz w:val="24"/>
          <w:u w:val="single"/>
        </w:rPr>
        <w:t>Series 2024-2 Reserve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Class A/B/C Reserve Account</w:t>
      </w:r>
      <w:r>
        <w:rPr>
          <w:rFonts w:ascii="Times New Roman;sans-serif" w:hAnsi="Times New Roman;sans-serif"/>
          <w:b w:val="false"/>
          <w:color w:val="000000"/>
          <w:sz w:val="24"/>
        </w:rPr>
        <w:t>. ABRCF has established and shall maintain in the name of the Series 2024-2 Agent for the benefit of the Class A Noteholders, the Class B Noteholders, the Class C Noteholders and the Class D Noteholders, or cause to be established and maintained, an account (the “</w:t>
      </w:r>
      <w:r>
        <w:rPr>
          <w:rFonts w:ascii="Times New Roman;sans-serif" w:hAnsi="Times New Roman;sans-serif"/>
          <w:b w:val="false"/>
          <w:color w:val="000000"/>
          <w:sz w:val="24"/>
          <w:u w:val="single"/>
        </w:rPr>
        <w:t>Class A/B/C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2024-2 Noteholders. The Class A/B/C Reserve Account shall be maintained (i) with a Qualified Institution, or (ii) as a segregated trust account with the corporate trust department of a depository institution or trust company having corporate trust powers and acting as trustee for funds deposited in the Class A/B/C Reserve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Class A/B/C Reserve Account with a new Qualified Institution. If the Class A/B/C Reserve Account is not maintained in accordance with the previous sentence, ABRCF shall establish a new Class A/B/C Reserve Account, within ten (10) Business Days after obtaining knowledge of such fact, which complies with such sentence, and shall instruct the Series 2024-2 Agent in writing to transfer all cash and investments from the non-qualifying Class A/B/C Reserve Account into the new Class A/B/C Reserve Account. The Class A/B/C Reserve Account has initially been established with The Bank of New York Mellon Trust Company, N.A.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Class A/B/C Reserve Account</w:t>
      </w:r>
      <w:r>
        <w:rPr>
          <w:rFonts w:ascii="Times New Roman;sans-serif" w:hAnsi="Times New Roman;sans-serif"/>
          <w:b w:val="false"/>
          <w:color w:val="000000"/>
          <w:sz w:val="24"/>
        </w:rPr>
        <w:t xml:space="preserve">. The Administrator may instruct the institution maintaining the Class A/B/C Reserve Account to invest funds on deposit in the Class A/B/C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Reserve Account is held with the Paying Agent, then such investment may mature on such Distribution Date and such funds shall be available for withdrawal on or prior to such Distribution Date; </w:t>
      </w:r>
      <w:r>
        <w:rPr>
          <w:rFonts w:ascii="Times New Roman;sans-serif" w:hAnsi="Times New Roman;sans-serif"/>
          <w:b w:val="false"/>
          <w:color w:val="000000"/>
          <w:sz w:val="24"/>
          <w:u w:val="single"/>
        </w:rPr>
        <w:t>provided further</w:t>
      </w:r>
      <w:r>
        <w:rPr>
          <w:rFonts w:ascii="Times New Roman;sans-serif" w:hAnsi="Times New Roman;sans-serif"/>
          <w:b w:val="false"/>
          <w:color w:val="000000"/>
          <w:sz w:val="24"/>
        </w:rPr>
        <w:t xml:space="preserve">, that in the case of Permitted Investments </w:t>
      </w:r>
    </w:p>
    <w:p>
      <w:pPr>
        <w:pStyle w:val="TextBody"/>
        <w:bidi w:val="0"/>
        <w:spacing w:before="0" w:after="0"/>
        <w:jc w:val="center"/>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75260"/>
                <wp:effectExtent l="0" t="0" r="0" b="0"/>
                <wp:wrapNone/>
                <wp:docPr id="629" name="Frame6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held in the Series 2024-2 Reserve Account and so long as any Series 2024-2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Reserve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Class A/B/C Reserve Account</w:t>
      </w:r>
      <w:r>
        <w:rPr>
          <w:rFonts w:ascii="Times New Roman;sans-serif" w:hAnsi="Times New Roman;sans-serif"/>
          <w:b w:val="false"/>
          <w:color w:val="000000"/>
          <w:sz w:val="24"/>
        </w:rPr>
        <w:t>. All interest and earnings (net of losses and investment expenses) paid on funds on deposit in the Class A/B/C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A/B/C Reserve Account Constitutes Additional Collateral for Series 2024-2 Senior Notes</w:t>
      </w:r>
      <w:r>
        <w:rPr>
          <w:rFonts w:ascii="Times New Roman;sans-serif" w:hAnsi="Times New Roman;sans-serif"/>
          <w:b w:val="false"/>
          <w:color w:val="000000"/>
          <w:sz w:val="24"/>
        </w:rPr>
        <w:t>. In order to secure and provide for the repayment and payment of the ABRCF Obligations with respect to the Series 2024-2 Senior Notes, ABRCF hereby grants a security interest in and assigns, pledges, grants, transfers and sets over to the Trustee, for the benefit of the Series 2024-2 Noteholders, all of ABRCF’s right, title and interest in and to the following (whether now or hereafter existing or acquired): (i) the Class A/B/C Reserve Account, including any security entitlement thereto; (ii) all funds on deposit therein from time to time; (iii) all certificates and instruments, if any, representing or evidencing any or all of the Class A/B/C Reserve Account or the funds on deposit therein from time to time; (iv) all investments made at any time and from time to time with monies in the Class A/B/C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A/B/C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A/B/C Reserve Account Collateral</w:t>
      </w:r>
      <w:r>
        <w:rPr>
          <w:color w:val="000000"/>
        </w:rPr>
        <w:t>”</w:t>
      </w:r>
      <w:r>
        <w:rPr>
          <w:rFonts w:ascii="Times New Roman;sans-serif" w:hAnsi="Times New Roman;sans-serif"/>
          <w:b w:val="false"/>
          <w:color w:val="000000"/>
          <w:sz w:val="24"/>
        </w:rPr>
        <w:t xml:space="preserve">). The Trustee shall possess all right, title and interest in and to all funds on deposit from time to time in the Class A/B/C Reserve Account and in all proceeds thereof, and shall be the only person authorized to originate entitlement orders in respect of the Class A/B/C Reserve Account. The Class A/B/C Reserve Account Collateral shall be under the sole dominion and control of the Trustee for the benefit of the Series 2024-2 Noteholders. The Series 2024-2 Agent hereby agrees (i) to act as the securities intermediary (as defined in Section 8-102(a)(14) of the New York UCC) with respect to the Class A/B/C Reserve Account; (ii) that its jurisdiction as </w:t>
      </w:r>
    </w:p>
    <w:p>
      <w:pPr>
        <w:pStyle w:val="TextBody"/>
        <w:bidi w:val="0"/>
        <w:spacing w:before="0" w:after="0"/>
        <w:jc w:val="center"/>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75260"/>
                <wp:effectExtent l="0" t="0" r="0" b="0"/>
                <wp:wrapNone/>
                <wp:docPr id="630" name="Frame6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securities intermediary is New York; (iii) that each item of property (whether investment property, financial asset, security, instrument or cash) credited to the Class A/B/C Reserve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Class A/B/C Reserve Account Surplus</w:t>
      </w:r>
      <w:r>
        <w:rPr>
          <w:rFonts w:ascii="Times New Roman;sans-serif" w:hAnsi="Times New Roman;sans-serif"/>
          <w:b w:val="false"/>
          <w:color w:val="000000"/>
          <w:sz w:val="24"/>
        </w:rPr>
        <w:t>. In the event that the Class A/B/C Reserve Account Surplus on any Distribution Date, after giving effect to all withdrawals from the Class A/B/C Reserve Account, is greater than zero, if no Series 2024-2 Enhancement Deficiency or AESOP I Operating Lease Vehicle Deficiency would result therefrom or exist thereafter, the Trustee, acting in accordance with the written instructions of the Administrator pursuant to the Administration Agreement, shall withdraw from the Class A/B/C Reserve Account an amount equal to the Class A/B/C Reserve Account Surplus and shall (i) transfer an amount equal to the excess, if any, of the Class D Required Liquidity Amount as of such date over the Class D Liquidity Amount as of such date to the Class D Reserve Account and (ii) pay any remaining Class A/B/C Reserve Account Surplus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of Class A/B/C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Holders of the Class A Notes, Class B Notes or Class C Notes and payable from the Class A/B/C Reserve Account as provided herein, shall withdraw from the Class A/B/C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Establishment of Class D Reserve Account</w:t>
      </w:r>
      <w:r>
        <w:rPr>
          <w:rFonts w:ascii="Times New Roman;sans-serif" w:hAnsi="Times New Roman;sans-serif"/>
          <w:b w:val="false"/>
          <w:color w:val="000000"/>
          <w:sz w:val="24"/>
        </w:rPr>
        <w:t>. ABRCF shall establish and maintain in the name of the Series 2024-2 Agent for the benefit of the Class D Noteholders, or cause to be established and maintained, an account (the “</w:t>
      </w:r>
      <w:r>
        <w:rPr>
          <w:rFonts w:ascii="Times New Roman;sans-serif" w:hAnsi="Times New Roman;sans-serif"/>
          <w:b w:val="false"/>
          <w:color w:val="000000"/>
          <w:sz w:val="24"/>
          <w:u w:val="single"/>
        </w:rPr>
        <w:t>Class D Reserve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Reserve Account shall be maintained (i) with a Qualified Institution, or (ii) as a segregated trust account with the corporate trust department of a depository institution or trust company having corporate trust powers and acting as trustee for funds deposited in the Class D Reserve Account;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if at any time such Qualified Institution is no longer a Qualified Institution or the credit rating of any securities issued by such depositary institution or trust company shall be reduced to below “Baa3” by Moody’s, then ABRCF shall, within thirty (30) days of such reduction, establish a new Class D Reserve Account with a new Qualified Institution. If the Class D Reserve Account is not maintained in accordance with the previous sentence, ABRCF shall establish a new Class D Reserve Account, within ten (10) Business Days after obtaining knowledge of such fact, which complies with such sentence, and shall instruct the Series 2024-2 Agent in writing to transfer all cash and investments from the non-qualifying Class D Reserve Account into the new Class D Reserve Account. Initially, the Class D Reserve Account will be established with The Bank of New York Mellon Trust Company, N.A.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Administration of the Class D Reserve Account</w:t>
      </w:r>
      <w:r>
        <w:rPr>
          <w:rFonts w:ascii="Times New Roman;sans-serif" w:hAnsi="Times New Roman;sans-serif"/>
          <w:b w:val="false"/>
          <w:color w:val="000000"/>
          <w:sz w:val="24"/>
        </w:rPr>
        <w:t xml:space="preserve">. The Administrator may instruct the institution maintaining the Class D Reserve Account to invest funds on deposit in the Class D Reserve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w:t>
      </w:r>
    </w:p>
    <w:p>
      <w:pPr>
        <w:pStyle w:val="TextBody"/>
        <w:bidi w:val="0"/>
        <w:spacing w:before="0" w:after="0"/>
        <w:jc w:val="center"/>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75260"/>
                <wp:effectExtent l="0" t="0" r="0" b="0"/>
                <wp:wrapNone/>
                <wp:docPr id="631" name="Frame6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the Class D Reserve Account is held with the Paying Agent, then such investment may mature on such Distribution Date and such funds shall be available for withdrawal on or prior to such Distribution Date. All such Permitted Investments will be credited to the Class D Reserve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Reserve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Reserve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Earnings from Class D Reserve Account</w:t>
      </w:r>
      <w:r>
        <w:rPr>
          <w:rFonts w:ascii="Times New Roman;sans-serif" w:hAnsi="Times New Roman;sans-serif"/>
          <w:b w:val="false"/>
          <w:color w:val="000000"/>
          <w:sz w:val="24"/>
        </w:rPr>
        <w:t>. All interest and earnings (net of losses and investment expenses) paid on funds on deposit in the Class D Reserve Account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Class D Reserve Account Constitutes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the Class D Reserve Account, including any security entitlement thereto; (ii) all funds on deposit therein from time to time; (iii) all certificates and instruments, if any, representing or evidencing any or all of the Class D Reserve Account or the funds on deposit therein from time to time; (iv) all investments made at any time and from time to time with monies in the Class D Reserve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Class D Reserve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Class D Reserve Account Collateral</w:t>
      </w:r>
      <w:r>
        <w:rPr>
          <w:color w:val="000000"/>
        </w:rPr>
        <w:t>”</w:t>
      </w:r>
      <w:r>
        <w:rPr>
          <w:rFonts w:ascii="Times New Roman;sans-serif" w:hAnsi="Times New Roman;sans-serif"/>
          <w:b w:val="false"/>
          <w:color w:val="000000"/>
          <w:sz w:val="24"/>
        </w:rPr>
        <w:t>). The Trustee shall possess all right, title and interest in and to all funds on deposit from time to time in the Class D Reserve Account and in all proceeds thereof, and shall be the only person authorized to originate entitlement orders in respect of the Class D Reserve Account. The Class D Reserve Account Collateral shall be under the sole dominion and control of the Trustee for the benefit of the Class D Noteholders. The Series 2024-2 Agent hereby agrees (i) to act as the securities intermediary (as defined in Section 8-102(a)(14) of the New York UCC) with respect to the Class D Reserve Account; (ii) that its jurisdiction as securities intermediary is New York; (iii) that each item of property (whether investment property, financial asset, security, instrument or cash) credited to the Class D Reserve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center"/>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75260"/>
                <wp:effectExtent l="0" t="0" r="0" b="0"/>
                <wp:wrapNone/>
                <wp:docPr id="632" name="Frame6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Class D Reserve Account Surplus</w:t>
      </w:r>
      <w:r>
        <w:rPr>
          <w:rFonts w:ascii="Times New Roman;sans-serif" w:hAnsi="Times New Roman;sans-serif"/>
          <w:b w:val="false"/>
          <w:color w:val="000000"/>
          <w:sz w:val="24"/>
        </w:rPr>
        <w:t>. In the event that the Class D Reserve Account Surplus on any Distribution Date, after giving effect to all withdrawals from the Class D Reserve Account, is greater than zero, if no Series 2024-2 Enhancement Deficiency or AESOP I Operating Lease Vehicle Deficiency would result therefrom or exist thereafter, the Trustee, acting in accordance with the written instructions of the Administrator pursuant to the Administration Agreement, shall withdraw from the Class D Reserve Account an amount equal to the Class D Reserve Account Surplus and shall pay such amount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Termination of Class D Reserve Account</w:t>
      </w:r>
      <w:r>
        <w:rPr>
          <w:rFonts w:ascii="Times New Roman;sans-serif" w:hAnsi="Times New Roman;sans-serif"/>
          <w:b w:val="false"/>
          <w:color w:val="000000"/>
          <w:sz w:val="24"/>
        </w:rPr>
        <w:t>. Upon the termination of the Indenture pursuant to Section 11.1 of the Base Indenture, the Trustee, acting in accordance with the written instructions of the Administrator, after the prior payment of all amounts owing to the Class D Noteholders and payable from the Class D Reserve Account as provided herein, shall withdraw from the Class D Reserve Account all amounts on deposit therein for payment to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2.8.    </w:t>
      </w:r>
      <w:r>
        <w:rPr>
          <w:rFonts w:ascii="Times New Roman;sans-serif" w:hAnsi="Times New Roman;sans-serif"/>
          <w:b w:val="false"/>
          <w:color w:val="000000"/>
          <w:sz w:val="24"/>
          <w:u w:val="single"/>
        </w:rPr>
        <w:t>Multi-Series Letters of Credit and Series 2024-2 Cash Collateral Accounts</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Multi-Series Letters of Credit and Series 2024-2 Cash Collateral Account Constitute Additional Collateral for Series 2024-2 Senior Notes</w:t>
      </w:r>
      <w:r>
        <w:rPr>
          <w:rFonts w:ascii="Times New Roman;sans-serif" w:hAnsi="Times New Roman;sans-serif"/>
          <w:b w:val="false"/>
          <w:color w:val="000000"/>
          <w:sz w:val="24"/>
        </w:rPr>
        <w:t>. In order to secure and provide for the repayment and payment of the ABRCF Obligations with respect to the Series 2024-2 Senior Notes, ABRCF hereby grants a security interest in and assigns, pledges, grants, transfers and sets over to the Trustee, for the benefit of the holders of the Class A Noteholders, the Class B Noteholders and the Class C Noteholders, all of ABRCF’s right, title and interest in and to the following (whether now or hereafter existing or acquired): (i) each applicable Multi-Series Letter of Credit allocable to the Class A/B/C Notes (except for any right, title and interest in such Multi-Series Letter of Credit related to supporting another Series of Notes); (ii) the Class A/B/C Cash Collateral Account, including any security entitlement thereto; (iii) all funds on deposit in the Class A/B/C Cash Collateral Account from time to time; (iv) all certificates and instruments, if any, representing or evidencing any or all of the Class A/B/C Cash Collateral Account or the funds on deposit therein from time to time; (v) all investments made at any time and from time to time with monies in the Class A/B/C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A/B/C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A/B/C Cash Collateral Account Collateral</w:t>
      </w:r>
      <w:r>
        <w:rPr>
          <w:color w:val="000000"/>
        </w:rPr>
        <w:t>”</w:t>
      </w:r>
      <w:r>
        <w:rPr>
          <w:rFonts w:ascii="Times New Roman;sans-serif" w:hAnsi="Times New Roman;sans-serif"/>
          <w:b w:val="false"/>
          <w:color w:val="000000"/>
          <w:sz w:val="24"/>
        </w:rPr>
        <w:t xml:space="preserve">). The Trustee shall, for the benefit of the Class A Noteholders, the Class B Noteholders and the Class C Noteholders, possess all right, title and interest in all funds on deposit from time to time in the Class A/B/C Cash Collateral Account and in all proceeds thereof, and shall be the only person authorized to originate entitlement orders in respect of the Class A/B/C Cash Collateral Account. The Class A/B/C Cash Collateral Account shall be under the sole dominion and control of the Trustee for the benefit of the Class A Noteholders, the Class B Noteholders and the Class C Noteholders. The Series 2024-2 Agent hereby agrees (i) to act as the securities intermediary (as defined in Section 8-102(a)(14) of the New York UCC) with respect to the Class A/B/C Cash Collateral Account; (ii) that its jurisdiction as a securities intermediary is New York, (iii) that each item of property (whether investment property, financial asset, security, instrument or cash) credited to the Class A/B/C Cash Collateral Account shall be treated as a financial asset </w:t>
      </w:r>
    </w:p>
    <w:p>
      <w:pPr>
        <w:pStyle w:val="TextBody"/>
        <w:bidi w:val="0"/>
        <w:spacing w:before="0" w:after="0"/>
        <w:jc w:val="center"/>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75260"/>
                <wp:effectExtent l="0" t="0" r="0" b="0"/>
                <wp:wrapNone/>
                <wp:docPr id="633" name="Frame6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Class D Letters of Credit and Class D Cash Collateral Account Constitute Additional Collateral for Class D Notes</w:t>
      </w:r>
      <w:r>
        <w:rPr>
          <w:rFonts w:ascii="Times New Roman;sans-serif" w:hAnsi="Times New Roman;sans-serif"/>
          <w:b w:val="false"/>
          <w:color w:val="000000"/>
          <w:sz w:val="24"/>
        </w:rPr>
        <w:t>. In order to secure and provide for the repayment and payment of the ABRCF Obligations with respect to the Class D Notes, ABRCF hereby grants a security interest in and assigns, pledges, grants, transfers and sets over to the Trustee, for the benefit of the Class D Noteholders, all of ABRCF’s right, title and interest in and to the following (whether now or hereafter existing or acquired): (i) each applicable Multi-Series Letter of Credit allocable to the Class D Notes (except for any right, title and interest in such Multi-Series Letter of Credit related to supporting another Series of Notes); (ii) the Class D Cash Collateral Account, including any security entitlement thereto; (iii) all funds on deposit in the Class D Cash Collateral Account from time to time; (iv) all certificates and instruments, if any, representing or evidencing any or all of the Class D Cash Collateral Account or the funds on deposit therein from time to time; (v) all investments made at any time and from time to time with monies in the Class D Cash Collateral Account, whether constituting securities, instruments, general intangibles, investment property, financial assets or other property; (vi) all interest, dividends, cash, instruments and other property from time to time received, receivable or otherwise distributed in respect of or in exchange for the Class D Cash Collateral Account, the funds on deposit therein from time to time or the investments made with such funds; and (vii) all proceeds of any and all of the foregoing, including, without limitation, cash (the items in the foregoing clauses (ii) through (vii) are referred to, collectively, as the “</w:t>
      </w:r>
      <w:r>
        <w:rPr>
          <w:rFonts w:ascii="Times New Roman;sans-serif" w:hAnsi="Times New Roman;sans-serif"/>
          <w:b w:val="false"/>
          <w:color w:val="000000"/>
          <w:sz w:val="24"/>
          <w:u w:val="single"/>
        </w:rPr>
        <w:t>Class D Cash Collateral Account Collateral</w:t>
      </w:r>
      <w:r>
        <w:rPr>
          <w:color w:val="000000"/>
        </w:rPr>
        <w:t>”</w:t>
      </w:r>
      <w:r>
        <w:rPr>
          <w:rFonts w:ascii="Times New Roman;sans-serif" w:hAnsi="Times New Roman;sans-serif"/>
          <w:b w:val="false"/>
          <w:color w:val="000000"/>
          <w:sz w:val="24"/>
        </w:rPr>
        <w:t>). The Trustee shall, for the benefit of the Class D Noteholders, possess all right, title and interest in all funds on deposit from time to time in the Class D Cash Collateral Account and in all proceeds thereof, and shall be the only person authorized to originate entitlement orders in respect of the Class D Cash Collateral Account. The Class D Cash Collateral Account shall be under the sole dominion and control of the Trustee for the benefit of the Class D Noteholders. The Series 2024-2 Agent hereby agrees (i) to act as the securities intermediary (as defined in Section 8-102(a)(14) of the New York UCC) with respect to the Class D Cash Collateral Account; (ii) that its jurisdiction as a securities intermediary is New York, (iii) that each item of property (whether investment property, financial asset, security, instrument or cash) credited to the Class D Cash Collateral Account shall be treated as a financial asset (as defined in Section 8-102(a)(9) of the New York UCC) and (iv) to comply with any entitlement order (as defined in Section 8-102(a)(8) of the New York UCC) issued by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Class A/B/C Letter of Credit Expiration Date</w:t>
      </w:r>
      <w:r>
        <w:rPr>
          <w:rFonts w:ascii="Times New Roman;sans-serif" w:hAnsi="Times New Roman;sans-serif"/>
          <w:b w:val="false"/>
          <w:color w:val="000000"/>
          <w:sz w:val="24"/>
        </w:rPr>
        <w:t xml:space="preserve">. If prior to the date which is ten (10) days prior to the then-scheduled Multi-Series Letter of Credit Expiration Date with respect to any Multi-Series 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2024-2 Eligible Letter of Credit Provider and is in full force and effect on such date, the Class A/B/C Enhancement Amount would be equal to or more than the Class A/B/C Required Enhancement Amount and the Class A/B/C Liquidity Amount would be equal to or greater than the Class A/B/C Required Liquidity Amount, then the Administrator shall notify the Trustee in writing no later than two (2) Business Days prior to such Multi-Series Letter of Credit Expiration Date of such determination. If prior to the date which is ten (10) days prior to the then-scheduled Multi-Series Letter of Credit Expiration Date with respect to any Multi-Series </w:t>
      </w:r>
    </w:p>
    <w:p>
      <w:pPr>
        <w:pStyle w:val="TextBody"/>
        <w:bidi w:val="0"/>
        <w:spacing w:before="0" w:after="0"/>
        <w:jc w:val="center"/>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75260"/>
                <wp:effectExtent l="0" t="0" r="0" b="0"/>
                <wp:wrapNone/>
                <wp:docPr id="634" name="Frame6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Letter of Credit, excluding the amount allocated to the Class A/B/C Notes and available to be drawn under such Multi-Series Letter of Credit but taking into account the amount allocated to the Class A/B/C Notes under each substitute Multi-Series Letter of Credit which has been obtained from a Series 2024-2 Eligible Letter of Credit Provider and is in full force and effect on such date, the Class A/B/C Enhancement Amount would be less than the Class A/B/C Required Enhancement Amount or the Class A/B/C Liquidity Amount would be less than the Class A/B/C Required Liquidity Amount, then the Administrator shall notify the Trustee in writing no later than two (2) Business Days prior to such Multi-Series Letter of Credit Expiration Date of (x) the greater of (A) the excess, if any, of the Class A/B/C Required Enhancement Amount over the Class A/B/C Enhancement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2024-2 Eligible Letter of Credit Provider and is in full force and effect, on such date, and (B) the excess, if any, of the Class A/B/C Required Liquidity Amount over the Class A/B/C Liquidity Amount, excluding the amount allocated to the Class A/B/C Notes and available under such expiring Multi-Series Letter of Credit but taking into account the amount allocated to the Class A/B/C Notes under any substitute Multi-Series Letter of Credit which has been obtained from a Series 2024-2 Eligible Letter of Credit Provider and is in full force and effect, on such date, and (y) the amount allocated to the Class A/B/C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2.8(c) on or prior to the date that is two (2) Business Days prior to each Multi-Series Letter of Credit Expiration Date, the Trustee shall, by 12:00 noon (New York City time) on such Business Day draw the full amount allocated to the Class A/B/C Notes under such Multi-Series Letter of Credit by presenting a draft accompanied by a Certificate of Termination Demand and shall cause the Termination Disbursement to be deposited in the Class A/B/C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Class D Letter of Credit Expiration Date</w:t>
      </w:r>
      <w:r>
        <w:rPr>
          <w:rFonts w:ascii="Times New Roman;sans-serif" w:hAnsi="Times New Roman;sans-serif"/>
          <w:b w:val="false"/>
          <w:color w:val="000000"/>
          <w:sz w:val="24"/>
        </w:rPr>
        <w:t>. If prior to the date which is ten (10) days prior to the then-scheduled Multi-Series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2024-2 Eligible Letter of Credit Provider and is in full force and effect on such date, the Class D Enhancement Amount would be equal to or more than the Class D Required Enhancement Amount and the Class D Liquidity Amount would be equal to or greater than the Class D Required Liquidity Amount, then the Administrator shall notify the Trustee in writing no later than two (2) Business Days prior to such Multi-Series Letter of Credit Expiration Date of such determination. If prior to the date which is ten (10) days prior to the then-scheduled Multi-</w:t>
      </w:r>
    </w:p>
    <w:p>
      <w:pPr>
        <w:pStyle w:val="TextBody"/>
        <w:bidi w:val="0"/>
        <w:spacing w:before="0" w:after="0"/>
        <w:jc w:val="center"/>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75260"/>
                <wp:effectExtent l="0" t="0" r="0" b="0"/>
                <wp:wrapNone/>
                <wp:docPr id="635" name="Frame6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Series Letter of Credit Expiration Date with respect to any Multi-Series Letter of Credit, excluding the amount allocated to the Class D Notes and available to be drawn under such Multi-Series Letter of Credit but taking into account the amount allocated to the Class D Notes under each substitute Multi-Series Letter of Credit which has been obtained from a Series 2024-2 Eligible Letter of Credit Provider and is in full force and effect on such date, the Class D Enhancement Amount would be less than the Class D Required Enhancement Amount or the Class D Liquidity Amount would be less than the Class D Required Liquidity Amount, then the Administrator shall notify the Trustee in writing no later than two (2) Business Days prior to such Multi-Series Letter of Credit Expiration Date of (x) the greater of (A) the excess, if any, of the Class D Required Enhancement Amount over the Class D Enhancement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2024-2 Eligible Letter of Credit Provider and is in full force and effect, on such date, and (B) the excess, if any, of the Class D Required Liquidity Amount over the Class D Liquidity Amount, excluding the amount allocated to the Class D Notes and available under such expiring Multi-Series Letter of Credit but taking into account the amount allocated to the Class D Notes under any substitute Multi-Series Letter of Credit which has been obtained from a Series 2024-2 Eligible Letter of Credit Provider and is in full force and effect, on such date, and (y) the amount allocated to the Class D Notes and available to be drawn on such expiring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the lesser of the amounts set forth in clauses (x) and (y) above on such expiring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the Trustee does not receive the notice from the Administrator described in the first paragraph of this Section 2.8(d) on or prior to the date that is two (2) Business Days prior to each Multi-Series Letter of Credit Expiration Date, the Trustee shall, by 12:00 noon (New York City time) on such Business Day draw the full amount allocated to the Class D Notes under such Multi-Series Letter of Credit by presenting a draft accompanied by a Certificate of Termination Demand and shall cause the Termination Disbursement to be deposited in the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(e)    </w:t>
      </w:r>
      <w:r>
        <w:rPr>
          <w:rFonts w:ascii="Times New Roman;sans-serif" w:hAnsi="Times New Roman;sans-serif"/>
          <w:b w:val="false"/>
          <w:color w:val="000000"/>
          <w:sz w:val="24"/>
          <w:u w:val="single"/>
        </w:rPr>
        <w:t>Multi-Series Letter of Credit Providers</w:t>
      </w:r>
      <w:r>
        <w:rPr>
          <w:rFonts w:ascii="Times New Roman;sans-serif" w:hAnsi="Times New Roman;sans-serif"/>
          <w:b w:val="false"/>
          <w:color w:val="000000"/>
          <w:sz w:val="24"/>
        </w:rPr>
        <w:t xml:space="preserve">. The Administrator shall notify the Trustee in writing within one (1) Business Day of becoming aware that (i) the long-term senior unsecured debt credit rating of any Multi-Series Letter of Credit Provider has fallen below “A1” as determined by Moody’s or “A+” as determined by Fitch or (ii) the short-term senior unsecured debt credit rating of any Multi-Series Letter of Credit Provider has fallen below “P-1” as determined by Moody’s or “F1” as determined by Fitch. At such time the Administrator shall also notify the Trustee of (I)(i) if such Multi-Series Letter of Credit Provider has issued a Multi-Series Letter of Credit with respect to the Class A/B/C Notes, the greater of (A) the excess, if any, of the Class A/B/C Required Enhancement Amount over the Class A/B/C Enhancement Amount, excluding the available amount allocated to the Class A/B/C Notes under the Multi-Series Letter of Credit issued by such Multi-Series Letter of Credit Provider, on such date, and (B) the excess, </w:t>
      </w:r>
    </w:p>
    <w:p>
      <w:pPr>
        <w:pStyle w:val="TextBody"/>
        <w:bidi w:val="0"/>
        <w:spacing w:before="0" w:after="0"/>
        <w:jc w:val="center"/>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75260"/>
                <wp:effectExtent l="0" t="0" r="0" b="0"/>
                <wp:wrapNone/>
                <wp:docPr id="636" name="Frame6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if any, of the Class A/B/C Required Liquidity Amount over the Class A/B/C Liquidity Amount, excluding the available amount allocated to the Class A/B/C Notes under such Multi-Series Letter of Credit, on such date, and (ii) the amount allocated to the Class A/B/C Notes and available to be drawn on such Multi-Series Letter of Credit on such date and/or (II)(i) if such Multi-Series Letter of Credit Provider has issued a Multi-Series Letter of Credit with respect to the Class D Notes, the greater of (A) the excess, if any, of the Class D Required Enhancement Amount over the Class D Enhancement Amount, excluding the available amount allocated to the Class D Notes under such Multi-Series Letter of Credit issued by such Multi-Series Letter of Credit Provider, on such date, and (B) the excess, if any, of the Class D Required Liquidity Amount over the Class D Liquidity Amount, excluding the available amount allocated to the Class D Notes under such Multi-Series Letter of Credit, on such date, and (ii) the amount allocated to the Class D Notes and available to be drawn on such Multi-Series Letter of Credit on such date. Upon receipt of such notice by the Trustee on or prior to 10:00 a.m. (New York City time) on any Business Day, the Trustee shall, by 12:00 noon (New York City time) on such Business Day (or, in the case of any notice given to the Trustee after 10:00 a.m. (New York City time), by 12:00 noon (New York City time) on the next following Business Day), draw on each such Multi-Series Letter of Credit, (i) with respect to the Class A/B/C Notes, in an amount equal to the lesser of the amounts in clause (I)(i) and clause (I) of the immediately preceding sentence and (ii) with respect to the Class D Notes, in an amount equal to the lesser of the amounts in clause (II)(ii) and clause (II)(ii) of the immediately preceding sentence, in each case, on such Business Day by presenting a draft accompanied by a Certificate of Termination Demand and shall cause the Termination Disbursement allocated to the Class A/B/C Notes with respect to the Multi-Series Letter of Credit to be deposited in the Class A/B/C Cash Collateral Account and the Termination Disbursement allocated to the Class D Notes with respect to the Multi-Series Letter of Credit to be deposited in the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(f)    </w:t>
      </w:r>
      <w:r>
        <w:rPr>
          <w:rFonts w:ascii="Times New Roman;sans-serif" w:hAnsi="Times New Roman;sans-serif"/>
          <w:b w:val="false"/>
          <w:color w:val="000000"/>
          <w:sz w:val="24"/>
          <w:u w:val="single"/>
        </w:rPr>
        <w:t>Termination Date Demands on the Multi-Series Letters of Credit</w:t>
      </w:r>
      <w:r>
        <w:rPr>
          <w:rFonts w:ascii="Times New Roman;sans-serif" w:hAnsi="Times New Roman;sans-serif"/>
          <w:b w:val="false"/>
          <w:color w:val="000000"/>
          <w:sz w:val="24"/>
        </w:rPr>
        <w:t xml:space="preserve">. Prior to 10:00 a.m. (New York City time) on the Business Day immediately succeeding the Multi-Series Letter of Credit Termination Date, the Administrator shall determine the Series 2024-2 Demand Note Payment Amount, if any, as of the Multi-Series Letter of Credit Termination Date and, if the Series 2024-2 Demand Note Payment Amount is greater than zero, instruct the Trustee in writing to draw on the Multi-Series Letters of Credit as described herein. Upon receipt of any such notice by the Trustee on or prior to 11:00 a.m. (New York City time) on a Business Day, the Trustee shall, by 12:00 noon (New York City time) on such Business Day draw an amount (I) on each such Multi-Series Letter of Credit allocable to the Class A/B/C Notes equal to the lesser of (i) the Series 2024-2 Demand Note Payment Amount and (ii) the Class A/B/C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A/B/C Notes to be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A/B/C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 xml:space="preserve">the Class A/B/C Cash Collateral Percentage and (b) the lesser of the amounts referred to in clause (i) and (ii) on such Business Day on the Multi-Series Letters of Credit, as calculated by the Administrator and provided in writing to the Trustee and (II) on each such Multi-Series Letter of Credit allocable to the Class D Notes equal to the lesser of (i) the excess of (x) the Series 2024-2 Demand Note Payment Amount over (y) the amounts drawn on the Multi-Series Letter of Credit </w:t>
      </w:r>
    </w:p>
    <w:p>
      <w:pPr>
        <w:pStyle w:val="TextBody"/>
        <w:bidi w:val="0"/>
        <w:spacing w:before="0" w:after="0"/>
        <w:jc w:val="center"/>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75260"/>
                <wp:effectExtent l="0" t="0" r="0" b="0"/>
                <wp:wrapNone/>
                <wp:docPr id="637" name="Frame6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pursuant to this Section 2.8(f) that are allocable to the Class D Notes and (ii) the Class D Letter of Credit Liquidity Amount on the Multi-Series Letters of Credit by presenting to each relevant Multi-Series Letter of Credit Provider a draft for each such Multi-Series Letter of Credit accompanied by a Certificate of Termination Date Demand and shall cause the Termination Date Disbursement on a Multi-Series Letter of Credit allocable to the Class D Notes to be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the Class D Cash Collateral Account has been established and funded, the Trustee shall draw an amount equal to the product of (a) 100% </w:t>
      </w:r>
      <w:r>
        <w:rPr>
          <w:rFonts w:ascii="Times New Roman;sans-serif" w:hAnsi="Times New Roman;sans-serif"/>
          <w:b w:val="false"/>
          <w:color w:val="000000"/>
          <w:sz w:val="24"/>
          <w:u w:val="single"/>
        </w:rPr>
        <w:t>minus</w:t>
      </w:r>
      <w:r>
        <w:rPr>
          <w:color w:val="000000"/>
        </w:rPr>
        <w:t xml:space="preserve"> </w:t>
      </w:r>
      <w:r>
        <w:rPr>
          <w:rFonts w:ascii="Times New Roman;sans-serif" w:hAnsi="Times New Roman;sans-serif"/>
          <w:b w:val="false"/>
          <w:color w:val="000000"/>
          <w:sz w:val="24"/>
        </w:rPr>
        <w:t>the Class D Cash Collateral Percentage and (b) the lesser of the amounts referred to in clause (i) and (ii) on such Business Day on the Multi-Series Letters of Credit, as calculated by the Administrator and provided in writing to the Trustee.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(g)    </w:t>
      </w:r>
      <w:r>
        <w:rPr>
          <w:rFonts w:ascii="Times New Roman;sans-serif" w:hAnsi="Times New Roman;sans-serif"/>
          <w:b w:val="false"/>
          <w:color w:val="000000"/>
          <w:sz w:val="24"/>
          <w:u w:val="single"/>
        </w:rPr>
        <w:t>Draws on the Multi-Series Letters of Credit</w:t>
      </w:r>
      <w:r>
        <w:rPr>
          <w:rFonts w:ascii="Times New Roman;sans-serif" w:hAnsi="Times New Roman;sans-serif"/>
          <w:b w:val="false"/>
          <w:color w:val="000000"/>
          <w:sz w:val="24"/>
        </w:rPr>
        <w:t>. If there is more than one Multi-Series Letter of Credit with respect to the Class A/B/C Notes on the date of any draw on the Multi-Series Letters of Credit with respect to the Class A/B/C Notes pursuant to the terms of this Supplement, the Administrator shall instruct the Trustee, in writing, to draw on each Multi-Series Letter of Credit in an amount equal to the Class A/B/C Pro Rata Share of the Multi-Series Letter of Credit Provider issuing such Multi-Series Letter of Credit of the amount of such draw on the Multi-Series Letters of Credit allocable to the Class A/B/C Notes. If there is more than one Multi-Series Letter of Credit with respect to the Class D Notes on the date of any draw on the Multi-Series Letters of Credit with respect to the Class D Notes pursuant to the terms of this Supplement, the Administrator shall instruct the Trustee, in writing, to draw on each Multi-Series Letter of Credit in an amount equal to the Class D Pro Rata Share of the Multi-Series Letter of Credit Provider issuing such Multi-Series Letter of Credit of the amount of such draw on the Multi-Series Letters of Credit allocable to the Class 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(h)    </w:t>
      </w:r>
      <w:r>
        <w:rPr>
          <w:rFonts w:ascii="Times New Roman;sans-serif" w:hAnsi="Times New Roman;sans-serif"/>
          <w:b w:val="false"/>
          <w:color w:val="000000"/>
          <w:sz w:val="24"/>
          <w:u w:val="single"/>
        </w:rPr>
        <w:t>Establishment of Class A/B/C Cash Collateral Account</w:t>
      </w:r>
      <w:r>
        <w:rPr>
          <w:rFonts w:ascii="Times New Roman;sans-serif" w:hAnsi="Times New Roman;sans-serif"/>
          <w:b w:val="false"/>
          <w:color w:val="000000"/>
          <w:sz w:val="24"/>
        </w:rPr>
        <w:t>. On or prior to the date of any drawing under a Multi-Series Letter of Credit allocable to the Class A/B/C Notes pursuant to Section 2.8(c), (e) or (f) above, ABRCF shall establish and maintain in the name of the Trustee for the benefit of the Class A Noteholders, the Class B Noteholders and the Class C Noteholders, or cause to be established and maintained, an account (the “</w:t>
      </w:r>
      <w:r>
        <w:rPr>
          <w:rFonts w:ascii="Times New Roman;sans-serif" w:hAnsi="Times New Roman;sans-serif"/>
          <w:b w:val="false"/>
          <w:color w:val="000000"/>
          <w:sz w:val="24"/>
          <w:u w:val="single"/>
        </w:rPr>
        <w:t>Class A/B/C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A Noteholders, the Class B Noteholders and the Class C Noteholders. The Class A/B/C Cash Collateral Account shall be maintained (i) with a Qualified Institution, or (ii) as a segregated trust account with the corporate trust department of a depository institution or trust company having corporate trust powers and acting as trustee for funds deposited in the Class A/B/C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depository institution or trust company shall be reduced to below “Baa3” by Moody’s or “A” by Fitch, then ABRCF shall, within thirty (30) days of such reduction, establish a new Class A/B/C Cash Collateral Account with a new Qualified Institution or a new segregated trust account with the corporate trust department of a depository institution or trust company having corporate trust powers and acting as trustee for funds deposited in the Class A/B/C Cash Collateral Account. If a new Class A/B/C Cash Collateral Account is established, ABRCF shall instruct the Trustee in writing to transfer all cash and investments from the non-qualifying Class A/B/C Cash Collateral Account into the new Class A/B/C Cash Collateral Account.</w:t>
      </w:r>
    </w:p>
    <w:p>
      <w:pPr>
        <w:pStyle w:val="TextBody"/>
        <w:bidi w:val="0"/>
        <w:spacing w:before="0" w:after="0"/>
        <w:jc w:val="center"/>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75260"/>
                <wp:effectExtent l="0" t="0" r="0" b="0"/>
                <wp:wrapNone/>
                <wp:docPr id="638" name="Frame6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(i)    </w:t>
      </w:r>
      <w:r>
        <w:rPr>
          <w:rFonts w:ascii="Times New Roman;sans-serif" w:hAnsi="Times New Roman;sans-serif"/>
          <w:b w:val="false"/>
          <w:color w:val="000000"/>
          <w:sz w:val="24"/>
          <w:u w:val="single"/>
        </w:rPr>
        <w:t>Administration of the Class A/B/C Cash Collateral Account</w:t>
      </w:r>
      <w:r>
        <w:rPr>
          <w:rFonts w:ascii="Times New Roman;sans-serif" w:hAnsi="Times New Roman;sans-serif"/>
          <w:b w:val="false"/>
          <w:color w:val="000000"/>
          <w:sz w:val="24"/>
        </w:rPr>
        <w:t xml:space="preserve">. ABRCF may instruct (by standing instructions or otherwise) the institution maintaining the Class A/B/C Cash Collateral Account to invest funds on deposit in the Class A/B/C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Class A/B/C Cash Collateral Account is held with the Paying Agent, in which case such investment may mature on such Distribution Date so long as such funds shall be available for withdrawal on or prior to such Distribution Date;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in the case of Permitted Investments held in the Class A/B/C Cash Collateral Account and so long as any Class A Note, Class B Note or Class C Note is rated by Fitch (x) any Permitted Investment set forth in clauses (ii), (iii), (vi) and (vii) of the definition thereof will have a rating of “AA-” or “F1+” by Fitch and (y) any Permitted Investment set forth in clause (v) of the definition thereof will either have a rating of “AAAmmf” by Fitch or, if such fund is not rated by Fitch, the then highest rating from two nationally recognized investment rating agencies (other than Fitch). All such Permitted Investments will be credited to the Class A/B/C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A/B/C Cash Collateral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Class A/B/C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(j)    </w:t>
      </w:r>
      <w:r>
        <w:rPr>
          <w:rFonts w:ascii="Times New Roman;sans-serif" w:hAnsi="Times New Roman;sans-serif"/>
          <w:b w:val="false"/>
          <w:color w:val="000000"/>
          <w:sz w:val="24"/>
          <w:u w:val="single"/>
        </w:rPr>
        <w:t>Establishment of Class D Cash Collateral Account</w:t>
      </w:r>
      <w:r>
        <w:rPr>
          <w:rFonts w:ascii="Times New Roman;sans-serif" w:hAnsi="Times New Roman;sans-serif"/>
          <w:b w:val="false"/>
          <w:color w:val="000000"/>
          <w:sz w:val="24"/>
        </w:rPr>
        <w:t>. On or prior to the date of any drawing under a Multi-Series Letter of Credit allocable to the Class D Notes pursuant to Section 2.8(d), (e) or (f) above, ABRCF shall establish and maintain in the name of the Trustee for the benefit of the Class D Noteholders, or cause to be established and maintained, an account (the “</w:t>
      </w:r>
      <w:r>
        <w:rPr>
          <w:rFonts w:ascii="Times New Roman;sans-serif" w:hAnsi="Times New Roman;sans-serif"/>
          <w:b w:val="false"/>
          <w:color w:val="000000"/>
          <w:sz w:val="24"/>
          <w:u w:val="single"/>
        </w:rPr>
        <w:t>Class D Cash Collateral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Class D Noteholders. The Class D Cash Collateral Account shall be maintained (i) with a Qualified Institution, or (ii) as a segregated trust account with the corporate trust department of a depository institution or trust company having corporate trust powers and acting as trustee for funds deposited in the Class D Cash Collateral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at any time such Qualified Institution is no longer a Qualified Institution or the credit rating of any securities issued by such depository institution or trust company shall be reduced to below “Baa3” by Moody’s, then ABRCF shall, within thirty (30) days of such reduction, establish a new Class D Cash Collateral Account with a new Qualified Institution or a new segregated trust account with the corporate trust department of a depository institution or trust company having corporate trust powers and acting as trustee for funds deposited in the Class D Cash Collateral Account. If a new Class D Cash Collateral Account is established, ABRCF shall </w:t>
      </w:r>
    </w:p>
    <w:p>
      <w:pPr>
        <w:pStyle w:val="TextBody"/>
        <w:bidi w:val="0"/>
        <w:spacing w:before="0" w:after="0"/>
        <w:jc w:val="center"/>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75260"/>
                <wp:effectExtent l="0" t="0" r="0" b="0"/>
                <wp:wrapNone/>
                <wp:docPr id="639" name="Frame6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instruct the Trustee in writing to transfer all cash and investments from the non-qualifying Class D Cash Collateral Account into the new Class D Cash Collateral Account.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(k)    </w:t>
      </w:r>
      <w:r>
        <w:rPr>
          <w:rFonts w:ascii="Times New Roman;sans-serif" w:hAnsi="Times New Roman;sans-serif"/>
          <w:b w:val="false"/>
          <w:color w:val="000000"/>
          <w:sz w:val="24"/>
          <w:u w:val="single"/>
        </w:rPr>
        <w:t>Administration of the Class D Cash Collateral Account</w:t>
      </w:r>
      <w:r>
        <w:rPr>
          <w:rFonts w:ascii="Times New Roman;sans-serif" w:hAnsi="Times New Roman;sans-serif"/>
          <w:b w:val="false"/>
          <w:color w:val="000000"/>
          <w:sz w:val="24"/>
        </w:rPr>
        <w:t xml:space="preserve">. ABRCF may instruct (by standing instructions or otherwise) the institution maintaining the Class D Cash Collateral Account to invest funds on deposit in the Class D Cash Collateral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any such investment shall mature not later than the Business Day prior to the Distribution Date following the date on which such funds were received, unless any Permitted Investment held in the Class D Cash Collateral Account is held with the Paying Agent, in which case such investment may mature on such Distribution Date so long as such funds shall be available for withdrawal on or prior to such Distribution Date. All such Permitted Investments will be credited to the Class D Cash Collateral Account and any such Permitted Investments that constitute (i) physical property (and that is not either a United States security entitlement or a 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Class D Cash Collateral Account. ABRCF shall not direct the Trustee to dispose of (or permit the disposal of) any Permitted Investments prior to the maturity thereof to the extent such disposal would result in a loss of the purchase price of such Permitted Investments. In the absence of written investment instructions hereunder, funds on deposit in the Class D Cash Collateral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(l)    </w:t>
      </w:r>
      <w:r>
        <w:rPr>
          <w:rFonts w:ascii="Times New Roman;sans-serif" w:hAnsi="Times New Roman;sans-serif"/>
          <w:b w:val="false"/>
          <w:color w:val="000000"/>
          <w:sz w:val="24"/>
          <w:u w:val="single"/>
        </w:rPr>
        <w:t>Earnings from Series 2024-2 Cash Collateral Accounts</w:t>
      </w:r>
      <w:r>
        <w:rPr>
          <w:rFonts w:ascii="Times New Roman;sans-serif" w:hAnsi="Times New Roman;sans-serif"/>
          <w:b w:val="false"/>
          <w:color w:val="000000"/>
          <w:sz w:val="24"/>
        </w:rPr>
        <w:t>. All interest and earnings (net of losses and investment expenses) paid on funds on deposit in the Series 2024-2 Cash Collateral Accounts shall be deemed to be on deposit therein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(m)    </w:t>
      </w:r>
      <w:r>
        <w:rPr>
          <w:rFonts w:ascii="Times New Roman;sans-serif" w:hAnsi="Times New Roman;sans-serif"/>
          <w:b w:val="false"/>
          <w:color w:val="000000"/>
          <w:sz w:val="24"/>
          <w:u w:val="single"/>
        </w:rPr>
        <w:t>Series 2024-2 Cash Collateral Account Surplus</w:t>
      </w:r>
      <w:r>
        <w:rPr>
          <w:rFonts w:ascii="Times New Roman;sans-serif" w:hAnsi="Times New Roman;sans-serif"/>
          <w:b w:val="false"/>
          <w:color w:val="000000"/>
          <w:sz w:val="24"/>
        </w:rPr>
        <w:t xml:space="preserve">. In the event that the Class A/B/C Cash Collateral Account Surplus on any Distribution Date (or, after the Multi-Series Letter of Credit Termination Date, on any date) is greater than zero, the Trustee, acting in accordance with the written instructions of the Administrator, shall withdraw from the Class A/B/C Cash Collateral Account an amount equal to the Class A/B/C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2024-2 Reimbursement Agreement, for application in accordance with the provisions of the related Series 2024-2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In the event that the Class D Cash Collateral Account Surplus on any Distribution Date (or, after the Multi-Series Letter of Credit Termination Date, on any date) is greater than zero, the Trustee, acting in accordance with the written instructions of the Administrator, shall withdraw from the Class D Cash Collateral Account an amount equal to the Class D Cash Collateral Account Surplus and shall pay such amount: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2024-2 Reimbursement Agreement, for application in accordance with the provisions of the related Series 2024-2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before="0" w:after="0"/>
        <w:jc w:val="center"/>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75260"/>
                <wp:effectExtent l="0" t="0" r="0" b="0"/>
                <wp:wrapNone/>
                <wp:docPr id="640" name="Frame6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(n)    </w:t>
      </w:r>
      <w:r>
        <w:rPr>
          <w:rFonts w:ascii="Times New Roman;sans-serif" w:hAnsi="Times New Roman;sans-serif"/>
          <w:b w:val="false"/>
          <w:color w:val="000000"/>
          <w:sz w:val="24"/>
          <w:u w:val="single"/>
        </w:rPr>
        <w:t>Termination of Series 2024-2 Cash Collateral Account</w:t>
      </w:r>
      <w:r>
        <w:rPr>
          <w:rFonts w:ascii="Times New Roman;sans-serif" w:hAnsi="Times New Roman;sans-serif"/>
          <w:b w:val="false"/>
          <w:color w:val="000000"/>
          <w:sz w:val="24"/>
        </w:rPr>
        <w:t xml:space="preserve">. Upon the termination of this Supplement in accordance with its terms, the Trustee, acting in accordance with the written instructions of the Administrator, after the prior payment of all amounts owing to the Series 2024-2 Noteholders and payable from any Series 2024-2 Cash Collateral Account as provided herein, shall (i) withdraw from the Class A/B/C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with respect to any Class A/B/C Letters of Credit under the related Series 2024-2 Reimbursement Agreement, for application in accordance with the provisions of the related Series 2024-2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xml:space="preserve">, to ABRCF any remaining amount and (ii) withdraw from the Class D Cash Collateral Account all amounts on deposit therein (to the extent not withdrawn pursuant to Section 2.8(m) above) and shall pay such amounts: </w:t>
      </w:r>
      <w:r>
        <w:rPr>
          <w:rFonts w:ascii="Times New Roman;sans-serif" w:hAnsi="Times New Roman;sans-serif"/>
          <w:b w:val="false"/>
          <w:color w:val="000000"/>
          <w:sz w:val="24"/>
          <w:u w:val="single"/>
        </w:rPr>
        <w:t>first</w:t>
      </w:r>
      <w:r>
        <w:rPr>
          <w:rFonts w:ascii="Times New Roman;sans-serif" w:hAnsi="Times New Roman;sans-serif"/>
          <w:b w:val="false"/>
          <w:color w:val="000000"/>
          <w:sz w:val="24"/>
        </w:rPr>
        <w:t xml:space="preserve">, to the Multi-Series Letter of Credit Providers to the extent of any unreimbursed drawings allocable to the Class D Notes with respect to any Multi-Series Letters of Credit under the related Series 2024-2 Reimbursement Agreement, for application in accordance with the provisions of the related Series 2024-2 Reimbursement Agreement, and, </w:t>
      </w:r>
      <w:r>
        <w:rPr>
          <w:rFonts w:ascii="Times New Roman;sans-serif" w:hAnsi="Times New Roman;sans-serif"/>
          <w:b w:val="false"/>
          <w:color w:val="000000"/>
          <w:sz w:val="24"/>
          <w:u w:val="single"/>
        </w:rPr>
        <w:t>second</w:t>
      </w:r>
      <w:r>
        <w:rPr>
          <w:rFonts w:ascii="Times New Roman;sans-serif" w:hAnsi="Times New Roman;sans-serif"/>
          <w:b w:val="false"/>
          <w:color w:val="000000"/>
          <w:sz w:val="24"/>
        </w:rPr>
        <w:t>, to ABRCF any remaining amount.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2.9.    </w:t>
      </w:r>
      <w:r>
        <w:rPr>
          <w:rFonts w:ascii="Times New Roman;sans-serif" w:hAnsi="Times New Roman;sans-serif"/>
          <w:b w:val="false"/>
          <w:color w:val="000000"/>
          <w:sz w:val="24"/>
          <w:u w:val="single"/>
        </w:rPr>
        <w:t>Series 2024-2 Distribution Account</w:t>
      </w:r>
      <w:r>
        <w:rPr>
          <w:rFonts w:ascii="Times New Roman;sans-serif" w:hAnsi="Times New Roman;sans-serif"/>
          <w:b w:val="false"/>
          <w:color w:val="000000"/>
          <w:sz w:val="24"/>
        </w:rPr>
        <w:t xml:space="preserve">. (a) </w:t>
      </w:r>
      <w:r>
        <w:rPr>
          <w:rFonts w:ascii="Times New Roman;sans-serif" w:hAnsi="Times New Roman;sans-serif"/>
          <w:b w:val="false"/>
          <w:color w:val="000000"/>
          <w:sz w:val="24"/>
          <w:u w:val="single"/>
        </w:rPr>
        <w:t>Establishment of Series 2024-2 Distribution Account</w:t>
      </w:r>
      <w:r>
        <w:rPr>
          <w:rFonts w:ascii="Times New Roman;sans-serif" w:hAnsi="Times New Roman;sans-serif"/>
          <w:b w:val="false"/>
          <w:color w:val="000000"/>
          <w:sz w:val="24"/>
        </w:rPr>
        <w:t>. ABRCF has established and shall maintain in the name of the Trustee for the benefit of the Series 2024-2 Noteholders, or cause to be established and maintained, an account (the “</w:t>
      </w:r>
      <w:r>
        <w:rPr>
          <w:rFonts w:ascii="Times New Roman;sans-serif" w:hAnsi="Times New Roman;sans-serif"/>
          <w:b w:val="false"/>
          <w:color w:val="000000"/>
          <w:sz w:val="24"/>
          <w:u w:val="single"/>
        </w:rPr>
        <w:t>Series 2024-2 Distribution Account</w:t>
      </w:r>
      <w:r>
        <w:rPr>
          <w:color w:val="000000"/>
        </w:rPr>
        <w:t>”</w:t>
      </w:r>
      <w:r>
        <w:rPr>
          <w:rFonts w:ascii="Times New Roman;sans-serif" w:hAnsi="Times New Roman;sans-serif"/>
          <w:b w:val="false"/>
          <w:color w:val="000000"/>
          <w:sz w:val="24"/>
        </w:rPr>
        <w:t xml:space="preserve">), bearing a designation clearly indicating that the funds deposited therein are held for the benefit of the Series 2024-2 Noteholders. The Series 2024-2 Distribution Account shall be maintained (i) with a Qualified Institution, or (ii) as a segregated trust account with the corporate trust department of a depository institution or trust company having corporate trust powers and acting as trustee for funds deposited in the Series 2024-2 Distribution Account;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if at any time such Qualified Institution is no longer a Qualified Institution or the credit rating of any securities issued by such depositary institution or trust company shall be reduced to below “Baa3” by Moody’s or “BBB-” by Fitch, then ABRCF shall, within thirty (30) days of such reduction, establish a new Series 2024-2 Distribution Account with a new Qualified Institution. If the Series 2024-2 Distribution Account is not maintained in accordance with the previous sentence, ABRCF shall establish a new Series 2024-2 Distribution Account, within ten (10) Business Days after obtaining knowledge of such fact, which complies with such sentence, and shall instruct the Series 2024-2 Agent in writing to transfer all cash and investments from the non-qualifying Series 2024-2 Distribution Account into the new Series 2024-2 Distribution Account. The Series 2024-2 Distribution Account has initially been established with The Bank of New York Mellon Trust Company, N.A.</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Administration of the Series 2024-2 Distribution Account</w:t>
      </w:r>
      <w:r>
        <w:rPr>
          <w:rFonts w:ascii="Times New Roman;sans-serif" w:hAnsi="Times New Roman;sans-serif"/>
          <w:b w:val="false"/>
          <w:color w:val="000000"/>
          <w:sz w:val="24"/>
        </w:rPr>
        <w:t xml:space="preserve">. The Administrator may instruct the institution maintaining the Series 2024-2 Distribution Account to invest funds on deposit in the Series 2024-2 Distribution Account from time to time in Permitted Investments;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any such investment shall mature not later than the Business Day prior to the Distribution Date following the date on which such funds were received, unless any Permitted Investment held in the Series 2024-2 Distribution Account is held with the Paying Agent, then such investment may mature on such Distribution Date and such funds shall be available for withdrawal on or prior to such Distribution Date. All such Permitted Investments will be credited to the Series 2024-2 Distribution Account and any such Permitted Investments that constitute (i) physical property (and that is not either a United States security entitlement or a </w:t>
      </w:r>
    </w:p>
    <w:p>
      <w:pPr>
        <w:pStyle w:val="TextBody"/>
        <w:bidi w:val="0"/>
        <w:spacing w:before="0" w:after="0"/>
        <w:jc w:val="center"/>
        <w:rPr/>
      </w:pPr>
      <w:r>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75260"/>
                <wp:effectExtent l="0" t="0" r="0" b="0"/>
                <wp:wrapNone/>
                <wp:docPr id="641" name="Frame6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security entitlement) shall be physically delivered to the Trustee; (ii) United States security entitlements or security entitlements shall be controlled (as defined in Section 8-106 of the New York UCC) by the Trustee pending maturity or disposition, and (iii) uncertificated securities (and not United States security entitlements) shall be delivered to the Trustee by causing the Trustee to become the registered holder of such securities. The Trustee shall, at the expense of ABRCF, take such action as is required to maintain the Trustee’s security interest in the Permitted Investments credited to the Series 2024-2 Distribution Account. ABRCF shall not direct the Trustee to dispose of (or permit the disposal of) any Permitted Investment prior to the maturity thereof to the extent such disposal would result in a loss of the purchase price of such Permitted Investment. In the absence of written investment instructions hereunder, funds on deposit in the Series 2024-2 Distribution Account shall remain uninvested.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Earnings from Series 2024-2 Distribution Account</w:t>
      </w:r>
      <w:r>
        <w:rPr>
          <w:rFonts w:ascii="Times New Roman;sans-serif" w:hAnsi="Times New Roman;sans-serif"/>
          <w:b w:val="false"/>
          <w:color w:val="000000"/>
          <w:sz w:val="24"/>
        </w:rPr>
        <w:t>. All interest and earnings (net of losses and investment expenses) paid on funds on deposit in the Series 2024-2 Distribution Account shall be deemed to be on deposit and available for distribution.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color w:val="000000"/>
          <w:sz w:val="24"/>
          <w:u w:val="single"/>
        </w:rPr>
        <w:t>Series 2024-2 Distribution Account Constitutes Additional Collateral for Series 2024-2 Notes</w:t>
      </w:r>
      <w:r>
        <w:rPr>
          <w:rFonts w:ascii="Times New Roman;sans-serif" w:hAnsi="Times New Roman;sans-serif"/>
          <w:b w:val="false"/>
          <w:color w:val="000000"/>
          <w:sz w:val="24"/>
        </w:rPr>
        <w:t>. In order to secure and provide for the repayment and payment of the ABRCF Obligations with respect to the Series 2024-2 Notes, ABRCF hereby grants a security interest in and assigns, pledges, grants, transfers and sets over to the Trustee, for the benefit of the Series 2024-2 Noteholders, all of ABRCF’s right, title and interest in and to the following (whether now or hereafter existing or acquired): (i) the Series 2024-2 Distribution Account, including any security entitlement thereto; (ii) all funds on deposit therein from time to time; (iii) all certificates and instruments, if any, representing or evidencing any or all of the Series 2024-2 Distribution Account or the funds on deposit therein from time to time; (iv) all investments made at any time and from time to time with monies in the Series 2024-2 Distribution Account, whether constituting securities, instruments, general intangibles, investment property, financial assets or other property; (v) all interest, dividends, cash, instruments and other property from time to time received, receivable or otherwise distributed in respect of or in exchange for the Series 2024-2 Distribution Account, the funds on deposit therein from time to time or the investments made with such funds; and (vi) all proceeds of any and all of the foregoing, including, without limitation, cash (the items in the foregoing clauses (i) through (vi) are referred to, collectively, as the “</w:t>
      </w:r>
      <w:r>
        <w:rPr>
          <w:rFonts w:ascii="Times New Roman;sans-serif" w:hAnsi="Times New Roman;sans-serif"/>
          <w:b w:val="false"/>
          <w:color w:val="000000"/>
          <w:sz w:val="24"/>
          <w:u w:val="single"/>
        </w:rPr>
        <w:t>Series 2024-2 Distribution Account Collateral</w:t>
      </w:r>
      <w:r>
        <w:rPr>
          <w:color w:val="000000"/>
        </w:rPr>
        <w:t>”</w:t>
      </w:r>
      <w:r>
        <w:rPr>
          <w:rFonts w:ascii="Times New Roman;sans-serif" w:hAnsi="Times New Roman;sans-serif"/>
          <w:b w:val="false"/>
          <w:color w:val="000000"/>
          <w:sz w:val="24"/>
        </w:rPr>
        <w:t>). The Trustee shall possess all right, title and interest in all funds on deposit from time to time in the Series 2024-2 Distribution Account and in and to all proceeds thereof, and shall be the only person authorized to originate entitlement orders in respect of the Series 2024-2 Distribution Account. The Series 2024-2 Distribution Account Collateral shall be under the sole dominion and control of the Trustee for the benefit of the Series 2024-2 Noteholders. The Series 2024-2 Agent hereby agrees (i) to act as the securities intermediary (as defined in Section 8-102(a)(14) of the New York UCC) with respect to the Series 2024-2 Distribution Account; (ii) that its jurisdiction as securities intermediary is New York, (iii) that each item of property (whether investment property, financial asset, security, instrument or cash) credited to the Series 2024-2 Distribution Account shall be treated as a financial asset (as defined in Section 8-102(a)(9) of the New York UCC) and (iv) to comply with any entitlement order (as defined in Section 8-102(a)(8) of the New York UCC) issued by the Trustee.</w:t>
      </w:r>
    </w:p>
    <w:p>
      <w:pPr>
        <w:pStyle w:val="TextBody"/>
        <w:bidi w:val="0"/>
        <w:spacing w:before="0" w:after="0"/>
        <w:jc w:val="center"/>
        <w:rPr/>
      </w:pPr>
      <w:r>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75260"/>
                <wp:effectExtent l="0" t="0" r="0" b="0"/>
                <wp:wrapNone/>
                <wp:docPr id="642" name="Frame6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2.10.    </w:t>
      </w:r>
      <w:r>
        <w:rPr>
          <w:rFonts w:ascii="Times New Roman;sans-serif" w:hAnsi="Times New Roman;sans-serif"/>
          <w:b w:val="false"/>
          <w:color w:val="000000"/>
          <w:sz w:val="24"/>
          <w:u w:val="single"/>
        </w:rPr>
        <w:t>Series 2024-2 Accounts Permitted Investments</w:t>
      </w:r>
      <w:r>
        <w:rPr>
          <w:rFonts w:ascii="Times New Roman;sans-serif" w:hAnsi="Times New Roman;sans-serif"/>
          <w:b w:val="false"/>
          <w:color w:val="000000"/>
          <w:sz w:val="24"/>
        </w:rPr>
        <w:t xml:space="preserve">. ABRCF shall not, and shall not permit, funds on deposit in the Series 2024-2 Accounts to be invested in: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    Permitted Investments that do not mature at least one (1) Business Day before the next Distribution Date;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demand deposits, time deposits or certificates of deposit with a maturity in excess of 360 days;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(iii)    commercial paper which is not rated “P-1” by Moody’s;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    money market funds or eurodollar time deposits which are not rated at least “P-1” by Moody’s;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    eurodollar deposits that are not rated “P-1” by Moody’s or that are with financial institutions not organized under the laws of a G-7 nation; or </w:t>
      </w:r>
    </w:p>
    <w:p>
      <w:pPr>
        <w:pStyle w:val="TextBody"/>
        <w:bidi w:val="0"/>
        <w:spacing w:lineRule="auto" w:line="288" w:before="0" w:after="18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(vi)    any investment, instrument or security not otherwise listed in clause (i) through (vi) of the definition of “Permitted Investments” in the Base Indenture.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2.11.    </w:t>
      </w:r>
      <w:r>
        <w:rPr>
          <w:rFonts w:ascii="Times New Roman;sans-serif" w:hAnsi="Times New Roman;sans-serif"/>
          <w:b w:val="false"/>
          <w:color w:val="000000"/>
          <w:sz w:val="24"/>
          <w:u w:val="single"/>
        </w:rPr>
        <w:t>Series 2024-2 Demand Notes Constitute Additional Collateral for Series 2024-2 Senior Notes</w:t>
      </w:r>
      <w:r>
        <w:rPr>
          <w:rFonts w:ascii="Times New Roman;sans-serif" w:hAnsi="Times New Roman;sans-serif"/>
          <w:b w:val="false"/>
          <w:color w:val="000000"/>
          <w:sz w:val="24"/>
        </w:rPr>
        <w:t>. In order to secure and provide for the repayment and payment of the ABRCF Obligations with respect to the Series 2024-2 Senior Notes, ABRCF hereby grants a security interest in and assigns, pledges, grants, transfers and sets over to the Trustee, for the benefit of the Class A Noteholders, the Class B Noteholders, the Class C Noteholders and the Class D Noteholders, all of ABRCF’s right, title and interest in and to the following (whether now or hereafter existing or acquired): (i) the Series 2024-2 Demand Notes; (ii) all certificates and instruments, if any, representing or evidencing the Series 2024-2 Demand Notes; and (iii) all proceeds of any and all of the foregoing, including, without limitation, cash. On the date hereof, ABRCF shall deliver to the Trustee, for the benefit of the Class A Noteholders, the Class B Noteholders, the Class C Noteholders and the Class D Noteholders, each Series 2024-2 Demand Note, endorsed in blank. The Trustee, for the benefit of the Class A Noteholders, the Class B Noteholders, the Class C Noteholders and the Class D Noteholders, shall be the only Person authorized to make a demand for payments on the Series 2024-2 Demand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2.12.    </w:t>
      </w:r>
      <w:r>
        <w:rPr>
          <w:rFonts w:ascii="Times New Roman;sans-serif" w:hAnsi="Times New Roman;sans-serif"/>
          <w:b w:val="false"/>
          <w:color w:val="000000"/>
          <w:sz w:val="24"/>
          <w:u w:val="single"/>
        </w:rPr>
        <w:t>Subordination of the Class B Notes, Class C Notes, Class D Notes and the Class R Notes</w:t>
      </w:r>
      <w:r>
        <w:rPr>
          <w:rFonts w:ascii="Times New Roman;sans-serif" w:hAnsi="Times New Roman;sans-serif"/>
          <w:b w:val="false"/>
          <w:color w:val="000000"/>
          <w:sz w:val="24"/>
        </w:rPr>
        <w:t xml:space="preserve">. (a) Notwithstanding anything to the contrary contained in this Supplement, the Base Indenture or in any other Related Document, the Class B Notes will be subordinate in all respects to the Class A Notes as and to the extent set forth in this Section 2.12(a). No payments on account of principal shall be made with respect to the Class B Notes on any Distribution Date during the Series 2024-2 Controlled Amortization Period unless an amount equal to the Class A Controlled Distribution Amount for the Related Month shall have been paid to the Class A Noteholders and no payments on account of principal shall be made with respect to the Class B Notes during the Series 2024-2 Rapid Amortization Period or on the Series 2024-2 Final Distribution Date until the Class A Notes have been paid in full. No payments on account of interest shall be made with respect to the Class B Notes on any Distribution Date until all payments of interest then due and payable with respect to the Class A Notes (including, without limitation, </w:t>
      </w:r>
    </w:p>
    <w:p>
      <w:pPr>
        <w:pStyle w:val="TextBody"/>
        <w:bidi w:val="0"/>
        <w:spacing w:before="0" w:after="0"/>
        <w:jc w:val="center"/>
        <w:rPr/>
      </w:pPr>
      <w:r>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75260"/>
                <wp:effectExtent l="0" t="0" r="0" b="0"/>
                <wp:wrapNone/>
                <wp:docPr id="643" name="Frame6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all accrued interest, all Class A Shortfall and all interest accrued on such Class A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Notwithstanding anything to the contrary contained in this Supplement, the Base Indenture or in any other Related Document, the Class C Notes will be subordinate in all respects to the Class A Notes and the Class B Notes as and to the extent set forth in this Section 2.12(b). No payments on account of principal shall be made with respect to the Class C Notes on any Distribution Date during the Series 2024-2 Controlled Amortization Period unless an amount equal to the Class A Controlled Distribution Amount for the Related Month shall have been paid to the Class A Noteholders and an amount equal to the Class B Controlled Distribution Amount for the Related Month shall have been paid to the Class B Noteholders. No payments on account of principal shall be made with respect to the Class C Notes during the Series 2024-2 Rapid Amortization Period or on the Series 2024-2 Final Distribution Date until the Class A Notes and the Class B Notes have been paid in full. No payments on account of interest shall be made with respect to the Class C Notes on any Distribution Date until all payments of interest then due and payable with respect to the Class A Notes and Class B Notes (including, without limitation, all accrued interest, all Class A Shortfall, all interest accrued on such Class A Shortfall, all Class B Shortfall and all interest accrued on such Class B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to the contrary contained in this Supplement, the Base Indenture or in any other Related Document, the Class D Notes will be subordinate in all respects to the Class A Notes, the Class B Notes and the Class C Notes as and to the extent set forth in this Section 2.12(c). No payments on account of principal shall be made with respect to the Class D Notes on any Distribution Date during the Series 2024-2 Controlled Amortization Period unless an amount equal to the Class A Controlled Distribution Amount for the Related Month shall have been paid to the Class A Noteholders, an amount equal to the Class B Controlled Distribution Amount for the Related Month shall have been paid to the Class B Noteholders and an amount equal to the Class C Controlled Distribution Amount for the Related Month shall have been paid to the Class C Noteholders. No payments on account of principal shall be made with respect to the Class D Notes during the Series 2024-2 Rapid Amortization Period or on the Series 2024-2 Final Distribution Date until the Class A Notes, the Class B Notes and the Class C Notes have been paid in full. No payments on account of interest shall be made with respect to the Class D Notes on any Distribution Date until all payments of interest then due and payable with respect to the Class A Notes, Class B Notes and Class C Notes (including, without limitation, all accrued interest, all Class A Shortfall, all interest accrued on such Class A Shortfall, all Class B Shortfall, all interest accrued on such Class B Shortfall, all Class C Shortfall and all interest accrued on such Class C Shortfall) have been paid in full.</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Notwithstanding anything to the contrary contained in this Supplement, the Base Indenture or in any other Related Document, the Class R Notes will be subordinate in all respects to the Class A Notes, the Class B Notes, the Class C Notes and the Class D Notes, as and to the extent set forth in this Section 2.12(d). No payments on account of principal shall be made with respect to the Class R Notes during the Series 2024-2 Controlled Amortization Period or the Series 2024-2 Rapid Amortization Period or on the Series 2024-2 Final Distribution Date until the Class A Notes, the Class B Notes, the Class C Notes and the Class D Notes have been paid in full. No payments on account of interest shall be made with respect to the Class R Notes on any Distribution Date until all payments of interest and principal due and payable on such Distribution </w:t>
      </w:r>
    </w:p>
    <w:p>
      <w:pPr>
        <w:pStyle w:val="TextBody"/>
        <w:bidi w:val="0"/>
        <w:spacing w:before="0" w:after="0"/>
        <w:jc w:val="center"/>
        <w:rPr/>
      </w:pPr>
      <w:r>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75260"/>
                <wp:effectExtent l="0" t="0" r="0" b="0"/>
                <wp:wrapNone/>
                <wp:docPr id="644" name="Frame6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Date with respect to the Class A Notes, the Class B Notes, the Class C Notes and the Class D Notes (including, without limitation, all accrued interest, all Class A Shortfall, all interest accrued on such Class A Shortfall, all Class B Shortfall, all interest accrued on such Class B Shortfall, all Class C Shortfall, all interest accrued on such Class C Shortfall, all due and unpaid interest on the Class D Notes and all interest accrued on such unpaid amounts) have been paid in full.</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III</w:t>
        <w:br/>
        <w:br/>
        <w:t>AMORTIZATION EVENTS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Amortization Events set forth in Section 9.1 of the Base Indenture, any of the following shall be an Amortization Event with respect to the Series 2024-2 Notes and collectively shall constitute the Amortization Events set forth in Section 9.1(n) of the Base Indenture with respect to the Series 2024-2 Notes (without notice or other action on the part of the Trustee or any holders of the Series 2024-2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(a)    a Series 2024-2 Enhancement Deficiency shall occur and continue for at least two (2)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event or condition shall not be an Amortization Event if during such two (2) Business Day period such Series 2024-2 Enhancement Deficiency shall have been cured in accordance with the terms and conditions of the Indenture and the Related Documents;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(b)    either (i) the Class A/B/C Liquidity Amount shall be less than the Class A/B/C Required Liquidity Amount for at least two Business Days or (ii) the Class D Liquidity Amount shall be less than the Class D Required Liquidity Amount for at least two Business Days;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in either case, such event or condition shall not be an Amortization Event if during such two Business Day period such insufficiency shall have been cured in accordance with the terms and conditions of the Indenture and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the Collection Account, the Series 2024-2 Collection Account, the Series 2024-2 Excess Collection Account, the Class A/B/C Reserve Account or the Class D Reserve Account shall be subject to an injunction, estoppel or other stay or a lien (other than liens permitted under the Related Documents);</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all principal of and interest on any Class of the Series 2024-2 Notes is not paid in full on or before the Series 2024-2 Expected Final Distribution Date;</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any Multi-Series Letter of Credit shall not be in full force and effect for at least two Business Days and either (x) a Series 2024-2 Enhancement Deficiency would result from excluding such Multi-Series Letter of Credit from the Class A/B/C Enhancement Amount or the Class D Enhancement Amount or (y) the Class A/B/C Liquidity Amount or the Class D Liquidity Amount excluding therefrom the available amount under such Multi-Series Letter of Credit, would be less than the Class A/B/C Required Liquidity Amount or the Class D Required Liquidity Amount, respectively;</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    from and after the funding of any Series 2024-2 Cash Collateral Account, such Series 2024-2 Cash Collateral Account shall be subject to an injunction, estoppel or other </w:t>
      </w:r>
    </w:p>
    <w:p>
      <w:pPr>
        <w:pStyle w:val="TextBody"/>
        <w:bidi w:val="0"/>
        <w:spacing w:before="0" w:after="0"/>
        <w:jc w:val="center"/>
        <w:rPr/>
      </w:pPr>
      <w:r>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75260"/>
                <wp:effectExtent l="0" t="0" r="0" b="0"/>
                <wp:wrapNone/>
                <wp:docPr id="645" name="Frame6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stay or a lien (other than Liens permitted under the Related Documents) for at least two Business Days and either (x) a Series 2024-2 Enhancement Deficiency would result from excluding the Class A/B/C Available Cash Collateral Account Amount or the Class D Available Cash Collateral Account Amount from the Class A/B/C Enhancement Amount or the Class D Enhancement Amount, respectively, (y) the Class A/B/C Liquidity Amount, excluding therefrom the Class A/B/C Available Cash Collateral Account Amount, would be less than the Class A/B/C Required Liquidity Amount or (z) the Class D Liquidity Amount, excluding therefrom the Class D Available Cash Collateral Account Amount, would be less than the Class D Required Liquidity Amount; and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(g)    an Event of Bankruptcy shall have occurred with respect to any Multi-Series Letter of Credit Provider or any Multi-Series Letter of Credit Provider repudiates its Multi-Series Letter of Credit or refuses to honor a proper draw thereon and either (x) a Series 2024-2 Enhancement Deficiency would result from excluding the Class A/B/C Applicable Multi-Series L/C Amount attributable to such Multi-Series Letter of Credit from the Class A/B/C Enhancement Amount or the Class D Applicable Multi-Series L/C Amount attributable to such Multi-Series Letter of Credit from the Class D Enhancement Amount or (y) the Class A/B/C Liquidity Amount or Class D Liquidity Amount, excluding therefrom the Class A/B/C Applicable Multi-Series L/C Amount attributable to such Multi-Series Letter of Credit or the Class D Applicable Multi-Series L/C Amount attributable to such Multi-Series Letter of Credit, would be less than the Class A/B/C Required Liquidity Amount or the Class D Required Liquidity Amount, respectively.</w:t>
      </w:r>
    </w:p>
    <w:p>
      <w:pPr>
        <w:pStyle w:val="TextBody"/>
        <w:bidi w:val="0"/>
        <w:spacing w:lineRule="auto" w:line="288" w:before="360" w:after="240"/>
        <w:jc w:val="center"/>
        <w:rPr>
          <w:rFonts w:ascii="Times New Roman;sans-serif" w:hAnsi="Times New Roman;sans-serif"/>
          <w:b/>
          <w:color w:val="000000"/>
          <w:sz w:val="24"/>
        </w:rPr>
      </w:pPr>
      <w:r>
        <w:rPr>
          <w:rFonts w:ascii="Times New Roman;sans-serif" w:hAnsi="Times New Roman;sans-serif"/>
          <w:b/>
          <w:color w:val="000000"/>
          <w:sz w:val="24"/>
        </w:rPr>
        <w:t>ARTICLE IV</w:t>
        <w:br/>
        <w:br/>
        <w:t>FORM OF SERIES 2024-2 NOTES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4.1.    </w:t>
      </w:r>
      <w:r>
        <w:rPr>
          <w:rFonts w:ascii="Times New Roman;sans-serif" w:hAnsi="Times New Roman;sans-serif"/>
          <w:b w:val="false"/>
          <w:color w:val="000000"/>
          <w:sz w:val="24"/>
          <w:u w:val="single"/>
        </w:rPr>
        <w:t>Restricted Global Series 2024-2 Notes</w:t>
      </w:r>
      <w:r>
        <w:rPr>
          <w:rFonts w:ascii="Times New Roman;sans-serif" w:hAnsi="Times New Roman;sans-serif"/>
          <w:b w:val="false"/>
          <w:color w:val="000000"/>
          <w:sz w:val="24"/>
        </w:rPr>
        <w:t>. Each Class of the Series 2024-2 Notes (other than the Class D Notes) to be issued in the United States will be issued in book-entry form and represented by one or more permanent global Notes in fully registered form without interest coupons (each, a “</w:t>
      </w:r>
      <w:r>
        <w:rPr>
          <w:rFonts w:ascii="Times New Roman;sans-serif" w:hAnsi="Times New Roman;sans-serif"/>
          <w:b w:val="false"/>
          <w:color w:val="000000"/>
          <w:sz w:val="24"/>
          <w:u w:val="single"/>
        </w:rPr>
        <w:t>Restricted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Restricted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Restricted Global Class R Note</w:t>
      </w:r>
      <w:r>
        <w:rPr>
          <w:color w:val="000000"/>
        </w:rPr>
        <w:t>”</w:t>
      </w:r>
      <w:r>
        <w:rPr>
          <w:rFonts w:ascii="Times New Roman;sans-serif" w:hAnsi="Times New Roman;sans-serif"/>
          <w:b w:val="false"/>
          <w:color w:val="000000"/>
          <w:sz w:val="24"/>
        </w:rPr>
        <w:t xml:space="preserve">, as the case may be), substantially in the form set forth in </w:t>
      </w:r>
      <w:r>
        <w:rPr>
          <w:rFonts w:ascii="Times New Roman;sans-serif" w:hAnsi="Times New Roman;sans-serif"/>
          <w:b w:val="false"/>
          <w:color w:val="000000"/>
          <w:sz w:val="24"/>
          <w:u w:val="single"/>
        </w:rPr>
        <w:t>Exhibits A-1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E-1</w:t>
      </w:r>
      <w:r>
        <w:rPr>
          <w:rFonts w:ascii="Times New Roman;sans-serif" w:hAnsi="Times New Roman;sans-serif"/>
          <w:b w:val="false"/>
          <w:color w:val="000000"/>
          <w:sz w:val="24"/>
        </w:rPr>
        <w:t>, with such legends as may be applicable thereto as set forth in the Base Indenture, and will be sold only in the United States (1) initially to institutional accredited investors within the meaning of Regulation D under the Securities Act in reliance on an exemption from the registration requirements of the Securities Act and (2) thereafter to qualified institutional buyers within the meaning of, and in reliance on, Rule 144A under the Securities Act and shall be deposited on behalf of the purchasers of such Class of the Series 2024-2 Notes (other than the Class D Notes) represented thereby, with the Trustee as custodian for DTC, and registered in the name of Cede as DTC’s nominee, duly executed by ABRCF and authenticated by the Trustee in the manner set forth in Section 2.4 of the Base Indenture.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4.2.    </w:t>
      </w:r>
      <w:r>
        <w:rPr>
          <w:rFonts w:ascii="Times New Roman;sans-serif" w:hAnsi="Times New Roman;sans-serif"/>
          <w:b w:val="false"/>
          <w:color w:val="000000"/>
          <w:sz w:val="24"/>
          <w:u w:val="single"/>
        </w:rPr>
        <w:t>Temporary Global Series 2024-2 Notes; Permanent Global Series 2024-2 Notes</w:t>
      </w:r>
      <w:r>
        <w:rPr>
          <w:rFonts w:ascii="Times New Roman;sans-serif" w:hAnsi="Times New Roman;sans-serif"/>
          <w:b w:val="false"/>
          <w:color w:val="000000"/>
          <w:sz w:val="24"/>
        </w:rPr>
        <w:t xml:space="preserve">. Each Class of the Series 2024-2 Notes (other than the Class D Notes) to be issued outside the United States will be issued and sold in transactions outside the United States in reliance on Regulation S under the Securities Act, as provided in the applicable note purchase agreement, and shall initially be issued in the form of one or more temporary notes in registered </w:t>
      </w:r>
    </w:p>
    <w:p>
      <w:pPr>
        <w:pStyle w:val="TextBody"/>
        <w:bidi w:val="0"/>
        <w:spacing w:before="0" w:after="0"/>
        <w:jc w:val="center"/>
        <w:rPr/>
      </w:pPr>
      <w:r>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75260"/>
                <wp:effectExtent l="0" t="0" r="0" b="0"/>
                <wp:wrapNone/>
                <wp:docPr id="646" name="Frame6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form without interest coupons (each, a “</w:t>
      </w:r>
      <w:r>
        <w:rPr>
          <w:rFonts w:ascii="Times New Roman;sans-serif" w:hAnsi="Times New Roman;sans-serif"/>
          <w:b w:val="false"/>
          <w:color w:val="000000"/>
          <w:sz w:val="24"/>
          <w:u w:val="single"/>
        </w:rPr>
        <w:t>Temporary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Temporary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Temporary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Temporary Global Series 2024-2 Notes</w:t>
      </w:r>
      <w:r>
        <w:rPr>
          <w:color w:val="000000"/>
        </w:rPr>
        <w:t>”</w:t>
      </w:r>
      <w:r>
        <w:rPr>
          <w:rFonts w:ascii="Times New Roman;sans-serif" w:hAnsi="Times New Roman;sans-serif"/>
          <w:b w:val="false"/>
          <w:color w:val="000000"/>
          <w:sz w:val="24"/>
        </w:rPr>
        <w:t xml:space="preserve">), substantially in the form set forth in </w:t>
      </w:r>
      <w:r>
        <w:rPr>
          <w:rFonts w:ascii="Times New Roman;sans-serif" w:hAnsi="Times New Roman;sans-serif"/>
          <w:b w:val="false"/>
          <w:color w:val="000000"/>
          <w:sz w:val="24"/>
          <w:u w:val="single"/>
        </w:rPr>
        <w:t>Exhibits A-2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B-2</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C-2</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E-2</w:t>
      </w:r>
      <w:r>
        <w:rPr>
          <w:color w:val="000000"/>
        </w:rPr>
        <w:t xml:space="preserve"> </w:t>
      </w:r>
      <w:r>
        <w:rPr>
          <w:rFonts w:ascii="Times New Roman;sans-serif" w:hAnsi="Times New Roman;sans-serif"/>
          <w:b w:val="false"/>
          <w:color w:val="000000"/>
          <w:sz w:val="24"/>
        </w:rPr>
        <w:t>which shall be deposited on behalf of the purchasers of such Class of the Series 2024-2 Notes (other than the Class D Notes) represented thereby with a custodian for, and registered in the name of a nominee of DTC, for the account of Euroclear Bank S.A./N.V., as operator of the Euroclear System, or for Clearstream Banking, société anonyme, duly executed by ABRCF and authenticated by the Trustee in the manner set forth in Section 2.4 of the Base Indenture. Interests in each Temporary Global Series 2024-2 Note will be exchangeable, in whole or in part, for interests in one or more permanent global notes in registered form without interest coupons (each, a “</w:t>
      </w:r>
      <w:r>
        <w:rPr>
          <w:rFonts w:ascii="Times New Roman;sans-serif" w:hAnsi="Times New Roman;sans-serif"/>
          <w:b w:val="false"/>
          <w:color w:val="000000"/>
          <w:sz w:val="24"/>
          <w:u w:val="single"/>
        </w:rPr>
        <w:t>Permanent Global Class A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B Note</w:t>
      </w:r>
      <w:r>
        <w:rPr>
          <w:color w:val="000000"/>
        </w:rPr>
        <w:t>”</w:t>
      </w:r>
      <w:r>
        <w:rPr>
          <w:rFonts w:ascii="Times New Roman;sans-serif" w:hAnsi="Times New Roman;sans-serif"/>
          <w:b w:val="false"/>
          <w:color w:val="000000"/>
          <w:sz w:val="24"/>
        </w:rPr>
        <w:t>, a “</w:t>
      </w:r>
      <w:r>
        <w:rPr>
          <w:rFonts w:ascii="Times New Roman;sans-serif" w:hAnsi="Times New Roman;sans-serif"/>
          <w:b w:val="false"/>
          <w:color w:val="000000"/>
          <w:sz w:val="24"/>
          <w:u w:val="single"/>
        </w:rPr>
        <w:t>Permanent Global Class C Note</w:t>
      </w:r>
      <w:r>
        <w:rPr>
          <w:color w:val="000000"/>
        </w:rPr>
        <w:t xml:space="preserve">” </w:t>
      </w:r>
      <w:r>
        <w:rPr>
          <w:rFonts w:ascii="Times New Roman;sans-serif" w:hAnsi="Times New Roman;sans-serif"/>
          <w:b w:val="false"/>
          <w:color w:val="000000"/>
          <w:sz w:val="24"/>
        </w:rPr>
        <w:t>or a “</w:t>
      </w:r>
      <w:r>
        <w:rPr>
          <w:rFonts w:ascii="Times New Roman;sans-serif" w:hAnsi="Times New Roman;sans-serif"/>
          <w:b w:val="false"/>
          <w:color w:val="000000"/>
          <w:sz w:val="24"/>
          <w:u w:val="single"/>
        </w:rPr>
        <w:t>Permanent Global Class R Note</w:t>
      </w:r>
      <w:r>
        <w:rPr>
          <w:color w:val="000000"/>
        </w:rPr>
        <w:t>”</w:t>
      </w:r>
      <w:r>
        <w:rPr>
          <w:rFonts w:ascii="Times New Roman;sans-serif" w:hAnsi="Times New Roman;sans-serif"/>
          <w:b w:val="false"/>
          <w:color w:val="000000"/>
          <w:sz w:val="24"/>
        </w:rPr>
        <w:t>, as the case may be, and collectively the “</w:t>
      </w:r>
      <w:r>
        <w:rPr>
          <w:rFonts w:ascii="Times New Roman;sans-serif" w:hAnsi="Times New Roman;sans-serif"/>
          <w:b w:val="false"/>
          <w:color w:val="000000"/>
          <w:sz w:val="24"/>
          <w:u w:val="single"/>
        </w:rPr>
        <w:t>Permanent Global Series 2024-2 Notes</w:t>
      </w:r>
      <w:r>
        <w:rPr>
          <w:color w:val="000000"/>
        </w:rPr>
        <w:t>”</w:t>
      </w:r>
      <w:r>
        <w:rPr>
          <w:rFonts w:ascii="Times New Roman;sans-serif" w:hAnsi="Times New Roman;sans-serif"/>
          <w:b w:val="false"/>
          <w:color w:val="000000"/>
          <w:sz w:val="24"/>
        </w:rPr>
        <w:t xml:space="preserve">), substantially in the form of </w:t>
      </w:r>
      <w:r>
        <w:rPr>
          <w:rFonts w:ascii="Times New Roman;sans-serif" w:hAnsi="Times New Roman;sans-serif"/>
          <w:b w:val="false"/>
          <w:color w:val="000000"/>
          <w:sz w:val="24"/>
          <w:u w:val="single"/>
        </w:rPr>
        <w:t>Exhibits A-3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B-3</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C-3</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E-3</w:t>
      </w:r>
      <w:r>
        <w:rPr>
          <w:color w:val="000000"/>
        </w:rPr>
        <w:t xml:space="preserve"> </w:t>
      </w:r>
      <w:r>
        <w:rPr>
          <w:rFonts w:ascii="Times New Roman;sans-serif" w:hAnsi="Times New Roman;sans-serif"/>
          <w:b w:val="false"/>
          <w:color w:val="000000"/>
          <w:sz w:val="24"/>
        </w:rPr>
        <w:t>in accordance with the provisions of such Temporary Global Series 2024-2 Note and the Base Indenture (as modified by this Supplement). Interests in a Permanent Global Series 2024-2 Note will be exchangeable for a definitive Series 2024-2 Note in accordance with the provisions of such Permanent Global Series 2024-2 Note and the Base Indenture (as modified by this Supplement). The Restricted Global Class A Notes, the Temporary Global Class A Notes and the Permanent Global Class A Notes are collectively referred to as the “</w:t>
      </w:r>
      <w:r>
        <w:rPr>
          <w:rFonts w:ascii="Times New Roman;sans-serif" w:hAnsi="Times New Roman;sans-serif"/>
          <w:b w:val="false"/>
          <w:color w:val="000000"/>
          <w:sz w:val="24"/>
          <w:u w:val="single"/>
        </w:rPr>
        <w:t>Global Class A Notes</w:t>
      </w:r>
      <w:r>
        <w:rPr>
          <w:color w:val="000000"/>
        </w:rPr>
        <w:t>”</w:t>
      </w:r>
      <w:r>
        <w:rPr>
          <w:rFonts w:ascii="Times New Roman;sans-serif" w:hAnsi="Times New Roman;sans-serif"/>
          <w:b w:val="false"/>
          <w:color w:val="000000"/>
          <w:sz w:val="24"/>
        </w:rPr>
        <w:t>, the Restricted Global Class B Notes, the Temporary Global Class B Notes and the Permanent Global Class B Notes are collectively referred to as the “</w:t>
      </w:r>
      <w:r>
        <w:rPr>
          <w:rFonts w:ascii="Times New Roman;sans-serif" w:hAnsi="Times New Roman;sans-serif"/>
          <w:b w:val="false"/>
          <w:color w:val="000000"/>
          <w:sz w:val="24"/>
          <w:u w:val="single"/>
        </w:rPr>
        <w:t>Global Class B Notes</w:t>
      </w:r>
      <w:r>
        <w:rPr>
          <w:color w:val="000000"/>
        </w:rPr>
        <w:t>”</w:t>
      </w:r>
      <w:r>
        <w:rPr>
          <w:rFonts w:ascii="Times New Roman;sans-serif" w:hAnsi="Times New Roman;sans-serif"/>
          <w:b w:val="false"/>
          <w:color w:val="000000"/>
          <w:sz w:val="24"/>
        </w:rPr>
        <w:t>, the Restricted Global Class C Notes, the Temporary Global Class C Notes and the Permanent Global Class C Notes are collectively referred to as the “</w:t>
      </w:r>
      <w:r>
        <w:rPr>
          <w:rFonts w:ascii="Times New Roman;sans-serif" w:hAnsi="Times New Roman;sans-serif"/>
          <w:b w:val="false"/>
          <w:color w:val="000000"/>
          <w:sz w:val="24"/>
          <w:u w:val="single"/>
        </w:rPr>
        <w:t>Global Class C Notes</w:t>
      </w:r>
      <w:r>
        <w:rPr>
          <w:color w:val="000000"/>
        </w:rPr>
        <w:t xml:space="preserve">” </w:t>
      </w:r>
      <w:r>
        <w:rPr>
          <w:rFonts w:ascii="Times New Roman;sans-serif" w:hAnsi="Times New Roman;sans-serif"/>
          <w:b w:val="false"/>
          <w:color w:val="000000"/>
          <w:sz w:val="24"/>
        </w:rPr>
        <w:t>and the Restricted Global Class R Notes, the Temporary Global Class R Notes and the Permanent Global Class R Notes are collectively referred to as the “</w:t>
      </w:r>
      <w:r>
        <w:rPr>
          <w:rFonts w:ascii="Times New Roman;sans-serif" w:hAnsi="Times New Roman;sans-serif"/>
          <w:b w:val="false"/>
          <w:color w:val="000000"/>
          <w:sz w:val="24"/>
          <w:u w:val="single"/>
        </w:rPr>
        <w:t>Global Class R Notes</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4.3.    </w:t>
      </w:r>
      <w:r>
        <w:rPr>
          <w:rFonts w:ascii="Times New Roman;sans-serif" w:hAnsi="Times New Roman;sans-serif"/>
          <w:b w:val="false"/>
          <w:color w:val="000000"/>
          <w:sz w:val="24"/>
          <w:u w:val="single"/>
        </w:rPr>
        <w:t>Definitive Class D Notes</w:t>
      </w:r>
      <w:r>
        <w:rPr>
          <w:rFonts w:ascii="Times New Roman;sans-serif" w:hAnsi="Times New Roman;sans-serif"/>
          <w:b w:val="false"/>
          <w:color w:val="000000"/>
          <w:sz w:val="24"/>
        </w:rPr>
        <w:t xml:space="preserve">. The Class D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 duly executed by ABRCF and authenticated by the Trustee in the manner set forth in Section 2.4 of the Base Indenture. Interests in a Class D Note will be exchangeable for a definitive Class D Note in accordance with the provisions of such Class D Note and the Base Indenture (as modified by this Supplement). The Class D Notes shall be issued in minimum denominations of $10,000,000 and integral multiples of $1,000 in excess thereof.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4.4.    </w:t>
      </w:r>
      <w:r>
        <w:rPr>
          <w:rFonts w:ascii="Times New Roman;sans-serif" w:hAnsi="Times New Roman;sans-serif"/>
          <w:b w:val="false"/>
          <w:color w:val="000000"/>
          <w:sz w:val="24"/>
          <w:u w:val="single"/>
        </w:rPr>
        <w:t>Definitive Class R Notes</w:t>
      </w:r>
      <w:r>
        <w:rPr>
          <w:rFonts w:ascii="Times New Roman;sans-serif" w:hAnsi="Times New Roman;sans-serif"/>
          <w:b w:val="false"/>
          <w:color w:val="000000"/>
          <w:sz w:val="24"/>
        </w:rPr>
        <w:t xml:space="preserve">. The Additional Class R Notes issued on the Class D Notes Closing Date shall be issued in fully registered form without interest coupons, substantially in the form set forth in </w:t>
      </w: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E-2</w:t>
      </w:r>
      <w:r>
        <w:rPr>
          <w:color w:val="000000"/>
        </w:rPr>
        <w:t xml:space="preserve"> </w:t>
      </w:r>
      <w:r>
        <w:rPr>
          <w:rFonts w:ascii="Times New Roman;sans-serif" w:hAnsi="Times New Roman;sans-serif"/>
          <w:b w:val="false"/>
          <w:color w:val="000000"/>
          <w:sz w:val="24"/>
        </w:rPr>
        <w:t xml:space="preserve">or </w:t>
      </w:r>
      <w:r>
        <w:rPr>
          <w:rFonts w:ascii="Times New Roman;sans-serif" w:hAnsi="Times New Roman;sans-serif"/>
          <w:b w:val="false"/>
          <w:color w:val="000000"/>
          <w:sz w:val="24"/>
          <w:u w:val="single"/>
        </w:rPr>
        <w:t>Exhibit E-3</w:t>
      </w:r>
      <w:r>
        <w:rPr>
          <w:color w:val="000000"/>
        </w:rPr>
        <w:t xml:space="preserve"> </w:t>
      </w:r>
      <w:r>
        <w:rPr>
          <w:rFonts w:ascii="Times New Roman;sans-serif" w:hAnsi="Times New Roman;sans-serif"/>
          <w:b w:val="false"/>
          <w:color w:val="000000"/>
          <w:sz w:val="24"/>
        </w:rPr>
        <w:t>with such insertions and deletions as are necessary to give effect to the provisions of Section 2.18 of the Base Indenture, and duly executed by ABRCF and authenticated by the Trustee in the manner set forth in Section 2.4 of the Base Indenture. Interests in a Class R Note will be exchangeable for a definitive Class R Note in accordance with the provisions of such Class R Note and the Base Indenture (as modified by this Supplement).</w:t>
      </w:r>
    </w:p>
    <w:p>
      <w:pPr>
        <w:pStyle w:val="TextBody"/>
        <w:bidi w:val="0"/>
        <w:spacing w:before="0" w:after="0"/>
        <w:jc w:val="center"/>
        <w:rPr/>
      </w:pPr>
      <w:r>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75260"/>
                <wp:effectExtent l="0" t="0" r="0" b="0"/>
                <wp:wrapNone/>
                <wp:docPr id="647" name="Frame6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ARTICLE V</w:t>
        <w:br/>
        <w:br/>
        <w:t>GENERAL</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    </w:t>
      </w:r>
      <w:r>
        <w:rPr>
          <w:rFonts w:ascii="Times New Roman;sans-serif" w:hAnsi="Times New Roman;sans-serif"/>
          <w:b w:val="false"/>
          <w:color w:val="000000"/>
          <w:sz w:val="24"/>
          <w:u w:val="single"/>
        </w:rPr>
        <w:t>Optional Repurchase</w:t>
      </w:r>
      <w:r>
        <w:rPr>
          <w:rFonts w:ascii="Times New Roman;sans-serif" w:hAnsi="Times New Roman;sans-serif"/>
          <w:b w:val="false"/>
          <w:color w:val="000000"/>
          <w:sz w:val="24"/>
        </w:rPr>
        <w:t>. (a) The Series 2024-2 Notes shall be subject to repurchase by ABRCF at its option in accordance with Section 6.3 of the Base Indenture on any Distribution Date (any such Distribution Date, a “</w:t>
      </w:r>
      <w:r>
        <w:rPr>
          <w:rFonts w:ascii="Times New Roman;sans-serif" w:hAnsi="Times New Roman;sans-serif"/>
          <w:b w:val="false"/>
          <w:color w:val="000000"/>
          <w:sz w:val="24"/>
          <w:u w:val="single"/>
        </w:rPr>
        <w:t>Clean-up Repurchase Distribution Date</w:t>
      </w:r>
      <w:r>
        <w:rPr>
          <w:color w:val="000000"/>
        </w:rPr>
        <w:t>”</w:t>
      </w:r>
      <w:r>
        <w:rPr>
          <w:rFonts w:ascii="Times New Roman;sans-serif" w:hAnsi="Times New Roman;sans-serif"/>
          <w:b w:val="false"/>
          <w:color w:val="000000"/>
          <w:sz w:val="24"/>
        </w:rPr>
        <w:t>) after the Series 2024-2 Invested Amount is reduced to an amount less than or equal to 10% of the sum of the Class A Initial Invested Amount, the Class B Initial Invested Amount, the Class C Initial Invested Amount, the Class D Notes Initial Invested Amount, the Class R Initial Invested Amount and the aggregate principal amount of any Additional Class R Notes (the “</w:t>
      </w:r>
      <w:r>
        <w:rPr>
          <w:rFonts w:ascii="Times New Roman;sans-serif" w:hAnsi="Times New Roman;sans-serif"/>
          <w:b w:val="false"/>
          <w:color w:val="000000"/>
          <w:sz w:val="24"/>
          <w:u w:val="single"/>
        </w:rPr>
        <w:t>Series 2024-2 Repurchase Amount</w:t>
      </w:r>
      <w:r>
        <w:rPr>
          <w:color w:val="000000"/>
        </w:rPr>
        <w:t>”</w:t>
      </w:r>
      <w:r>
        <w:rPr>
          <w:rFonts w:ascii="Times New Roman;sans-serif" w:hAnsi="Times New Roman;sans-serif"/>
          <w:b w:val="false"/>
          <w:color w:val="000000"/>
          <w:sz w:val="24"/>
        </w:rPr>
        <w:t xml:space="preserve">). The repurchase price for any Series 2024-2 Note subject to a Clean-up Repurchase shall equal the aggregate outstanding principal balance of such Series 2024-2 Note (determined after giving effect to any payments of principal and interest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accrued and unpaid interest on such outstanding principal balance.</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(b)    The Series 2024-2 Notes shall also be subject to repurchase at the election of the ABRCF in accordance with Section 6.3 of the Base Indenture, in whole but not in part, on any Distribution Date (any such Distribution Date, an “</w:t>
      </w:r>
      <w:r>
        <w:rPr>
          <w:rFonts w:ascii="Times New Roman;sans-serif" w:hAnsi="Times New Roman;sans-serif"/>
          <w:b w:val="false"/>
          <w:color w:val="000000"/>
          <w:sz w:val="24"/>
          <w:u w:val="single"/>
        </w:rPr>
        <w:t>Optional Repurchase Distribution Date</w:t>
      </w:r>
      <w:r>
        <w:rPr>
          <w:color w:val="000000"/>
        </w:rPr>
        <w:t>”</w:t>
      </w:r>
      <w:r>
        <w:rPr>
          <w:rFonts w:ascii="Times New Roman;sans-serif" w:hAnsi="Times New Roman;sans-serif"/>
          <w:b w:val="false"/>
          <w:color w:val="000000"/>
          <w:sz w:val="24"/>
        </w:rPr>
        <w:t>) that occurs prior to the earlier to occur of (x) the commencement of the Series 2024-2 Rapid Amortization Period and (y) the Clean-up Repurchase Distribution Date (any such repurchase, an “</w:t>
      </w:r>
      <w:r>
        <w:rPr>
          <w:rFonts w:ascii="Times New Roman;sans-serif" w:hAnsi="Times New Roman;sans-serif"/>
          <w:b w:val="false"/>
          <w:color w:val="000000"/>
          <w:sz w:val="24"/>
          <w:u w:val="single"/>
        </w:rPr>
        <w:t>Optional Repurchase</w:t>
      </w:r>
      <w:r>
        <w:rPr>
          <w:color w:val="000000"/>
        </w:rPr>
        <w:t>”</w:t>
      </w:r>
      <w:r>
        <w:rPr>
          <w:rFonts w:ascii="Times New Roman;sans-serif" w:hAnsi="Times New Roman;sans-serif"/>
          <w:b w:val="false"/>
          <w:color w:val="000000"/>
          <w:sz w:val="24"/>
        </w:rPr>
        <w:t xml:space="preserve">). The repurchase price for any Series 2024-2 Note subject to an Optional Repurchase shall equal (1) the aggregate outstanding principal balance of such Series 2024-2 Note (determined after giving effect to any payments made pursuant to Section 2.5(a)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 xml:space="preserve">(2) accrued and unpaid interest on such outstanding principal balance (determined after giving effect to any payments made pursuant to Section 2.4 on such Distribution Date) </w:t>
      </w:r>
      <w:r>
        <w:rPr>
          <w:rFonts w:ascii="Times New Roman;sans-serif" w:hAnsi="Times New Roman;sans-serif"/>
          <w:b w:val="false"/>
          <w:color w:val="000000"/>
          <w:sz w:val="24"/>
          <w:u w:val="single"/>
        </w:rPr>
        <w:t>plus</w:t>
      </w:r>
      <w:r>
        <w:rPr>
          <w:color w:val="000000"/>
        </w:rPr>
        <w:t xml:space="preserve"> </w:t>
      </w:r>
      <w:r>
        <w:rPr>
          <w:rFonts w:ascii="Times New Roman;sans-serif" w:hAnsi="Times New Roman;sans-serif"/>
          <w:b w:val="false"/>
          <w:color w:val="000000"/>
          <w:sz w:val="24"/>
        </w:rPr>
        <w:t>(3) the Make Whole Payment with respect to such Series 2024-2 Note.</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5.2.    </w:t>
      </w:r>
      <w:r>
        <w:rPr>
          <w:rFonts w:ascii="Times New Roman;sans-serif" w:hAnsi="Times New Roman;sans-serif"/>
          <w:b w:val="false"/>
          <w:color w:val="000000"/>
          <w:sz w:val="24"/>
          <w:u w:val="single"/>
        </w:rPr>
        <w:t>Information</w:t>
      </w:r>
      <w:r>
        <w:rPr>
          <w:rFonts w:ascii="Times New Roman;sans-serif" w:hAnsi="Times New Roman;sans-serif"/>
          <w:b w:val="false"/>
          <w:color w:val="000000"/>
          <w:sz w:val="24"/>
        </w:rPr>
        <w:t xml:space="preserve">. The Trustee shall provide to the Series 2024-2 Noteholders, or their designated agent, copies of all information furnished to the Trustee or ABRCF pursuant to the Related Documents, as such information relates to the Series 2024-2 Notes or the Series 2024-2 Collateral. </w:t>
      </w:r>
    </w:p>
    <w:p>
      <w:pPr>
        <w:pStyle w:val="TextBody"/>
        <w:bidi w:val="0"/>
        <w:spacing w:lineRule="auto" w:line="288" w:before="0" w:after="60"/>
        <w:ind w:left="0" w:right="0" w:firstLine="1440"/>
        <w:jc w:val="both"/>
        <w:rPr/>
      </w:pPr>
      <w:r>
        <w:rPr>
          <w:rFonts w:ascii="Times New Roman;sans-serif" w:hAnsi="Times New Roman;sans-serif"/>
          <w:b w:val="false"/>
          <w:color w:val="000000"/>
          <w:sz w:val="24"/>
        </w:rPr>
        <w:t>Section 5.3.    </w:t>
      </w:r>
      <w:r>
        <w:rPr>
          <w:rFonts w:ascii="Times New Roman;sans-serif" w:hAnsi="Times New Roman;sans-serif"/>
          <w:b w:val="false"/>
          <w:color w:val="000000"/>
          <w:sz w:val="24"/>
          <w:u w:val="single"/>
        </w:rPr>
        <w:t>Exhibits</w:t>
      </w:r>
      <w:r>
        <w:rPr>
          <w:rFonts w:ascii="Times New Roman;sans-serif" w:hAnsi="Times New Roman;sans-serif"/>
          <w:b w:val="false"/>
          <w:color w:val="000000"/>
          <w:sz w:val="24"/>
        </w:rPr>
        <w:t>. The following exhibits attached hereto supplement the exhibits included in the Base Indenture.</w:t>
      </w:r>
    </w:p>
    <w:tbl>
      <w:tblPr>
        <w:tblW w:w="6795" w:type="dxa"/>
        <w:jc w:val="left"/>
        <w:tblInd w:w="0" w:type="dxa"/>
        <w:tblLayout w:type="fixed"/>
        <w:tblCellMar>
          <w:top w:w="28" w:type="dxa"/>
          <w:left w:w="28" w:type="dxa"/>
          <w:bottom w:w="28" w:type="dxa"/>
          <w:right w:w="28" w:type="dxa"/>
        </w:tblCellMar>
      </w:tblPr>
      <w:tblGrid>
        <w:gridCol w:w="473"/>
        <w:gridCol w:w="415"/>
        <w:gridCol w:w="417"/>
        <w:gridCol w:w="1608"/>
        <w:gridCol w:w="1608"/>
        <w:gridCol w:w="2274"/>
      </w:tblGrid>
      <w:tr>
        <w:trPr/>
        <w:tc>
          <w:tcPr>
            <w:tcW w:w="47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2024-2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2024-2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A-3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2024-2 Note, Class A</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2024-2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2024-2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B-3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2024-2 Note, Class B</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C-1</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2024-2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C-2</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2024-2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C-3</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2024-2 Note, Class C</w:t>
            </w:r>
          </w:p>
        </w:tc>
      </w:tr>
      <w:tr>
        <w:trPr/>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D</w:t>
            </w:r>
            <w:r>
              <w:rPr>
                <w:rFonts w:ascii="Times New Roman;sans-serif" w:hAnsi="Times New Roman;sans-serif"/>
                <w:b w:val="false"/>
                <w:color w:val="000000"/>
                <w:sz w:val="24"/>
              </w:rPr>
              <w:t>:</w:t>
            </w:r>
          </w:p>
        </w:tc>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Definitive Series 2024-2 Note, Class D</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75260"/>
                <wp:effectExtent l="0" t="0" r="0" b="0"/>
                <wp:wrapNone/>
                <wp:docPr id="648" name="Frame6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tbl>
      <w:tblPr>
        <w:tblW w:w="8414" w:type="dxa"/>
        <w:jc w:val="left"/>
        <w:tblInd w:w="0" w:type="dxa"/>
        <w:tblLayout w:type="fixed"/>
        <w:tblCellMar>
          <w:top w:w="28" w:type="dxa"/>
          <w:left w:w="28" w:type="dxa"/>
          <w:bottom w:w="28" w:type="dxa"/>
          <w:right w:w="28" w:type="dxa"/>
        </w:tblCellMar>
      </w:tblPr>
      <w:tblGrid>
        <w:gridCol w:w="489"/>
        <w:gridCol w:w="429"/>
        <w:gridCol w:w="431"/>
        <w:gridCol w:w="2070"/>
        <w:gridCol w:w="2070"/>
        <w:gridCol w:w="2925"/>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925"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E-1</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Restricted Global Series 2024-2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E-2</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Temporary Global Series 2024-2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E-3</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Permanent Global Series 2024-2 Note, Class R</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F</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Series 2024-2 Demand Note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G</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Multi-Series Letter of Credit</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H</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Lease Payment Deficit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I</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Demand Notice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J</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Supplemental Indenture No. 4 to the Base Indenture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K</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4"/>
                <w:u w:val="single"/>
              </w:rPr>
              <w:t>Exhibit L</w:t>
            </w:r>
            <w:r>
              <w:rPr>
                <w:rFonts w:ascii="Times New Roman;sans-serif" w:hAnsi="Times New Roman;sans-serif"/>
                <w:b w:val="false"/>
                <w:color w:val="000000"/>
                <w:sz w:val="24"/>
              </w:rPr>
              <w: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Finance Lease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M:</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N:</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 Finance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O:</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AESOP II Operating Lease </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P:</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Master Exchange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Q:</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Escrow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R:</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Administration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S:</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AESOP II Operating Lease Loan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T:</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Original AESOP Nominee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U:</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Amendment to the Disposition Agent 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V:</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Form of Amendment to the Back-up Administration </w:t>
              <w:br/>
              <w:t>Agreement</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W-1:</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(Transferee)</w:t>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 W-2:</w:t>
            </w:r>
          </w:p>
        </w:tc>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Form of Transfer Certificate for Class D Notes (Transferor)</w:t>
            </w:r>
          </w:p>
        </w:tc>
      </w:tr>
    </w:tbl>
    <w:p>
      <w:pPr>
        <w:pStyle w:val="TextBody"/>
        <w:bidi w:val="0"/>
        <w:spacing w:lineRule="auto" w:line="288" w:before="240" w:after="120"/>
        <w:ind w:left="0" w:right="0" w:firstLine="1440"/>
        <w:jc w:val="both"/>
        <w:rPr/>
      </w:pPr>
      <w:r>
        <w:rPr>
          <w:rFonts w:ascii="Times New Roman;sans-serif" w:hAnsi="Times New Roman;sans-serif"/>
          <w:b w:val="false"/>
          <w:color w:val="000000"/>
          <w:sz w:val="24"/>
        </w:rPr>
        <w:t>Section 5.4.    </w:t>
      </w:r>
      <w:r>
        <w:rPr>
          <w:rFonts w:ascii="Times New Roman;sans-serif" w:hAnsi="Times New Roman;sans-serif"/>
          <w:b w:val="false"/>
          <w:color w:val="000000"/>
          <w:sz w:val="24"/>
          <w:u w:val="single"/>
        </w:rPr>
        <w:t>Ratification of Base Indenture</w:t>
      </w:r>
      <w:r>
        <w:rPr>
          <w:rFonts w:ascii="Times New Roman;sans-serif" w:hAnsi="Times New Roman;sans-serif"/>
          <w:b w:val="false"/>
          <w:color w:val="000000"/>
          <w:sz w:val="24"/>
        </w:rPr>
        <w:t>. As supplemented by this Supplement, the Base Indenture is in all respects ratified and confirmed and the Base Indenture as so supplemented by this Supplement shall be read, taken, and construed as one and the same instrument.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5.5.    </w:t>
      </w:r>
      <w:r>
        <w:rPr>
          <w:rFonts w:ascii="Times New Roman;sans-serif" w:hAnsi="Times New Roman;sans-serif"/>
          <w:b w:val="false"/>
          <w:color w:val="000000"/>
          <w:sz w:val="24"/>
          <w:u w:val="single"/>
        </w:rPr>
        <w:t>Counterparts</w:t>
      </w:r>
      <w:r>
        <w:rPr>
          <w:rFonts w:ascii="Times New Roman;sans-serif" w:hAnsi="Times New Roman;sans-serif"/>
          <w:b w:val="false"/>
          <w:color w:val="000000"/>
          <w:sz w:val="24"/>
        </w:rPr>
        <w:t>. This Supplement may be executed in any number of counterparts, each of which so executed shall be deemed to be an original, but all of such counterparts shall together constitute but one and the same instrument.</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5.6.    </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Supplement shall be construed in accordance with the law of the State of New York, and the obligations, rights and remedies of the parties hereto shall be determined in accordance with such law.</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5.7.    </w:t>
      </w:r>
      <w:r>
        <w:rPr>
          <w:rFonts w:ascii="Times New Roman;sans-serif" w:hAnsi="Times New Roman;sans-serif"/>
          <w:b w:val="false"/>
          <w:color w:val="000000"/>
          <w:sz w:val="24"/>
          <w:u w:val="single"/>
        </w:rPr>
        <w:t>Amendments</w:t>
      </w:r>
      <w:r>
        <w:rPr>
          <w:rFonts w:ascii="Times New Roman;sans-serif" w:hAnsi="Times New Roman;sans-serif"/>
          <w:b w:val="false"/>
          <w:color w:val="000000"/>
          <w:sz w:val="24"/>
        </w:rPr>
        <w:t xml:space="preserve">. This Supplement may be modified or amended from time to time in accordance with the terms of the Base Indenture;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if, pursuant to the terms of the Base Indenture or this Supplement, the consent of the Required Noteholders is required for an amendment or modification of this Supplement or any other Related Document, such requirement shall be satisfied if such amendment or modification is consented to </w:t>
      </w:r>
    </w:p>
    <w:p>
      <w:pPr>
        <w:pStyle w:val="TextBody"/>
        <w:bidi w:val="0"/>
        <w:spacing w:before="0" w:after="0"/>
        <w:jc w:val="center"/>
        <w:rPr/>
      </w:pPr>
      <w:r>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6480175" cy="175260"/>
                <wp:effectExtent l="0" t="0" r="0" b="0"/>
                <wp:wrapNone/>
                <wp:docPr id="649" name="Frame6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8" w:before="0" w:after="120"/>
        <w:jc w:val="both"/>
        <w:rPr/>
      </w:pPr>
      <w:r>
        <w:rPr>
          <w:rFonts w:ascii="Times New Roman;sans-serif" w:hAnsi="Times New Roman;sans-serif"/>
          <w:b w:val="false"/>
          <w:color w:val="000000"/>
          <w:sz w:val="24"/>
        </w:rPr>
        <w:br/>
        <w:t xml:space="preserve">by the Requisite Series 2024-2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(A) so long as (i) no Amortization Event has occurred and is continuing and (ii) the Rating Agency Consent Condition is met with respect to the outstanding Series 2024-2 Notes, ABRCF shall be able to either (x) (1) decrease or increase any of the Class A/B/C Maximum Amounts and make any related modification to a defined term that includes “Moody’s” in such defined term or (y) include a new Class A/B/C Maximum Amount and related amendments for any Manufacturer that becomes an Eligible Non-Program Manufacturer or Eligible Program Manufacturer after the Class A/B/C Notes Closing Date and make any related modification to a defined term that includes “Moody’s” in such defined term, in each case, at any time without the consent of the Class A/B/C Noteholders and (2) decrease or increase any of the Class D Maximum Amounts and make any related modification to a defined term that includes “Moody’s” in such defined term or (y) include a new Class D Maximum Amount and related amendments for any Manufacturer that becomes an Eligible Non-Program Manufacturer or Eligible Program Manufacturer after the Class D Notes Closing Date and make any related modification to a defined term that includes “Moody’s” in such defined term, in each case, at any time without the consent of the Class D Noteholders and (B) ABRCF shall be able to modify or amend any Series 2024-2 Maximum Amount at any time with the consent of a Requisite Series 2024-2 Noteholders;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notwithstanding anything to the contrary contained in this Supplement, any Related Document or Section 12.2 of the Base Indenture, ABRCF shall be able to modify or amend any Supplement with respect to any Variable Funding Notes without the consent of the Required Noteholders hereunder or satisfaction of the Rating Agency Consent Condition or Rating Agency Confirmation Condition, in each case, if (x) such capability is provided for in such Supplement and (y) such modification or amendment has no material adverse effect on any outstanding Series of Notes (other than any Variable Funding Notes);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that, notwithstanding anything in this Section 5.7 or Article 8 or Article 12 of the Base Indenture to the contrary, this Supplement may be amended or modified to provide for a re-marketing and/or offering and sale of the Class D Notes, including, but not limited to, modifications to enhancement provisions, economics and clearing and transfer restrictions, in each case, with respect to the Class D Notes, solely with (x) the consent of the Class D Noteholders (and without the consent of any other Series 2024-2 Noteholders) and (y) satisfaction of the Rating Agency Consent Condition.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5.8.    </w:t>
      </w:r>
      <w:r>
        <w:rPr>
          <w:rFonts w:ascii="Times New Roman;sans-serif" w:hAnsi="Times New Roman;sans-serif"/>
          <w:b w:val="false"/>
          <w:color w:val="000000"/>
          <w:sz w:val="24"/>
          <w:u w:val="single"/>
        </w:rPr>
        <w:t>Discharge of Base Indenture</w:t>
      </w:r>
      <w:r>
        <w:rPr>
          <w:rFonts w:ascii="Times New Roman;sans-serif" w:hAnsi="Times New Roman;sans-serif"/>
          <w:b w:val="false"/>
          <w:color w:val="000000"/>
          <w:sz w:val="24"/>
        </w:rPr>
        <w:t>. Notwithstanding anything to the contrary contained in the Base Indenture, no discharge of the Indenture pursuant to Section 11.1(b) of the Base Indenture will be effective as to the Series 2024-2 Notes without the consent of the Requisite Series 2024-2 Noteholders.</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5.9.    </w:t>
      </w:r>
      <w:r>
        <w:rPr>
          <w:rFonts w:ascii="Times New Roman;sans-serif" w:hAnsi="Times New Roman;sans-serif"/>
          <w:b w:val="false"/>
          <w:color w:val="000000"/>
          <w:sz w:val="24"/>
          <w:u w:val="single"/>
        </w:rPr>
        <w:t>Notice to Rating Agencies</w:t>
      </w:r>
      <w:r>
        <w:rPr>
          <w:rFonts w:ascii="Times New Roman;sans-serif" w:hAnsi="Times New Roman;sans-serif"/>
          <w:b w:val="false"/>
          <w:color w:val="000000"/>
          <w:sz w:val="24"/>
        </w:rPr>
        <w:t xml:space="preserve">. The Trustee shall provide to each Rating Agency a copy of (x) each notice, opinion of counsel, certificate or other item delivered to, or required to be provided by, the Trustee pursuant to this Supplement or any other Related Document and (y) any amendment or modification hereto pursuant to this Supplement or any other Related Document. </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5.10.    </w:t>
      </w:r>
      <w:r>
        <w:rPr>
          <w:rFonts w:ascii="Times New Roman;sans-serif" w:hAnsi="Times New Roman;sans-serif"/>
          <w:b w:val="false"/>
          <w:color w:val="000000"/>
          <w:sz w:val="24"/>
          <w:u w:val="single"/>
        </w:rPr>
        <w:t>Capitalization of ABRCF</w:t>
      </w:r>
      <w:r>
        <w:rPr>
          <w:rFonts w:ascii="Times New Roman;sans-serif" w:hAnsi="Times New Roman;sans-serif"/>
          <w:b w:val="false"/>
          <w:color w:val="000000"/>
          <w:sz w:val="24"/>
        </w:rPr>
        <w:t xml:space="preserve">. ABRCF agrees that on the Class D Notes Closing Date it will have capitalization in an amount equal to or greater than 3% of the sum of (x) the Series 2024-2 Invested Amount and (y) the invested amount of the Series 2010-6 Notes, the Series 2011-4 Notes, the Series 2015-3 Notes, the Series 2019-2 Notes, the Series 2019-3 Notes, the Series 2020-1 Notes, the Series 2020-2 Notes, the Series 2021-1 Notes, the Series 2021-2 </w:t>
      </w:r>
    </w:p>
    <w:p>
      <w:pPr>
        <w:pStyle w:val="TextBody"/>
        <w:bidi w:val="0"/>
        <w:spacing w:before="0" w:after="0"/>
        <w:jc w:val="center"/>
        <w:rPr/>
      </w:pPr>
      <w:r>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6480175" cy="175260"/>
                <wp:effectExtent l="0" t="0" r="0" b="0"/>
                <wp:wrapNone/>
                <wp:docPr id="650" name="Frame6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8" w:before="0" w:after="120"/>
        <w:jc w:val="both"/>
        <w:rPr>
          <w:rFonts w:ascii="Times New Roman;sans-serif" w:hAnsi="Times New Roman;sans-serif"/>
          <w:b w:val="false"/>
          <w:color w:val="000000"/>
          <w:sz w:val="24"/>
        </w:rPr>
      </w:pPr>
      <w:r>
        <w:rPr>
          <w:rFonts w:ascii="Times New Roman;sans-serif" w:hAnsi="Times New Roman;sans-serif"/>
          <w:b w:val="false"/>
          <w:color w:val="000000"/>
          <w:sz w:val="24"/>
        </w:rPr>
        <w:br/>
        <w:t>Notes, the Series 2022-1 Notes, the Series 2022-3 Notes, the Series 2022-4 Notes, the Series 2022-5 Notes, the Series 2023-1 Notes, the Series 2023-2 Notes, the Series 2023-3 Notes, the Series 2023-4 Notes, the Series 2023-5 Notes, the Series 2023-6 Notes, the Series 2023-7 Notes, the Series 2023-8 Notes, the Series 2024-1 Notes and the Series 2024-3 Notes.</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5.11.    </w:t>
      </w:r>
      <w:r>
        <w:rPr>
          <w:rFonts w:ascii="Times New Roman;sans-serif" w:hAnsi="Times New Roman;sans-serif"/>
          <w:b w:val="false"/>
          <w:color w:val="000000"/>
          <w:sz w:val="24"/>
          <w:u w:val="single"/>
        </w:rPr>
        <w:t>Required Noteholders</w:t>
      </w:r>
      <w:r>
        <w:rPr>
          <w:rFonts w:ascii="Times New Roman;sans-serif" w:hAnsi="Times New Roman;sans-serif"/>
          <w:b w:val="false"/>
          <w:color w:val="000000"/>
          <w:sz w:val="24"/>
        </w:rPr>
        <w:t xml:space="preserve">. Subject to Section 5.7 above, any action pursuant to Section 5.6, Section 8.13 or Article 9 of the Base Indenture that requires the consent of, or is permissible at the direction of, the Required Noteholders with respect to the Series 2024-2 Notes pursuant to the Base Indenture shall only be allowed with the consent of, or at the direction of, the Required Controlling Class Series 2024-2 Noteholders. Any other action pursuant to any Related Document which requires the consent or approval of, or the waiver by, the Required Noteholders with respect to the Series 2024-2 Notes shall require the consent or approval of, or waiver by, the Requisite Series 2024-2 Noteholders. </w:t>
      </w:r>
    </w:p>
    <w:p>
      <w:pPr>
        <w:pStyle w:val="TextBody"/>
        <w:bidi w:val="0"/>
        <w:spacing w:lineRule="auto" w:line="288" w:before="0" w:after="180"/>
        <w:ind w:left="0" w:right="0" w:firstLine="1440"/>
        <w:jc w:val="both"/>
        <w:rPr/>
      </w:pPr>
      <w:r>
        <w:rPr>
          <w:rFonts w:ascii="Times New Roman;sans-serif" w:hAnsi="Times New Roman;sans-serif"/>
          <w:b w:val="false"/>
          <w:color w:val="000000"/>
          <w:sz w:val="24"/>
        </w:rPr>
        <w:t>Section 5.12.    </w:t>
      </w:r>
      <w:r>
        <w:rPr>
          <w:rFonts w:ascii="Times New Roman;sans-serif" w:hAnsi="Times New Roman;sans-serif"/>
          <w:b w:val="false"/>
          <w:color w:val="000000"/>
          <w:sz w:val="24"/>
          <w:u w:val="single"/>
        </w:rPr>
        <w:t>Series 2024-2 Demand Notes</w:t>
      </w:r>
      <w:r>
        <w:rPr>
          <w:rFonts w:ascii="Times New Roman;sans-serif" w:hAnsi="Times New Roman;sans-serif"/>
          <w:b w:val="false"/>
          <w:color w:val="000000"/>
          <w:sz w:val="24"/>
        </w:rPr>
        <w:t>. Other than pursuant to a demand thereon pursuant to Section 2.5, ABRCF shall not reduce the amount of the Series 2024-2 Demand Notes or forgive amounts payable thereunder so that the outstanding principal amount of the Series 2024-2 Demand Notes after such reduction or forgiveness is less than the sum of (x) the Class A/B/C Letter of Credit Liquidity Amount plus (y) the Class D Letter of Credit Liquidity Amount. ABRCF shall not agree to any amendment of the Series 2024-2 Demand Notes without first satisfying the Rating Agency Confirmation Condition and the Rating Agency Consent Condition.</w:t>
      </w:r>
    </w:p>
    <w:p>
      <w:pPr>
        <w:pStyle w:val="TextBody"/>
        <w:bidi w:val="0"/>
        <w:spacing w:lineRule="auto" w:line="288" w:before="0" w:after="120"/>
        <w:ind w:left="0" w:right="0" w:firstLine="1440"/>
        <w:jc w:val="both"/>
        <w:rPr/>
      </w:pPr>
      <w:r>
        <w:rPr>
          <w:rFonts w:ascii="Times New Roman;sans-serif" w:hAnsi="Times New Roman;sans-serif"/>
          <w:b w:val="false"/>
          <w:color w:val="000000"/>
          <w:sz w:val="24"/>
        </w:rPr>
        <w:t>Section 5.13.    </w:t>
      </w:r>
      <w:r>
        <w:rPr>
          <w:rFonts w:ascii="Times New Roman;sans-serif" w:hAnsi="Times New Roman;sans-serif"/>
          <w:b w:val="false"/>
          <w:color w:val="000000"/>
          <w:sz w:val="24"/>
          <w:u w:val="single"/>
        </w:rPr>
        <w:t>Termination of Supplement</w:t>
      </w:r>
      <w:r>
        <w:rPr>
          <w:rFonts w:ascii="Times New Roman;sans-serif" w:hAnsi="Times New Roman;sans-serif"/>
          <w:b w:val="false"/>
          <w:color w:val="000000"/>
          <w:sz w:val="24"/>
        </w:rPr>
        <w:t>. This Supplement shall cease to be of further effect when all outstanding Series 2024-2 Notes theretofore authenticated and issued have been delivered (other than destroyed, lost, or stolen Series 2024-2 Notes which have been replaced or paid) to the Trustee for cancellation, ABRCF has paid all sums payable hereunder, and, if the Series 2024-2 Demand Note Payment Amount on the Multi-Series Letter of Credit Termination Date was greater than zero, all amounts have been withdrawn from the Series 2024-2 Cash Collateral Accounts in accordance with Section 2.8(m).</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5.14.    </w:t>
      </w:r>
      <w:r>
        <w:rPr>
          <w:rFonts w:ascii="Times New Roman;sans-serif" w:hAnsi="Times New Roman;sans-serif"/>
          <w:b w:val="false"/>
          <w:color w:val="000000"/>
          <w:sz w:val="24"/>
          <w:u w:val="single"/>
        </w:rPr>
        <w:t>Noteholder Consent to Certain Amendments</w:t>
      </w:r>
      <w:r>
        <w:rPr>
          <w:rFonts w:ascii="Times New Roman;sans-serif" w:hAnsi="Times New Roman;sans-serif"/>
          <w:b w:val="false"/>
          <w:color w:val="000000"/>
          <w:sz w:val="24"/>
        </w:rPr>
        <w:t xml:space="preserve">. Each Series 2024-2 Noteholder, upon any acquisition of a Series 2024-2 Note, will be deemed to agree and consent to (i) the execution by ABRCF of a Supplemental Indenture to the Base Indenture substantially in the form of </w:t>
      </w:r>
      <w:r>
        <w:rPr>
          <w:rFonts w:ascii="Times New Roman;sans-serif" w:hAnsi="Times New Roman;sans-serif"/>
          <w:b w:val="false"/>
          <w:color w:val="000000"/>
          <w:sz w:val="24"/>
          <w:u w:val="single"/>
        </w:rPr>
        <w:t>Exhibit J</w:t>
      </w:r>
      <w:r>
        <w:rPr>
          <w:color w:val="000000"/>
        </w:rPr>
        <w:t xml:space="preserve"> </w:t>
      </w:r>
      <w:r>
        <w:rPr>
          <w:rFonts w:ascii="Times New Roman;sans-serif" w:hAnsi="Times New Roman;sans-serif"/>
          <w:b w:val="false"/>
          <w:color w:val="000000"/>
          <w:sz w:val="24"/>
        </w:rPr>
        <w:t xml:space="preserve">hereto, (ii) the execution of an amendment to the AESOP I Operating Lease substantially in the form of </w:t>
      </w:r>
      <w:r>
        <w:rPr>
          <w:rFonts w:ascii="Times New Roman;sans-serif" w:hAnsi="Times New Roman;sans-serif"/>
          <w:b w:val="false"/>
          <w:color w:val="000000"/>
          <w:sz w:val="24"/>
          <w:u w:val="single"/>
        </w:rPr>
        <w:t>Exhibit K</w:t>
      </w:r>
      <w:r>
        <w:rPr>
          <w:color w:val="000000"/>
        </w:rPr>
        <w:t xml:space="preserve"> </w:t>
      </w:r>
      <w:r>
        <w:rPr>
          <w:rFonts w:ascii="Times New Roman;sans-serif" w:hAnsi="Times New Roman;sans-serif"/>
          <w:b w:val="false"/>
          <w:color w:val="000000"/>
          <w:sz w:val="24"/>
        </w:rPr>
        <w:t xml:space="preserve">hereto, (iii) the execution of an amendment to the Finance Lease substantially in the form of </w:t>
      </w:r>
      <w:r>
        <w:rPr>
          <w:rFonts w:ascii="Times New Roman;sans-serif" w:hAnsi="Times New Roman;sans-serif"/>
          <w:b w:val="false"/>
          <w:color w:val="000000"/>
          <w:sz w:val="24"/>
          <w:u w:val="single"/>
        </w:rPr>
        <w:t>Exhibit L</w:t>
      </w:r>
      <w:r>
        <w:rPr>
          <w:color w:val="000000"/>
        </w:rPr>
        <w:t xml:space="preserve"> </w:t>
      </w:r>
      <w:r>
        <w:rPr>
          <w:rFonts w:ascii="Times New Roman;sans-serif" w:hAnsi="Times New Roman;sans-serif"/>
          <w:b w:val="false"/>
          <w:color w:val="000000"/>
          <w:sz w:val="24"/>
        </w:rPr>
        <w:t xml:space="preserve">hereto, (iv) the execution of an amendment to the AESOP I Operating Lease Loan Agreement substantially in the form of </w:t>
      </w:r>
      <w:r>
        <w:rPr>
          <w:rFonts w:ascii="Times New Roman;sans-serif" w:hAnsi="Times New Roman;sans-serif"/>
          <w:b w:val="false"/>
          <w:color w:val="000000"/>
          <w:sz w:val="24"/>
          <w:u w:val="single"/>
        </w:rPr>
        <w:t>Exhibit M</w:t>
      </w:r>
      <w:r>
        <w:rPr>
          <w:color w:val="000000"/>
        </w:rPr>
        <w:t xml:space="preserve"> </w:t>
      </w:r>
      <w:r>
        <w:rPr>
          <w:rFonts w:ascii="Times New Roman;sans-serif" w:hAnsi="Times New Roman;sans-serif"/>
          <w:b w:val="false"/>
          <w:color w:val="000000"/>
          <w:sz w:val="24"/>
        </w:rPr>
        <w:t xml:space="preserve">hereto, (v) the execution of an amendment to the AESOP I Finance Lease Loan Agreement substantially in the form of </w:t>
      </w:r>
      <w:r>
        <w:rPr>
          <w:rFonts w:ascii="Times New Roman;sans-serif" w:hAnsi="Times New Roman;sans-serif"/>
          <w:b w:val="false"/>
          <w:color w:val="000000"/>
          <w:sz w:val="24"/>
          <w:u w:val="single"/>
        </w:rPr>
        <w:t>Exhibit N</w:t>
      </w:r>
      <w:r>
        <w:rPr>
          <w:color w:val="000000"/>
        </w:rPr>
        <w:t xml:space="preserve"> </w:t>
      </w:r>
      <w:r>
        <w:rPr>
          <w:rFonts w:ascii="Times New Roman;sans-serif" w:hAnsi="Times New Roman;sans-serif"/>
          <w:b w:val="false"/>
          <w:color w:val="000000"/>
          <w:sz w:val="24"/>
        </w:rPr>
        <w:t xml:space="preserve">hereto, (vi) the execution of an amendment to the AESOP II Operating Lease substantially in the form of </w:t>
      </w:r>
      <w:r>
        <w:rPr>
          <w:rFonts w:ascii="Times New Roman;sans-serif" w:hAnsi="Times New Roman;sans-serif"/>
          <w:b w:val="false"/>
          <w:color w:val="000000"/>
          <w:sz w:val="24"/>
          <w:u w:val="single"/>
        </w:rPr>
        <w:t>Exhibit O</w:t>
      </w:r>
      <w:r>
        <w:rPr>
          <w:color w:val="000000"/>
        </w:rPr>
        <w:t xml:space="preserve"> </w:t>
      </w:r>
      <w:r>
        <w:rPr>
          <w:rFonts w:ascii="Times New Roman;sans-serif" w:hAnsi="Times New Roman;sans-serif"/>
          <w:b w:val="false"/>
          <w:color w:val="000000"/>
          <w:sz w:val="24"/>
        </w:rPr>
        <w:t xml:space="preserve">hereto, (vii) the execution of an amendment to the Master Exchange Agreement substantially in the form of </w:t>
      </w:r>
      <w:r>
        <w:rPr>
          <w:rFonts w:ascii="Times New Roman;sans-serif" w:hAnsi="Times New Roman;sans-serif"/>
          <w:b w:val="false"/>
          <w:color w:val="000000"/>
          <w:sz w:val="24"/>
          <w:u w:val="single"/>
        </w:rPr>
        <w:t>Exhibit P</w:t>
      </w:r>
      <w:r>
        <w:rPr>
          <w:color w:val="000000"/>
        </w:rPr>
        <w:t xml:space="preserve"> </w:t>
      </w:r>
      <w:r>
        <w:rPr>
          <w:rFonts w:ascii="Times New Roman;sans-serif" w:hAnsi="Times New Roman;sans-serif"/>
          <w:b w:val="false"/>
          <w:color w:val="000000"/>
          <w:sz w:val="24"/>
        </w:rPr>
        <w:t xml:space="preserve">hereto, (viii) the execution of an amendment to the Escrow Agreement substantially in the form of </w:t>
      </w:r>
      <w:r>
        <w:rPr>
          <w:rFonts w:ascii="Times New Roman;sans-serif" w:hAnsi="Times New Roman;sans-serif"/>
          <w:b w:val="false"/>
          <w:color w:val="000000"/>
          <w:sz w:val="24"/>
          <w:u w:val="single"/>
        </w:rPr>
        <w:t>Exhibit Q</w:t>
      </w:r>
      <w:r>
        <w:rPr>
          <w:color w:val="000000"/>
        </w:rPr>
        <w:t xml:space="preserve"> </w:t>
      </w:r>
      <w:r>
        <w:rPr>
          <w:rFonts w:ascii="Times New Roman;sans-serif" w:hAnsi="Times New Roman;sans-serif"/>
          <w:b w:val="false"/>
          <w:color w:val="000000"/>
          <w:sz w:val="24"/>
        </w:rPr>
        <w:t xml:space="preserve">hereto, (ix) the execution of an amendment to the Administration Agreement substantially in the form of </w:t>
      </w:r>
      <w:r>
        <w:rPr>
          <w:rFonts w:ascii="Times New Roman;sans-serif" w:hAnsi="Times New Roman;sans-serif"/>
          <w:b w:val="false"/>
          <w:color w:val="000000"/>
          <w:sz w:val="24"/>
          <w:u w:val="single"/>
        </w:rPr>
        <w:t>Exhibit R</w:t>
      </w:r>
      <w:r>
        <w:rPr>
          <w:color w:val="000000"/>
        </w:rPr>
        <w:t xml:space="preserve"> </w:t>
      </w:r>
      <w:r>
        <w:rPr>
          <w:rFonts w:ascii="Times New Roman;sans-serif" w:hAnsi="Times New Roman;sans-serif"/>
          <w:b w:val="false"/>
          <w:color w:val="000000"/>
          <w:sz w:val="24"/>
        </w:rPr>
        <w:t xml:space="preserve">hereto, (x) the execution of an amendment to the AESOP II Operating Lease Loan Agreement substantially in the form of </w:t>
      </w:r>
      <w:r>
        <w:rPr>
          <w:rFonts w:ascii="Times New Roman;sans-serif" w:hAnsi="Times New Roman;sans-serif"/>
          <w:b w:val="false"/>
          <w:color w:val="000000"/>
          <w:sz w:val="24"/>
          <w:u w:val="single"/>
        </w:rPr>
        <w:t>Exhibit S</w:t>
      </w:r>
      <w:r>
        <w:rPr>
          <w:color w:val="000000"/>
        </w:rPr>
        <w:t xml:space="preserve"> </w:t>
      </w:r>
      <w:r>
        <w:rPr>
          <w:rFonts w:ascii="Times New Roman;sans-serif" w:hAnsi="Times New Roman;sans-serif"/>
          <w:b w:val="false"/>
          <w:color w:val="000000"/>
          <w:sz w:val="24"/>
        </w:rPr>
        <w:t xml:space="preserve">hereto, (xi) the execution of an amendment to the Original AESOP Nominee Agreement substantially in the form of </w:t>
      </w:r>
      <w:r>
        <w:rPr>
          <w:rFonts w:ascii="Times New Roman;sans-serif" w:hAnsi="Times New Roman;sans-serif"/>
          <w:b w:val="false"/>
          <w:color w:val="000000"/>
          <w:sz w:val="24"/>
          <w:u w:val="single"/>
        </w:rPr>
        <w:t>Exhibit T</w:t>
      </w:r>
      <w:r>
        <w:rPr>
          <w:color w:val="000000"/>
        </w:rPr>
        <w:t xml:space="preserve"> </w:t>
      </w:r>
      <w:r>
        <w:rPr>
          <w:rFonts w:ascii="Times New Roman;sans-serif" w:hAnsi="Times New Roman;sans-serif"/>
          <w:b w:val="false"/>
          <w:color w:val="000000"/>
          <w:sz w:val="24"/>
        </w:rPr>
        <w:t xml:space="preserve">hereto, (xii) the execution of an amendment to the Disposition Agent Agreement substantially in the form of </w:t>
      </w:r>
      <w:r>
        <w:rPr>
          <w:rFonts w:ascii="Times New Roman;sans-serif" w:hAnsi="Times New Roman;sans-serif"/>
          <w:b w:val="false"/>
          <w:color w:val="000000"/>
          <w:sz w:val="24"/>
          <w:u w:val="single"/>
        </w:rPr>
        <w:t>Exhibit U</w:t>
      </w:r>
      <w:r>
        <w:rPr>
          <w:color w:val="000000"/>
        </w:rPr>
        <w:t xml:space="preserve"> </w:t>
      </w:r>
      <w:r>
        <w:rPr>
          <w:rFonts w:ascii="Times New Roman;sans-serif" w:hAnsi="Times New Roman;sans-serif"/>
          <w:b w:val="false"/>
          <w:color w:val="000000"/>
          <w:sz w:val="24"/>
        </w:rPr>
        <w:t xml:space="preserve">hereto </w:t>
      </w:r>
    </w:p>
    <w:p>
      <w:pPr>
        <w:pStyle w:val="TextBody"/>
        <w:bidi w:val="0"/>
        <w:spacing w:before="0" w:after="0"/>
        <w:jc w:val="center"/>
        <w:rPr/>
      </w:pPr>
      <w:r>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6480175" cy="175260"/>
                <wp:effectExtent l="0" t="0" r="0" b="0"/>
                <wp:wrapNone/>
                <wp:docPr id="651" name="Frame6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br/>
        <w:t xml:space="preserve">and (xiii) the execution of an amendment to the Back-up Administration Agreement substantially in the form of </w:t>
      </w:r>
      <w:r>
        <w:rPr>
          <w:rFonts w:ascii="Times New Roman;sans-serif" w:hAnsi="Times New Roman;sans-serif"/>
          <w:b w:val="false"/>
          <w:color w:val="000000"/>
          <w:sz w:val="24"/>
          <w:u w:val="single"/>
        </w:rPr>
        <w:t>Exhibit V</w:t>
      </w:r>
      <w:r>
        <w:rPr>
          <w:color w:val="000000"/>
        </w:rPr>
        <w:t xml:space="preserve"> </w:t>
      </w:r>
      <w:r>
        <w:rPr>
          <w:rFonts w:ascii="Times New Roman;sans-serif" w:hAnsi="Times New Roman;sans-serif"/>
          <w:b w:val="false"/>
          <w:color w:val="000000"/>
          <w:sz w:val="24"/>
        </w:rPr>
        <w:t xml:space="preserve">hereto. Such deemed consent will apply to each proposed amendment set forth in </w:t>
      </w:r>
      <w:r>
        <w:rPr>
          <w:rFonts w:ascii="Times New Roman;sans-serif" w:hAnsi="Times New Roman;sans-serif"/>
          <w:b w:val="false"/>
          <w:color w:val="000000"/>
          <w:sz w:val="24"/>
          <w:u w:val="single"/>
        </w:rPr>
        <w:t>Exhibits J</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K</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L</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M</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N</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O</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Q</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R</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S</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U</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V</w:t>
      </w:r>
      <w:r>
        <w:rPr>
          <w:color w:val="000000"/>
        </w:rPr>
        <w:t xml:space="preserve"> </w:t>
      </w:r>
      <w:r>
        <w:rPr>
          <w:rFonts w:ascii="Times New Roman;sans-serif" w:hAnsi="Times New Roman;sans-serif"/>
          <w:b w:val="false"/>
          <w:color w:val="000000"/>
          <w:sz w:val="24"/>
        </w:rPr>
        <w:t>individually, and the failure to adopt any of the amendments set forth therein will not revoke the consent with respect to any other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5.15.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5.16.    </w:t>
      </w:r>
      <w:r>
        <w:rPr>
          <w:rFonts w:ascii="Times New Roman;sans-serif" w:hAnsi="Times New Roman;sans-serif"/>
          <w:b w:val="false"/>
          <w:color w:val="000000"/>
          <w:sz w:val="24"/>
          <w:u w:val="single"/>
        </w:rPr>
        <w:t>Confidential Information</w:t>
      </w:r>
      <w:r>
        <w:rPr>
          <w:rFonts w:ascii="Times New Roman;sans-serif" w:hAnsi="Times New Roman;sans-serif"/>
          <w:b w:val="false"/>
          <w:color w:val="000000"/>
          <w:sz w:val="24"/>
        </w:rPr>
        <w:t xml:space="preserve">. (a)  The Trustee and each Series 2024-2 Note Owner agrees, by its acceptance and holding of a beneficial interest in a Series 2024-2 Note, to maintain the confidentiality of all Confidential Information in accordance with procedures adopted by the Trustee or such Series 2024-2 Note Owner in good faith to protect confidential information of third parties delivered to such Person;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such Person may deliver or disclose Confidential Information to: (i) such Person’s directors, trustees, officers, employees, agents, attorneys, independent or internal auditors and affiliates who agree to hold confidential the Confidential Information substantially in accordance with the terms of this Section 5.16; (ii) such Person’s financial advisors and other professional advisors who agree to hold confidential the Confidential Information substantially in accordance with the terms of this Section 5.16; (iii) any other Series 2024-2 Note Owner; (iv) any Person of the type that would be, to such Person’s knowledge, permitted to acquire an interest in the Series 2024-2 Notes in accordance with the requirements of the Indenture to which such Person sells or offers to sell any such Series 2024-2 Note or any part thereof and that agrees to hold confidential the Confidential Information substantially in accordance with this Section 5.16 (or in accordance with such other confidentiality procedures as are acceptable to ABRCF); (v) any federal or state or other regulatory, governmental or judicial authority having jurisdiction over such Person; (vi) the National Association of Insurance Commissioners or any similar organization, or any nationally recognized rating agency that requires access to information about the investment portfolio of such Person, (vii) any reinsurers or liquidity or credit providers that agree to hold confidential the Confidential Information substantially in accordance with this Section 5.16 (or in accordance with such other confidentiality procedures as are acceptable to ABRCF); (viii) any other Person with the consent of ABRCF; or (ix) any other Person to which such delivery or disclosure may be necessary or appropriate (A) to effect compliance with any law, rule, regulation, statute or order applicable to such Person, (B) in response to any subpoena or other legal process upon prior notice to ABRCF (unless prohibited by applicable law, rule, order or decree or other requirement having the force of law), (C) in connection with any litigation to which such Person is a party upon prior notice to ABRCF (unless prohibited by applicable law, rule, order or decree or other requirement having the force of law) or (D) if an Amortization Event with respect to the Series 2024-2 Notes has occurred and is continuing, to the extent such Person may reasonably determine such delivery and disclosure to be necessary or appropriate in the enforcement or for the protection of the rights and remedies under the Series 2024-2 Notes, the Indenture or any other Related Document;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further</w:t>
      </w:r>
      <w:r>
        <w:rPr>
          <w:rFonts w:ascii="Times New Roman;sans-serif" w:hAnsi="Times New Roman;sans-serif"/>
          <w:b w:val="false"/>
          <w:color w:val="000000"/>
          <w:sz w:val="24"/>
        </w:rPr>
        <w:t xml:space="preserve">, that delivery to any Series 2024-2 Note Owner of any report or information required by the terms of the Indenture to be provided to such Series 2024-2 Note Owner shall not be a violation of this Section 5.16. Each Series 2024-2 Note Owner agrees, by acceptance of a beneficial interest in a Series 2024-2 Note, except as set forth in clauses (v), (vi) and (ix) above, that it shall use the Confidential Information for the sole purpose of making an investment in the Series 2024-2 Notes or administering its investment in the Series 2024-2 Notes. In the event of any required disclosure of the Confidential Information by such Series 2024-2 Note Owner, such Series 2024-2 Note </w:t>
      </w:r>
    </w:p>
    <w:p>
      <w:pPr>
        <w:pStyle w:val="TextBody"/>
        <w:bidi w:val="0"/>
        <w:spacing w:before="0" w:after="0"/>
        <w:jc w:val="center"/>
        <w:rPr/>
      </w:pPr>
      <w:r>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6480175" cy="175260"/>
                <wp:effectExtent l="0" t="0" r="0" b="0"/>
                <wp:wrapNone/>
                <wp:docPr id="652" name="Frame6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br/>
        <w:t>Owner agrees to use reasonable efforts to protect the confidentiality of the Confidential Information.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For the purposes of this Section 5.16, “</w:t>
      </w:r>
      <w:r>
        <w:rPr>
          <w:rFonts w:ascii="Times New Roman;sans-serif" w:hAnsi="Times New Roman;sans-serif"/>
          <w:b w:val="false"/>
          <w:color w:val="000000"/>
          <w:sz w:val="24"/>
          <w:u w:val="single"/>
        </w:rPr>
        <w:t>Confidential Information</w:t>
      </w:r>
      <w:r>
        <w:rPr>
          <w:color w:val="000000"/>
        </w:rPr>
        <w:t xml:space="preserve">” </w:t>
      </w:r>
      <w:r>
        <w:rPr>
          <w:rFonts w:ascii="Times New Roman;sans-serif" w:hAnsi="Times New Roman;sans-serif"/>
          <w:b w:val="false"/>
          <w:color w:val="000000"/>
          <w:sz w:val="24"/>
        </w:rPr>
        <w:t xml:space="preserve">means information delivered to the Trustee or any Series 2024-2 Note Owner by or on behalf of ABRCF in connection with and relating to the transactions contemplated by or otherwise pursuant to the Indenture and the Related Documents;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such term does not include information that: (i) was publicly known or otherwise known to the Trustee or such Series 2024-2 Note Owner prior to the time of such disclosure; (ii) subsequently becomes publicly known through no act or omission by the Trustee, any Series 2024-2 Note Owner or any person acting on behalf of the Trustee or any Series 2024-2 Note Owner; (iii) otherwise is known or becomes known to the Trustee or any Series 2024-2 Note Owner other than (x) through disclosure by ABRCF or (y) as a result of the breach of a fiduciary duty to ABRCF or a contractual duty to ABRCF; or (iv) is allowed to be treated as non-confidential by consent of ABRCF.</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Section 5.17.     </w:t>
      </w:r>
      <w:r>
        <w:rPr>
          <w:rFonts w:ascii="Times New Roman;sans-serif" w:hAnsi="Times New Roman;sans-serif"/>
          <w:b w:val="false"/>
          <w:color w:val="000000"/>
          <w:sz w:val="24"/>
          <w:u w:val="single"/>
        </w:rPr>
        <w:t>[Reserved]</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5.18.    </w:t>
      </w:r>
      <w:r>
        <w:rPr>
          <w:rFonts w:ascii="Times New Roman;sans-serif" w:hAnsi="Times New Roman;sans-serif"/>
          <w:b w:val="false"/>
          <w:color w:val="000000"/>
          <w:sz w:val="24"/>
          <w:u w:val="single"/>
        </w:rPr>
        <w:t>Further Limitation of Liability</w:t>
      </w:r>
      <w:r>
        <w:rPr>
          <w:rFonts w:ascii="Times New Roman;sans-serif" w:hAnsi="Times New Roman;sans-serif"/>
          <w:b w:val="false"/>
          <w:color w:val="000000"/>
          <w:sz w:val="24"/>
        </w:rPr>
        <w:t>. Notwithstanding anything in this Supplement to the contrary, in no event shall the Trustee or its directors, officers, agents or employees be liable under this Supplement for special, indirect, punitive or consequential loss or damage of any kind whatsoever (including, but not limited to, lost profits), even if the Trustee or its directors, officers, agents or employees have been advised of the likelihood of such loss or damage and regardless of the form of action.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5.19.    </w:t>
      </w:r>
      <w:r>
        <w:rPr>
          <w:rFonts w:ascii="Times New Roman;sans-serif" w:hAnsi="Times New Roman;sans-serif"/>
          <w:b w:val="false"/>
          <w:color w:val="000000"/>
          <w:sz w:val="24"/>
          <w:u w:val="single"/>
        </w:rPr>
        <w:t>Series 2024-2 Agent</w:t>
      </w:r>
      <w:r>
        <w:rPr>
          <w:rFonts w:ascii="Times New Roman;sans-serif" w:hAnsi="Times New Roman;sans-serif"/>
          <w:b w:val="false"/>
          <w:color w:val="000000"/>
          <w:sz w:val="24"/>
        </w:rPr>
        <w:t>. The Series 2024-2 Agent shall be entitled to the same rights, benefits, protections, indemnities and immunities hereunder as are granted to the Trustee under the Base Indenture as if set forth fully herein.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5.20.    </w:t>
      </w:r>
      <w:r>
        <w:rPr>
          <w:rFonts w:ascii="Times New Roman;sans-serif" w:hAnsi="Times New Roman;sans-serif"/>
          <w:b w:val="false"/>
          <w:color w:val="000000"/>
          <w:sz w:val="24"/>
          <w:u w:val="single"/>
        </w:rPr>
        <w:t>Force Majeure</w:t>
      </w:r>
      <w:r>
        <w:rPr>
          <w:rFonts w:ascii="Times New Roman;sans-serif" w:hAnsi="Times New Roman;sans-serif"/>
          <w:b w:val="false"/>
          <w:color w:val="000000"/>
          <w:sz w:val="24"/>
        </w:rPr>
        <w:t>. In no event shall the Trustee be liable for any failure or delay in the performance of its obligations under this Supplement because of circumstances beyond the Trustee’s control, including, but not limited to, a failure, termination,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Supplement,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5.21.    </w:t>
      </w:r>
      <w:r>
        <w:rPr>
          <w:rFonts w:ascii="Times New Roman;sans-serif" w:hAnsi="Times New Roman;sans-serif"/>
          <w:b w:val="false"/>
          <w:color w:val="000000"/>
          <w:sz w:val="24"/>
          <w:u w:val="single"/>
        </w:rPr>
        <w:t>Waiver of Jury Trial, etc</w:t>
      </w:r>
      <w:r>
        <w:rPr>
          <w:rFonts w:ascii="Times New Roman;sans-serif" w:hAnsi="Times New Roman;sans-serif"/>
          <w:b w:val="false"/>
          <w:color w:val="000000"/>
          <w:sz w:val="24"/>
        </w:rPr>
        <w:t xml:space="preserve">. EACH OF THE PARTIES HERETO HEREBY KNOWINGLY, VOLUNTARILY AND INTENTIONALLY WAIVES (TO THE EXTENT PERMITTED BY APPLICABLE LAW) ANY RIGHTS IT MAY HAVE TO A TRIAL BY JURY IN RESPECT OF ANY LITIGATION BASED HEREON, OR ARISING OUT OF, </w:t>
      </w:r>
    </w:p>
    <w:p>
      <w:pPr>
        <w:pStyle w:val="TextBody"/>
        <w:bidi w:val="0"/>
        <w:spacing w:before="0" w:after="0"/>
        <w:jc w:val="center"/>
        <w:rPr/>
      </w:pPr>
      <w:r>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6480175" cy="175260"/>
                <wp:effectExtent l="0" t="0" r="0" b="0"/>
                <wp:wrapNone/>
                <wp:docPr id="653" name="Frame6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UNDER, OR IN CONNECTION WITH, THIS SUPPLEMENT, THE SERIES 2024-2 NOTES, THE SERIES 2024-2 DEMAND NOTES, THE MULTI-SERIES LETTER OF CREDIT AND ANY OTHER RELATED DOCUMENTS EXECUTED IN CONNECTION WITH THE ISSUANCE OF THE SERIES 2024-2 NOTES, OR ANY COURSE OF CONDUCT, COURSE OF DEALING, STATEMENTS (WHETHER ORAL OR WRITTEN), OR ACTIONS OF THE PARTIES HERETO. THIS PROVISION IS A MATERIAL INDUCEMENT FOR THE PARTIES HERETO TO ENTER INTO THIS SUPPLEMENT.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Section 5.22.    </w:t>
      </w:r>
      <w:r>
        <w:rPr>
          <w:rFonts w:ascii="Times New Roman;sans-serif" w:hAnsi="Times New Roman;sans-serif"/>
          <w:b w:val="false"/>
          <w:color w:val="000000"/>
          <w:sz w:val="24"/>
          <w:u w:val="single"/>
        </w:rPr>
        <w:t>Submission to Jurisdiction</w:t>
      </w:r>
      <w:r>
        <w:rPr>
          <w:rFonts w:ascii="Times New Roman;sans-serif" w:hAnsi="Times New Roman;sans-serif"/>
          <w:b w:val="false"/>
          <w:color w:val="000000"/>
          <w:sz w:val="24"/>
        </w:rPr>
        <w:t xml:space="preserve">. EACH OF THE PARTIES HERETO HEREBY IRREVOCABLY SUBMITS (TO THE FULLEST EXTENT PERMITTED BY APPLICABLE LAW) TO THE NON-EXCLUSIVE JURISDICTION OF ANY NEW YORK STATE OR FEDERAL COURT SITTING IN THE BOROUGH OF MANHATTAN, NEW YORK CITY, STATE OF NEW YORK, OVER ANY ACTION OR PROCEEDING ARISING OUT OF OR RELATING TO THIS SUPPLEMENT, THE SERIES 2024-2 NOTES, THE SERIES 2024-2 DEMAND NOTES, THE MULTI-SERIES LETTER OF CREDIT AND ANY OTHER RELATED DOCUMENTS EXECUTED IN CONNECTION WITH THE ISSUANCE OF THE SERIES 2024-2 NOTES AND EACH OF THE PARTIES HERETO HEREBY IRREVOCABLY AGREES THAT ALL CLAIMS IN RESPECT OF SUCH ACTION OR PROCEEDING MAY BE HEARD AND DETERMINED IN SUCH NEW YORK STATE OR FEDERAL COURT. EACH OF THE PARTIES HERETO EACH HEREBY IRREVOCABLY WAIVES, TO THE FULLEST EXTENT PERMITTED BY LAW, ANY OBJECTION EACH MAY NOW OR HEREAFTER HAVE, TO THE LAYING OF VENUE IN ANY SUCH ACTION OR PROCEEDING IN ANY SUCH COURT AS WELL AS ANY RIGHT EACH MAY NOW OR HEREAFTER HAVE, TO REMOVE ANY SUCH ACTION OR PROCEEDING, ONCE COMMENCED, TO ANOTHER COURT ON THE GROUNDS OF </w:t>
      </w:r>
      <w:r>
        <w:rPr>
          <w:rFonts w:ascii="Times New Roman;sans-serif" w:hAnsi="Times New Roman;sans-serif"/>
          <w:b w:val="false"/>
          <w:color w:val="000000"/>
          <w:sz w:val="24"/>
          <w:u w:val="single"/>
        </w:rPr>
        <w:t>FORUM</w:t>
      </w:r>
      <w:r>
        <w:rPr>
          <w:color w:val="000000"/>
        </w:rPr>
        <w:t xml:space="preserve"> </w:t>
      </w:r>
      <w:r>
        <w:rPr>
          <w:rFonts w:ascii="Times New Roman;sans-serif" w:hAnsi="Times New Roman;sans-serif"/>
          <w:b w:val="false"/>
          <w:color w:val="000000"/>
          <w:sz w:val="24"/>
          <w:u w:val="single"/>
        </w:rPr>
        <w:t>NON</w:t>
      </w:r>
      <w:r>
        <w:rPr>
          <w:color w:val="000000"/>
        </w:rPr>
        <w:t xml:space="preserve"> </w:t>
      </w:r>
      <w:r>
        <w:rPr>
          <w:rFonts w:ascii="Times New Roman;sans-serif" w:hAnsi="Times New Roman;sans-serif"/>
          <w:b w:val="false"/>
          <w:color w:val="000000"/>
          <w:sz w:val="24"/>
          <w:u w:val="single"/>
        </w:rPr>
        <w:t>CONVENIENS</w:t>
      </w:r>
      <w:r>
        <w:rPr>
          <w:color w:val="000000"/>
        </w:rPr>
        <w:t xml:space="preserve"> </w:t>
      </w:r>
      <w:r>
        <w:rPr>
          <w:rFonts w:ascii="Times New Roman;sans-serif" w:hAnsi="Times New Roman;sans-serif"/>
          <w:b w:val="false"/>
          <w:color w:val="000000"/>
          <w:sz w:val="24"/>
        </w:rPr>
        <w:t>OR OTHERWISE. NOTHING CONTAINED HEREIN SHALL PRECLUDE ANY PARTY HERETO FROM BRINGING AN ACTION OR PROCEEDING ARISING OUT OF OR RELATING TO THIS SUPPLEMENT, THE SERIES 2024-2 NOTES, THE SERIES 2024-2 DEMAND NOTES, THE MULTI-SERIES LETTER OF CREDIT AND ANY OTHER RELATED DOCUMENTS EXECUTED IN CONNECTION WITH THE ISSUANCE OF THE SERIES 2024-2 NOTES IN ANY OTHER COUNTRY, STATE OR PLACE HAVING JURISDICTION OVER SUCH ACTION OR PROCEEDING.</w:t>
      </w:r>
    </w:p>
    <w:p>
      <w:pPr>
        <w:pStyle w:val="TextBody"/>
        <w:bidi w:val="0"/>
        <w:spacing w:lineRule="auto" w:line="288" w:before="0" w:after="0"/>
        <w:ind w:left="0" w:right="0" w:firstLine="1440"/>
        <w:jc w:val="both"/>
        <w:rPr/>
      </w:pPr>
      <w:r>
        <w:rPr>
          <w:rFonts w:ascii="Times New Roman;sans-serif" w:hAnsi="Times New Roman;sans-serif"/>
          <w:b w:val="false"/>
          <w:color w:val="000000"/>
          <w:sz w:val="24"/>
        </w:rPr>
        <w:t>Section 5.23.    </w:t>
      </w:r>
      <w:r>
        <w:rPr>
          <w:rFonts w:ascii="Times New Roman;sans-serif" w:hAnsi="Times New Roman;sans-serif"/>
          <w:b w:val="false"/>
          <w:color w:val="000000"/>
          <w:sz w:val="24"/>
          <w:u w:val="single"/>
        </w:rPr>
        <w:t>Additional Terms of the Series 2024-2 Notes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Solely with respect to this Supplement and the Series 2024-2 Notes: </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(i)    The Opinion of Counsel set forth in </w:t>
      </w:r>
      <w:r>
        <w:rPr>
          <w:rFonts w:ascii="Times New Roman;sans-serif" w:hAnsi="Times New Roman;sans-serif"/>
          <w:b w:val="false"/>
          <w:color w:val="000000"/>
          <w:sz w:val="24"/>
          <w:u w:val="single"/>
        </w:rPr>
        <w:t>Section 2.2(f)(i)(x)</w:t>
      </w:r>
      <w:r>
        <w:rPr>
          <w:color w:val="000000"/>
        </w:rPr>
        <w:t xml:space="preserve"> </w:t>
      </w:r>
      <w:r>
        <w:rPr>
          <w:rFonts w:ascii="Times New Roman;sans-serif" w:hAnsi="Times New Roman;sans-serif"/>
          <w:b w:val="false"/>
          <w:color w:val="000000"/>
          <w:sz w:val="24"/>
        </w:rPr>
        <w:t xml:space="preserve">of the Base Indenture shall not be required with respect to the Class C Notes and the Class R Notes. The Opinion of Counsel set forth in </w:t>
      </w:r>
      <w:r>
        <w:rPr>
          <w:rFonts w:ascii="Times New Roman;sans-serif" w:hAnsi="Times New Roman;sans-serif"/>
          <w:b w:val="false"/>
          <w:color w:val="000000"/>
          <w:sz w:val="24"/>
          <w:u w:val="single"/>
        </w:rPr>
        <w:t>Section 2.2(f)(i)(y)</w:t>
      </w:r>
      <w:r>
        <w:rPr>
          <w:color w:val="000000"/>
        </w:rPr>
        <w:t xml:space="preserve"> </w:t>
      </w:r>
      <w:r>
        <w:rPr>
          <w:rFonts w:ascii="Times New Roman;sans-serif" w:hAnsi="Times New Roman;sans-serif"/>
          <w:b w:val="false"/>
          <w:color w:val="000000"/>
          <w:sz w:val="24"/>
        </w:rPr>
        <w:t>of the Base Indenture shall not be required with respect to the Class C Notes and the Class R Notes for any Series issued after the date hereof.</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    The terms Rating Agency Confirmation Condition and Rating Agency Consent Condition shall be deemed to be satisfied with respect to Fitch if ABRCF notifies Fitch of the applicable action at least ten (10) calendar days prior to such action (or, if Fitch agrees to less than ten (10) calendar days’ notice, such lesser period) and Fitch </w:t>
      </w:r>
    </w:p>
    <w:p>
      <w:pPr>
        <w:pStyle w:val="TextBody"/>
        <w:bidi w:val="0"/>
        <w:spacing w:before="0" w:after="0"/>
        <w:jc w:val="center"/>
        <w:rPr/>
      </w:pPr>
      <w:r>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6480175" cy="175260"/>
                <wp:effectExtent l="0" t="0" r="0" b="0"/>
                <wp:wrapNone/>
                <wp:docPr id="654" name="Frame6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br/>
        <w:t>has not notified ABRCF and the Trustee in writing that such action will result in a reduction or withdrawal of the rating given to the Class A Notes, the Class B Notes or the Class C Notes by Fitch within such ten (10) calendar day (or lesser) period.</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(b)    The transfer by a transferor (a “</w:t>
      </w:r>
      <w:r>
        <w:rPr>
          <w:rFonts w:ascii="Times New Roman;sans-serif" w:hAnsi="Times New Roman;sans-serif"/>
          <w:b w:val="false"/>
          <w:color w:val="000000"/>
          <w:sz w:val="24"/>
          <w:u w:val="single"/>
        </w:rPr>
        <w:t>Transferor</w:t>
      </w:r>
      <w:r>
        <w:rPr>
          <w:color w:val="000000"/>
        </w:rPr>
        <w:t>”</w:t>
      </w:r>
      <w:r>
        <w:rPr>
          <w:rFonts w:ascii="Times New Roman;sans-serif" w:hAnsi="Times New Roman;sans-serif"/>
          <w:b w:val="false"/>
          <w:color w:val="000000"/>
          <w:sz w:val="24"/>
        </w:rPr>
        <w:t>) holding a Class D Note or a beneficial interest therein to a subsequent transferee (a “</w:t>
      </w:r>
      <w:r>
        <w:rPr>
          <w:rFonts w:ascii="Times New Roman;sans-serif" w:hAnsi="Times New Roman;sans-serif"/>
          <w:b w:val="false"/>
          <w:color w:val="000000"/>
          <w:sz w:val="24"/>
          <w:u w:val="single"/>
        </w:rPr>
        <w:t>Transferee</w:t>
      </w:r>
      <w:r>
        <w:rPr>
          <w:color w:val="000000"/>
        </w:rPr>
        <w:t>”</w:t>
      </w:r>
      <w:r>
        <w:rPr>
          <w:rFonts w:ascii="Times New Roman;sans-serif" w:hAnsi="Times New Roman;sans-serif"/>
          <w:b w:val="false"/>
          <w:color w:val="000000"/>
          <w:sz w:val="24"/>
        </w:rPr>
        <w:t xml:space="preserve">) who wishes to take delivery thereof in the form of a Class D Note or beneficial interest therein will be made upon receipt by the Trustee, at the office of the Trustee, of (x) a transfer certificate from the Transferee substantially in the form of </w:t>
      </w:r>
      <w:r>
        <w:rPr>
          <w:rFonts w:ascii="Times New Roman;sans-serif" w:hAnsi="Times New Roman;sans-serif"/>
          <w:b w:val="false"/>
          <w:color w:val="000000"/>
          <w:sz w:val="24"/>
          <w:u w:val="single"/>
        </w:rPr>
        <w:t>Exhibit W-1</w:t>
      </w:r>
      <w:r>
        <w:rPr>
          <w:color w:val="000000"/>
        </w:rPr>
        <w:t xml:space="preserve"> </w:t>
      </w:r>
      <w:r>
        <w:rPr>
          <w:rFonts w:ascii="Times New Roman;sans-serif" w:hAnsi="Times New Roman;sans-serif"/>
          <w:b w:val="false"/>
          <w:color w:val="000000"/>
          <w:sz w:val="24"/>
        </w:rPr>
        <w:t xml:space="preserve">and (y) a transfer certificate from the Transferor substantially in the form of </w:t>
      </w:r>
      <w:r>
        <w:rPr>
          <w:rFonts w:ascii="Times New Roman;sans-serif" w:hAnsi="Times New Roman;sans-serif"/>
          <w:b w:val="false"/>
          <w:color w:val="000000"/>
          <w:sz w:val="24"/>
          <w:u w:val="single"/>
        </w:rPr>
        <w:t>Exhibit W-2</w:t>
      </w:r>
      <w:r>
        <w:rPr>
          <w:rFonts w:ascii="Times New Roman;sans-serif" w:hAnsi="Times New Roman;sans-serif"/>
          <w:b w:val="false"/>
          <w:color w:val="000000"/>
          <w:sz w:val="24"/>
        </w:rPr>
        <w:t xml:space="preserve">. For the avoidance of doubt, if a Transferor or Transferee is unable to provide an applicable transfer certificate due to the requirements of such certificate not being satisfied, such transfer shall not be permitted (and any such transfer shall be void ab initio and of no force and effect). Delivery of any such certificate to ABRCF shall be required to be delivered to the email address set forth in </w:t>
      </w:r>
      <w:r>
        <w:rPr>
          <w:rFonts w:ascii="Times New Roman;sans-serif" w:hAnsi="Times New Roman;sans-serif"/>
          <w:b w:val="false"/>
          <w:color w:val="000000"/>
          <w:sz w:val="24"/>
          <w:u w:val="single"/>
        </w:rPr>
        <w:t>Exhibits W-1</w:t>
      </w:r>
      <w:r>
        <w:rPr>
          <w:color w:val="000000"/>
        </w:rPr>
        <w:t xml:space="preserve"> </w:t>
      </w:r>
      <w:r>
        <w:rPr>
          <w:rFonts w:ascii="Times New Roman;sans-serif" w:hAnsi="Times New Roman;sans-serif"/>
          <w:b w:val="false"/>
          <w:color w:val="000000"/>
          <w:sz w:val="24"/>
        </w:rPr>
        <w:t xml:space="preserve">and </w:t>
      </w:r>
      <w:r>
        <w:rPr>
          <w:rFonts w:ascii="Times New Roman;sans-serif" w:hAnsi="Times New Roman;sans-serif"/>
          <w:b w:val="false"/>
          <w:color w:val="000000"/>
          <w:sz w:val="24"/>
          <w:u w:val="single"/>
        </w:rPr>
        <w:t>W-2</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Notwithstanding anything herein or in the Base Indenture to the contrary, prior to the earlier of (i) any date on which an Amortization Event or Potential Amortization Event has occurred and is continuing and (ii) September 15, 2025, no Holder of a Class D Note may at any time sell all or any part of its rights and obligations under the Class D Notes without the prior written consent of ABRCF and the Administrator (in each case, which consent shall not be unreasonably withheld).</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On the Class D Notes Closing Date, ABRCF shall (i) cause an increase in the minimum depreciation of all Non-Program Vehicles in an amount equal to at least $397,550,000 and (ii) concurrently therewith, apply the net proceeds from the sale of the Class D Notes to repay the outstanding principal amount of the Series 2010-6 Notes and the Series 2015-3 Notes on a pro rata basis, respectively, in an aggregate amount equal to at least $397,550,000. </w:t>
      </w:r>
    </w:p>
    <w:p>
      <w:pPr>
        <w:pStyle w:val="TextBody"/>
        <w:bidi w:val="0"/>
        <w:spacing w:before="0" w:after="2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pStyle w:val="TextBody"/>
        <w:bidi w:val="0"/>
        <w:spacing w:before="0" w:after="240"/>
        <w:ind w:left="0" w:right="0" w:firstLine="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57">
                <wp:simplePos x="0" y="0"/>
                <wp:positionH relativeFrom="character">
                  <wp:align>left</wp:align>
                </wp:positionH>
                <wp:positionV relativeFrom="line">
                  <wp:posOffset>635</wp:posOffset>
                </wp:positionV>
                <wp:extent cx="6480175" cy="175260"/>
                <wp:effectExtent l="0" t="0" r="0" b="0"/>
                <wp:wrapNone/>
                <wp:docPr id="655" name="Frame6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ABRCF and the Trustee have caused this Supplement to be duly executed by their respective officers thereunto duly authorized as of the day and year first above written.</w:t>
      </w:r>
    </w:p>
    <w:p>
      <w:pPr>
        <w:pStyle w:val="TextBody"/>
        <w:bidi w:val="0"/>
        <w:spacing w:before="0" w:after="240"/>
        <w:ind w:left="0" w:right="0" w:firstLine="1440"/>
        <w:jc w:val="both"/>
        <w:rPr/>
      </w:pPr>
      <w:r>
        <w:rPr/>
      </w:r>
    </w:p>
    <w:tbl>
      <w:tblPr>
        <w:tblW w:w="6762" w:type="dxa"/>
        <w:jc w:val="right"/>
        <w:tblInd w:w="0" w:type="dxa"/>
        <w:tblLayout w:type="fixed"/>
        <w:tblCellMar>
          <w:top w:w="28" w:type="dxa"/>
          <w:left w:w="28" w:type="dxa"/>
          <w:bottom w:w="28" w:type="dxa"/>
          <w:right w:w="28" w:type="dxa"/>
        </w:tblCellMar>
      </w:tblPr>
      <w:tblGrid>
        <w:gridCol w:w="839"/>
        <w:gridCol w:w="736"/>
        <w:gridCol w:w="736"/>
        <w:gridCol w:w="1353"/>
        <w:gridCol w:w="1353"/>
        <w:gridCol w:w="1373"/>
        <w:gridCol w:w="109"/>
        <w:gridCol w:w="109"/>
        <w:gridCol w:w="154"/>
      </w:tblGrid>
      <w:tr>
        <w:trPr/>
        <w:tc>
          <w:tcPr>
            <w:tcW w:w="83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9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AVIS BUDGET RENTAL CAR FUNDING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(AESOP)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David Calabria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360"/>
        <w:ind w:left="0" w:right="0" w:hanging="360"/>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58">
                <wp:simplePos x="0" y="0"/>
                <wp:positionH relativeFrom="character">
                  <wp:align>left</wp:align>
                </wp:positionH>
                <wp:positionV relativeFrom="line">
                  <wp:posOffset>635</wp:posOffset>
                </wp:positionV>
                <wp:extent cx="6480175" cy="131445"/>
                <wp:effectExtent l="0" t="0" r="0" b="0"/>
                <wp:wrapNone/>
                <wp:docPr id="656" name="Frame6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2024-2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2024-2 Indenture Supplement</w:t>
                      </w:r>
                    </w:p>
                  </w:txbxContent>
                </v:textbox>
                <w10:wrap type="none"/>
              </v:rect>
            </w:pict>
          </mc:Fallback>
        </mc:AlternateContent>
      </w:r>
    </w:p>
    <w:p>
      <w:pPr>
        <w:pStyle w:val="TextBody"/>
        <w:bidi w:val="0"/>
        <w:spacing w:before="240" w:after="360"/>
        <w:jc w:val="left"/>
        <w:rPr/>
      </w:pPr>
      <w:r>
        <w:rPr/>
      </w:r>
    </w:p>
    <w:tbl>
      <w:tblPr>
        <w:tblW w:w="7228" w:type="dxa"/>
        <w:jc w:val="right"/>
        <w:tblInd w:w="0" w:type="dxa"/>
        <w:tblLayout w:type="fixed"/>
        <w:tblCellMar>
          <w:top w:w="28" w:type="dxa"/>
          <w:left w:w="28" w:type="dxa"/>
          <w:bottom w:w="28" w:type="dxa"/>
          <w:right w:w="28" w:type="dxa"/>
        </w:tblCellMar>
      </w:tblPr>
      <w:tblGrid>
        <w:gridCol w:w="943"/>
        <w:gridCol w:w="827"/>
        <w:gridCol w:w="827"/>
        <w:gridCol w:w="1407"/>
        <w:gridCol w:w="1407"/>
        <w:gridCol w:w="1445"/>
        <w:gridCol w:w="109"/>
        <w:gridCol w:w="109"/>
        <w:gridCol w:w="154"/>
      </w:tblGrid>
      <w:tr>
        <w:trPr/>
        <w:tc>
          <w:tcPr>
            <w:tcW w:w="94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THE BANK OF NEW YORK MELLON TRUST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Trustee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BANK OF NEW YORK MELLON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COMPANY, N.A., as Series 2024-2 Agent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Vassilena Ouzounova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480"/>
        <w:ind w:left="0" w:right="0" w:hanging="360"/>
        <w:jc w:val="righ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pStyle w:val="TextBody"/>
        <w:bidi w:val="0"/>
        <w:spacing w:before="240" w:after="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TABLE OF CONTENTS</w:t>
      </w:r>
      <w:r>
        <mc:AlternateContent>
          <mc:Choice Requires="wps">
            <w:drawing>
              <wp:anchor behindDoc="0" distT="0" distB="0" distL="0" distR="0" simplePos="0" locked="0" layoutInCell="1" allowOverlap="1" relativeHeight="659">
                <wp:simplePos x="0" y="0"/>
                <wp:positionH relativeFrom="character">
                  <wp:align>left</wp:align>
                </wp:positionH>
                <wp:positionV relativeFrom="line">
                  <wp:posOffset>635</wp:posOffset>
                </wp:positionV>
                <wp:extent cx="6480175" cy="131445"/>
                <wp:effectExtent l="0" t="0" r="0" b="0"/>
                <wp:wrapNone/>
                <wp:docPr id="657" name="Frame6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2024-2 Indenture Supplement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165.5pt;mso-position-horizontal:left;mso-position-horizontal-relative:text">
                <v:textbox>
                  <w:txbxContent>
                    <w:p>
                      <w:pPr>
                        <w:pStyle w:val="TextBody"/>
                        <w:bidi w:val="0"/>
                        <w:spacing w:lineRule="auto" w:line="26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Signature Page to A&amp;R Series 2024-2 Indenture Supplement</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10205" w:type="dxa"/>
        <w:jc w:val="center"/>
        <w:tblInd w:w="0" w:type="dxa"/>
        <w:tblLayout w:type="fixed"/>
        <w:tblCellMar>
          <w:top w:w="28" w:type="dxa"/>
          <w:left w:w="28" w:type="dxa"/>
          <w:bottom w:w="28" w:type="dxa"/>
          <w:right w:w="28" w:type="dxa"/>
        </w:tblCellMar>
      </w:tblPr>
      <w:tblGrid>
        <w:gridCol w:w="715"/>
        <w:gridCol w:w="544"/>
        <w:gridCol w:w="544"/>
        <w:gridCol w:w="2837"/>
        <w:gridCol w:w="2596"/>
        <w:gridCol w:w="2575"/>
        <w:gridCol w:w="114"/>
        <w:gridCol w:w="114"/>
        <w:gridCol w:w="166"/>
      </w:tblGrid>
      <w:tr>
        <w:trPr/>
        <w:tc>
          <w:tcPr>
            <w:tcW w:w="71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 SERIES 2024-2 ALLOCATIONS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2.1.</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Establishment of Series 2024-2 Collection Account, Series 2024-2 Excess Collection Account and Series 2024-2 Accrued Interest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Allocations with Respect to the Series 2024-2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Payments to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41</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Interest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Payment of Note Principal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Administrator’s Failure to Instruct the Trustee to Make a Deposit, Draw or </w:t>
              <w:br/>
              <w:t>Payment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2024-2 Reserve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Multi-Series Letters of Credit and Series 2024-2 Cash Collateral Accounts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2024-2 Distribution Account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2024-2 Accounts Permitted Investments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Series 2024-2 Demand Notes Constitute Additional Collateral for Series </w:t>
              <w:br/>
              <w:t>2024-2 Senior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2.12.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Subordination of the Class B Notes, Class C Notes, Class D Notes and the </w:t>
              <w:br/>
              <w:t>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72</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III AMORTIZATION EVENTS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IV FORM OF SERIES 2024-2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Restricted Global Series 2024-2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Temporary Global Series 2024-2 Notes; Permanent Global Series 2024-2 </w:t>
              <w:br/>
              <w:t>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75</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4.3.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4.4.</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Definitive Class R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1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ARTICLE V GENERAL</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w:t>
            </w:r>
          </w:p>
        </w:tc>
      </w:tr>
      <w:tr>
        <w:trPr/>
        <w:tc>
          <w:tcPr>
            <w:tcW w:w="1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Optional Repurchase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Information</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77</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Ratification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Counterparts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5.6.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Governing Law</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5.7.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78</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5.8.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Discharge of Base Indenture</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5.9.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Notice to Rating Agencies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5.10.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Capitalization of ABRCF</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5.11.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Required Noteholders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5.12.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2024-2 Demand Notes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5.13.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Termination of Supplement</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5.14.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Noteholder Consent to Certain Amendments</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w:t>
            </w:r>
          </w:p>
        </w:tc>
      </w:tr>
      <w:tr>
        <w:trPr/>
        <w:tc>
          <w:tcPr>
            <w:tcW w:w="1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5.15. </w:t>
            </w:r>
          </w:p>
        </w:tc>
        <w:tc>
          <w:tcPr>
            <w:tcW w:w="8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660">
                <wp:simplePos x="0" y="0"/>
                <wp:positionH relativeFrom="character">
                  <wp:align>left</wp:align>
                </wp:positionH>
                <wp:positionV relativeFrom="line">
                  <wp:posOffset>635</wp:posOffset>
                </wp:positionV>
                <wp:extent cx="6480175" cy="175260"/>
                <wp:effectExtent l="0" t="0" r="0" b="0"/>
                <wp:wrapNone/>
                <wp:docPr id="658" name="Frame6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Page</w:t>
      </w:r>
    </w:p>
    <w:tbl>
      <w:tblPr>
        <w:tblW w:w="6166" w:type="dxa"/>
        <w:jc w:val="center"/>
        <w:tblInd w:w="0" w:type="dxa"/>
        <w:tblLayout w:type="fixed"/>
        <w:tblCellMar>
          <w:top w:w="28" w:type="dxa"/>
          <w:left w:w="28" w:type="dxa"/>
          <w:bottom w:w="28" w:type="dxa"/>
          <w:right w:w="28" w:type="dxa"/>
        </w:tblCellMar>
      </w:tblPr>
      <w:tblGrid>
        <w:gridCol w:w="516"/>
        <w:gridCol w:w="454"/>
        <w:gridCol w:w="455"/>
        <w:gridCol w:w="1449"/>
        <w:gridCol w:w="1449"/>
        <w:gridCol w:w="1452"/>
        <w:gridCol w:w="114"/>
        <w:gridCol w:w="114"/>
        <w:gridCol w:w="163"/>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5.16.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Confidential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81</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5.17.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5.18.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Further Limitation of Liability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5.19.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Series 2024-2 Agent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5.20.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Force Majeure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5.21.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Waiver of Jury Trial,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82</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5.22.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Submission to Jurisdiction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Section 5.23. </w:t>
            </w:r>
          </w:p>
        </w:tc>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Additional Terms of the Series 2024-2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83</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19</w:t>
      </w:r>
      <w:r>
        <mc:AlternateContent>
          <mc:Choice Requires="wps">
            <w:drawing>
              <wp:anchor behindDoc="0" distT="0" distB="0" distL="0" distR="0" simplePos="0" locked="0" layoutInCell="1" allowOverlap="1" relativeHeight="661">
                <wp:simplePos x="0" y="0"/>
                <wp:positionH relativeFrom="character">
                  <wp:align>left</wp:align>
                </wp:positionH>
                <wp:positionV relativeFrom="line">
                  <wp:posOffset>635</wp:posOffset>
                </wp:positionV>
                <wp:extent cx="6480175" cy="175260"/>
                <wp:effectExtent l="0" t="0" r="0" b="0"/>
                <wp:wrapNone/>
                <wp:docPr id="659" name="Frame6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ans-serif" w:hAnsi="Times New Roman;sans-serif"/>
          <w:b/>
          <w:color w:val="000000"/>
          <w:sz w:val="24"/>
        </w:rPr>
      </w:pPr>
      <w:r>
        <w:rPr>
          <w:rFonts w:ascii="Times New Roman;sans-serif" w:hAnsi="Times New Roman;sans-serif"/>
          <w:b/>
          <w:color w:val="000000"/>
          <w:sz w:val="24"/>
        </w:rPr>
        <w:t>CERTAIN INFORMATION IDENTIFIED WITH [REDACTED] HAS BEEN OMITTED FROM THIS EXHIBIT BECAUSE IT IS BOTH (I) NOT MATERIAL AND (II) THE TYPE THAT THE REGISTRANT TREATS AS PRIVATE OR CONFIDENTIAL.</w:t>
      </w:r>
    </w:p>
    <w:p>
      <w:pPr>
        <w:pStyle w:val="TextBody"/>
        <w:bidi w:val="0"/>
        <w:spacing w:before="0" w:after="0"/>
        <w:jc w:val="left"/>
        <w:rPr/>
      </w:pPr>
      <w:r>
        <w:rPr/>
      </w:r>
    </w:p>
    <w:p>
      <w:pPr>
        <w:pStyle w:val="TextBody"/>
        <w:bidi w:val="0"/>
        <w:spacing w:before="0" w:after="180"/>
        <w:jc w:val="left"/>
        <w:rPr/>
      </w:pPr>
      <w:r>
        <w:rPr/>
        <w:drawing>
          <wp:inline distT="0" distB="0" distL="0" distR="0">
            <wp:extent cx="3009900" cy="533400"/>
            <wp:effectExtent l="0" t="0" r="0" b="0"/>
            <wp:docPr id="66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 name="Image16" descr=""/>
                    <pic:cNvPicPr>
                      <a:picLocks noChangeAspect="1" noChangeArrowheads="1"/>
                    </pic:cNvPicPr>
                  </pic:nvPicPr>
                  <pic:blipFill>
                    <a:blip r:embed="rId105"/>
                    <a:stretch>
                      <a:fillRect/>
                    </a:stretch>
                  </pic:blipFill>
                  <pic:spPr bwMode="auto">
                    <a:xfrm>
                      <a:off x="0" y="0"/>
                      <a:ext cx="3009900" cy="533400"/>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2060"/>
          <w:sz w:val="24"/>
        </w:rPr>
      </w:pPr>
      <w:r>
        <w:rPr>
          <w:rFonts w:ascii="Times New Roman;sans-serif" w:hAnsi="Times New Roman;sans-serif"/>
          <w:b/>
          <w:color w:val="002060"/>
          <w:sz w:val="24"/>
        </w:rPr>
        <w:t xml:space="preserve">POLICY, PROCEDURES AND GUIDELINES GOVERNING </w:t>
        <w:br/>
        <w:t>SECURITIES TRADES BY COMPANY PERSONNEL</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I.</w:t>
      </w:r>
      <w:r>
        <w:rPr>
          <w:rFonts w:ascii="Times New Roman;sans-serif" w:hAnsi="Times New Roman;sans-serif"/>
          <w:b/>
          <w:color w:val="000000"/>
          <w:sz w:val="24"/>
        </w:rPr>
        <w:t>PURPOSE</w:t>
      </w:r>
    </w:p>
    <w:p>
      <w:pPr>
        <w:pStyle w:val="TextBody"/>
        <w:bidi w:val="0"/>
        <w:spacing w:lineRule="auto" w:line="288" w:before="0" w:after="240"/>
        <w:jc w:val="both"/>
        <w:rPr/>
      </w:pPr>
      <w:r>
        <w:rPr>
          <w:rFonts w:ascii="Times New Roman;sans-serif" w:hAnsi="Times New Roman;sans-serif"/>
          <w:b w:val="false"/>
          <w:color w:val="000000"/>
          <w:sz w:val="24"/>
        </w:rPr>
        <w:t>This policy provides guidelines with respect to transactions in the securities of Avis Budget Group,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and the handling of confidential information about the Company and the companies with which the Company does business. Every director, officer</w:t>
      </w: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24"/>
        </w:rPr>
        <w:t>and employee of the Company has ethical and legal obligations, and every director, officer and employee who is an Access Person (as defined below) has the individual responsibility to comply with this policy.</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It is illegal for any director, officer, Access Person or employee of the Company or any subsidiary of the Company to trade in the securities of the Company while in the possession of material nonpublic information about the Company other than pursuant to a pre-existing Rule 10b5-1 Plan (as defined below). It is also illegal for any director, officer, Access Person or employee of the Company to give material nonpublic information to others who may trade on the basis of that information. In order to promote compliance with federal and state securities laws governing (i) trading in Company securities while in the possession of material nonpublic information concerning the Company and (ii) “tipping” or disclosing material nonpublic information to outsiders, and in order to prevent the appearance of improper trading or tipping, the Company has adopted this policy for all of its directors, officers, Access Persons and employees, members of their families and others living in their households, and investment partnerships and other entities (such as trusts and corporations) over which such directors, officers, Access Persons or employees have or share voting or investment control.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There are no exceptions to this policy, except as specifically noted herein and in the Company’s Cooperation Agreement with SRS Investment Management, LLC, and the other signatories thereto, as amended from time to time.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II.</w:t>
      </w:r>
      <w:r>
        <w:rPr>
          <w:rFonts w:ascii="Times New Roman;sans-serif" w:hAnsi="Times New Roman;sans-serif"/>
          <w:b/>
          <w:color w:val="000000"/>
          <w:sz w:val="24"/>
        </w:rPr>
        <w:t>SCOPE</w:t>
      </w:r>
    </w:p>
    <w:p>
      <w:pPr>
        <w:pStyle w:val="TextBody"/>
        <w:bidi w:val="0"/>
        <w:spacing w:lineRule="auto" w:line="288"/>
        <w:ind w:left="0" w:right="0" w:hanging="360"/>
        <w:jc w:val="left"/>
        <w:rPr/>
      </w:pPr>
      <w:r>
        <w:rPr>
          <w:rFonts w:ascii="Times New Roman;sans-serif" w:hAnsi="Times New Roman;sans-serif"/>
          <w:b w:val="false"/>
          <w:color w:val="000000"/>
          <w:sz w:val="10"/>
        </w:rPr>
        <w:t>1</w:t>
      </w:r>
      <w:r>
        <w:rPr>
          <w:color w:val="000000"/>
        </w:rPr>
        <w:t>    </w:t>
      </w:r>
      <w:r>
        <w:rPr>
          <w:rFonts w:ascii="Times New Roman;sans-serif" w:hAnsi="Times New Roman;sans-serif"/>
          <w:b w:val="false"/>
          <w:color w:val="000000"/>
          <w:sz w:val="21"/>
        </w:rPr>
        <w:t xml:space="preserve">As used herein, “officers” refer to the Section 16 Officers listed on </w:t>
      </w:r>
      <w:r>
        <w:rPr>
          <w:rFonts w:ascii="Times New Roman;sans-serif" w:hAnsi="Times New Roman;sans-serif"/>
          <w:b w:val="false"/>
          <w:color w:val="000000"/>
          <w:sz w:val="21"/>
          <w:u w:val="single"/>
        </w:rPr>
        <w:t>Exhibit A</w:t>
      </w:r>
      <w:r>
        <w:rPr>
          <w:rFonts w:ascii="Times New Roman;sans-serif" w:hAnsi="Times New Roman;sans-serif"/>
          <w:b w:val="false"/>
          <w:color w:val="000000"/>
          <w:sz w:val="21"/>
        </w:rPr>
        <w:t>, attached hereto, as may be updated from time to time as further described herein.</w:t>
      </w:r>
    </w:p>
    <w:p>
      <w:pPr>
        <w:pStyle w:val="TextBody"/>
        <w:bidi w:val="0"/>
        <w:spacing w:before="0" w:after="0"/>
        <w:jc w:val="right"/>
        <w:rPr/>
      </w:pPr>
      <w:r>
        <w:rPr/>
      </w:r>
      <w:r>
        <mc:AlternateContent>
          <mc:Choice Requires="wps">
            <w:drawing>
              <wp:anchor behindDoc="0" distT="0" distB="0" distL="0" distR="0" simplePos="0" locked="0" layoutInCell="1" allowOverlap="1" relativeHeight="662">
                <wp:simplePos x="0" y="0"/>
                <wp:positionH relativeFrom="character">
                  <wp:align>left</wp:align>
                </wp:positionH>
                <wp:positionV relativeFrom="line">
                  <wp:posOffset>635</wp:posOffset>
                </wp:positionV>
                <wp:extent cx="6480175" cy="175260"/>
                <wp:effectExtent l="0" t="0" r="0" b="0"/>
                <wp:wrapNone/>
                <wp:docPr id="661" name="Frame6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4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48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A.This policy covers all directors, officers, Access Persons and employees of the Company, members of their families and others living in their households and investment partnerships and other entities (such as trusts and corporations) over which such directors, officers, Access Persons or employees have or share voting or investment control. References to directors, officers, Access Persons and employees in this policy refer to directors, officers, Access Persons and employees of the Company, together with such family members and others living in their household and such entities over which they share voting or investment control, unless the context requires otherwise. The Company may also determine from time to time that other persons should be subject to this policy for a limited period of time, such as contractors, auditors, consultants, or other employees who have access to material nonpublic information and during such periods, such persons shall be deemed to be Access Persons under this policy. Directors, officers, Access Persons and employees are responsible for ensuring compliance by their families, including family members who do not live in their households but whose decisions are subject to their control (</w:t>
      </w:r>
      <w:r>
        <w:rPr>
          <w:rFonts w:ascii="Times New Roman;sans-serif" w:hAnsi="Times New Roman;sans-serif"/>
          <w:b w:val="false"/>
          <w:i/>
          <w:color w:val="000000"/>
          <w:sz w:val="24"/>
          <w:u w:val="single"/>
        </w:rPr>
        <w:t>i.e</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children and parents), and other members of their households and entities over which they exercise voting or investment control.</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policy applies to any and all transactions in the Company’s securities, including its Common Stock and options to purchase Common Stock (as described in more detail in Section VI.D hereof), and any other type of securities that the Company may issue, such as preferred stock, convertible debentures, debt securities, warrants and options or other derivative securities, including derivative transactions based on the price of any such securities, and including transactions in the Company’s employee benefit and stock plans.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C.For purposes of this policy, “trading in” or “to trade in” shall include entering into any derivative transaction (including options, collars, forward contracts or swaps) in relation to Company securities, or buying or selling any investments (including credit-linked notes) which increase or decrease in value based on the price of the Company’s securities or voluntarily terminating any derivative transactions in relation to Company securities (including by voluntary exercise of an option).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D.The policy will be delivered to all directors, officers, and Access Persons upon its adoption (including the adoption of any revisions) by the Company, and to all new directors, officers, and employees who will be designated as Access Persons at the start of their employment or relationship with the Company. In addition, this policy will be made available for all directors, officers and employees. Upon first receiving a copy of the policy or any revised versions, each director, officer and Access Person must sign an acknowledgment that he or she has received a copy and agrees to comply with the policy’s terms. This acknowledgment and agreement will constitute consent for the Company to impose sanctions for violation(s) of the policy and to issue any necessary stop-transfer orders to the Company’s transfer agent to enforce compliance with this policy. As discussed in Section VII.B, sanctions for individuals may include demotion or other disciplinary actions, up to and including termination of employment if the Company has a reasonable basis to conclude that its policy has been violated. Section 16 Parties, as defined below, may be required to certify compliance with the policy on an annual basis.</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3">
                <wp:simplePos x="0" y="0"/>
                <wp:positionH relativeFrom="character">
                  <wp:align>left</wp:align>
                </wp:positionH>
                <wp:positionV relativeFrom="line">
                  <wp:posOffset>635</wp:posOffset>
                </wp:positionV>
                <wp:extent cx="6480175" cy="385445"/>
                <wp:effectExtent l="0" t="0" r="0" b="0"/>
                <wp:wrapNone/>
                <wp:docPr id="662" name="Frame6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E.The Company may change these procedures or adopt such other procedures in the future as the Company considers appropriate in order to carry out the purposes of its policy.</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III.</w:t>
      </w:r>
      <w:r>
        <w:rPr>
          <w:rFonts w:ascii="Times New Roman;sans-serif" w:hAnsi="Times New Roman;sans-serif"/>
          <w:b/>
          <w:color w:val="000000"/>
          <w:sz w:val="24"/>
        </w:rPr>
        <w:t>SECTION 16 PARTIES; ACCESS PERSONS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w:t>
      </w:r>
      <w:r>
        <w:rPr>
          <w:rFonts w:ascii="Times New Roman;sans-serif" w:hAnsi="Times New Roman;sans-serif"/>
          <w:b/>
          <w:i/>
          <w:color w:val="000000"/>
          <w:sz w:val="24"/>
        </w:rPr>
        <w:t xml:space="preserve">Section 16 Parties. </w:t>
      </w:r>
      <w:r>
        <w:rPr>
          <w:rFonts w:ascii="Times New Roman;sans-serif" w:hAnsi="Times New Roman;sans-serif"/>
          <w:b w:val="false"/>
          <w:color w:val="000000"/>
          <w:sz w:val="24"/>
        </w:rPr>
        <w:t xml:space="preserve">The Company has designated those persons and entities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attached hereto as the directors, officers and entities who are subject to the reporting provisions and trading restrictions of Section 16 of the Securities Exchange Act of 1934, as amended (the “</w:t>
      </w:r>
      <w:r>
        <w:rPr>
          <w:rFonts w:ascii="Times New Roman;sans-serif" w:hAnsi="Times New Roman;sans-serif"/>
          <w:b/>
          <w:i/>
          <w:color w:val="000000"/>
          <w:sz w:val="24"/>
        </w:rPr>
        <w:t>Exchange Act</w:t>
      </w:r>
      <w:r>
        <w:rPr>
          <w:color w:val="000000"/>
        </w:rPr>
        <w:t>”</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and the underlying rules and regulations promulgated by the Securities and Exchange Commission (the “</w:t>
      </w:r>
      <w:r>
        <w:rPr>
          <w:rFonts w:ascii="Times New Roman;sans-serif" w:hAnsi="Times New Roman;sans-serif"/>
          <w:b/>
          <w:i/>
          <w:color w:val="000000"/>
          <w:sz w:val="24"/>
        </w:rPr>
        <w:t>SEC</w:t>
      </w:r>
      <w:r>
        <w:rPr>
          <w:color w:val="000000"/>
        </w:rPr>
        <w:t>”</w:t>
      </w:r>
      <w:r>
        <w:rPr>
          <w:rFonts w:ascii="Times New Roman;sans-serif" w:hAnsi="Times New Roman;sans-serif"/>
          <w:b w:val="false"/>
          <w:color w:val="000000"/>
          <w:sz w:val="24"/>
        </w:rPr>
        <w:t xml:space="preserve">); each party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is referred to herein as a “</w:t>
      </w:r>
      <w:r>
        <w:rPr>
          <w:rFonts w:ascii="Times New Roman;sans-serif" w:hAnsi="Times New Roman;sans-serif"/>
          <w:b/>
          <w:i/>
          <w:color w:val="000000"/>
          <w:sz w:val="24"/>
        </w:rPr>
        <w:t>Section 16 Party</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Section 16 Parties must obtain prior approval of all trades in Company securities from the Securities Trading Compliance Officer in accordance with the procedures set forth in Section VI.C below. The Company will amend </w:t>
      </w:r>
      <w:r>
        <w:rPr>
          <w:rFonts w:ascii="Times New Roman;sans-serif" w:hAnsi="Times New Roman;sans-serif"/>
          <w:b w:val="false"/>
          <w:color w:val="000000"/>
          <w:sz w:val="24"/>
          <w:u w:val="single"/>
        </w:rPr>
        <w:t xml:space="preserve">Exhibit A </w:t>
      </w:r>
      <w:r>
        <w:rPr>
          <w:rFonts w:ascii="Times New Roman;sans-serif" w:hAnsi="Times New Roman;sans-serif"/>
          <w:b w:val="false"/>
          <w:color w:val="000000"/>
          <w:sz w:val="24"/>
        </w:rPr>
        <w:t xml:space="preserve">from time to time as necessary to update the list of Section 16 Parties. Each Section 16 Party will notify the Securities Trading Compliance Officer in writing when such Section 16 Party believes that he, she or it no longer is subject to the reporting provisions and trading restrictions of Section 16 of the Exchange Act. If the Company agrees that such Section 16 Party no longer is so subject, or if the Company determines independently that such Section 16 Party no longer is so subject, then such Section 16 Party automatically will be deemed to be removed from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effective upon the date when such Section 16 Party is determined no longer to be subject to the reporting provisions and trading restrictions of Section 16 of the Exchange Act.</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B.The Company has designated those persons listed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attached hereto as persons who have regular access to material nonpublic information in the normal course of their duties for the Company (other than Section 16 Parties); each person listed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is referred to herein as an “</w:t>
      </w:r>
      <w:r>
        <w:rPr>
          <w:rFonts w:ascii="Times New Roman;sans-serif" w:hAnsi="Times New Roman;sans-serif"/>
          <w:b/>
          <w:i/>
          <w:color w:val="000000"/>
          <w:sz w:val="24"/>
        </w:rPr>
        <w:t>Access Person</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Access Persons must obtain prior approval of all trades in Company securities from the Securities Trading Compliance Officer in accordance with the procedures set forth in Section VI.C below. The Company will amend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from time to time as necessary to reflect the addition and the resignation or departure of Access Persons.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IV.</w:t>
      </w:r>
      <w:r>
        <w:rPr>
          <w:rFonts w:ascii="Times New Roman;sans-serif" w:hAnsi="Times New Roman;sans-serif"/>
          <w:b/>
          <w:color w:val="000000"/>
          <w:sz w:val="24"/>
        </w:rPr>
        <w:t>SECURITIES TRADING COMPLIANCE OFFICER</w:t>
      </w:r>
    </w:p>
    <w:p>
      <w:pPr>
        <w:pStyle w:val="TextBody"/>
        <w:bidi w:val="0"/>
        <w:spacing w:lineRule="auto" w:line="288" w:before="0" w:after="240"/>
        <w:jc w:val="both"/>
        <w:rPr/>
      </w:pPr>
      <w:r>
        <w:rPr>
          <w:rFonts w:ascii="Times New Roman;sans-serif" w:hAnsi="Times New Roman;sans-serif"/>
          <w:b w:val="false"/>
          <w:color w:val="000000"/>
          <w:sz w:val="24"/>
        </w:rPr>
        <w:t>The Company has designated [REDACTED], Senior Vice President, General Counsel, Chief Compliance Officer and Corporate Secretary, as its Securities Trading Compliance Officer (the “</w:t>
      </w:r>
      <w:r>
        <w:rPr>
          <w:rFonts w:ascii="Times New Roman;sans-serif" w:hAnsi="Times New Roman;sans-serif"/>
          <w:b/>
          <w:i/>
          <w:color w:val="000000"/>
          <w:sz w:val="24"/>
        </w:rPr>
        <w:t>Compliance Officer</w:t>
      </w:r>
      <w:r>
        <w:rPr>
          <w:color w:val="000000"/>
        </w:rPr>
        <w:t>”</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 Compliance Officer will review and either approve or prohibit all proposed trades by Section 16 Parties or Access Persons in accordance with the procedures set forth in Section VI.C below, except that with respect to the Compliance Officer, any proposed trades must be approved by the Company’s Chief Executive Officer or Chief Financial Officer. The Compliance Officer may consult with outside legal counsel as needed.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the trading approval duties described in Section VI.C below, the duties of the Compliance Officer will include the following:</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A.Administering and interpreting this policy and monitoring and enforcing compliance with all policy provisions and procedures.</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4">
                <wp:simplePos x="0" y="0"/>
                <wp:positionH relativeFrom="character">
                  <wp:align>left</wp:align>
                </wp:positionH>
                <wp:positionV relativeFrom="line">
                  <wp:posOffset>635</wp:posOffset>
                </wp:positionV>
                <wp:extent cx="6480175" cy="385445"/>
                <wp:effectExtent l="0" t="0" r="0" b="0"/>
                <wp:wrapNone/>
                <wp:docPr id="663" name="Frame6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B.Responding to all inquiries relating to this policy and its procedures.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C.Designating and announcing special trading blackout periods during which no directors, officers, Access Persons or, if applicable on a temporary basis, other employees may trade in Company securities.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D.Providing copies of this policy and other appropriate materials to all current and new directors, officers and Access Persons, and such other persons who the Compliance Officer determines may have access to material nonpublic information concerning the Company and making this policy available for all directors, officers and employees.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E.Administering, monitoring and enforcing compliance with all federal and state insider trading laws and regulations, including without limitation Sections 10(b), 16, 20A and 21A of the Exchange Act and the rules and regulations promulgated thereunder, and Rule 144 under the Securities Act of 1933, as amended (the “</w:t>
      </w:r>
      <w:r>
        <w:rPr>
          <w:rFonts w:ascii="Times New Roman;sans-serif" w:hAnsi="Times New Roman;sans-serif"/>
          <w:b/>
          <w:i/>
          <w:color w:val="000000"/>
          <w:sz w:val="24"/>
        </w:rPr>
        <w:t>Securities Act</w:t>
      </w:r>
      <w:r>
        <w:rPr>
          <w:color w:val="000000"/>
        </w:rPr>
        <w:t>”</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and assisting in the preparation and filing of all required SEC reports relating to insider trading in Company securities, including without limitation Forms 3, 4, 5 and 144 and Schedules 13D and 13G.</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F.Revising the policy as necessary to reflect changes in federal or state insider trading laws and regulations.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G.Maintaining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 xml:space="preserve">H.Maintaining the accuracy of the list of Section 16 Parties as attached on </w:t>
      </w:r>
      <w:r>
        <w:rPr>
          <w:rFonts w:ascii="Times New Roman;sans-serif" w:hAnsi="Times New Roman;sans-serif"/>
          <w:b w:val="false"/>
          <w:color w:val="000000"/>
          <w:sz w:val="24"/>
          <w:u w:val="single"/>
        </w:rPr>
        <w:t xml:space="preserve">Exhibit A </w:t>
      </w:r>
      <w:r>
        <w:rPr>
          <w:rFonts w:ascii="Times New Roman;sans-serif" w:hAnsi="Times New Roman;sans-serif"/>
          <w:b w:val="false"/>
          <w:color w:val="000000"/>
          <w:sz w:val="24"/>
        </w:rPr>
        <w:t xml:space="preserve">and the list of Access Persons as attached on </w:t>
      </w:r>
      <w:r>
        <w:rPr>
          <w:rFonts w:ascii="Times New Roman;sans-serif" w:hAnsi="Times New Roman;sans-serif"/>
          <w:b w:val="false"/>
          <w:color w:val="000000"/>
          <w:sz w:val="24"/>
          <w:u w:val="single"/>
        </w:rPr>
        <w:t>Exhibit B</w:t>
      </w:r>
      <w:r>
        <w:rPr>
          <w:rFonts w:ascii="Times New Roman;sans-serif" w:hAnsi="Times New Roman;sans-serif"/>
          <w:b w:val="false"/>
          <w:color w:val="000000"/>
          <w:sz w:val="24"/>
        </w:rPr>
        <w:t>, and updating them periodically as necessary to reflect additions to or deletions.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I.Holding periodic training sessions for Section 16 Parties and Access Persons, as frequently as determined necessary by the Compliance Officer.</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J.Approving the adoption of pre-arranged trading plans in compliance with SEC Rule 10b5-1 Plans.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K.Suspending trading under Rule 10b5-1 Plans.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that the Compliance Officer is unable or unavailable to perform such duties, such duties may be performed by such other persons designated by the Compliance Officer, the Chief Executive Officer or the Chief Financial Officer.</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5">
                <wp:simplePos x="0" y="0"/>
                <wp:positionH relativeFrom="character">
                  <wp:align>left</wp:align>
                </wp:positionH>
                <wp:positionV relativeFrom="line">
                  <wp:posOffset>635</wp:posOffset>
                </wp:positionV>
                <wp:extent cx="6480175" cy="385445"/>
                <wp:effectExtent l="0" t="0" r="0" b="0"/>
                <wp:wrapNone/>
                <wp:docPr id="664" name="Frame6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V.</w:t>
      </w:r>
      <w:r>
        <w:rPr>
          <w:rFonts w:ascii="Times New Roman;sans-serif" w:hAnsi="Times New Roman;sans-serif"/>
          <w:b/>
          <w:color w:val="000000"/>
          <w:sz w:val="24"/>
        </w:rPr>
        <w:t xml:space="preserve">DEFINITION OF </w:t>
      </w:r>
      <w:r>
        <w:rPr>
          <w:color w:val="000000"/>
        </w:rPr>
        <w:t>“</w:t>
      </w:r>
      <w:r>
        <w:rPr>
          <w:rFonts w:ascii="Times New Roman;sans-serif" w:hAnsi="Times New Roman;sans-serif"/>
          <w:b/>
          <w:color w:val="000000"/>
          <w:sz w:val="24"/>
        </w:rPr>
        <w:t>MATERIAL NONPUBLIC INFORMATION</w:t>
      </w:r>
      <w:r>
        <w:rPr>
          <w:color w:val="000000"/>
        </w:rPr>
        <w:t>”</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A.</w:t>
      </w:r>
      <w:r>
        <w:rPr>
          <w:color w:val="000000"/>
        </w:rPr>
        <w:t>“</w:t>
      </w:r>
      <w:r>
        <w:rPr>
          <w:rFonts w:ascii="Times New Roman;sans-serif" w:hAnsi="Times New Roman;sans-serif"/>
          <w:b w:val="false"/>
          <w:color w:val="000000"/>
          <w:sz w:val="24"/>
        </w:rPr>
        <w:t>MATERIAL” INFORMATION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about the Company is “material” if it would be expected to affect the investment or voting decisions of a reasonable stockholder or investor, or if the disclosure of the information would be expected to alter the total mix of the information in the marketplace about the Company significantly. In simple terms, material information is any type of information that could reasonably be expected to affect the market price of the Company’s securities. Both positive and negative information may be material. While it is not possible to identify all information that would be deemed “material,” the following types of information ordinarily would be considered material: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Significant changes in financial or operational performance or liquidity.</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Potential material mergers and acquisitions, tender offers, or material sales or dispositions of Company assets or subsidiaries.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A pending or proposed joint venture.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Stock splits, public or private securities/debt offerings, changes in Company dividend policies or amounts, or establishment of a repurchase program for Company securities.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Bank borrowings or other financing transactions out of the ordinary course.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Significant litigation, actual or threatened disputes or governmental investigations.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Major marketing changes.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Development of a significant new process or service.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Gain or loss of a significant customer, supplier or finance source.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A change in the Company’s pricing or cost structure.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Changes to previously announced earnings guidance, or the decision to suspend earnings guidance.</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Significant personnel changes, such as changes in senior management or layoffs.</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Significant related party transactions.</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6">
                <wp:simplePos x="0" y="0"/>
                <wp:positionH relativeFrom="character">
                  <wp:align>left</wp:align>
                </wp:positionH>
                <wp:positionV relativeFrom="line">
                  <wp:posOffset>635</wp:posOffset>
                </wp:positionV>
                <wp:extent cx="6480175" cy="385445"/>
                <wp:effectExtent l="0" t="0" r="0" b="0"/>
                <wp:wrapNone/>
                <wp:docPr id="665" name="Frame6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A change in auditors or notification that the auditor’s reports may no longer be relied upon.</w:t>
      </w:r>
    </w:p>
    <w:p>
      <w:pPr>
        <w:pStyle w:val="TextBody"/>
        <w:bidi w:val="0"/>
        <w:spacing w:lineRule="auto" w:line="240" w:before="0" w:after="0"/>
        <w:ind w:left="0" w:right="0" w:hanging="360"/>
        <w:jc w:val="left"/>
        <w:rPr/>
      </w:pPr>
      <w:r>
        <w:rPr>
          <w:color w:val="000000"/>
        </w:rPr>
        <w:t>•</w:t>
      </w:r>
      <w:r>
        <w:rPr>
          <w:rFonts w:ascii="Times New Roman;sans-serif" w:hAnsi="Times New Roman;sans-serif"/>
          <w:b w:val="false"/>
          <w:color w:val="000000"/>
          <w:sz w:val="24"/>
        </w:rPr>
        <w:t>The imposition of a ban on trading in Company securities or the securities of another company.</w:t>
      </w:r>
    </w:p>
    <w:p>
      <w:pPr>
        <w:pStyle w:val="TextBody"/>
        <w:bidi w:val="0"/>
        <w:spacing w:before="0" w:after="0"/>
        <w:jc w:val="left"/>
        <w:rPr/>
      </w:pPr>
      <w:r>
        <w:rPr/>
      </w:r>
    </w:p>
    <w:p>
      <w:pPr>
        <w:pStyle w:val="TextBody"/>
        <w:bidi w:val="0"/>
        <w:spacing w:lineRule="auto" w:line="288" w:before="0" w:after="240"/>
        <w:ind w:left="0" w:right="0" w:hanging="720"/>
        <w:jc w:val="both"/>
        <w:rPr>
          <w:color w:val="000000"/>
        </w:rPr>
      </w:pPr>
      <w:r>
        <w:rPr>
          <w:color w:val="000000"/>
        </w:rPr>
        <w:t>“</w:t>
      </w:r>
      <w:r>
        <w:rPr>
          <w:rFonts w:ascii="Times New Roman;sans-serif" w:hAnsi="Times New Roman;sans-serif"/>
          <w:b w:val="false"/>
          <w:color w:val="000000"/>
          <w:sz w:val="24"/>
        </w:rPr>
        <w:t>B.    NONPUBLIC” INFORMATION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that has not been disclosed to the public is generally considered to be “nonpublic” information. Information is nonpublic if it has not been widely disseminated to the public. Information generally would be considered widely disseminated if disclosed by the Company through major newswire services, national news services, financial news services, broadcast on widely-available radio or television programs, posted on the investor portion of the Company’s website, or published in widely-available newspapers, magazines, news websites, or public disclosure documents filed with the SEC that are available on the SEC’s website. By contrast, information would likely not be considered widely disseminated if it is available only to the Company’s employees, or if it only available to a select group of analysts, brokers and institutional investors.</w:t>
      </w:r>
    </w:p>
    <w:p>
      <w:pPr>
        <w:pStyle w:val="TextBody"/>
        <w:bidi w:val="0"/>
        <w:spacing w:lineRule="auto" w:line="288" w:before="0" w:after="240"/>
        <w:jc w:val="both"/>
        <w:rPr/>
      </w:pPr>
      <w:r>
        <w:rPr>
          <w:rFonts w:ascii="Times New Roman;sans-serif" w:hAnsi="Times New Roman;sans-serif"/>
          <w:b w:val="false"/>
          <w:color w:val="000000"/>
          <w:sz w:val="24"/>
        </w:rPr>
        <w:t xml:space="preserve">Once information is widely disseminated, it is still necessary to afford the investing public with sufficient time to absorb the information. For the purposes of this policy, information will be considered public, </w:t>
      </w:r>
      <w:r>
        <w:rPr>
          <w:rFonts w:ascii="Times New Roman;sans-serif" w:hAnsi="Times New Roman;sans-serif"/>
          <w:b w:val="false"/>
          <w:i/>
          <w:color w:val="000000"/>
          <w:sz w:val="24"/>
          <w:u w:val="single"/>
        </w:rPr>
        <w:t>i.e.</w:t>
      </w:r>
      <w:r>
        <w:rPr>
          <w:rFonts w:ascii="Times New Roman;sans-serif" w:hAnsi="Times New Roman;sans-serif"/>
          <w:b w:val="false"/>
          <w:color w:val="000000"/>
          <w:sz w:val="24"/>
        </w:rPr>
        <w:t>, no longer nonpublic, at the opening of trading on the second trading day following the Company’s widespread public release of the information. The term “</w:t>
      </w:r>
      <w:r>
        <w:rPr>
          <w:rFonts w:ascii="Times New Roman;sans-serif" w:hAnsi="Times New Roman;sans-serif"/>
          <w:b/>
          <w:i/>
          <w:color w:val="000000"/>
          <w:sz w:val="24"/>
        </w:rPr>
        <w:t>trading day</w:t>
      </w:r>
      <w:r>
        <w:rPr>
          <w:color w:val="000000"/>
        </w:rPr>
        <w:t xml:space="preserve">” </w:t>
      </w:r>
      <w:r>
        <w:rPr>
          <w:rFonts w:ascii="Times New Roman;sans-serif" w:hAnsi="Times New Roman;sans-serif"/>
          <w:b w:val="false"/>
          <w:color w:val="000000"/>
          <w:sz w:val="24"/>
        </w:rPr>
        <w:t>means a day when the national stock exchanges are open for trading. Depending on the particular circumstances, the Company may determine that a longer or shorter period should apply to the release of specific material nonpublic information.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C.CONSULT THE COMPLIANCE OFFICER FOR GUIDANCE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directors, officers, Access Persons or any other employees who are unsure whether the information that they possess is material or nonpublic should consult the Compliance Officer for guidance before trading in any Company securities.</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VI.</w:t>
      </w:r>
      <w:r>
        <w:rPr>
          <w:rFonts w:ascii="Times New Roman;sans-serif" w:hAnsi="Times New Roman;sans-serif"/>
          <w:b/>
          <w:color w:val="000000"/>
          <w:sz w:val="24"/>
        </w:rPr>
        <w:t>STATEMENT OF COMPANY POLICY AND PROCEDURES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A.PROHIBITED AND STRONGLY DISCOURAGED ACTIVITIES</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1.Other than pursuant to a pre-existing 10b5-1 Plan, no director, officer, Access Person or employee may trade in Company securities while possessing material nonpublic information concerning the Company. Again, it does not matter that there is an independent, justifiable reason for a purchase or sale; if the director, officer or employee has material nonpublic information, the prohibition still applies.</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2.Other than pursuant to a pre-existing Rule 10b5-1 Plan, no Section 16 Party or Access Person may trade in Company securities outside of the applicable “trading windows” described in Section VI.B or during any special trading blackout periods designated by the Compliance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667">
                <wp:simplePos x="0" y="0"/>
                <wp:positionH relativeFrom="character">
                  <wp:align>left</wp:align>
                </wp:positionH>
                <wp:positionV relativeFrom="line">
                  <wp:posOffset>635</wp:posOffset>
                </wp:positionV>
                <wp:extent cx="6480175" cy="385445"/>
                <wp:effectExtent l="0" t="0" r="0" b="0"/>
                <wp:wrapNone/>
                <wp:docPr id="666" name="Frame6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3.Other than pursuant to a pre-existing Rule 10b5-1 Plan, no Section 16 Party or Access Person may trade in Company securities unless the trade has been approved by the Compliance Officer in accordance with the procedures set forth in Section VI.C below.</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4.Other than pursuant to a pre-existing Rule 10b5-1 Plan, the Compliance Officer may not trade in Company securities unless the trade has been approved by the Company’s Chief Executive Officer or Chief Financial Officer in accordance with the procedures set forth in Section VI.C below.</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5.No director, officer, Access Person or employee may trade in any debt securities of the Company admitted to trading on any exchange based in the European Economic Area. </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6.No director, officer, Access Person or employee may disclose material nonpublic information concerning the Company to persons within the Company whose jobs do not require them to have that information, or any outside person (including family members, friends, business associates, consulting firms, analysts, individual investors or members of the investment community, and news media), unless (i) required as part of that director’s, officer’s or employee’s regular duties for the Company, (ii) authorized by the Compliance Officer or the Company’s Chief Executive Officer or Chief Financial Officer, or (iii) made in compliance with the Company’s External Communications Policy and not otherwise in contravention of this Policy. In any instance in which such information is disclosed to outsiders, the Company will take such steps as are necessary to preserve the confidentiality of the information, which may include requiring the outsider to agree in writing to comply with the terms of this policy and/or to sign a confidentiality agreement. All inquiries from outsiders regarding material nonpublic information about the Company must be forwarded to the Compliance Officer.</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7.No director, officer, Access Person or employee may give trading advice of any kind about the Company to anyone while possessing material nonpublic information about the Company. “Tipping” can result in civil and criminal penalties as described in Section VII below, even if the director, officer or employee did not trade or benefit from another’s trading. However, directors, officers, Access Persons and employees should advise others not to trade if doing so might violate the law or this policy.</w:t>
      </w:r>
    </w:p>
    <w:p>
      <w:pPr>
        <w:pStyle w:val="TextBody"/>
        <w:bidi w:val="0"/>
        <w:spacing w:lineRule="auto" w:line="288" w:before="0" w:after="240"/>
        <w:ind w:left="0" w:right="0" w:hanging="63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8.No director, officer, Access Person or employee may (a) trade in the securities of any other public company while possessing material nonpublic information concerning that company obtained in the course of service as a director, officer or employee, (b) tip or disclose such material nonpublic information concerning such other public company to anyone, or (c) give trading advice of any kind to anyone concerning such other public company while possessing such material nonpublic information about that company. All directors, officers, Access Persons and employees should treat material nonpublic information about such other public companies, including a </w:t>
      </w:r>
    </w:p>
    <w:p>
      <w:pPr>
        <w:pStyle w:val="TextBody"/>
        <w:bidi w:val="0"/>
        <w:spacing w:before="0" w:after="0"/>
        <w:jc w:val="right"/>
        <w:rPr/>
      </w:pPr>
      <w:r>
        <w:rPr/>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480175" cy="385445"/>
                <wp:effectExtent l="0" t="0" r="0" b="0"/>
                <wp:wrapNone/>
                <wp:docPr id="667" name="Frame6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customer or supplier of the Company, with the same care required with respect to information related directly to the Company.</w:t>
      </w:r>
    </w:p>
    <w:p>
      <w:pPr>
        <w:pStyle w:val="TextBody"/>
        <w:bidi w:val="0"/>
        <w:spacing w:lineRule="auto" w:line="240" w:before="0" w:after="0"/>
        <w:ind w:left="0" w:right="0" w:hanging="630"/>
        <w:jc w:val="left"/>
        <w:rPr>
          <w:rFonts w:ascii="Times New Roman;sans-serif" w:hAnsi="Times New Roman;sans-serif"/>
          <w:b w:val="false"/>
          <w:color w:val="000000"/>
          <w:sz w:val="24"/>
        </w:rPr>
      </w:pPr>
      <w:r>
        <w:rPr>
          <w:rFonts w:ascii="Times New Roman;sans-serif" w:hAnsi="Times New Roman;sans-serif"/>
          <w:b w:val="false"/>
          <w:color w:val="000000"/>
          <w:sz w:val="24"/>
        </w:rPr>
        <w:t>9.No director, officer, Access Person or employee may assist anyone engaged in any of the above activities.</w:t>
      </w:r>
    </w:p>
    <w:p>
      <w:pPr>
        <w:pStyle w:val="TextBody"/>
        <w:bidi w:val="0"/>
        <w:spacing w:before="0" w:after="0"/>
        <w:ind w:left="0" w:right="0" w:hanging="270"/>
        <w:jc w:val="left"/>
        <w:rPr/>
      </w:pPr>
      <w:r>
        <w:rPr/>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B.TRADING WINDOWS AND BLACKOUT PERIODS</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1.</w:t>
      </w:r>
      <w:r>
        <w:rPr>
          <w:rFonts w:ascii="Times New Roman;sans-serif" w:hAnsi="Times New Roman;sans-serif"/>
          <w:b/>
          <w:i/>
          <w:color w:val="000000"/>
          <w:sz w:val="24"/>
        </w:rPr>
        <w:t xml:space="preserve">Trading Window for Section 16 Parties and Access Persons. </w:t>
      </w:r>
      <w:r>
        <w:rPr>
          <w:rFonts w:ascii="Times New Roman;sans-serif" w:hAnsi="Times New Roman;sans-serif"/>
          <w:b w:val="false"/>
          <w:color w:val="000000"/>
          <w:sz w:val="24"/>
        </w:rPr>
        <w:t xml:space="preserve">Other than pursuant to a pre-existing 10b5-1 Plan, after obtaining trading approval from the Compliance Officer in accordance with the procedures set forth in Section VI.C below, Section 16 Parties listed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 xml:space="preserve">attached hereto and Access Persons listed on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 xml:space="preserve">attached hereto may trade in Company securities </w:t>
      </w:r>
      <w:r>
        <w:rPr>
          <w:rFonts w:ascii="Times New Roman;sans-serif" w:hAnsi="Times New Roman;sans-serif"/>
          <w:b w:val="false"/>
          <w:color w:val="000000"/>
          <w:sz w:val="24"/>
          <w:u w:val="single"/>
        </w:rPr>
        <w:t>only during the period beginning at the open of trading on the second trading day following the Company’s widespread public release of quarterly or year-end earnings and ending at the close of trading on the fifteenth (15</w:t>
      </w:r>
      <w:r>
        <w:rPr>
          <w:rFonts w:ascii="Times New Roman;sans-serif" w:hAnsi="Times New Roman;sans-serif"/>
          <w:b w:val="false"/>
          <w:color w:val="000000"/>
          <w:sz w:val="16"/>
        </w:rPr>
        <w:t>th</w:t>
      </w:r>
      <w:r>
        <w:rPr>
          <w:rFonts w:ascii="Times New Roman;sans-serif" w:hAnsi="Times New Roman;sans-serif"/>
          <w:b w:val="false"/>
          <w:color w:val="000000"/>
          <w:sz w:val="24"/>
          <w:u w:val="single"/>
        </w:rPr>
        <w:t>) calendar day of the third month of each quarter</w:t>
      </w:r>
      <w:r>
        <w:rPr>
          <w:rFonts w:ascii="Times New Roman;sans-serif" w:hAnsi="Times New Roman;sans-serif"/>
          <w:b w:val="false"/>
          <w:color w:val="000000"/>
          <w:sz w:val="24"/>
        </w:rPr>
        <w:t>.</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2.</w:t>
      </w:r>
      <w:r>
        <w:rPr>
          <w:rFonts w:ascii="Times New Roman;sans-serif" w:hAnsi="Times New Roman;sans-serif"/>
          <w:b/>
          <w:i/>
          <w:color w:val="000000"/>
          <w:sz w:val="24"/>
        </w:rPr>
        <w:t xml:space="preserve">No Trading During Trading Windows While in the Possession of Material Nonpublic Information. </w:t>
      </w:r>
      <w:r>
        <w:rPr>
          <w:rFonts w:ascii="Times New Roman;sans-serif" w:hAnsi="Times New Roman;sans-serif"/>
          <w:b w:val="false"/>
          <w:color w:val="000000"/>
          <w:sz w:val="24"/>
        </w:rPr>
        <w:t>Other than pursuant to a pre-existing 10b5-1 Plan, no director, officer, Access Person or employee possessing material nonpublic information concerning the Company may trade in Company securities even during applicable trading windows. Persons possessing such information may trade during a trading window beginning at the open of trading on the second trading day following the Company’s widespread public release of the information. Depending on the particular circumstances, the Company may determine that a longer or shorter period of time should apply to the release of specific nonpublic information.</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3.</w:t>
      </w:r>
      <w:r>
        <w:rPr>
          <w:rFonts w:ascii="Times New Roman;sans-serif" w:hAnsi="Times New Roman;sans-serif"/>
          <w:b/>
          <w:i/>
          <w:color w:val="000000"/>
          <w:sz w:val="24"/>
        </w:rPr>
        <w:t xml:space="preserve">No Trading During Blackout Periods. </w:t>
      </w:r>
      <w:r>
        <w:rPr>
          <w:rFonts w:ascii="Times New Roman;sans-serif" w:hAnsi="Times New Roman;sans-serif"/>
          <w:b w:val="false"/>
          <w:color w:val="000000"/>
          <w:sz w:val="24"/>
        </w:rPr>
        <w:t>Other than pursuant to a preexisting 10b5-1 Plan, no director, officer or Access Person may trade in Company securities outside of the applicable trading windows or during any special blackout periods that the Compliance Officer may designate. No director, officer or Access Person may disclose to any outside third party that a special blackout period has been designated.</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Under certain very limited circumstances, a person subject to this restriction may be permitted to trade during a blackout period, but only if (i) the person complies with the procedures applicable to trading during a trading window, as set forth in Section VI.C below, and (ii) demonstrates to the reasonable satisfaction of the Compliance Officer that the person does not possess material nonpublic information. Persons wishing to trade during a blackout period must contact the Compliance Officer for approval at least two business days, or any such longer period that the Compliance Officer determines is appropriate, in advance of any proposed transaction involving Company securities.</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69">
                <wp:simplePos x="0" y="0"/>
                <wp:positionH relativeFrom="character">
                  <wp:align>left</wp:align>
                </wp:positionH>
                <wp:positionV relativeFrom="line">
                  <wp:posOffset>635</wp:posOffset>
                </wp:positionV>
                <wp:extent cx="6480175" cy="385445"/>
                <wp:effectExtent l="0" t="0" r="0" b="0"/>
                <wp:wrapNone/>
                <wp:docPr id="668" name="Frame6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C.MANDATORY PROCEDURES FOR APPROVING TRADES</w:t>
      </w:r>
    </w:p>
    <w:p>
      <w:pPr>
        <w:pStyle w:val="TextBody"/>
        <w:bidi w:val="0"/>
        <w:spacing w:lineRule="auto" w:line="288" w:before="0" w:after="240"/>
        <w:ind w:left="0" w:right="0" w:hanging="450"/>
        <w:jc w:val="both"/>
        <w:rPr/>
      </w:pPr>
      <w:r>
        <w:rPr>
          <w:rFonts w:ascii="Times New Roman;sans-serif" w:hAnsi="Times New Roman;sans-serif"/>
          <w:b w:val="false"/>
          <w:color w:val="000000"/>
          <w:sz w:val="24"/>
        </w:rPr>
        <w:t>1.</w:t>
      </w:r>
      <w:r>
        <w:rPr>
          <w:rFonts w:ascii="Times New Roman;sans-serif" w:hAnsi="Times New Roman;sans-serif"/>
          <w:b/>
          <w:i/>
          <w:color w:val="000000"/>
          <w:sz w:val="24"/>
        </w:rPr>
        <w:t xml:space="preserve">Section 16 Parties and Access Persons. </w:t>
      </w:r>
      <w:r>
        <w:rPr>
          <w:rFonts w:ascii="Times New Roman;sans-serif" w:hAnsi="Times New Roman;sans-serif"/>
          <w:b w:val="false"/>
          <w:color w:val="000000"/>
          <w:sz w:val="24"/>
        </w:rPr>
        <w:t>Other than pursuant to a preexisting 10b5-1 Plan, no Section 16 Party or Access Person may trade in Company securities, until:</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a.The person trading has notified the Compliance Officer in writing of the amount and nature of the proposed trade(s).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b.The person trading has certified to the Compliance Officer in writing prior to the proposed trade(s) that</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(i)such person is not in possession of material nonpublic information concerning the Company, and</w:t>
      </w:r>
    </w:p>
    <w:p>
      <w:pPr>
        <w:pStyle w:val="TextBody"/>
        <w:bidi w:val="0"/>
        <w:spacing w:lineRule="auto" w:line="288" w:before="0" w:after="240"/>
        <w:ind w:left="0" w:right="0" w:hanging="720"/>
        <w:jc w:val="both"/>
        <w:rPr>
          <w:rFonts w:ascii="Times New Roman;sans-serif" w:hAnsi="Times New Roman;sans-serif"/>
          <w:b w:val="false"/>
          <w:color w:val="000000"/>
          <w:sz w:val="24"/>
        </w:rPr>
      </w:pPr>
      <w:r>
        <w:rPr>
          <w:rFonts w:ascii="Times New Roman;sans-serif" w:hAnsi="Times New Roman;sans-serif"/>
          <w:b w:val="false"/>
          <w:color w:val="000000"/>
          <w:sz w:val="24"/>
        </w:rPr>
        <w:t>(ii)the proposed trade(s) do not violate the trading restrictions of Section 16 of the Exchange Act or Rule 144 of the Securities Act, and</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c.The Compliance Officer has approved the trade(s) in writing.</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For the purposes of this Section VI.C, notification or certification in writing shall include such notification or certification via e-mail.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Approval by the Compliance Officer of any proposed trade(s) shall under no circumstances constitute investment advice or absolve any person of trading on the basis of material nonpublic information in violation of the securities laws.</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2.</w:t>
      </w:r>
      <w:r>
        <w:rPr>
          <w:rFonts w:ascii="Times New Roman;sans-serif" w:hAnsi="Times New Roman;sans-serif"/>
          <w:b/>
          <w:i/>
          <w:color w:val="000000"/>
          <w:sz w:val="24"/>
        </w:rPr>
        <w:t xml:space="preserve">No Obligation to Approve Trades. </w:t>
      </w:r>
      <w:r>
        <w:rPr>
          <w:rFonts w:ascii="Times New Roman;sans-serif" w:hAnsi="Times New Roman;sans-serif"/>
          <w:b w:val="false"/>
          <w:color w:val="000000"/>
          <w:sz w:val="24"/>
        </w:rPr>
        <w:t>The existence of the foregoing approval procedures does not in any way obligate the Compliance Officer to approve any trades requested by Section 16 Parties or Access Persons. The Compliance Officer may reject any trading requests at his or her sole reasonable discretion. If a person seeking pre-clearance and permission to engage in the transaction is denied, then he or she should refrain from initiating any transaction in Company securities, and should not inform any other person of the restriction.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D.EMPLOYEE BENEFIT PLANS</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1.</w:t>
      </w:r>
      <w:r>
        <w:rPr>
          <w:rFonts w:ascii="Times New Roman;sans-serif" w:hAnsi="Times New Roman;sans-serif"/>
          <w:b/>
          <w:i/>
          <w:color w:val="000000"/>
          <w:sz w:val="24"/>
        </w:rPr>
        <w:t>Employee Stock Purchase Plan</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The trading prohibitions and restrictions set forth in this policy do not apply to periodic wage withholding contributions by the Company or employees to the Company’s Employee Stock Purchase Plan (if any) which is used to purchase Company securities pursuant to the employees’ advance instructions. However, if applicable, any sale of securities acquired under such plan is subject to the prohibitions and restrictions of this Policy.</w:t>
      </w:r>
    </w:p>
    <w:p>
      <w:pPr>
        <w:pStyle w:val="TextBody"/>
        <w:bidi w:val="0"/>
        <w:spacing w:before="0" w:after="240"/>
        <w:ind w:left="0" w:right="0" w:hanging="27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0">
                <wp:simplePos x="0" y="0"/>
                <wp:positionH relativeFrom="character">
                  <wp:align>left</wp:align>
                </wp:positionH>
                <wp:positionV relativeFrom="line">
                  <wp:posOffset>635</wp:posOffset>
                </wp:positionV>
                <wp:extent cx="6480175" cy="385445"/>
                <wp:effectExtent l="0" t="0" r="0" b="0"/>
                <wp:wrapNone/>
                <wp:docPr id="669" name="Frame6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2.</w:t>
      </w:r>
      <w:r>
        <w:rPr>
          <w:rFonts w:ascii="Times New Roman;sans-serif" w:hAnsi="Times New Roman;sans-serif"/>
          <w:b/>
          <w:i/>
          <w:color w:val="000000"/>
          <w:sz w:val="24"/>
        </w:rPr>
        <w:t xml:space="preserve">401(k) Plan. </w:t>
      </w:r>
      <w:r>
        <w:rPr>
          <w:rFonts w:ascii="Times New Roman;sans-serif" w:hAnsi="Times New Roman;sans-serif"/>
          <w:b w:val="false"/>
          <w:color w:val="000000"/>
          <w:sz w:val="24"/>
        </w:rPr>
        <w:t xml:space="preserve">This Policy does not apply to purchases of Company Securities in any Company stock fund within the Company’s 401(k) plan(s) resulting from your periodic contribution of money to the plan pursuant to your payroll deduction election. This Policy does apply, however, to certain elections you may make under such a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 </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3.</w:t>
      </w:r>
      <w:r>
        <w:rPr>
          <w:rFonts w:ascii="Times New Roman;sans-serif" w:hAnsi="Times New Roman;sans-serif"/>
          <w:b/>
          <w:i/>
          <w:color w:val="000000"/>
          <w:sz w:val="24"/>
        </w:rPr>
        <w:t xml:space="preserve">Stock Option Plans. </w:t>
      </w:r>
      <w:r>
        <w:rPr>
          <w:rFonts w:ascii="Times New Roman;sans-serif" w:hAnsi="Times New Roman;sans-serif"/>
          <w:b w:val="false"/>
          <w:color w:val="000000"/>
          <w:sz w:val="24"/>
        </w:rPr>
        <w:t>The trading prohibitions and restrictions of this policy apply to all sales of securities acquired through the exercise of stock options granted by the Company, as well as the sale of stock as part of a broker-assisted cashless exercise of an option, or any other market sale for the purpose of generating the cash needed to pay the exercise price of an option. This policy does not apply to the acquisition of securities through the exercise of stock options granted by the Company, or to the exercise of a tax withholding right pursuant to which a person has elected to have the Company withhold shares subject to an option to satisfy tax withholding requirements.</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4.</w:t>
      </w:r>
      <w:r>
        <w:rPr>
          <w:rFonts w:ascii="Times New Roman;sans-serif" w:hAnsi="Times New Roman;sans-serif"/>
          <w:b/>
          <w:i/>
          <w:color w:val="000000"/>
          <w:sz w:val="24"/>
        </w:rPr>
        <w:t xml:space="preserve">Restricted Stock Awards. </w:t>
      </w:r>
      <w:r>
        <w:rPr>
          <w:rFonts w:ascii="Times New Roman;sans-serif" w:hAnsi="Times New Roman;sans-serif"/>
          <w:b w:val="false"/>
          <w:color w:val="000000"/>
          <w:sz w:val="24"/>
        </w:rPr>
        <w:t>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stock obtained upon the vesting of any restricted stock units.</w:t>
      </w:r>
    </w:p>
    <w:p>
      <w:pPr>
        <w:pStyle w:val="TextBody"/>
        <w:bidi w:val="0"/>
        <w:spacing w:lineRule="auto" w:line="288" w:before="0" w:after="240"/>
        <w:ind w:left="0" w:right="0" w:hanging="630"/>
        <w:jc w:val="both"/>
        <w:rPr/>
      </w:pPr>
      <w:r>
        <w:rPr>
          <w:rFonts w:ascii="Times New Roman;sans-serif" w:hAnsi="Times New Roman;sans-serif"/>
          <w:b w:val="false"/>
          <w:color w:val="000000"/>
          <w:sz w:val="24"/>
        </w:rPr>
        <w:t>5.</w:t>
      </w:r>
      <w:r>
        <w:rPr>
          <w:rFonts w:ascii="Times New Roman;sans-serif" w:hAnsi="Times New Roman;sans-serif"/>
          <w:b/>
          <w:i/>
          <w:color w:val="000000"/>
          <w:sz w:val="24"/>
        </w:rPr>
        <w:t xml:space="preserve">Other Employee Benefit Plans. </w:t>
      </w:r>
      <w:r>
        <w:rPr>
          <w:rFonts w:ascii="Times New Roman;sans-serif" w:hAnsi="Times New Roman;sans-serif"/>
          <w:b w:val="false"/>
          <w:color w:val="000000"/>
          <w:sz w:val="24"/>
        </w:rPr>
        <w:t>The trading prohibitions and restrictions set forth in this policy apply to elections regarding contribution levels, investment directions and fund transfers under the Company’s employee benefit plans to the extent they relate to Company securities. No officers or employees may make or change such elections while in the possession of material nonpublic information relating to the Company or of any other public company that is an investment vehicle within such plan.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E.TRANSACTIONS NOT INVOLVING A PURCHASE OR SALE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Bona fide gifts of securities are transactions subject to this policy, and therefore may not be made while the person making the gift is in possession of material nonpublic information or the person making the gift is subject to trading restrictions under this policy unless the gift and the circumstances thereof are approved in advance in writing by the Compliance Officer after consultation with counsel.</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Further, transactions in mutual funds that are invested in Company securities are not transactions subject to this policy.</w:t>
      </w:r>
    </w:p>
    <w:p>
      <w:pPr>
        <w:pStyle w:val="TextBody"/>
        <w:bidi w:val="0"/>
        <w:spacing w:before="0" w:after="24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71">
                <wp:simplePos x="0" y="0"/>
                <wp:positionH relativeFrom="character">
                  <wp:align>left</wp:align>
                </wp:positionH>
                <wp:positionV relativeFrom="line">
                  <wp:posOffset>635</wp:posOffset>
                </wp:positionV>
                <wp:extent cx="6480175" cy="385445"/>
                <wp:effectExtent l="0" t="0" r="0" b="0"/>
                <wp:wrapNone/>
                <wp:docPr id="670" name="Frame6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F.OTHER SPECIAL AND PROHIBITED TRANSACTIONS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determined that there is a heightened legal risk and/or the appearance of improper or inappropriate conduct if the Section 16 Parties or Access Persons engage in certain types of transactions. It therefore is the Company’s policy that no Section 16 Parties or Access Persons may engage in any of the following transactions, or should otherwise consider the Company’s preferences as described below:</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1.</w:t>
      </w:r>
      <w:r>
        <w:rPr>
          <w:rFonts w:ascii="Times New Roman;sans-serif" w:hAnsi="Times New Roman;sans-serif"/>
          <w:b/>
          <w:i/>
          <w:color w:val="000000"/>
          <w:sz w:val="24"/>
        </w:rPr>
        <w:t>Short-Term Trading</w:t>
      </w:r>
      <w:r>
        <w:rPr>
          <w:rFonts w:ascii="Times New Roman;sans-serif" w:hAnsi="Times New Roman;sans-serif"/>
          <w:b w:val="false"/>
          <w:color w:val="000000"/>
          <w:sz w:val="24"/>
        </w:rPr>
        <w:t>. Short-term trading of Company securities may be distracting to the person and may unduly focus the person on the Company’s short-term stock market performance instead of the Company’s long-term business objectives. For these reasons, any Section 16 Party who purchases Company securities in the open market may not sell any Company securities of the same class during the six months following the purchase (or vice versa). Access Persons are strongly advised not to trade in Company securities on a short-term basis and to hold any Company securities purchased in the open market for a minimum of six months and ideally longer.</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2.</w:t>
      </w:r>
      <w:r>
        <w:rPr>
          <w:rFonts w:ascii="Times New Roman;sans-serif" w:hAnsi="Times New Roman;sans-serif"/>
          <w:b/>
          <w:i/>
          <w:color w:val="000000"/>
          <w:sz w:val="24"/>
        </w:rPr>
        <w:t>Short Sales</w:t>
      </w:r>
      <w:r>
        <w:rPr>
          <w:rFonts w:ascii="Times New Roman;sans-serif" w:hAnsi="Times New Roman;sans-serif"/>
          <w:b w:val="false"/>
          <w:color w:val="000000"/>
          <w:sz w:val="24"/>
        </w:rPr>
        <w:t>. 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by Section 16 Parties and Access Persons are prohibited. In addition, Section 16(c) of the Exchange Act prohibits officers and directors from engaging in short sales. (Short sales arising from certain types of hedging transactions are governed by the paragraph below captioned “Hedging Transactions.”)</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3.</w:t>
      </w:r>
      <w:r>
        <w:rPr>
          <w:rFonts w:ascii="Times New Roman;sans-serif" w:hAnsi="Times New Roman;sans-serif"/>
          <w:b/>
          <w:i/>
          <w:color w:val="000000"/>
          <w:sz w:val="24"/>
        </w:rPr>
        <w:t xml:space="preserve">Publicly-Traded Options. </w:t>
      </w:r>
      <w:r>
        <w:rPr>
          <w:rFonts w:ascii="Times New Roman;sans-serif" w:hAnsi="Times New Roman;sans-serif"/>
          <w:b w:val="false"/>
          <w:color w:val="000000"/>
          <w:sz w:val="24"/>
        </w:rPr>
        <w:t>Given the relatively short term of publicly-traded options, transactions in options may create the appearance that a person is trading based on material nonpublic information and focus a person’s attention on short-term performance at the expense of the Company’s long-term objectives. Accordingly, transactions in put options, call options or other derivative securities by any Section 16 Party or Access Person, on an exchange or in any other organized market, are prohibited by this policy. (Option positions arising from certain types of hedging transactions are governed by the next paragraph below.)</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4.</w:t>
      </w:r>
      <w:r>
        <w:rPr>
          <w:rFonts w:ascii="Times New Roman;sans-serif" w:hAnsi="Times New Roman;sans-serif"/>
          <w:b/>
          <w:i/>
          <w:color w:val="000000"/>
          <w:sz w:val="24"/>
        </w:rPr>
        <w:t xml:space="preserve">Hedging Transactions. </w:t>
      </w:r>
      <w:r>
        <w:rPr>
          <w:rFonts w:ascii="Times New Roman;sans-serif" w:hAnsi="Times New Roman;sans-serif"/>
          <w:b w:val="false"/>
          <w:color w:val="000000"/>
          <w:sz w:val="24"/>
        </w:rPr>
        <w:t xml:space="preserve">Hedging or monetization transactions can be accomplished through a number of possible mechanisms, including through the use of financial instruments such as prepaid variable forwards, equity swaps, collars and exchange funds. Such hedging transactions may permit a person to continue to own Company securities obtained through employee benefit plans or otherwise, but without the full risks and rewards of ownership. When that occurs, the person may no longer have the same </w:t>
      </w:r>
    </w:p>
    <w:p>
      <w:pPr>
        <w:pStyle w:val="TextBody"/>
        <w:bidi w:val="0"/>
        <w:spacing w:before="0" w:after="0"/>
        <w:jc w:val="right"/>
        <w:rPr/>
      </w:pPr>
      <w:r>
        <w:rPr/>
      </w:r>
      <w:r>
        <mc:AlternateContent>
          <mc:Choice Requires="wps">
            <w:drawing>
              <wp:anchor behindDoc="0" distT="0" distB="0" distL="0" distR="0" simplePos="0" locked="0" layoutInCell="1" allowOverlap="1" relativeHeight="672">
                <wp:simplePos x="0" y="0"/>
                <wp:positionH relativeFrom="character">
                  <wp:align>left</wp:align>
                </wp:positionH>
                <wp:positionV relativeFrom="line">
                  <wp:posOffset>635</wp:posOffset>
                </wp:positionV>
                <wp:extent cx="6480175" cy="385445"/>
                <wp:effectExtent l="0" t="0" r="0" b="0"/>
                <wp:wrapNone/>
                <wp:docPr id="671" name="Frame6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objectives as the Company’s other shareholders. Therefore, Section 16 Parties and Access Persons are prohibited from engaging in any such transactions.</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5.</w:t>
      </w:r>
      <w:r>
        <w:rPr>
          <w:rFonts w:ascii="Times New Roman;sans-serif" w:hAnsi="Times New Roman;sans-serif"/>
          <w:b/>
          <w:i/>
          <w:color w:val="000000"/>
          <w:sz w:val="24"/>
        </w:rPr>
        <w:t xml:space="preserve">Margin Accounts and Pledged Securities. </w:t>
      </w:r>
      <w:r>
        <w:rPr>
          <w:rFonts w:ascii="Times New Roman;sans-serif" w:hAnsi="Times New Roman;sans-serif"/>
          <w:b w:val="false"/>
          <w:color w:val="000000"/>
          <w:sz w:val="24"/>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Section 16 Parties and Access Persons are prohibited from holding Company Securities in a margin account or otherwise pledging Company Securities as collateral for a loan. (Pledges of Company Securities arising from certain types of hedging transactions are governed by the paragraph above captioned “Hedging Transactions.”)</w:t>
      </w:r>
    </w:p>
    <w:p>
      <w:pPr>
        <w:pStyle w:val="TextBody"/>
        <w:bidi w:val="0"/>
        <w:spacing w:lineRule="auto" w:line="288" w:before="0" w:after="240"/>
        <w:ind w:left="0" w:right="0" w:hanging="720"/>
        <w:jc w:val="both"/>
        <w:rPr/>
      </w:pPr>
      <w:r>
        <w:rPr>
          <w:rFonts w:ascii="Times New Roman;sans-serif" w:hAnsi="Times New Roman;sans-serif"/>
          <w:b w:val="false"/>
          <w:color w:val="000000"/>
          <w:sz w:val="24"/>
        </w:rPr>
        <w:t>6.</w:t>
      </w:r>
      <w:r>
        <w:rPr>
          <w:rFonts w:ascii="Times New Roman;sans-serif" w:hAnsi="Times New Roman;sans-serif"/>
          <w:b/>
          <w:i/>
          <w:color w:val="000000"/>
          <w:sz w:val="24"/>
        </w:rPr>
        <w:t xml:space="preserve">Standing and Limit Orders. </w:t>
      </w:r>
      <w:r>
        <w:rPr>
          <w:rFonts w:ascii="Times New Roman;sans-serif" w:hAnsi="Times New Roman;sans-serif"/>
          <w:b w:val="false"/>
          <w:color w:val="000000"/>
          <w:sz w:val="24"/>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Access Person is in possession of material nonpublic information. The Company therefore discourages placing standing or limit orders on Company securities. If a Section 16 Party or Access Person determines that they must use a standing order or limit order, the order should be limited to short duration (no longer than 3 business days) and should otherwise comply with the applicable restrictions and procedures outlined by this policy.</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G.OTHER SPECIAL AND PROHIBITED TRANSACTIONS</w:t>
      </w:r>
    </w:p>
    <w:p>
      <w:pPr>
        <w:pStyle w:val="TextBody"/>
        <w:bidi w:val="0"/>
        <w:spacing w:lineRule="auto" w:line="288" w:before="0" w:after="240"/>
        <w:jc w:val="both"/>
        <w:rPr/>
      </w:pPr>
      <w:r>
        <w:rPr>
          <w:rFonts w:ascii="Times New Roman;sans-serif" w:hAnsi="Times New Roman;sans-serif"/>
          <w:b w:val="false"/>
          <w:color w:val="000000"/>
          <w:sz w:val="24"/>
        </w:rPr>
        <w:t xml:space="preserve">The trading prohibitions and restrictions set forth in this policy will be superseded by any greater prohibitions or restrictions prescribed by federal or state securities laws and regulations, </w:t>
      </w:r>
      <w:r>
        <w:rPr>
          <w:rFonts w:ascii="Times New Roman;sans-serif" w:hAnsi="Times New Roman;sans-serif"/>
          <w:b w:val="false"/>
          <w:i/>
          <w:color w:val="000000"/>
          <w:sz w:val="24"/>
          <w:u w:val="single"/>
        </w:rPr>
        <w:t>e.g</w:t>
      </w:r>
      <w:r>
        <w:rPr>
          <w:rFonts w:ascii="Times New Roman;sans-serif" w:hAnsi="Times New Roman;sans-serif"/>
          <w:b w:val="false"/>
          <w:color w:val="000000"/>
          <w:sz w:val="24"/>
          <w:u w:val="single"/>
        </w:rPr>
        <w:t>.</w:t>
      </w:r>
      <w:r>
        <w:rPr>
          <w:rFonts w:ascii="Times New Roman;sans-serif" w:hAnsi="Times New Roman;sans-serif"/>
          <w:b w:val="false"/>
          <w:color w:val="000000"/>
          <w:sz w:val="24"/>
        </w:rPr>
        <w:t>, contractual restrictions on the sale of securities, short-swing trading by Section 16 Parties or restrictions on the sale of securities subject to Rule 144 under the Securities Act. Any director, officer, Access Person or employee who is uncertain whether other prohibitions or restrictions apply should ask the Compliance Officer.</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H.RULE 10b5-1 PLANS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Compliance with the limitations on purchases and sales of the Company’s stock set forth above may be satisfied by entering into long-term “trading plans” with a broker (and with the Company, in some instances), as contemplated by Rule 10b5-1 under the Exchange Act (each, a “Rule 10b5-1 Plan”). Under this rule, a person is not liable for insider trading, even if he or she is aware of material, nonpublic information at the time of the trade, if he or she can demonstrate that the material, nonpublic information was not a factor in the trading decision. Trading plans that meet certain criteria enable Section 16 Parties and Access </w:t>
      </w:r>
    </w:p>
    <w:p>
      <w:pPr>
        <w:pStyle w:val="TextBody"/>
        <w:bidi w:val="0"/>
        <w:spacing w:before="0" w:after="0"/>
        <w:jc w:val="right"/>
        <w:rPr/>
      </w:pPr>
      <w:r>
        <w:rPr/>
      </w:r>
      <w:r>
        <mc:AlternateContent>
          <mc:Choice Requires="wps">
            <w:drawing>
              <wp:anchor behindDoc="0" distT="0" distB="0" distL="0" distR="0" simplePos="0" locked="0" layoutInCell="1" allowOverlap="1" relativeHeight="673">
                <wp:simplePos x="0" y="0"/>
                <wp:positionH relativeFrom="character">
                  <wp:align>left</wp:align>
                </wp:positionH>
                <wp:positionV relativeFrom="line">
                  <wp:posOffset>635</wp:posOffset>
                </wp:positionV>
                <wp:extent cx="6480175" cy="385445"/>
                <wp:effectExtent l="0" t="0" r="0" b="0"/>
                <wp:wrapNone/>
                <wp:docPr id="672" name="Frame6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Persons to demonstrate that material, nonpublic information was not a factor in the trading decision. Section 16 Parties and Access Persons that wish to enter into a trading plan must adhere to the following:</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1.The Rule 10b5-1 Plan must be a written plan and must be approved in advance by the Compliance Officer (the Compliance Officer should have at least 5 business days to review the proposed Rule 10b5-1 Plan).</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2.Section 16 Parties and Access Persons may enter a trading plan only at time when such Section 16 Party or Access Person is unaware of any material, nonpublic information regarding the Company.</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3.The Rule 10b5-1 Plan must either (a) expressly specify the amount, price and date of the transactions to be undertaken or (b) provide a written formula, algorithm, etc. for determining such amounts, prices and dates of sale.</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4.In no way is the Section 16 Party or Access Person permitted to have any influence over the purchases or sales of securities under the trading plan.</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5.The Company must be authorized to require the Section 16 Parties and Access Persons to instruct the broker to cease all sales under the Rule 10b5-1 Plan if the board of directors of the Company determines that sales under such trading plan(s) should be suspended in connection with certain events (for example, a public or private offering of the Company’s securities).</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6.The first trade made under the Rule 10b5-1 Plan after its adoption or modification may not take place until the expiration of a cooling-off period consisting of (a) for Section 16 Parties, the later of (i) 90 days and (ii) two business days following the filing of the quarterly or annual report covering the fiscal quarter in which the Rule 10b5-1 was adopted or modified (subject to a maximum of 120 days after adoption or modification of the Rule 10b5-1 Plan) and (b) for Access Persons, 30 days after the adoption or modification of the Rule 10b5-1 Plan.</w:t>
      </w:r>
    </w:p>
    <w:p>
      <w:pPr>
        <w:pStyle w:val="TextBody"/>
        <w:bidi w:val="0"/>
        <w:spacing w:lineRule="auto" w:line="288" w:before="0" w:after="240"/>
        <w:ind w:left="0" w:right="0" w:hanging="540"/>
        <w:jc w:val="both"/>
        <w:rPr>
          <w:rFonts w:ascii="Times New Roman;sans-serif" w:hAnsi="Times New Roman;sans-serif"/>
          <w:b w:val="false"/>
          <w:color w:val="000000"/>
          <w:sz w:val="24"/>
        </w:rPr>
      </w:pPr>
      <w:r>
        <w:rPr>
          <w:rFonts w:ascii="Times New Roman;sans-serif" w:hAnsi="Times New Roman;sans-serif"/>
          <w:b w:val="false"/>
          <w:color w:val="000000"/>
          <w:sz w:val="24"/>
        </w:rPr>
        <w:t>7.The Rule 10b5-1 Plan must at all times comply with all applicable requirements of Rule 10b5-1 under the Exchange Act, as may be amended from time to time.</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VII.</w:t>
      </w:r>
      <w:r>
        <w:rPr>
          <w:rFonts w:ascii="Times New Roman;sans-serif" w:hAnsi="Times New Roman;sans-serif"/>
          <w:b/>
          <w:color w:val="000000"/>
          <w:sz w:val="24"/>
        </w:rPr>
        <w:t>POTENTIAL CIVIL, CRIMINAL AND DISCIPLINARY SANCTIONS</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A.CIVIL AND CRIMINAL PENALTIES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consequences of prohibited insider trading or tipping can be severe. Insider trading violations are pursued vigorously by the SEC, U.S. Attorneys and state enforcement authorities as well as the laws of foreign jurisdictions. The SEC and the stock exchanges use sophisticated electronic surveillance techniques to uncover insider trading. Persons violating insider trading or tipping rules may be required to disgorge the profit made or the loss avoided by the trading, pay the </w:t>
      </w:r>
    </w:p>
    <w:p>
      <w:pPr>
        <w:pStyle w:val="TextBody"/>
        <w:bidi w:val="0"/>
        <w:spacing w:before="0" w:after="0"/>
        <w:jc w:val="right"/>
        <w:rPr/>
      </w:pPr>
      <w:r>
        <w:rPr/>
      </w:r>
      <w:r>
        <mc:AlternateContent>
          <mc:Choice Requires="wps">
            <w:drawing>
              <wp:anchor behindDoc="0" distT="0" distB="0" distL="0" distR="0" simplePos="0" locked="0" layoutInCell="1" allowOverlap="1" relativeHeight="674">
                <wp:simplePos x="0" y="0"/>
                <wp:positionH relativeFrom="character">
                  <wp:align>left</wp:align>
                </wp:positionH>
                <wp:positionV relativeFrom="line">
                  <wp:posOffset>635</wp:posOffset>
                </wp:positionV>
                <wp:extent cx="6480175" cy="385445"/>
                <wp:effectExtent l="0" t="0" r="0" b="0"/>
                <wp:wrapNone/>
                <wp:docPr id="673" name="Frame6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loss suffered by the persons who purchased securities from or sold securities to the insider tippee, pay civil penalties up to three times the profit made or loss avoided, pay a criminal penalty of up to $5 million and serve a jail term of up to twenty years. The Company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the Company’s control.</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B.COMPANY DISCIPLINE</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Violation of this policy or federal or state insider trading or tipping laws by any director, officer, Access Person or employee may subject a director to dismissal proceedings and an officer, Access Person or employee to disciplinary action by the Company up to and including termination for cause. A violation of the Company’s policy is not necessarily the same as a violation of law. In fact, for the reasons indicated above, the Company’s policy is intended to be broader than the law. The Company reserves the right to determine, in its own discretion and on the basis of the information available to it, whether its policy has been violated. The Company may determine that specific conduct violates its policy, whether or not the conduct also violates the law. It is not necessary for the Company to await the filing or conclusion of a civil or criminal action against the alleged violator before taking disciplinary action.</w:t>
      </w:r>
    </w:p>
    <w:p>
      <w:pPr>
        <w:pStyle w:val="TextBody"/>
        <w:bidi w:val="0"/>
        <w:spacing w:lineRule="auto" w:line="288" w:before="0" w:after="24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C.REPORTING OF VIOLATIONS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director, officer, Access Person or employee who violates this policy or any federal or state laws governing insider trading or tipping, or knows of any such violation by any other director, officer, Access Person or employee, must report the violation immediately to the Compliance Officer. Upon learning of any such violation, the Compliance Officer, in consultation with outside counsel (if appropriate), will determine whether the Company should release any material nonpublic information, or whether the Company should report the violation to the SEC or other appropriate governmental authority.</w:t>
      </w:r>
    </w:p>
    <w:p>
      <w:pPr>
        <w:pStyle w:val="TextBody"/>
        <w:bidi w:val="0"/>
        <w:spacing w:lineRule="auto" w:line="288" w:before="0" w:after="240"/>
        <w:ind w:left="0" w:right="0" w:hanging="360"/>
        <w:jc w:val="both"/>
        <w:rPr/>
      </w:pPr>
      <w:r>
        <w:rPr>
          <w:rFonts w:ascii="Times New Roman;sans-serif" w:hAnsi="Times New Roman;sans-serif"/>
          <w:b w:val="false"/>
          <w:color w:val="000000"/>
          <w:sz w:val="24"/>
        </w:rPr>
        <w:t>VIII.</w:t>
      </w:r>
      <w:r>
        <w:rPr>
          <w:rFonts w:ascii="Times New Roman;sans-serif" w:hAnsi="Times New Roman;sans-serif"/>
          <w:b/>
          <w:color w:val="000000"/>
          <w:sz w:val="24"/>
        </w:rPr>
        <w:t>INQUIRIES</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Please direct all inquiries regarding any of the provisions or procedures of this policy to the Compliance Officer. The Compliance Officer may be reached by calling [REDACTED].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5">
                <wp:simplePos x="0" y="0"/>
                <wp:positionH relativeFrom="character">
                  <wp:align>left</wp:align>
                </wp:positionH>
                <wp:positionV relativeFrom="line">
                  <wp:posOffset>635</wp:posOffset>
                </wp:positionV>
                <wp:extent cx="6480175" cy="385445"/>
                <wp:effectExtent l="0" t="0" r="0" b="0"/>
                <wp:wrapNone/>
                <wp:docPr id="674" name="Frame6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Avis Budget Group, Inc.</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Re:    Policy, Procedures And Guidelines Governing Securities Trades By Company Personnel</w:t>
      </w:r>
    </w:p>
    <w:p>
      <w:pPr>
        <w:pStyle w:val="TextBody"/>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Enclosed is a copy of the </w:t>
      </w:r>
      <w:r>
        <w:rPr>
          <w:rFonts w:ascii="Times New Roman;sans-serif" w:hAnsi="Times New Roman;sans-serif"/>
          <w:b w:val="false"/>
          <w:color w:val="000000"/>
          <w:sz w:val="24"/>
          <w:u w:val="single"/>
        </w:rPr>
        <w:t>Policy, Procedures and Guidelines Governing Securities Trades by Company Personnel</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PLEASE READ IT VERY CAREFULLY. </w:t>
      </w:r>
      <w:r>
        <w:rPr>
          <w:rFonts w:ascii="Times New Roman;sans-serif" w:hAnsi="Times New Roman;sans-serif"/>
          <w:b w:val="false"/>
          <w:color w:val="000000"/>
          <w:sz w:val="24"/>
        </w:rPr>
        <w:t>As it indicates, the consequences of insider trading and tipping can be drastic to both you and the Company.</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show that you have read the Policy and agree to be bound by them, please sign and return the attached copy of this letter to your local human resources representatives as soon as possible.</w:t>
      </w:r>
    </w:p>
    <w:p>
      <w:pPr>
        <w:pStyle w:val="TextBody"/>
        <w:bidi w:val="0"/>
        <w:spacing w:lineRule="auto" w:line="288" w:before="0" w:after="480"/>
        <w:jc w:val="left"/>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6">
                <wp:simplePos x="0" y="0"/>
                <wp:positionH relativeFrom="character">
                  <wp:align>left</wp:align>
                </wp:positionH>
                <wp:positionV relativeFrom="line">
                  <wp:posOffset>635</wp:posOffset>
                </wp:positionV>
                <wp:extent cx="6480175" cy="385445"/>
                <wp:effectExtent l="0" t="0" r="0" b="0"/>
                <wp:wrapNone/>
                <wp:docPr id="675" name="Frame6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88" w:before="0" w:after="240"/>
        <w:ind w:left="0" w:right="0" w:firstLine="1440"/>
        <w:jc w:val="both"/>
        <w:rPr/>
      </w:pPr>
      <w:r>
        <w:rPr>
          <w:rFonts w:ascii="Times New Roman;sans-serif" w:hAnsi="Times New Roman;sans-serif"/>
          <w:b w:val="false"/>
          <w:color w:val="000000"/>
          <w:sz w:val="24"/>
        </w:rPr>
        <w:t xml:space="preserve">The undersigned certifies that the undersigned has read, understands and agrees to comply with the </w:t>
      </w:r>
      <w:r>
        <w:rPr>
          <w:rFonts w:ascii="Times New Roman;sans-serif" w:hAnsi="Times New Roman;sans-serif"/>
          <w:b w:val="false"/>
          <w:color w:val="000000"/>
          <w:sz w:val="24"/>
          <w:u w:val="single"/>
        </w:rPr>
        <w:t>Policy, Procedures and Guidelines Governing Securities Trades by Company Personnel</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of Avis Budget Group,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The undersigned agrees that the undersigned will be subject to sanctions, including, as to employees of the Company, termination of employment, that may be imposed by the Company, in its discretion, for violation of the Policy, and that the Company may give stop-transfer and other instructions to the Company’s transfer agent against the transfer of Company securities by the undersigned in a transaction that the Company considers to be in contravention of its Policy.</w:t>
      </w:r>
    </w:p>
    <w:tbl>
      <w:tblPr>
        <w:tblW w:w="8205" w:type="dxa"/>
        <w:jc w:val="left"/>
        <w:tblInd w:w="0" w:type="dxa"/>
        <w:tblLayout w:type="fixed"/>
        <w:tblCellMar>
          <w:top w:w="28" w:type="dxa"/>
          <w:left w:w="28" w:type="dxa"/>
          <w:bottom w:w="28" w:type="dxa"/>
          <w:right w:w="28" w:type="dxa"/>
        </w:tblCellMar>
      </w:tblPr>
      <w:tblGrid>
        <w:gridCol w:w="1480"/>
        <w:gridCol w:w="1304"/>
        <w:gridCol w:w="1311"/>
        <w:gridCol w:w="1203"/>
        <w:gridCol w:w="1203"/>
        <w:gridCol w:w="1704"/>
      </w:tblGrid>
      <w:tr>
        <w:trPr/>
        <w:tc>
          <w:tcPr>
            <w:tcW w:w="148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ENTITY:</w:t>
            </w:r>
          </w:p>
        </w:tc>
        <w:tc>
          <w:tcPr>
            <w:tcW w:w="41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INDIVIDUAL:</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4"/>
                <w:u w:val="single"/>
              </w:rPr>
              <w:t>Printed name of entity</w:t>
            </w:r>
            <w:r>
              <w:rPr>
                <w:rFonts w:ascii="Times New Roman;sans-serif" w:hAnsi="Times New Roman;sans-serif"/>
                <w:b w:val="false"/>
                <w:color w:val="000000"/>
                <w:sz w:val="24"/>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4"/>
              </w:rPr>
              <w:t>(Signature)</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name:_____________________</w:t>
            </w:r>
          </w:p>
        </w:tc>
      </w:tr>
      <w:tr>
        <w:trPr/>
        <w:tc>
          <w:tcPr>
            <w:tcW w:w="4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0"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signed:_______________________</w:t>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By:______________________________</w:t>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Printed name:______________________</w:t>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Title:_____________________________</w:t>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ans-serif" w:hAnsi="Times New Roman;sans-serif"/>
                <w:b w:val="false"/>
                <w:color w:val="000000"/>
                <w:sz w:val="24"/>
              </w:rPr>
            </w:pPr>
            <w:r>
              <w:rPr>
                <w:rFonts w:ascii="Times New Roman;sans-serif" w:hAnsi="Times New Roman;sans-serif"/>
                <w:b w:val="false"/>
                <w:color w:val="000000"/>
                <w:sz w:val="24"/>
              </w:rPr>
              <w:t>Date signed:_______________________</w:t>
            </w:r>
          </w:p>
        </w:tc>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7">
                <wp:simplePos x="0" y="0"/>
                <wp:positionH relativeFrom="character">
                  <wp:align>left</wp:align>
                </wp:positionH>
                <wp:positionV relativeFrom="line">
                  <wp:posOffset>635</wp:posOffset>
                </wp:positionV>
                <wp:extent cx="6480175" cy="385445"/>
                <wp:effectExtent l="0" t="0" r="0" b="0"/>
                <wp:wrapNone/>
                <wp:docPr id="676" name="Frame6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Avis Budget Group, Inc.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APPLICATION AND APPROVAL FORM FOR TRADING </w:t>
        <w:br/>
        <w:t>BY SECTION 16 PARTIES AND ACCESS PERSONS</w:t>
      </w:r>
    </w:p>
    <w:tbl>
      <w:tblPr>
        <w:tblW w:w="26866" w:type="dxa"/>
        <w:jc w:val="center"/>
        <w:tblInd w:w="0" w:type="dxa"/>
        <w:tblLayout w:type="fixed"/>
        <w:tblCellMar>
          <w:top w:w="28" w:type="dxa"/>
          <w:left w:w="28" w:type="dxa"/>
          <w:bottom w:w="28" w:type="dxa"/>
          <w:right w:w="28" w:type="dxa"/>
        </w:tblCellMar>
      </w:tblPr>
      <w:tblGrid>
        <w:gridCol w:w="8689"/>
        <w:gridCol w:w="7533"/>
        <w:gridCol w:w="10644"/>
      </w:tblGrid>
      <w:tr>
        <w:trPr/>
        <w:tc>
          <w:tcPr>
            <w:tcW w:w="8689" w:type="dxa"/>
            <w:tcBorders/>
            <w:vAlign w:val="center"/>
          </w:tcPr>
          <w:p>
            <w:pPr>
              <w:pStyle w:val="TableContents"/>
              <w:bidi w:val="0"/>
              <w:spacing w:before="0" w:after="283"/>
              <w:jc w:val="left"/>
              <w:rPr>
                <w:sz w:val="4"/>
                <w:szCs w:val="4"/>
              </w:rPr>
            </w:pPr>
            <w:r>
              <w:rPr>
                <w:sz w:val="4"/>
                <w:szCs w:val="4"/>
              </w:rPr>
            </w:r>
          </w:p>
        </w:tc>
        <w:tc>
          <w:tcPr>
            <w:tcW w:w="7533" w:type="dxa"/>
            <w:tcBorders/>
            <w:vAlign w:val="center"/>
          </w:tcPr>
          <w:p>
            <w:pPr>
              <w:pStyle w:val="TableContents"/>
              <w:bidi w:val="0"/>
              <w:spacing w:before="0" w:after="283"/>
              <w:jc w:val="left"/>
              <w:rPr>
                <w:sz w:val="4"/>
                <w:szCs w:val="4"/>
              </w:rPr>
            </w:pPr>
            <w:r>
              <w:rPr>
                <w:sz w:val="4"/>
                <w:szCs w:val="4"/>
              </w:rPr>
            </w:r>
          </w:p>
        </w:tc>
        <w:tc>
          <w:tcPr>
            <w:tcW w:w="10644" w:type="dxa"/>
            <w:tcBorders/>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Name:_____________________________________________________________________________________________________________________________________________________________________________________________________________________________</w:t>
            </w:r>
          </w:p>
        </w:tc>
      </w:tr>
      <w:tr>
        <w:trPr/>
        <w:tc>
          <w:tcPr>
            <w:tcW w:w="2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Title:______________________________________________________________________________________________________________________________________________________________________________________________________________________________</w:t>
            </w:r>
          </w:p>
        </w:tc>
      </w:tr>
      <w:tr>
        <w:trPr/>
        <w:tc>
          <w:tcPr>
            <w:tcW w:w="2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Proposed Trade Date:_________________________________________________________________________________________________________________________________________________________________________________________________________________</w:t>
            </w:r>
          </w:p>
        </w:tc>
      </w:tr>
      <w:tr>
        <w:trPr/>
        <w:tc>
          <w:tcPr>
            <w:tcW w:w="2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Security to be Traded:__________________________________________________________________________________________________________________________________________________________________________________________________________</w:t>
            </w:r>
          </w:p>
        </w:tc>
      </w:tr>
      <w:tr>
        <w:trPr/>
        <w:tc>
          <w:tcPr>
            <w:tcW w:w="2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Type of Trade (Purchase/Sale):__________________________________________________________________________________________________________________________________________________________________________________________________________</w:t>
            </w:r>
          </w:p>
        </w:tc>
      </w:tr>
      <w:tr>
        <w:trPr/>
        <w:tc>
          <w:tcPr>
            <w:tcW w:w="26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Shares or Other Securities to be Traded:__________________________________________________________________________________________________________________________________________________________________________________________</w:t>
            </w:r>
          </w:p>
        </w:tc>
      </w:tr>
    </w:tbl>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EXAMPLES OF MATERIAL NONPUBLIC INFORMATION</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While it is not possible to identify all information that would be deemed “material nonpublic information,” the following types of information ordinarily would be included in the definition if not yet publicly released by the Company: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Significant changes in financial or operational performance or liquidity.</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Potential material mergers and acquisitions, tender offers, or material sales or dispositions of Company assets or subsidiaries.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A significant pending or proposed joint venture.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Stock splits, public or private securities/debt offerings, changes in Company dividend policies or amounts, or establishment of a repurchase program for Company securities.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Bank borrowings or other financing transactions out of the ordinary course.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Significant litigation, actual or threatened disputes or governmental investigations.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Major marketing changes.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Development of a significant new process or service.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Gain or loss of a significant customer, supplier or finance source.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A significant change in the Company’s pricing or cost structure.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Projections of future earnings or losses, or other earnings guidance.</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Changes to previously announced earnings guidance, or the decision to suspend earnings guidance.</w:t>
      </w:r>
    </w:p>
    <w:p>
      <w:pPr>
        <w:pStyle w:val="TextBody"/>
        <w:bidi w:val="0"/>
        <w:spacing w:before="0" w:after="1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8">
                <wp:simplePos x="0" y="0"/>
                <wp:positionH relativeFrom="character">
                  <wp:align>left</wp:align>
                </wp:positionH>
                <wp:positionV relativeFrom="line">
                  <wp:posOffset>635</wp:posOffset>
                </wp:positionV>
                <wp:extent cx="6480175" cy="385445"/>
                <wp:effectExtent l="0" t="0" r="0" b="0"/>
                <wp:wrapNone/>
                <wp:docPr id="677" name="Frame6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Significant personnel changes, such as changes in senior management or lay-offs.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Significant related party transactions.</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A change in auditors or notification that the auditor’s reports may no longer be relied upon.</w:t>
      </w:r>
    </w:p>
    <w:p>
      <w:pPr>
        <w:pStyle w:val="TextBody"/>
        <w:bidi w:val="0"/>
        <w:spacing w:lineRule="auto" w:line="288" w:before="0" w:after="120"/>
        <w:ind w:left="0" w:right="0" w:hanging="360"/>
        <w:jc w:val="both"/>
        <w:rPr/>
      </w:pPr>
      <w:r>
        <w:rPr>
          <w:color w:val="000000"/>
        </w:rPr>
        <w:t>•</w:t>
      </w:r>
      <w:r>
        <w:rPr>
          <w:rFonts w:ascii="Times New Roman;sans-serif" w:hAnsi="Times New Roman;sans-serif"/>
          <w:b w:val="false"/>
          <w:color w:val="000000"/>
          <w:sz w:val="24"/>
        </w:rPr>
        <w:t>The imposition of a ban on trading in Company securities or the securities of another company.</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79">
                <wp:simplePos x="0" y="0"/>
                <wp:positionH relativeFrom="character">
                  <wp:align>left</wp:align>
                </wp:positionH>
                <wp:positionV relativeFrom="line">
                  <wp:posOffset>635</wp:posOffset>
                </wp:positionV>
                <wp:extent cx="6480175" cy="385445"/>
                <wp:effectExtent l="0" t="0" r="0" b="0"/>
                <wp:wrapNone/>
                <wp:docPr id="678" name="Frame6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ans-serif" w:hAnsi="Times New Roman;sans-serif"/>
          <w:b/>
          <w:color w:val="000000"/>
          <w:sz w:val="24"/>
        </w:rPr>
      </w:pPr>
      <w:r>
        <w:rPr>
          <w:rFonts w:ascii="Times New Roman;sans-serif" w:hAnsi="Times New Roman;sans-serif"/>
          <w:b/>
          <w:color w:val="000000"/>
          <w:sz w:val="24"/>
        </w:rPr>
        <w:t>Avis Budget Group, Inc.</w:t>
      </w:r>
    </w:p>
    <w:p>
      <w:pPr>
        <w:pStyle w:val="TextBody"/>
        <w:bidi w:val="0"/>
        <w:spacing w:lineRule="auto" w:line="288" w:before="0" w:after="480"/>
        <w:jc w:val="center"/>
        <w:rPr>
          <w:rFonts w:ascii="Times New Roman;sans-serif" w:hAnsi="Times New Roman;sans-serif"/>
          <w:b/>
          <w:color w:val="000000"/>
          <w:sz w:val="24"/>
        </w:rPr>
      </w:pPr>
      <w:r>
        <w:rPr>
          <w:rFonts w:ascii="Times New Roman;sans-serif" w:hAnsi="Times New Roman;sans-serif"/>
          <w:b/>
          <w:color w:val="000000"/>
          <w:sz w:val="24"/>
        </w:rPr>
        <w:t>CERTIFICATION</w:t>
      </w:r>
    </w:p>
    <w:p>
      <w:pPr>
        <w:pStyle w:val="TextBody"/>
        <w:bidi w:val="0"/>
        <w:spacing w:lineRule="auto" w:line="288" w:before="0" w:after="360"/>
        <w:jc w:val="both"/>
        <w:rPr/>
      </w:pPr>
      <w:r>
        <w:rPr>
          <w:rFonts w:ascii="Times New Roman;sans-serif" w:hAnsi="Times New Roman;sans-serif"/>
          <w:b w:val="false"/>
          <w:color w:val="000000"/>
          <w:sz w:val="24"/>
        </w:rPr>
        <w:t xml:space="preserve">I, </w:t>
      </w:r>
      <w:r>
        <w:rPr>
          <w:rFonts w:ascii="Times New Roman;sans-serif" w:hAnsi="Times New Roman;sans-serif"/>
          <w:b w:val="false"/>
          <w:i/>
          <w:color w:val="000000"/>
          <w:sz w:val="24"/>
        </w:rPr>
        <w:t xml:space="preserve">(please print name) </w:t>
      </w:r>
      <w:r>
        <w:rPr>
          <w:rFonts w:ascii="Times New Roman;sans-serif" w:hAnsi="Times New Roman;sans-serif"/>
          <w:b w:val="false"/>
          <w:color w:val="000000"/>
          <w:sz w:val="24"/>
        </w:rPr>
        <w:t>______________________________________________, hereby certify that (i) I am not in possession of any “material nonpublic information” concerning Avis Budget Group, Inc. (the “Company”), as defined in the Company’s “Policy, Procedures and Guidelines Governing Securities Trades by Company Personnel” (the “Policy”), and (ii) to the best of my knowledge, the proposed trade(s) listed above do not violate the trading restrictions of Section 16 of the Securities Exchange Act of 1934, as amended, or Rule 144 under the Securities Act of 1933, as amended. I understand that, if I trade while possessing such information or in violation of such trading restrictions, I may be subject to severe civil and/or criminal penalties, and may be subject to discipline by the Company up to and including termination for cause. I further understand that this policy continues to apply to transactions in Company securities even after termination of service to the Company, and if I possess material non-public information after termination of service to the Company, I may not trade in Company securities until that information has become public or is no longer material.</w:t>
      </w:r>
    </w:p>
    <w:tbl>
      <w:tblPr>
        <w:tblW w:w="6569" w:type="dxa"/>
        <w:jc w:val="right"/>
        <w:tblInd w:w="0" w:type="dxa"/>
        <w:tblLayout w:type="fixed"/>
        <w:tblCellMar>
          <w:top w:w="28" w:type="dxa"/>
          <w:left w:w="28" w:type="dxa"/>
          <w:bottom w:w="28" w:type="dxa"/>
          <w:right w:w="28" w:type="dxa"/>
        </w:tblCellMar>
      </w:tblPr>
      <w:tblGrid>
        <w:gridCol w:w="2105"/>
        <w:gridCol w:w="1850"/>
        <w:gridCol w:w="2614"/>
      </w:tblGrid>
      <w:tr>
        <w:trPr/>
        <w:tc>
          <w:tcPr>
            <w:tcW w:w="210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w:t>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___________________________________________</w:t>
            </w:r>
          </w:p>
        </w:tc>
      </w:tr>
    </w:tbl>
    <w:p>
      <w:pPr>
        <w:pStyle w:val="TextBody"/>
        <w:bidi w:val="0"/>
        <w:spacing w:lineRule="auto" w:line="288" w:before="0" w:after="240"/>
        <w:ind w:left="0" w:right="0" w:firstLine="72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SECURITIES TRADING COMPLIANCE OFFICER REVIEW AND DECISION</w:t>
      </w:r>
    </w:p>
    <w:p>
      <w:pPr>
        <w:pStyle w:val="TextBody"/>
        <w:bidi w:val="0"/>
        <w:spacing w:lineRule="auto" w:line="288" w:before="0" w:after="720"/>
        <w:ind w:left="0" w:right="0" w:firstLine="720"/>
        <w:jc w:val="both"/>
        <w:rPr/>
      </w:pPr>
      <w:r>
        <w:rPr>
          <w:rFonts w:ascii="Times New Roman;sans-serif" w:hAnsi="Times New Roman;sans-serif"/>
          <w:b w:val="false"/>
          <w:color w:val="000000"/>
          <w:sz w:val="24"/>
        </w:rPr>
        <w:t xml:space="preserve">The undersigned hereby certifies that the Compliance Officer of the Company has reviewed the foregoing application and </w:t>
      </w:r>
      <w:r>
        <w:rPr>
          <w:rFonts w:ascii="Times New Roman;sans-serif" w:hAnsi="Times New Roman;sans-serif"/>
          <w:b w:val="false"/>
          <w:i/>
          <w:color w:val="000000"/>
          <w:sz w:val="24"/>
        </w:rPr>
        <w:t>(Compliance Officer to initial one of the following):</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 APPROVES the proposed trade(s).</w:t>
      </w:r>
    </w:p>
    <w:p>
      <w:pPr>
        <w:pStyle w:val="TextBody"/>
        <w:bidi w:val="0"/>
        <w:spacing w:lineRule="auto" w:line="288" w:before="0" w:after="72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_________DOES NOT APPROVE the proposed trade(s).</w:t>
      </w:r>
    </w:p>
    <w:tbl>
      <w:tblPr>
        <w:tblW w:w="6569" w:type="dxa"/>
        <w:jc w:val="right"/>
        <w:tblInd w:w="0" w:type="dxa"/>
        <w:tblLayout w:type="fixed"/>
        <w:tblCellMar>
          <w:top w:w="28" w:type="dxa"/>
          <w:left w:w="28" w:type="dxa"/>
          <w:bottom w:w="28" w:type="dxa"/>
          <w:right w:w="28" w:type="dxa"/>
        </w:tblCellMar>
      </w:tblPr>
      <w:tblGrid>
        <w:gridCol w:w="2105"/>
        <w:gridCol w:w="1850"/>
        <w:gridCol w:w="2614"/>
      </w:tblGrid>
      <w:tr>
        <w:trPr/>
        <w:tc>
          <w:tcPr>
            <w:tcW w:w="210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_____________________________________________________</w:t>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w:t>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Compliance Officer (or Designee)</w:t>
            </w:r>
          </w:p>
        </w:tc>
      </w:tr>
      <w:tr>
        <w:trPr/>
        <w:tc>
          <w:tcPr>
            <w:tcW w:w="6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 signed: ___________________________________________</w:t>
            </w:r>
          </w:p>
        </w:tc>
      </w:tr>
    </w:tbl>
    <w:p>
      <w:pPr>
        <w:pStyle w:val="TextBody"/>
        <w:bidi w:val="0"/>
        <w:spacing w:before="0" w:after="24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80">
                <wp:simplePos x="0" y="0"/>
                <wp:positionH relativeFrom="character">
                  <wp:align>left</wp:align>
                </wp:positionH>
                <wp:positionV relativeFrom="line">
                  <wp:posOffset>635</wp:posOffset>
                </wp:positionV>
                <wp:extent cx="6480175" cy="385445"/>
                <wp:effectExtent l="0" t="0" r="0" b="0"/>
                <wp:wrapNone/>
                <wp:docPr id="679" name="Frame6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Avis Budget Group, Inc.</w:t>
      </w:r>
    </w:p>
    <w:p>
      <w:pPr>
        <w:pStyle w:val="TextBody"/>
        <w:bidi w:val="0"/>
        <w:spacing w:lineRule="auto" w:line="288"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Securities Trading Compliance Program - Preclearance Checklist</w:t>
      </w:r>
    </w:p>
    <w:tbl>
      <w:tblPr>
        <w:tblW w:w="9673" w:type="dxa"/>
        <w:jc w:val="left"/>
        <w:tblInd w:w="0" w:type="dxa"/>
        <w:tblLayout w:type="fixed"/>
        <w:tblCellMar>
          <w:top w:w="28" w:type="dxa"/>
          <w:left w:w="28" w:type="dxa"/>
          <w:bottom w:w="28" w:type="dxa"/>
          <w:right w:w="28" w:type="dxa"/>
        </w:tblCellMar>
      </w:tblPr>
      <w:tblGrid>
        <w:gridCol w:w="1189"/>
        <w:gridCol w:w="1046"/>
        <w:gridCol w:w="1049"/>
        <w:gridCol w:w="1872"/>
        <w:gridCol w:w="1872"/>
        <w:gridCol w:w="2645"/>
      </w:tblGrid>
      <w:tr>
        <w:trPr/>
        <w:tc>
          <w:tcPr>
            <w:tcW w:w="118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Individual Proposing to Trade:</w:t>
            </w:r>
          </w:p>
        </w:tc>
        <w:tc>
          <w:tcPr>
            <w:tcW w:w="6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____________________________________________________</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 xml:space="preserve">Compliance Officer: </w:t>
            </w:r>
          </w:p>
        </w:tc>
        <w:tc>
          <w:tcPr>
            <w:tcW w:w="6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____________________________________________________</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 xml:space="preserve">Proposed Trade: </w:t>
            </w:r>
          </w:p>
        </w:tc>
        <w:tc>
          <w:tcPr>
            <w:tcW w:w="6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____________________________________________________</w:t>
            </w:r>
          </w:p>
        </w:tc>
      </w:tr>
      <w:tr>
        <w:trPr/>
        <w:tc>
          <w:tcPr>
            <w:tcW w:w="3284"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ans-serif" w:hAnsi="Times New Roman;sans-serif"/>
                <w:b/>
                <w:color w:val="000000"/>
                <w:sz w:val="24"/>
              </w:rPr>
            </w:pPr>
            <w:r>
              <w:rPr>
                <w:rFonts w:ascii="Times New Roman;sans-serif" w:hAnsi="Times New Roman;sans-serif"/>
                <w:b/>
                <w:color w:val="000000"/>
                <w:sz w:val="24"/>
              </w:rPr>
              <w:t xml:space="preserve">Date: </w:t>
            </w:r>
          </w:p>
        </w:tc>
        <w:tc>
          <w:tcPr>
            <w:tcW w:w="6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____________________________________________________</w:t>
            </w:r>
          </w:p>
        </w:tc>
      </w:tr>
    </w:tbl>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u w:val="single"/>
        </w:rPr>
        <w:t>Trading Window</w:t>
      </w:r>
      <w:r>
        <w:rPr>
          <w:rFonts w:ascii="Times New Roman;sans-serif" w:hAnsi="Times New Roman;sans-serif"/>
          <w:b w:val="false"/>
          <w:color w:val="000000"/>
          <w:sz w:val="24"/>
        </w:rPr>
        <w:t>. Confirm that the trade will be made during the Company’s “trading window.”</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u w:val="single"/>
        </w:rPr>
        <w:t>Section 16 Compliance</w:t>
      </w:r>
      <w:r>
        <w:rPr>
          <w:rFonts w:ascii="Times New Roman;sans-serif" w:hAnsi="Times New Roman;sans-serif"/>
          <w:b w:val="false"/>
          <w:color w:val="000000"/>
          <w:sz w:val="24"/>
        </w:rPr>
        <w:t>. Confirm, if the individual is an officer or director subject to Section 16, that the proposed trade will not give rise to any potential liability under Section 16 as a result of matched past (or intended future) transactions. Ensure that no matching purchase or sale has occurred in the past six months (or is likely to occur in the next six).</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Also, ensure that a Form 4 has been or will be completed and will be timely filed.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u w:val="single"/>
        </w:rPr>
        <w:t>Prohibited Trades</w:t>
      </w:r>
      <w:r>
        <w:rPr>
          <w:rFonts w:ascii="Times New Roman;sans-serif" w:hAnsi="Times New Roman;sans-serif"/>
          <w:b w:val="false"/>
          <w:color w:val="000000"/>
          <w:sz w:val="24"/>
        </w:rPr>
        <w:t>. Confirm, if the individual is an officer or director subject to Section 16, that the proposed transaction is not a “short sale,” put, call, equity swap, derivative or other prohibited or strongly discouraged transaction.</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u w:val="single"/>
        </w:rPr>
        <w:t>Rule 144 Compliance</w:t>
      </w:r>
      <w:r>
        <w:rPr>
          <w:rFonts w:ascii="Times New Roman;sans-serif" w:hAnsi="Times New Roman;sans-serif"/>
          <w:b w:val="false"/>
          <w:color w:val="000000"/>
          <w:sz w:val="24"/>
        </w:rPr>
        <w:t>. Confirm that:</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Current public information requirement has been met</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Shares are not restricted or, if restricted, the applicable holding period has been met</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Volume limitations are not exceeded (confirm the individual is not part of an aggregated group)</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The manner of sale requirements have been met</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rPr>
        <w:t>The Notice on Form 144 has been completed and filed</w:t>
      </w:r>
    </w:p>
    <w:p>
      <w:pPr>
        <w:pStyle w:val="TextBody"/>
        <w:bidi w:val="0"/>
        <w:spacing w:lineRule="auto" w:line="288" w:before="0" w:after="240"/>
        <w:ind w:left="0" w:right="0" w:hanging="720"/>
        <w:jc w:val="both"/>
        <w:rPr/>
      </w:pPr>
      <w:r>
        <w:rPr>
          <w:color w:val="000000"/>
        </w:rPr>
        <w:t>•</w:t>
      </w:r>
      <w:r>
        <w:rPr>
          <w:rFonts w:ascii="Times New Roman;sans-serif" w:hAnsi="Times New Roman;sans-serif"/>
          <w:b w:val="false"/>
          <w:color w:val="000000"/>
          <w:sz w:val="24"/>
          <w:u w:val="single"/>
        </w:rPr>
        <w:t>Rule 10b-5 Concerns</w:t>
      </w:r>
      <w:r>
        <w:rPr>
          <w:rFonts w:ascii="Times New Roman;sans-serif" w:hAnsi="Times New Roman;sans-serif"/>
          <w:b w:val="false"/>
          <w:color w:val="000000"/>
          <w:sz w:val="24"/>
        </w:rPr>
        <w:t>. Confirm that (i) the individual has been reminded that trading is prohibited when in possession of any material information regarding the Company that has not been adequately disclosed to the public, and (ii) the Compliance Officer has discussed with the insider any information known to the individual or the Compliance Officer which might be considered material, so that the individual has made an informed judgment as to the inside information.</w:t>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18"/>
        </w:rPr>
      </w:pPr>
      <w:r>
        <w:rPr>
          <w:rFonts w:ascii="Arial;sans-serif" w:hAnsi="Arial;sans-serif"/>
          <w:b/>
          <w:color w:val="000000"/>
          <w:sz w:val="18"/>
        </w:rPr>
        <w:t>EXHIBIT 21</w:t>
      </w:r>
      <w:r>
        <mc:AlternateContent>
          <mc:Choice Requires="wps">
            <w:drawing>
              <wp:anchor behindDoc="0" distT="0" distB="0" distL="0" distR="0" simplePos="0" locked="0" layoutInCell="1" allowOverlap="1" relativeHeight="681">
                <wp:simplePos x="0" y="0"/>
                <wp:positionH relativeFrom="character">
                  <wp:align>left</wp:align>
                </wp:positionH>
                <wp:positionV relativeFrom="line">
                  <wp:posOffset>635</wp:posOffset>
                </wp:positionV>
                <wp:extent cx="6480175" cy="385445"/>
                <wp:effectExtent l="0" t="0" r="0" b="0"/>
                <wp:wrapNone/>
                <wp:docPr id="680" name="Frame6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34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360"/>
        <w:jc w:val="left"/>
        <w:rPr/>
      </w:pPr>
      <w:r>
        <w:rPr/>
      </w:r>
    </w:p>
    <w:p>
      <w:pPr>
        <w:pStyle w:val="TextBody"/>
        <w:bidi w:val="0"/>
        <w:spacing w:before="0" w:after="0"/>
        <w:jc w:val="left"/>
        <w:rPr/>
      </w:pPr>
      <w:r>
        <w:rPr/>
      </w:r>
    </w:p>
    <w:tbl>
      <w:tblPr>
        <w:tblW w:w="7453" w:type="dxa"/>
        <w:jc w:val="left"/>
        <w:tblInd w:w="0" w:type="dxa"/>
        <w:tblLayout w:type="fixed"/>
        <w:tblCellMar>
          <w:top w:w="28" w:type="dxa"/>
          <w:left w:w="28" w:type="dxa"/>
          <w:bottom w:w="28" w:type="dxa"/>
          <w:right w:w="28" w:type="dxa"/>
        </w:tblCellMar>
      </w:tblPr>
      <w:tblGrid>
        <w:gridCol w:w="1777"/>
        <w:gridCol w:w="1561"/>
        <w:gridCol w:w="1566"/>
        <w:gridCol w:w="746"/>
        <w:gridCol w:w="746"/>
        <w:gridCol w:w="1057"/>
      </w:tblGrid>
      <w:tr>
        <w:trPr/>
        <w:tc>
          <w:tcPr>
            <w:tcW w:w="1777"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25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490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2233516 Ontario, Inc.</w:t>
            </w:r>
          </w:p>
        </w:tc>
        <w:tc>
          <w:tcPr>
            <w:tcW w:w="254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AAA France Cars SAS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France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Canada Holdings II Partnership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Car Rental Services,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FleetCo SAS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France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Funding Pty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Group Financial Services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Luxembourg Holdings S.à r.l.</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Luxembourg</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 Scotland Finance II, LP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Scotland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ABG Car Services Holdings,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ABG Commerce Consultancy (Shanghai) Co.,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China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ABG Scandinavia Holdings 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Norway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ACL Hire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Scotland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Advance Ross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Advance Ross Intermediate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Advance Ross Sub Company</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 Consolidation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 Holdco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Aegis Motor Insurance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Isle of Man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AESOP Funding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AESOP Leasing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AESOP Leasing Corp. II</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AESOP Leasing L.P.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Apex Car Rentals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New Zealand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Apex Car Rentals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 Holdco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Auto Accident Consultants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Auto-Hall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Monaco</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Africa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Alquile Un Coche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Spain</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Asia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Autovermietung Beteiligungsgesellschaft mbH</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Germany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Autovermietung Gesellschaft m.b.H.</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Austria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Belgium NV</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Belgium</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Autovermietung AG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Switzerland</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Autovermietung GmbH &amp; Co. KG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Germany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Autovermietung Verwaltungsgesellschaft mbH</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Germany</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Brasil Ltda.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Brazil</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Car Rental Canada ULC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Car Rental,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Contact Centers,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de Puerto Rico,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Puerto Rico</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Denmark 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Denmark</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EMEA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82">
                <wp:simplePos x="0" y="0"/>
                <wp:positionH relativeFrom="character">
                  <wp:align>left</wp:align>
                </wp:positionH>
                <wp:positionV relativeFrom="line">
                  <wp:posOffset>635</wp:posOffset>
                </wp:positionV>
                <wp:extent cx="6480175" cy="175260"/>
                <wp:effectExtent l="0" t="0" r="0" b="0"/>
                <wp:wrapNone/>
                <wp:docPr id="681" name="Frame6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7109" w:type="dxa"/>
        <w:jc w:val="left"/>
        <w:tblInd w:w="0" w:type="dxa"/>
        <w:tblLayout w:type="fixed"/>
        <w:tblCellMar>
          <w:top w:w="28" w:type="dxa"/>
          <w:left w:w="28" w:type="dxa"/>
          <w:bottom w:w="28" w:type="dxa"/>
          <w:right w:w="28" w:type="dxa"/>
        </w:tblCellMar>
      </w:tblPr>
      <w:tblGrid>
        <w:gridCol w:w="1647"/>
        <w:gridCol w:w="1453"/>
        <w:gridCol w:w="1460"/>
        <w:gridCol w:w="746"/>
        <w:gridCol w:w="746"/>
        <w:gridCol w:w="1057"/>
      </w:tblGrid>
      <w:tr>
        <w:trPr/>
        <w:tc>
          <w:tcPr>
            <w:tcW w:w="1647"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25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Europe International Reinsurance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Isle of Man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Finance plc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Jersey Channel Islands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Finance,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Group BSC Kft.</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Hungary</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Group Contact Centre EMEA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Spain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Group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Holdings,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 xml:space="preserve">Avis Budget International Capital (Singapore) Pte. Ltd. </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Singapore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International Financing S.à r.l.</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Luxembourg</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Italia S.P.A.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Italy</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Italia S.P.A. FleetCo S.A.P.A.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Italy</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Leasing Denmark 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Denmark</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Rental Car Funding (AESOP)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Services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Sp. Z o.o.</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Poland</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Technology Innovations Private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India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Budget UK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Car Rental Group,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Car Sales,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Car Sales UTD,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Caribbean,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Europe and Middle East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Europe Group Holdings B.V.</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Netherlands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Europe Holdings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Europe Risk Management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Finance Company (No. 3)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Jersey Channel Islands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Finance Company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Financement Vehicules SAS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France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Group Holdings,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India Investments Private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India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India Mobility Solutions Private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India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International Holdings,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International,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Location de Voitures S.à R.L.</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Luxembourg</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Location de Voitures SAS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France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Management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Pension Trustees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Rent A Car (Isle Of Man)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Isle of Man</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Rent A Car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New Zealand</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Rent A Car Sdn. Bhd.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Malaysia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 Rent A Car System,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AvisBudget Group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New Zealand</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Aviscar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Bell'Aria S.p.A.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Italy</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International,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83">
                <wp:simplePos x="0" y="0"/>
                <wp:positionH relativeFrom="character">
                  <wp:align>left</wp:align>
                </wp:positionH>
                <wp:positionV relativeFrom="line">
                  <wp:posOffset>635</wp:posOffset>
                </wp:positionV>
                <wp:extent cx="6480175" cy="175260"/>
                <wp:effectExtent l="0" t="0" r="0" b="0"/>
                <wp:wrapNone/>
                <wp:docPr id="682" name="Frame6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7768" w:type="dxa"/>
        <w:jc w:val="left"/>
        <w:tblInd w:w="0" w:type="dxa"/>
        <w:tblLayout w:type="fixed"/>
        <w:tblCellMar>
          <w:top w:w="28" w:type="dxa"/>
          <w:left w:w="28" w:type="dxa"/>
          <w:bottom w:w="28" w:type="dxa"/>
          <w:right w:w="28" w:type="dxa"/>
        </w:tblCellMar>
      </w:tblPr>
      <w:tblGrid>
        <w:gridCol w:w="1890"/>
        <w:gridCol w:w="1661"/>
        <w:gridCol w:w="1668"/>
        <w:gridCol w:w="746"/>
        <w:gridCol w:w="746"/>
        <w:gridCol w:w="1057"/>
      </w:tblGrid>
      <w:tr>
        <w:trPr/>
        <w:tc>
          <w:tcPr>
            <w:tcW w:w="1890"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25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Rent a Car Australia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Rent A Car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New Zealand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Rent a Car Operations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Rent A Car System,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 Truck Rental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Budgetcar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Camfox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CD Intellectual Property Holdings,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Cendant Finance Holding Company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Centre Point Funding,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Chaconne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Constellation Reinsurance Company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Barbados</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CSD1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Scotland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Flexcar India Private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India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Garep AG</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Switzerland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McNicoll Vehicle Hire Ltd.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Scotland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McNicoll Vehicle Sales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Scotland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Motorent,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Tennessee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National Car Rentals (Private)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Singapore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Payless Car Rental Canada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Payless Car Rental System,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Florida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Payless Car Rental,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Nevada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Payless Car Sales,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Florida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Payless Parking, LLC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Florida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PR Holdco,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PV Holding Corp.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Quartx Fleet Management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RAC Norway 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Norway</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SCA sas</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France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Servicios Avis S.A.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Mexico</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Sovialma-Sociedade De Viaturas De Aluguer Da Madeira LDA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Portugal</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Sovial-Sociedade De Viaturas De Aluguer, Unipessoal, LDA</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Portugal</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Sweden Rent A Car AB</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Sweden</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Virgin Islands Enterprises,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Virgin Islands</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(Sub 1)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(Sub 2)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New Zealand</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Fleet Leasing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We Try Harder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Wizard Co.,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Wizard Services,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Canada,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Car Rental ULC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WTH Funding Limited Partnership</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Yourway Rent A Car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684">
                <wp:simplePos x="0" y="0"/>
                <wp:positionH relativeFrom="character">
                  <wp:align>left</wp:align>
                </wp:positionH>
                <wp:positionV relativeFrom="line">
                  <wp:posOffset>635</wp:posOffset>
                </wp:positionV>
                <wp:extent cx="6480175" cy="175260"/>
                <wp:effectExtent l="0" t="0" r="0" b="0"/>
                <wp:wrapNone/>
                <wp:docPr id="683" name="Frame6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right"/>
                        <w:rPr/>
                      </w:pPr>
                      <w:r>
                        <w:rPr/>
                      </w:r>
                    </w:p>
                  </w:txbxContent>
                </v:textbox>
                <w10:wrap type="none"/>
              </v:rect>
            </w:pict>
          </mc:Fallback>
        </mc:AlternateContent>
      </w:r>
    </w:p>
    <w:tbl>
      <w:tblPr>
        <w:tblW w:w="6059" w:type="dxa"/>
        <w:jc w:val="left"/>
        <w:tblInd w:w="0" w:type="dxa"/>
        <w:tblLayout w:type="fixed"/>
        <w:tblCellMar>
          <w:top w:w="28" w:type="dxa"/>
          <w:left w:w="28" w:type="dxa"/>
          <w:bottom w:w="28" w:type="dxa"/>
          <w:right w:w="28" w:type="dxa"/>
        </w:tblCellMar>
      </w:tblPr>
      <w:tblGrid>
        <w:gridCol w:w="1271"/>
        <w:gridCol w:w="1118"/>
        <w:gridCol w:w="1121"/>
        <w:gridCol w:w="746"/>
        <w:gridCol w:w="746"/>
        <w:gridCol w:w="1057"/>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Subsidiary</w:t>
            </w:r>
          </w:p>
        </w:tc>
        <w:tc>
          <w:tcPr>
            <w:tcW w:w="2549" w:type="dxa"/>
            <w:gridSpan w:val="3"/>
            <w:tcBorders>
              <w:bottom w:val="single" w:sz="16"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Jurisdiction of Incorporation</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Zipcar Australia Pty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Australia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Zipcar,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Delaware</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Zipcar Canada Inc.</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Canada</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Zipcar Securities Corporation</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Massachusetts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Zipcar (UK)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Zodiac Europe Finance Company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Zodiac Europe Limited</w:t>
            </w:r>
          </w:p>
        </w:tc>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30383C"/>
                <w:sz w:val="18"/>
              </w:rPr>
            </w:pPr>
            <w:r>
              <w:rPr>
                <w:rFonts w:ascii="Arial;sans-serif" w:hAnsi="Arial;sans-serif"/>
                <w:b w:val="false"/>
                <w:color w:val="30383C"/>
                <w:sz w:val="18"/>
              </w:rPr>
              <w:t>England and Wales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5">
                <wp:simplePos x="0" y="0"/>
                <wp:positionH relativeFrom="character">
                  <wp:align>left</wp:align>
                </wp:positionH>
                <wp:positionV relativeFrom="line">
                  <wp:posOffset>635</wp:posOffset>
                </wp:positionV>
                <wp:extent cx="6480175" cy="175260"/>
                <wp:effectExtent l="0" t="0" r="0" b="0"/>
                <wp:wrapNone/>
                <wp:docPr id="684" name="Frame6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Registration Statement Nos. 333-78475, 333-38638, 333-58670, 333-124925, 333-144143, 333-161418, 333-197770, 333-212706 and 333-233045 on Form S-8 of our reports dated February 14, 2025, relating to the financial statements of Avis Budget Group, Inc. and the effectiveness of Avis Budget Group, Inc.’s internal control over financial reporting appearing in this Annual Report on Form 10-K of Avis Budget Group, Inc. for the year ended December 31,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DELOITTE &amp; TOUCHE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New York, New York</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14,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6">
                <wp:simplePos x="0" y="0"/>
                <wp:positionH relativeFrom="character">
                  <wp:align>left</wp:align>
                </wp:positionH>
                <wp:positionV relativeFrom="line">
                  <wp:posOffset>635</wp:posOffset>
                </wp:positionV>
                <wp:extent cx="6480175" cy="175260"/>
                <wp:effectExtent l="0" t="0" r="0" b="0"/>
                <wp:wrapNone/>
                <wp:docPr id="685" name="Frame6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Joseph A. Ferraro,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Avis Budget Group, Inc.;</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February 14, 2025</w:t>
      </w:r>
    </w:p>
    <w:p>
      <w:pPr>
        <w:pStyle w:val="TextBody"/>
        <w:bidi w:val="0"/>
        <w:spacing w:lineRule="auto" w:line="288" w:before="0" w:after="0"/>
        <w:jc w:val="left"/>
        <w:rPr>
          <w:color w:val="000000"/>
        </w:rPr>
      </w:pPr>
      <w:r>
        <w:rPr>
          <w:color w:val="000000"/>
        </w:rPr>
        <w:t> </w:t>
      </w:r>
    </w:p>
    <w:tbl>
      <w:tblPr>
        <w:tblW w:w="4103" w:type="dxa"/>
        <w:jc w:val="left"/>
        <w:tblInd w:w="0" w:type="dxa"/>
        <w:tblLayout w:type="fixed"/>
        <w:tblCellMar>
          <w:top w:w="28" w:type="dxa"/>
          <w:left w:w="28" w:type="dxa"/>
          <w:bottom w:w="28" w:type="dxa"/>
          <w:right w:w="28" w:type="dxa"/>
        </w:tblCellMar>
      </w:tblPr>
      <w:tblGrid>
        <w:gridCol w:w="124"/>
        <w:gridCol w:w="109"/>
        <w:gridCol w:w="109"/>
        <w:gridCol w:w="1128"/>
        <w:gridCol w:w="1128"/>
        <w:gridCol w:w="113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Joseph A.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7">
                <wp:simplePos x="0" y="0"/>
                <wp:positionH relativeFrom="character">
                  <wp:align>left</wp:align>
                </wp:positionH>
                <wp:positionV relativeFrom="line">
                  <wp:posOffset>635</wp:posOffset>
                </wp:positionV>
                <wp:extent cx="6480175" cy="175260"/>
                <wp:effectExtent l="0" t="0" r="0" b="0"/>
                <wp:wrapNone/>
                <wp:docPr id="686" name="Frame6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SECTION 302 CERTIFICATION</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 Izilda P. Martins, certify that: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annual report on Form 10-K of Avis Budget Group, Inc.;</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360" w:after="283"/>
        <w:jc w:val="left"/>
        <w:rPr>
          <w:rFonts w:ascii="Arial;sans-serif" w:hAnsi="Arial;sans-serif"/>
          <w:b w:val="false"/>
          <w:color w:val="000000"/>
          <w:sz w:val="20"/>
        </w:rPr>
      </w:pPr>
      <w:r>
        <w:rPr>
          <w:rFonts w:ascii="Arial;sans-serif" w:hAnsi="Arial;sans-serif"/>
          <w:b w:val="false"/>
          <w:color w:val="000000"/>
          <w:sz w:val="20"/>
        </w:rPr>
        <w:t>Date: February 14, 2025</w:t>
      </w:r>
    </w:p>
    <w:p>
      <w:pPr>
        <w:pStyle w:val="TextBody"/>
        <w:bidi w:val="0"/>
        <w:spacing w:lineRule="auto" w:line="288" w:before="0" w:after="0"/>
        <w:jc w:val="left"/>
        <w:rPr>
          <w:color w:val="000000"/>
        </w:rPr>
      </w:pPr>
      <w:r>
        <w:rPr>
          <w:color w:val="000000"/>
        </w:rPr>
        <w:t> </w:t>
      </w:r>
    </w:p>
    <w:tbl>
      <w:tblPr>
        <w:tblW w:w="5048" w:type="dxa"/>
        <w:jc w:val="left"/>
        <w:tblInd w:w="0" w:type="dxa"/>
        <w:tblLayout w:type="fixed"/>
        <w:tblCellMar>
          <w:top w:w="28" w:type="dxa"/>
          <w:left w:w="28" w:type="dxa"/>
          <w:bottom w:w="28" w:type="dxa"/>
          <w:right w:w="28" w:type="dxa"/>
        </w:tblCellMar>
      </w:tblPr>
      <w:tblGrid>
        <w:gridCol w:w="124"/>
        <w:gridCol w:w="109"/>
        <w:gridCol w:w="109"/>
        <w:gridCol w:w="1443"/>
        <w:gridCol w:w="1443"/>
        <w:gridCol w:w="144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Izilda P. Martins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8">
                <wp:simplePos x="0" y="0"/>
                <wp:positionH relativeFrom="character">
                  <wp:align>left</wp:align>
                </wp:positionH>
                <wp:positionV relativeFrom="line">
                  <wp:posOffset>635</wp:posOffset>
                </wp:positionV>
                <wp:extent cx="6480175" cy="175260"/>
                <wp:effectExtent l="0" t="0" r="0" b="0"/>
                <wp:wrapNone/>
                <wp:docPr id="687" name="Frame6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CERTIFICATION OF CEO AND CFO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 connection with the Annual Report of Avis Budget Group, Inc. (the “Company”) on Form 10-K for the period ended December 31, 2024, as filed with the Securities and Exchange Commission on the date hereof (the “Report”), Joseph A. Ferraro, as Chief Executive Officer of the Company, and Izilda P. Martins, as Chief Financial Officer of the Company, each hereby certifies, pursuant to 18 U.S.C. Section 1350, as adopted pursuant to Section 906 of the Sarbanes-Oxley Act of 2002, that, to the best of his or her knowledge: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pStyle w:val="TextBody"/>
        <w:bidi w:val="0"/>
        <w:spacing w:lineRule="auto" w:line="288" w:before="0" w:after="0"/>
        <w:jc w:val="left"/>
        <w:rPr>
          <w:color w:val="000000"/>
        </w:rPr>
      </w:pPr>
      <w:r>
        <w:rPr>
          <w:color w:val="000000"/>
        </w:rPr>
        <w:t> </w:t>
      </w:r>
    </w:p>
    <w:tbl>
      <w:tblPr>
        <w:tblW w:w="5066" w:type="dxa"/>
        <w:jc w:val="left"/>
        <w:tblInd w:w="0" w:type="dxa"/>
        <w:tblLayout w:type="fixed"/>
        <w:tblCellMar>
          <w:top w:w="28" w:type="dxa"/>
          <w:left w:w="28" w:type="dxa"/>
          <w:bottom w:w="28" w:type="dxa"/>
          <w:right w:w="28" w:type="dxa"/>
        </w:tblCellMar>
      </w:tblPr>
      <w:tblGrid>
        <w:gridCol w:w="1700"/>
        <w:gridCol w:w="1492"/>
        <w:gridCol w:w="1502"/>
        <w:gridCol w:w="109"/>
        <w:gridCol w:w="109"/>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JOSEPH A.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left"/>
              <w:rPr>
                <w:rFonts w:ascii="Arial;sans-serif" w:hAnsi="Arial;sans-serif"/>
                <w:b w:val="false"/>
                <w:color w:val="000000"/>
                <w:sz w:val="20"/>
              </w:rPr>
            </w:pPr>
            <w:r>
              <w:rPr>
                <w:rFonts w:ascii="Arial;sans-serif" w:hAnsi="Arial;sans-serif"/>
                <w:b w:val="false"/>
                <w:color w:val="000000"/>
                <w:sz w:val="20"/>
              </w:rPr>
              <w:t>Joseph A. Ferraro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14,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IZILDA P. MARTINS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Izilda P. Martins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14,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89">
                <wp:simplePos x="0" y="0"/>
                <wp:positionH relativeFrom="character">
                  <wp:align>left</wp:align>
                </wp:positionH>
                <wp:positionV relativeFrom="line">
                  <wp:posOffset>635</wp:posOffset>
                </wp:positionV>
                <wp:extent cx="6480175" cy="175260"/>
                <wp:effectExtent l="0" t="0" r="0" b="0"/>
                <wp:wrapNone/>
                <wp:docPr id="688" name="Frame6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Calibri">
    <w:altName w:val="sans-serif"/>
    <w:charset w:val="01"/>
    <w:family w:val="auto"/>
    <w:pitch w:val="default"/>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hyperlink" Target="http://www.sec.gov/Archives/edgar/data/723612/000119312506158308/dex21.htm" TargetMode="External"/><Relationship Id="rId18" Type="http://schemas.openxmlformats.org/officeDocument/2006/relationships/hyperlink" Target="http://www.sec.gov/Archives/edgar/data/723612/000119312507175647/dex22.htm" TargetMode="External"/><Relationship Id="rId19" Type="http://schemas.openxmlformats.org/officeDocument/2006/relationships/hyperlink" Target="http://www.sec.gov/Archives/edgar/data/723612/000072361206000058/articles.htm" TargetMode="External"/><Relationship Id="rId20" Type="http://schemas.openxmlformats.org/officeDocument/2006/relationships/hyperlink" Target="http://www.sec.gov/Archives/edgar/data/723612/000119312520218349/d84038dex32.htm" TargetMode="External"/><Relationship Id="rId21" Type="http://schemas.openxmlformats.org/officeDocument/2006/relationships/hyperlink" Target="http://www.sec.gov/Archives/edgar/data/723612/000072361219000112/exhibit41-indenturex57.htm" TargetMode="External"/><Relationship Id="rId22" Type="http://schemas.openxmlformats.org/officeDocument/2006/relationships/hyperlink" Target="http://www.sec.gov/Archives/edgar/data/0000723612/000119312520213522/d11524dex41.htm" TargetMode="External"/><Relationship Id="rId23" Type="http://schemas.openxmlformats.org/officeDocument/2006/relationships/hyperlink" Target="http://www.sec.gov/Archives/edgar/data/0000723612/000119312521063570/d22737dex41.htm" TargetMode="External"/><Relationship Id="rId24" Type="http://schemas.openxmlformats.org/officeDocument/2006/relationships/hyperlink" Target="http://www.sec.gov/Archives/edgar/data/0000723612/000119312521091360/d159419dex41.htm" TargetMode="External"/><Relationship Id="rId25" Type="http://schemas.openxmlformats.org/officeDocument/2006/relationships/hyperlink" Target="http://www.sec.gov/Archives/edgar/data/723612/000119312523187288/d519763dex41.htm" TargetMode="External"/><Relationship Id="rId26" Type="http://schemas.openxmlformats.org/officeDocument/2006/relationships/hyperlink" Target="http://www.sec.gov/Archives/edgar/data/723612/000119312524143906/d794590dex41.htm" TargetMode="External"/><Relationship Id="rId27" Type="http://schemas.openxmlformats.org/officeDocument/2006/relationships/hyperlink" Target="http://www.sec.gov/Archives/edgar/data/723612/000119312523282276/d797894dex41.htm" TargetMode="External"/><Relationship Id="rId28" Type="http://schemas.openxmlformats.org/officeDocument/2006/relationships/hyperlink" Target="http://www.sec.gov/Archives/edgar/data/723612/000119312524051236/d763560dex41.htm" TargetMode="External"/><Relationship Id="rId29" Type="http://schemas.openxmlformats.org/officeDocument/2006/relationships/hyperlink" Target="http://www.sec.gov/Archives/edgar/data/723612/000119312524218909/d890045dex41.htm" TargetMode="External"/><Relationship Id="rId30" Type="http://schemas.openxmlformats.org/officeDocument/2006/relationships/hyperlink" Target="http://www.sec.gov/Archives/edgar/data/723612/000072361222000006/exhibit48-descriptionofreg.htm" TargetMode="External"/><Relationship Id="rId31" Type="http://schemas.openxmlformats.org/officeDocument/2006/relationships/hyperlink" Target="http://www.sec.gov/Archives/edgar/data/723612/000072361216000244/exhibit105-ferraroemployme.htm" TargetMode="External"/><Relationship Id="rId32" Type="http://schemas.openxmlformats.org/officeDocument/2006/relationships/hyperlink" Target="http://www.sec.gov/Archives/edgar/data/723612/000072361220000011/exhibit1010-employment.htm" TargetMode="External"/><Relationship Id="rId33" Type="http://schemas.openxmlformats.org/officeDocument/2006/relationships/hyperlink" Target="http://www.sec.gov/Archives/edgar/data/723612/000119312520218349/d84038dex102.htm" TargetMode="External"/><Relationship Id="rId34" Type="http://schemas.openxmlformats.org/officeDocument/2006/relationships/hyperlink" Target="http://www.sec.gov/Archives/edgar/data/723612/000072361223000015/exhibit1075-offerletter.htm" TargetMode="External"/><Relationship Id="rId35" Type="http://schemas.openxmlformats.org/officeDocument/2006/relationships/hyperlink" Target="http://www.sec.gov/Archives/edgar/data/723612/000119312520316997/d33545dex101.htm" TargetMode="External"/><Relationship Id="rId36" Type="http://schemas.openxmlformats.org/officeDocument/2006/relationships/hyperlink" Target="http://www.sec.gov/Archives/edgar/data/723612/000095014222003481/eh220316264_ex1001.htm" TargetMode="External"/><Relationship Id="rId37" Type="http://schemas.openxmlformats.org/officeDocument/2006/relationships/hyperlink" Target="http://www.sec.gov/Archives/edgar/data/0000723612/000120677419001054/avis3494471-def14a.htm" TargetMode="External"/><Relationship Id="rId38" Type="http://schemas.openxmlformats.org/officeDocument/2006/relationships/hyperlink" Target="http://www.sec.gov/Archives/edgar/data/0000723612/000072361221000064/amendmenttoarequityplanoct.htm" TargetMode="External"/><Relationship Id="rId39" Type="http://schemas.openxmlformats.org/officeDocument/2006/relationships/hyperlink" Target="http://www.sec.gov/Archives/edgar/data/0000723612/000072361219000025/formofrsuaward.htm" TargetMode="External"/><Relationship Id="rId40" Type="http://schemas.openxmlformats.org/officeDocument/2006/relationships/hyperlink" Target="http://www.sec.gov/Archives/edgar/data/723612/000072361219000025/formofperformanceaward.htm" TargetMode="External"/><Relationship Id="rId41" Type="http://schemas.openxmlformats.org/officeDocument/2006/relationships/hyperlink" Target="http://www.sec.gov/Archives/edgar/data/723612/000072361219000025/formofdirectoraward.htm" TargetMode="External"/><Relationship Id="rId42" Type="http://schemas.openxmlformats.org/officeDocument/2006/relationships/hyperlink" Target="http://www.sec.gov/Archives/edgar/data/723612/000072361219000025/formofseveranceagmt.htm" TargetMode="External"/><Relationship Id="rId43" Type="http://schemas.openxmlformats.org/officeDocument/2006/relationships/hyperlink" Target="http://www.sec.gov/Archives/edgar/data/723612/000072361219000025/directorplan.htm" TargetMode="External"/><Relationship Id="rId44" Type="http://schemas.openxmlformats.org/officeDocument/2006/relationships/hyperlink" Target="http://www.sec.gov/Archives/edgar/data/723612/000072361223000015/exhibit1017-amendment1xdir.htm" TargetMode="External"/><Relationship Id="rId45" Type="http://schemas.openxmlformats.org/officeDocument/2006/relationships/hyperlink" Target="http://www.sec.gov/Archives/edgar/data/723612/000072361223000015/exhibit1018-supplementalsa.htm" TargetMode="External"/><Relationship Id="rId46" Type="http://schemas.openxmlformats.org/officeDocument/2006/relationships/hyperlink" Target="http://www.sec.gov/Archives/edgar/data/723612/000072361205000004/financialservicespolicy.htm" TargetMode="External"/><Relationship Id="rId47" Type="http://schemas.openxmlformats.org/officeDocument/2006/relationships/hyperlink" Target="http://www.sec.gov/Archives/edgar/data/723612/000119312506158308/dex102.htm" TargetMode="External"/><Relationship Id="rId48" Type="http://schemas.openxmlformats.org/officeDocument/2006/relationships/hyperlink" Target="http://www.sec.gov/Archives/edgar/data/723612/000119312508170083/dex104.htm" TargetMode="External"/><Relationship Id="rId49" Type="http://schemas.openxmlformats.org/officeDocument/2006/relationships/hyperlink" Target="http://www.sec.gov/Archives/edgar/data/723612/000095012304009102/y99348exv10w7.htm" TargetMode="External"/><Relationship Id="rId50" Type="http://schemas.openxmlformats.org/officeDocument/2006/relationships/hyperlink" Target="http://www.sec.gov/Archives/edgar/data/723612/000072361206000002/exhibit-1.htm" TargetMode="External"/><Relationship Id="rId51" Type="http://schemas.openxmlformats.org/officeDocument/2006/relationships/hyperlink" Target="http://www.sec.gov/Archives/edgar/data/723612/000119312507175647/dex106.htm" TargetMode="External"/><Relationship Id="rId52" Type="http://schemas.openxmlformats.org/officeDocument/2006/relationships/hyperlink" Target="http://www.sec.gov/Archives/edgar/data/723612/000072361214000041/exhibit1035csupplementalin.htm" TargetMode="External"/><Relationship Id="rId53" Type="http://schemas.openxmlformats.org/officeDocument/2006/relationships/hyperlink" Target="http://www.sec.gov/Archives/edgar/data/723612/000095012304009102/y99348exv10w8.htm" TargetMode="External"/><Relationship Id="rId54" Type="http://schemas.openxmlformats.org/officeDocument/2006/relationships/hyperlink" Target="http://www.sec.gov/Archives/edgar/data/723612/000095012304009102/y99348exv10w8.htm" TargetMode="External"/><Relationship Id="rId55" Type="http://schemas.openxmlformats.org/officeDocument/2006/relationships/hyperlink" Target="http://www.sec.gov/Archives/edgar/data/723612/000072361206000002/exhibit-2.htm" TargetMode="External"/><Relationship Id="rId56" Type="http://schemas.openxmlformats.org/officeDocument/2006/relationships/hyperlink" Target="http://www.sec.gov/Archives/edgar/data/723612/000119312507175647/dex108.htm" TargetMode="External"/><Relationship Id="rId57" Type="http://schemas.openxmlformats.org/officeDocument/2006/relationships/hyperlink" Target="http://www.sec.gov/Archives/edgar/data/723612/000072361214000041/exhibit1036cthirdamendment.htm" TargetMode="External"/><Relationship Id="rId58" Type="http://schemas.openxmlformats.org/officeDocument/2006/relationships/hyperlink" Target="http://www.sec.gov/Archives/edgar/data/723612/000072361222000051/exhibit102-fourthamendment.htm" TargetMode="External"/><Relationship Id="rId59" Type="http://schemas.openxmlformats.org/officeDocument/2006/relationships/hyperlink" Target="http://www.sec.gov/Archives/edgar/data/723612/000119312507044472/dex1029a.htm" TargetMode="External"/><Relationship Id="rId60" Type="http://schemas.openxmlformats.org/officeDocument/2006/relationships/hyperlink" Target="http://www.sec.gov/Archives/edgar/data/723612/000119312507044472/dex1029b.htm" TargetMode="External"/><Relationship Id="rId61" Type="http://schemas.openxmlformats.org/officeDocument/2006/relationships/hyperlink" Target="http://www.sec.gov/Archives/edgar/data/723612/000119312507175647/dex107.htm" TargetMode="External"/><Relationship Id="rId62" Type="http://schemas.openxmlformats.org/officeDocument/2006/relationships/hyperlink" Target="http://www.sec.gov/Archives/edgar/data/723612/000072361214000041/exhibit1037cthirdamendment.htm" TargetMode="External"/><Relationship Id="rId63" Type="http://schemas.openxmlformats.org/officeDocument/2006/relationships/hyperlink" Target="http://www.sec.gov/Archives/edgar/data/723612/000072361222000051/exhibit105-fourthamendment.htm" TargetMode="External"/><Relationship Id="rId64" Type="http://schemas.openxmlformats.org/officeDocument/2006/relationships/hyperlink" Target="http://www.sec.gov/Archives/edgar/data/723612/000095012304009102/y99348exv10w9.htm" TargetMode="External"/><Relationship Id="rId65" Type="http://schemas.openxmlformats.org/officeDocument/2006/relationships/hyperlink" Target="http://www.sec.gov/Archives/edgar/data/723612/000072361206000002/exhibit-3.htm" TargetMode="External"/><Relationship Id="rId66" Type="http://schemas.openxmlformats.org/officeDocument/2006/relationships/hyperlink" Target="http://www.sec.gov/Archives/edgar/data/723612/000119312507175647/dex109.htm" TargetMode="External"/><Relationship Id="rId67" Type="http://schemas.openxmlformats.org/officeDocument/2006/relationships/hyperlink" Target="http://www.sec.gov/Archives/edgar/data/723612/000072361214000041/exhibit1038cfourthamendmen.htm" TargetMode="External"/><Relationship Id="rId68" Type="http://schemas.openxmlformats.org/officeDocument/2006/relationships/hyperlink" Target="http://www.sec.gov/Archives/edgar/data/723612/000072361222000051/exhibit103-fifthamendmentt.htm" TargetMode="External"/><Relationship Id="rId69" Type="http://schemas.openxmlformats.org/officeDocument/2006/relationships/hyperlink" Target="http://www.sec.gov/Archives/edgar/data/723612/000119312507044472/dex1030a.htm" TargetMode="External"/><Relationship Id="rId70" Type="http://schemas.openxmlformats.org/officeDocument/2006/relationships/hyperlink" Target="http://www.sec.gov/Archives/edgar/data/723612/000119312507044472/dex1030b.htm" TargetMode="External"/><Relationship Id="rId71" Type="http://schemas.openxmlformats.org/officeDocument/2006/relationships/hyperlink" Target="http://www.sec.gov/Archives/edgar/data/723612/000119312507175647/dex1011.htm" TargetMode="External"/><Relationship Id="rId72" Type="http://schemas.openxmlformats.org/officeDocument/2006/relationships/hyperlink" Target="http://www.sec.gov/Archives/edgar/data/723612/000072361214000041/exhibit1039cfourthamendmen.htm" TargetMode="External"/><Relationship Id="rId73" Type="http://schemas.openxmlformats.org/officeDocument/2006/relationships/hyperlink" Target="http://www.sec.gov/Archives/edgar/data/723612/000072361222000051/exhibit104-fifthamendmentt.htm" TargetMode="External"/><Relationship Id="rId74" Type="http://schemas.openxmlformats.org/officeDocument/2006/relationships/hyperlink" Target="http://www.sec.gov/Archives/edgar/data/723612/000072361213000018/exhibit101aesopioperatingsu.htm" TargetMode="External"/><Relationship Id="rId75" Type="http://schemas.openxmlformats.org/officeDocument/2006/relationships/hyperlink" Target="http://www.sec.gov/Archives/edgar/data/723612/000095012306002437/y17817exv10w34.htm" TargetMode="External"/><Relationship Id="rId76" Type="http://schemas.openxmlformats.org/officeDocument/2006/relationships/hyperlink" Target="http://www.sec.gov/Archives/edgar/data/723612/000072361214000041/exhibit1041afirstamendment.htm" TargetMode="External"/><Relationship Id="rId77" Type="http://schemas.openxmlformats.org/officeDocument/2006/relationships/hyperlink" Target="http://www.sec.gov/Archives/edgar/data/723612/000095014224000655/eh240454893_ex1001.htm" TargetMode="External"/><Relationship Id="rId78" Type="http://schemas.openxmlformats.org/officeDocument/2006/relationships/hyperlink" Target="http://www.sec.gov/Archives/edgar/data/723612/000095014224000655/eh240454893_ex1002.htm" TargetMode="External"/><Relationship Id="rId79" Type="http://schemas.openxmlformats.org/officeDocument/2006/relationships/hyperlink" Target="http://www.sec.gov/Archives/edgar/data/723612/000095014222001871/eh220256619_ex1002.htm" TargetMode="External"/><Relationship Id="rId80" Type="http://schemas.openxmlformats.org/officeDocument/2006/relationships/hyperlink" Target="http://www.sec.gov/Archives/edgar/data/0000723612/000119312521197313/d168700dex103.htm" TargetMode="External"/><Relationship Id="rId81" Type="http://schemas.openxmlformats.org/officeDocument/2006/relationships/hyperlink" Target="http://www.sec.gov/Archives/edgar/data/0000723612/000119312521169321/d166440dex101.htm" TargetMode="External"/><Relationship Id="rId82" Type="http://schemas.openxmlformats.org/officeDocument/2006/relationships/hyperlink" Target="http://www.sec.gov/Archives/edgar/data/0000723612/000119312521335185/d233170dex101.htm" TargetMode="External"/><Relationship Id="rId83" Type="http://schemas.openxmlformats.org/officeDocument/2006/relationships/hyperlink" Target="http://www.sec.gov/Archives/edgar/data/723612/000095014222001417/eh220244714_ex1001.htm" TargetMode="External"/><Relationship Id="rId84" Type="http://schemas.openxmlformats.org/officeDocument/2006/relationships/hyperlink" Target="http://www.sec.gov/Archives/edgar/data/723612/000095014222002300/eh220272511_ex1001.htm" TargetMode="External"/><Relationship Id="rId85" Type="http://schemas.openxmlformats.org/officeDocument/2006/relationships/hyperlink" Target="http://www.sec.gov/Archives/edgar/data/723612/000095014222002300/eh220272511_ex1002.htm" TargetMode="External"/><Relationship Id="rId86" Type="http://schemas.openxmlformats.org/officeDocument/2006/relationships/hyperlink" Target="http://www.sec.gov/Archives/edgar/data/723612/000095014223000177/eh230319711_ex1001.htm" TargetMode="External"/><Relationship Id="rId87" Type="http://schemas.openxmlformats.org/officeDocument/2006/relationships/hyperlink" Target="http://www.sec.gov/Archives/edgar/data/723612/000072361224000032/a09-exhibit105.htm" TargetMode="External"/><Relationship Id="rId88" Type="http://schemas.openxmlformats.org/officeDocument/2006/relationships/hyperlink" Target="http://www.sec.gov/Archives/edgar/data/723612/000095014223001058/eh230347691_ex1002.htm" TargetMode="External"/><Relationship Id="rId89" Type="http://schemas.openxmlformats.org/officeDocument/2006/relationships/hyperlink" Target="http://www.sec.gov/Archives/edgar/data/723612/000095014223001614/eh230364308_ex1002.htm" TargetMode="External"/><Relationship Id="rId90" Type="http://schemas.openxmlformats.org/officeDocument/2006/relationships/hyperlink" Target="http://www.sec.gov/Archives/edgar/data/723612/000095014223002455/eh230400939_ex1001.htm" TargetMode="External"/><Relationship Id="rId91" Type="http://schemas.openxmlformats.org/officeDocument/2006/relationships/hyperlink" Target="http://www.sec.gov/Archives/edgar/data/723612/000095014223002455/eh230400939_ex1002.htm" TargetMode="External"/><Relationship Id="rId92" Type="http://schemas.openxmlformats.org/officeDocument/2006/relationships/hyperlink" Target="http://www.sec.gov/Archives/edgar/data/723612/000095014224000165/eh240438620_ex1001.htm" TargetMode="External"/><Relationship Id="rId93" Type="http://schemas.openxmlformats.org/officeDocument/2006/relationships/hyperlink" Target="http://www.sec.gov/Archives/edgar/data/723612/000095014224000731/eh240458417_8k-ex1002.htm" TargetMode="External"/><Relationship Id="rId94" Type="http://schemas.openxmlformats.org/officeDocument/2006/relationships/hyperlink" Target="http://www.sec.gov/Archives/edgar/data/0000723612/000119312521214124/d353521dex101.htm" TargetMode="External"/><Relationship Id="rId95" Type="http://schemas.openxmlformats.org/officeDocument/2006/relationships/hyperlink" Target="http://www.sec.gov/Archives/edgar/data/723612/000119312522085353/d330835dex102.htm" TargetMode="External"/><Relationship Id="rId96" Type="http://schemas.openxmlformats.org/officeDocument/2006/relationships/hyperlink" Target="http://www.sec.gov/Archives/edgar/data/723612/000119312522085353/d330835dex101.htm" TargetMode="External"/><Relationship Id="rId97" Type="http://schemas.openxmlformats.org/officeDocument/2006/relationships/hyperlink" Target="http://www.sec.gov/Archives/edgar/data/723612/000072361222000051/exhibit101-thirdamendmentt.htm" TargetMode="External"/><Relationship Id="rId98" Type="http://schemas.openxmlformats.org/officeDocument/2006/relationships/hyperlink" Target="http://www.sec.gov/Archives/edgar/data/723612/000072361223000015/exhibit1076-fourthamendment.htm" TargetMode="External"/><Relationship Id="rId99" Type="http://schemas.openxmlformats.org/officeDocument/2006/relationships/hyperlink" Target="http://www.sec.gov/Archives/edgar/data/723612/000072361223000048/exhibit101-q2fy23.htm" TargetMode="External"/><Relationship Id="rId100" Type="http://schemas.openxmlformats.org/officeDocument/2006/relationships/hyperlink" Target="http://www.sec.gov/Archives/edgar/data/723612/000095014223002963/eh230429453_ex1001.htm" TargetMode="External"/><Relationship Id="rId101" Type="http://schemas.openxmlformats.org/officeDocument/2006/relationships/hyperlink" Target="http://www.sec.gov/Archives/edgar/data/723612/000095014224000026/eh230433452_ex1001.htm" TargetMode="External"/><Relationship Id="rId102" Type="http://schemas.openxmlformats.org/officeDocument/2006/relationships/hyperlink" Target="http://www.sec.gov/Archives/edgar/data/723612/000072361224000045/a08-ex101xeighthamendment.htm" TargetMode="External"/><Relationship Id="rId103" Type="http://schemas.openxmlformats.org/officeDocument/2006/relationships/hyperlink" Target="http://www.sec.gov/Archives/edgar/data/723612/000072361224000007/a14-exhibit1090.htm" TargetMode="External"/><Relationship Id="rId104" Type="http://schemas.openxmlformats.org/officeDocument/2006/relationships/hyperlink" Target="http://www.sec.gov/Archives/edgar/data/723612/000072361224000007/a11-ex97xclawbackpolicy.htm" TargetMode="External"/><Relationship Id="rId105" Type="http://schemas.openxmlformats.org/officeDocument/2006/relationships/image" Target="media/image16.png"/><Relationship Id="rId106" Type="http://schemas.openxmlformats.org/officeDocument/2006/relationships/fontTable" Target="fontTable.xml"/><Relationship Id="rId1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570</Pages>
  <Words>355871</Words>
  <Characters>1832860</Characters>
  <CharactersWithSpaces>2184377</CharactersWithSpaces>
  <Paragraphs>10881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