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57"/>
        </w:trPr>
        <w:tc>
          <w:tcPr>
            <w:tcW w:w="2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0" w:type="dxa"/>
            <w:vAlign w:val="bottom"/>
            <w:gridSpan w:val="3"/>
          </w:tcPr>
          <w:p>
            <w:pPr>
              <w:jc w:val="center"/>
              <w:ind w:left="247"/>
              <w:spacing w:after="0"/>
              <w:rPr>
                <w:sz w:val="20"/>
                <w:szCs w:val="20"/>
                <w:color w:val="auto"/>
              </w:rPr>
            </w:pPr>
            <w:r>
              <w:rPr>
                <w:rFonts w:ascii="Arial" w:cs="Arial" w:eastAsia="Arial" w:hAnsi="Arial"/>
                <w:sz w:val="22"/>
                <w:szCs w:val="22"/>
                <w:b w:val="1"/>
                <w:bCs w:val="1"/>
                <w:color w:val="auto"/>
                <w:w w:val="96"/>
              </w:rPr>
              <w:t>UNITED STATES</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2"/>
                <w:szCs w:val="22"/>
                <w:color w:val="auto"/>
              </w:rPr>
            </w:pPr>
          </w:p>
        </w:tc>
        <w:tc>
          <w:tcPr>
            <w:tcW w:w="7920" w:type="dxa"/>
            <w:vAlign w:val="bottom"/>
            <w:gridSpan w:val="8"/>
          </w:tcPr>
          <w:p>
            <w:pPr>
              <w:jc w:val="center"/>
              <w:ind w:right="2757"/>
              <w:spacing w:after="0"/>
              <w:rPr>
                <w:sz w:val="20"/>
                <w:szCs w:val="20"/>
                <w:color w:val="auto"/>
              </w:rPr>
            </w:pPr>
            <w:r>
              <w:rPr>
                <w:rFonts w:ascii="Arial" w:cs="Arial" w:eastAsia="Arial" w:hAnsi="Arial"/>
                <w:sz w:val="22"/>
                <w:szCs w:val="22"/>
                <w:b w:val="1"/>
                <w:bCs w:val="1"/>
                <w:color w:val="auto"/>
                <w:w w:val="98"/>
              </w:rPr>
              <w:t>SECURITIES AND EXCHANGE COMMISSION</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0" w:type="dxa"/>
            <w:vAlign w:val="bottom"/>
            <w:gridSpan w:val="3"/>
          </w:tcPr>
          <w:p>
            <w:pPr>
              <w:jc w:val="center"/>
              <w:ind w:left="267"/>
              <w:spacing w:after="0"/>
              <w:rPr>
                <w:sz w:val="20"/>
                <w:szCs w:val="20"/>
                <w:color w:val="auto"/>
              </w:rPr>
            </w:pPr>
            <w:r>
              <w:rPr>
                <w:rFonts w:ascii="Arial" w:cs="Arial" w:eastAsia="Arial" w:hAnsi="Arial"/>
                <w:sz w:val="13"/>
                <w:szCs w:val="13"/>
                <w:b w:val="1"/>
                <w:bCs w:val="1"/>
                <w:color w:val="auto"/>
                <w:w w:val="96"/>
              </w:rPr>
              <w:t>WASHINGTON, D.C. 20549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0" w:type="dxa"/>
            <w:vAlign w:val="bottom"/>
            <w:gridSpan w:val="3"/>
          </w:tcPr>
          <w:p>
            <w:pPr>
              <w:ind w:left="620"/>
              <w:spacing w:after="0"/>
              <w:rPr>
                <w:sz w:val="20"/>
                <w:szCs w:val="20"/>
                <w:color w:val="auto"/>
              </w:rPr>
            </w:pPr>
            <w:r>
              <w:rPr>
                <w:rFonts w:ascii="Arial" w:cs="Arial" w:eastAsia="Arial" w:hAnsi="Arial"/>
                <w:sz w:val="22"/>
                <w:szCs w:val="22"/>
                <w:b w:val="1"/>
                <w:bCs w:val="1"/>
                <w:color w:val="auto"/>
              </w:rPr>
              <w:t>FORM 10-K</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8"/>
          </w:tcPr>
          <w:p>
            <w:pPr>
              <w:jc w:val="center"/>
              <w:ind w:right="2117"/>
              <w:spacing w:after="0" w:line="139" w:lineRule="exact"/>
              <w:rPr>
                <w:sz w:val="20"/>
                <w:szCs w:val="20"/>
                <w:color w:val="auto"/>
              </w:rPr>
            </w:pPr>
            <w:r>
              <w:rPr>
                <w:rFonts w:ascii="Arial" w:cs="Arial" w:eastAsia="Arial" w:hAnsi="Arial"/>
                <w:sz w:val="13"/>
                <w:szCs w:val="13"/>
                <w:b w:val="1"/>
                <w:bCs w:val="1"/>
                <w:color w:val="auto"/>
                <w:w w:val="96"/>
              </w:rPr>
              <w:t>ANNUAL REPORT PURSUANT TO SECTION 13 OR 15(d) OF THE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6540" w:type="dxa"/>
            <w:vAlign w:val="bottom"/>
            <w:gridSpan w:val="7"/>
          </w:tcPr>
          <w:p>
            <w:pPr>
              <w:jc w:val="center"/>
              <w:ind w:right="347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7920" w:type="dxa"/>
            <w:vAlign w:val="bottom"/>
            <w:gridSpan w:val="8"/>
          </w:tcPr>
          <w:p>
            <w:pPr>
              <w:jc w:val="center"/>
              <w:ind w:right="2757"/>
              <w:spacing w:after="0"/>
              <w:rPr>
                <w:sz w:val="20"/>
                <w:szCs w:val="20"/>
                <w:color w:val="auto"/>
              </w:rPr>
            </w:pPr>
            <w:r>
              <w:rPr>
                <w:rFonts w:ascii="Arial" w:cs="Arial" w:eastAsia="Arial" w:hAnsi="Arial"/>
                <w:sz w:val="13"/>
                <w:szCs w:val="13"/>
                <w:b w:val="1"/>
                <w:bCs w:val="1"/>
                <w:color w:val="auto"/>
                <w:w w:val="97"/>
              </w:rPr>
              <w:t>For the fiscal year ended December 31, 2020</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0" w:type="dxa"/>
            <w:vAlign w:val="bottom"/>
            <w:gridSpan w:val="3"/>
          </w:tcPr>
          <w:p>
            <w:pPr>
              <w:jc w:val="center"/>
              <w:ind w:left="247"/>
              <w:spacing w:after="0"/>
              <w:rPr>
                <w:sz w:val="20"/>
                <w:szCs w:val="20"/>
                <w:color w:val="auto"/>
              </w:rPr>
            </w:pPr>
            <w:r>
              <w:rPr>
                <w:rFonts w:ascii="Arial" w:cs="Arial" w:eastAsia="Arial" w:hAnsi="Arial"/>
                <w:sz w:val="13"/>
                <w:szCs w:val="13"/>
                <w:b w:val="1"/>
                <w:bCs w:val="1"/>
                <w:color w:val="auto"/>
              </w:rPr>
              <w:t>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00" w:type="dxa"/>
            <w:vAlign w:val="bottom"/>
            <w:vMerge w:val="restart"/>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7920" w:type="dxa"/>
            <w:vAlign w:val="bottom"/>
            <w:gridSpan w:val="8"/>
          </w:tcPr>
          <w:p>
            <w:pPr>
              <w:jc w:val="center"/>
              <w:ind w:right="2117"/>
              <w:spacing w:after="0"/>
              <w:rPr>
                <w:sz w:val="20"/>
                <w:szCs w:val="20"/>
                <w:color w:val="auto"/>
              </w:rPr>
            </w:pPr>
            <w:r>
              <w:rPr>
                <w:rFonts w:ascii="Arial" w:cs="Arial" w:eastAsia="Arial" w:hAnsi="Arial"/>
                <w:sz w:val="13"/>
                <w:szCs w:val="13"/>
                <w:b w:val="1"/>
                <w:bCs w:val="1"/>
                <w:color w:val="auto"/>
                <w:w w:val="96"/>
              </w:rPr>
              <w:t>TRANSITION REPORT PURSUANT TO SECTION 13 OR 15(d) OF THE</w:t>
            </w:r>
          </w:p>
        </w:tc>
        <w:tc>
          <w:tcPr>
            <w:tcW w:w="0" w:type="dxa"/>
            <w:vAlign w:val="bottom"/>
          </w:tcPr>
          <w:p>
            <w:pPr>
              <w:spacing w:after="0"/>
              <w:rPr>
                <w:sz w:val="1"/>
                <w:szCs w:val="1"/>
                <w:color w:val="auto"/>
              </w:rPr>
            </w:pPr>
          </w:p>
        </w:tc>
      </w:tr>
      <w:tr>
        <w:trPr>
          <w:trHeight w:val="195"/>
        </w:trPr>
        <w:tc>
          <w:tcPr>
            <w:tcW w:w="2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6540" w:type="dxa"/>
            <w:vAlign w:val="bottom"/>
            <w:gridSpan w:val="7"/>
          </w:tcPr>
          <w:p>
            <w:pPr>
              <w:jc w:val="center"/>
              <w:ind w:right="3477"/>
              <w:spacing w:after="0"/>
              <w:rPr>
                <w:sz w:val="20"/>
                <w:szCs w:val="20"/>
                <w:color w:val="auto"/>
              </w:rPr>
            </w:pPr>
            <w:r>
              <w:rPr>
                <w:rFonts w:ascii="Arial" w:cs="Arial" w:eastAsia="Arial" w:hAnsi="Arial"/>
                <w:sz w:val="13"/>
                <w:szCs w:val="13"/>
                <w:b w:val="1"/>
                <w:bCs w:val="1"/>
                <w:color w:val="auto"/>
                <w:w w:val="96"/>
              </w:rPr>
              <w:t>SECURITIES EXCHANGE ACT OF 1934</w:t>
            </w:r>
          </w:p>
        </w:tc>
        <w:tc>
          <w:tcPr>
            <w:tcW w:w="0" w:type="dxa"/>
            <w:vAlign w:val="bottom"/>
          </w:tcPr>
          <w:p>
            <w:pPr>
              <w:spacing w:after="0"/>
              <w:rPr>
                <w:sz w:val="1"/>
                <w:szCs w:val="1"/>
                <w:color w:val="auto"/>
              </w:rPr>
            </w:pPr>
          </w:p>
        </w:tc>
      </w:tr>
      <w:tr>
        <w:trPr>
          <w:trHeight w:val="453"/>
        </w:trPr>
        <w:tc>
          <w:tcPr>
            <w:tcW w:w="2400" w:type="dxa"/>
            <w:vAlign w:val="bottom"/>
          </w:tcPr>
          <w:p>
            <w:pPr>
              <w:spacing w:after="0"/>
              <w:rPr>
                <w:sz w:val="24"/>
                <w:szCs w:val="24"/>
                <w:color w:val="auto"/>
              </w:rPr>
            </w:pPr>
          </w:p>
        </w:tc>
        <w:tc>
          <w:tcPr>
            <w:tcW w:w="2940" w:type="dxa"/>
            <w:vAlign w:val="bottom"/>
            <w:gridSpan w:val="2"/>
          </w:tcPr>
          <w:p>
            <w:pPr>
              <w:ind w:left="1120"/>
              <w:spacing w:after="0"/>
              <w:rPr>
                <w:sz w:val="20"/>
                <w:szCs w:val="20"/>
                <w:color w:val="auto"/>
              </w:rPr>
            </w:pPr>
            <w:r>
              <w:rPr>
                <w:rFonts w:ascii="Arial" w:cs="Arial" w:eastAsia="Arial" w:hAnsi="Arial"/>
                <w:sz w:val="13"/>
                <w:szCs w:val="13"/>
                <w:b w:val="1"/>
                <w:bCs w:val="1"/>
                <w:color w:val="auto"/>
                <w:w w:val="98"/>
              </w:rPr>
              <w:t>For the transition period from</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3"/>
                <w:szCs w:val="13"/>
                <w:b w:val="1"/>
                <w:bCs w:val="1"/>
                <w:color w:val="auto"/>
              </w:rPr>
              <w:t>to</w:t>
            </w:r>
          </w:p>
        </w:tc>
        <w:tc>
          <w:tcPr>
            <w:tcW w:w="420" w:type="dxa"/>
            <w:vAlign w:val="bottom"/>
            <w:tcBorders>
              <w:bottom w:val="single" w:sz="8" w:color="auto"/>
            </w:tcBorders>
            <w:gridSpan w:val="2"/>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ind w:left="140"/>
              <w:spacing w:after="0"/>
              <w:rPr>
                <w:sz w:val="20"/>
                <w:szCs w:val="20"/>
                <w:color w:val="auto"/>
              </w:rPr>
            </w:pPr>
            <w:r>
              <w:rPr>
                <w:rFonts w:ascii="Arial" w:cs="Arial" w:eastAsia="Arial" w:hAnsi="Arial"/>
                <w:sz w:val="13"/>
                <w:szCs w:val="13"/>
                <w:b w:val="1"/>
                <w:bCs w:val="1"/>
                <w:color w:val="auto"/>
                <w:w w:val="97"/>
              </w:rPr>
              <w:t>COMMISSION FILE NO.</w:t>
            </w:r>
          </w:p>
        </w:tc>
        <w:tc>
          <w:tcPr>
            <w:tcW w:w="1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6"/>
              </w:rPr>
              <w:t>001-10308</w:t>
            </w: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20" w:type="dxa"/>
            <w:vAlign w:val="bottom"/>
            <w:tcBorders>
              <w:bottom w:val="single" w:sz="8" w:color="auto"/>
            </w:tcBorders>
            <w:gridSpan w:val="5"/>
          </w:tcPr>
          <w:p>
            <w:pPr>
              <w:spacing w:after="0"/>
              <w:rPr>
                <w:sz w:val="24"/>
                <w:szCs w:val="24"/>
                <w:color w:val="auto"/>
              </w:rPr>
            </w:pPr>
          </w:p>
        </w:tc>
        <w:tc>
          <w:tcPr>
            <w:tcW w:w="4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400" w:type="dxa"/>
            <w:vAlign w:val="bottom"/>
          </w:tcPr>
          <w:p>
            <w:pPr>
              <w:spacing w:after="0"/>
              <w:rPr>
                <w:sz w:val="24"/>
                <w:szCs w:val="24"/>
                <w:color w:val="auto"/>
              </w:rPr>
            </w:pPr>
          </w:p>
        </w:tc>
        <w:tc>
          <w:tcPr>
            <w:tcW w:w="7920" w:type="dxa"/>
            <w:vAlign w:val="bottom"/>
            <w:gridSpan w:val="8"/>
          </w:tcPr>
          <w:p>
            <w:pPr>
              <w:jc w:val="center"/>
              <w:ind w:right="2777"/>
              <w:spacing w:after="0"/>
              <w:rPr>
                <w:sz w:val="20"/>
                <w:szCs w:val="20"/>
                <w:color w:val="auto"/>
              </w:rPr>
            </w:pPr>
            <w:r>
              <w:rPr>
                <w:rFonts w:ascii="Arial" w:cs="Arial" w:eastAsia="Arial" w:hAnsi="Arial"/>
                <w:sz w:val="22"/>
                <w:szCs w:val="22"/>
                <w:b w:val="1"/>
                <w:bCs w:val="1"/>
                <w:color w:val="auto"/>
                <w:w w:val="96"/>
              </w:rPr>
              <w:t>AVIS BUDGET GROUP, INC.</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7920" w:type="dxa"/>
            <w:vAlign w:val="bottom"/>
            <w:gridSpan w:val="8"/>
          </w:tcPr>
          <w:p>
            <w:pPr>
              <w:jc w:val="center"/>
              <w:ind w:right="2777"/>
              <w:spacing w:after="0"/>
              <w:rPr>
                <w:sz w:val="20"/>
                <w:szCs w:val="20"/>
                <w:color w:val="auto"/>
              </w:rPr>
            </w:pPr>
            <w:r>
              <w:rPr>
                <w:rFonts w:ascii="Arial" w:cs="Arial" w:eastAsia="Arial" w:hAnsi="Arial"/>
                <w:sz w:val="13"/>
                <w:szCs w:val="13"/>
                <w:color w:val="auto"/>
                <w:w w:val="96"/>
              </w:rPr>
              <w:t>(Exact name of Registrant as specified in its charter)</w:t>
            </w:r>
          </w:p>
        </w:tc>
        <w:tc>
          <w:tcPr>
            <w:tcW w:w="0" w:type="dxa"/>
            <w:vAlign w:val="bottom"/>
          </w:tcPr>
          <w:p>
            <w:pPr>
              <w:spacing w:after="0"/>
              <w:rPr>
                <w:sz w:val="1"/>
                <w:szCs w:val="1"/>
                <w:color w:val="auto"/>
              </w:rPr>
            </w:pPr>
          </w:p>
        </w:tc>
      </w:tr>
      <w:tr>
        <w:trPr>
          <w:trHeight w:val="189"/>
        </w:trPr>
        <w:tc>
          <w:tcPr>
            <w:tcW w:w="2400" w:type="dxa"/>
            <w:vAlign w:val="bottom"/>
          </w:tcPr>
          <w:p>
            <w:pPr>
              <w:jc w:val="center"/>
              <w:ind w:right="192"/>
              <w:spacing w:after="0"/>
              <w:rPr>
                <w:sz w:val="20"/>
                <w:szCs w:val="20"/>
                <w:color w:val="auto"/>
              </w:rPr>
            </w:pPr>
            <w:r>
              <w:rPr>
                <w:rFonts w:ascii="Arial" w:cs="Arial" w:eastAsia="Arial" w:hAnsi="Arial"/>
                <w:sz w:val="13"/>
                <w:szCs w:val="13"/>
                <w:b w:val="1"/>
                <w:bCs w:val="1"/>
                <w:color w:val="auto"/>
                <w:w w:val="94"/>
              </w:rPr>
              <w:t>Delaware</w:t>
            </w:r>
          </w:p>
        </w:tc>
        <w:tc>
          <w:tcPr>
            <w:tcW w:w="1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4"/>
          </w:tcPr>
          <w:p>
            <w:pPr>
              <w:jc w:val="right"/>
              <w:ind w:right="1037"/>
              <w:spacing w:after="0"/>
              <w:rPr>
                <w:sz w:val="20"/>
                <w:szCs w:val="20"/>
                <w:color w:val="auto"/>
              </w:rPr>
            </w:pPr>
            <w:r>
              <w:rPr>
                <w:rFonts w:ascii="Arial" w:cs="Arial" w:eastAsia="Arial" w:hAnsi="Arial"/>
                <w:sz w:val="13"/>
                <w:szCs w:val="13"/>
                <w:b w:val="1"/>
                <w:bCs w:val="1"/>
                <w:color w:val="auto"/>
              </w:rPr>
              <w:t>06-0918165</w:t>
            </w:r>
          </w:p>
        </w:tc>
        <w:tc>
          <w:tcPr>
            <w:tcW w:w="0" w:type="dxa"/>
            <w:vAlign w:val="bottom"/>
          </w:tcPr>
          <w:p>
            <w:pPr>
              <w:spacing w:after="0"/>
              <w:rPr>
                <w:sz w:val="1"/>
                <w:szCs w:val="1"/>
                <w:color w:val="auto"/>
              </w:rPr>
            </w:pPr>
          </w:p>
        </w:tc>
      </w:tr>
      <w:tr>
        <w:trPr>
          <w:trHeight w:val="145"/>
        </w:trPr>
        <w:tc>
          <w:tcPr>
            <w:tcW w:w="2400" w:type="dxa"/>
            <w:vAlign w:val="bottom"/>
          </w:tcPr>
          <w:p>
            <w:pPr>
              <w:jc w:val="center"/>
              <w:ind w:right="232"/>
              <w:spacing w:after="0" w:line="145" w:lineRule="exact"/>
              <w:rPr>
                <w:sz w:val="20"/>
                <w:szCs w:val="20"/>
                <w:color w:val="auto"/>
              </w:rPr>
            </w:pPr>
            <w:r>
              <w:rPr>
                <w:rFonts w:ascii="Arial" w:cs="Arial" w:eastAsia="Arial" w:hAnsi="Arial"/>
                <w:sz w:val="13"/>
                <w:szCs w:val="13"/>
                <w:color w:val="auto"/>
                <w:w w:val="97"/>
              </w:rPr>
              <w:t>(State or other jurisdiction of</w:t>
            </w: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60" w:type="dxa"/>
            <w:vAlign w:val="bottom"/>
          </w:tcPr>
          <w:p>
            <w:pPr>
              <w:jc w:val="center"/>
              <w:ind w:left="1017"/>
              <w:spacing w:after="0" w:line="145" w:lineRule="exact"/>
              <w:rPr>
                <w:sz w:val="20"/>
                <w:szCs w:val="20"/>
                <w:color w:val="auto"/>
              </w:rPr>
            </w:pPr>
            <w:r>
              <w:rPr>
                <w:rFonts w:ascii="Arial" w:cs="Arial" w:eastAsia="Arial" w:hAnsi="Arial"/>
                <w:sz w:val="13"/>
                <w:szCs w:val="13"/>
                <w:color w:val="auto"/>
                <w:w w:val="97"/>
              </w:rPr>
              <w:t>(I.R.S. Employer Identification Number)</w:t>
            </w:r>
          </w:p>
        </w:tc>
        <w:tc>
          <w:tcPr>
            <w:tcW w:w="0" w:type="dxa"/>
            <w:vAlign w:val="bottom"/>
          </w:tcPr>
          <w:p>
            <w:pPr>
              <w:spacing w:after="0"/>
              <w:rPr>
                <w:sz w:val="1"/>
                <w:szCs w:val="1"/>
                <w:color w:val="auto"/>
              </w:rPr>
            </w:pPr>
          </w:p>
        </w:tc>
      </w:tr>
      <w:tr>
        <w:trPr>
          <w:trHeight w:val="152"/>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5"/>
              </w:rPr>
              <w:t>incorporation or organization)</w:t>
            </w:r>
          </w:p>
        </w:tc>
        <w:tc>
          <w:tcPr>
            <w:tcW w:w="1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8"/>
              </w:rPr>
              <w:t>6 Sylvan Way</w:t>
            </w: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jc w:val="center"/>
              <w:ind w:right="152"/>
              <w:spacing w:after="0"/>
              <w:rPr>
                <w:sz w:val="20"/>
                <w:szCs w:val="20"/>
                <w:color w:val="auto"/>
              </w:rPr>
            </w:pPr>
            <w:r>
              <w:rPr>
                <w:rFonts w:ascii="Arial" w:cs="Arial" w:eastAsia="Arial" w:hAnsi="Arial"/>
                <w:sz w:val="13"/>
                <w:szCs w:val="13"/>
                <w:color w:val="auto"/>
                <w:w w:val="97"/>
              </w:rPr>
              <w:t>Parsippany, NJ</w:t>
            </w: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gridSpan w:val="4"/>
          </w:tcPr>
          <w:p>
            <w:pPr>
              <w:jc w:val="right"/>
              <w:ind w:right="1237"/>
              <w:spacing w:after="0"/>
              <w:rPr>
                <w:sz w:val="20"/>
                <w:szCs w:val="20"/>
                <w:color w:val="auto"/>
              </w:rPr>
            </w:pPr>
            <w:r>
              <w:rPr>
                <w:rFonts w:ascii="Arial" w:cs="Arial" w:eastAsia="Arial" w:hAnsi="Arial"/>
                <w:sz w:val="13"/>
                <w:szCs w:val="13"/>
                <w:color w:val="auto"/>
              </w:rPr>
              <w:t>7054</w:t>
            </w:r>
          </w:p>
        </w:tc>
        <w:tc>
          <w:tcPr>
            <w:tcW w:w="0" w:type="dxa"/>
            <w:vAlign w:val="bottom"/>
          </w:tcPr>
          <w:p>
            <w:pPr>
              <w:spacing w:after="0"/>
              <w:rPr>
                <w:sz w:val="1"/>
                <w:szCs w:val="1"/>
                <w:color w:val="auto"/>
              </w:rPr>
            </w:pPr>
          </w:p>
        </w:tc>
      </w:tr>
      <w:tr>
        <w:trPr>
          <w:trHeight w:val="176"/>
        </w:trPr>
        <w:tc>
          <w:tcPr>
            <w:tcW w:w="2400" w:type="dxa"/>
            <w:vAlign w:val="bottom"/>
          </w:tcPr>
          <w:p>
            <w:pPr>
              <w:jc w:val="center"/>
              <w:ind w:right="192"/>
              <w:spacing w:after="0"/>
              <w:rPr>
                <w:sz w:val="20"/>
                <w:szCs w:val="20"/>
                <w:color w:val="auto"/>
              </w:rPr>
            </w:pPr>
            <w:r>
              <w:rPr>
                <w:rFonts w:ascii="Arial" w:cs="Arial" w:eastAsia="Arial" w:hAnsi="Arial"/>
                <w:sz w:val="13"/>
                <w:szCs w:val="13"/>
                <w:color w:val="auto"/>
                <w:w w:val="96"/>
              </w:rPr>
              <w:t>(Address of principal executive offices)</w:t>
            </w:r>
          </w:p>
        </w:tc>
        <w:tc>
          <w:tcPr>
            <w:tcW w:w="1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tcPr>
          <w:p>
            <w:pPr>
              <w:jc w:val="center"/>
              <w:ind w:left="1017"/>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360" w:type="dxa"/>
            <w:vAlign w:val="bottom"/>
            <w:gridSpan w:val="3"/>
          </w:tcPr>
          <w:p>
            <w:pPr>
              <w:jc w:val="center"/>
              <w:ind w:left="1668"/>
              <w:spacing w:after="0"/>
              <w:rPr>
                <w:sz w:val="20"/>
                <w:szCs w:val="20"/>
                <w:color w:val="auto"/>
              </w:rPr>
            </w:pPr>
            <w:r>
              <w:rPr>
                <w:rFonts w:ascii="Arial" w:cs="Arial" w:eastAsia="Arial" w:hAnsi="Arial"/>
                <w:sz w:val="13"/>
                <w:szCs w:val="13"/>
                <w:color w:val="auto"/>
                <w:w w:val="96"/>
              </w:rPr>
              <w:t>(973) 496-4700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7920" w:type="dxa"/>
            <w:vAlign w:val="bottom"/>
            <w:gridSpan w:val="8"/>
          </w:tcPr>
          <w:p>
            <w:pPr>
              <w:ind w:left="1120"/>
              <w:spacing w:after="0"/>
              <w:rPr>
                <w:sz w:val="20"/>
                <w:szCs w:val="20"/>
                <w:color w:val="auto"/>
              </w:rPr>
            </w:pPr>
            <w:r>
              <w:rPr>
                <w:rFonts w:ascii="Arial" w:cs="Arial" w:eastAsia="Arial" w:hAnsi="Arial"/>
                <w:sz w:val="13"/>
                <w:szCs w:val="13"/>
                <w:color w:val="auto"/>
              </w:rPr>
              <w:t>(Registrant’s telephone number, including area code)</w:t>
            </w: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7920" w:type="dxa"/>
            <w:vAlign w:val="bottom"/>
            <w:gridSpan w:val="8"/>
          </w:tcPr>
          <w:p>
            <w:pPr>
              <w:jc w:val="center"/>
              <w:ind w:right="2757"/>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0" w:type="dxa"/>
            <w:vAlign w:val="bottom"/>
          </w:tcPr>
          <w:p>
            <w:pPr>
              <w:spacing w:after="0"/>
              <w:rPr>
                <w:sz w:val="1"/>
                <w:szCs w:val="1"/>
                <w:color w:val="auto"/>
              </w:rPr>
            </w:pPr>
          </w:p>
        </w:tc>
      </w:tr>
      <w:tr>
        <w:trPr>
          <w:trHeight w:val="189"/>
        </w:trPr>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w:t>
            </w:r>
          </w:p>
        </w:tc>
        <w:tc>
          <w:tcPr>
            <w:tcW w:w="1380" w:type="dxa"/>
            <w:vAlign w:val="bottom"/>
          </w:tcPr>
          <w:p>
            <w:pPr>
              <w:spacing w:after="0"/>
              <w:rPr>
                <w:sz w:val="16"/>
                <w:szCs w:val="16"/>
                <w:color w:val="auto"/>
              </w:rPr>
            </w:pPr>
          </w:p>
        </w:tc>
        <w:tc>
          <w:tcPr>
            <w:tcW w:w="2000" w:type="dxa"/>
            <w:vAlign w:val="bottom"/>
            <w:gridSpan w:val="3"/>
          </w:tcPr>
          <w:p>
            <w:pPr>
              <w:jc w:val="center"/>
              <w:ind w:left="227"/>
              <w:spacing w:after="0"/>
              <w:rPr>
                <w:sz w:val="20"/>
                <w:szCs w:val="20"/>
                <w:color w:val="auto"/>
              </w:rPr>
            </w:pPr>
            <w:r>
              <w:rPr>
                <w:rFonts w:ascii="Arial" w:cs="Arial" w:eastAsia="Arial" w:hAnsi="Arial"/>
                <w:sz w:val="13"/>
                <w:szCs w:val="13"/>
                <w:b w:val="1"/>
                <w:bCs w:val="1"/>
                <w:color w:val="auto"/>
                <w:w w:val="95"/>
              </w:rPr>
              <w:t>TRADING SYMBOL(S)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60" w:type="dxa"/>
            <w:vAlign w:val="bottom"/>
          </w:tcPr>
          <w:p>
            <w:pPr>
              <w:jc w:val="center"/>
              <w:ind w:left="63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75"/>
        </w:trPr>
        <w:tc>
          <w:tcPr>
            <w:tcW w:w="2400" w:type="dxa"/>
            <w:vAlign w:val="bottom"/>
          </w:tcPr>
          <w:p>
            <w:pPr>
              <w:jc w:val="center"/>
              <w:spacing w:after="0"/>
              <w:rPr>
                <w:sz w:val="20"/>
                <w:szCs w:val="20"/>
                <w:color w:val="auto"/>
              </w:rPr>
            </w:pPr>
            <w:r>
              <w:rPr>
                <w:rFonts w:ascii="Arial" w:cs="Arial" w:eastAsia="Arial" w:hAnsi="Arial"/>
                <w:sz w:val="13"/>
                <w:szCs w:val="13"/>
                <w:color w:val="auto"/>
                <w:w w:val="95"/>
              </w:rPr>
              <w:t>Common Stock, Par Value $.01</w:t>
            </w:r>
          </w:p>
        </w:tc>
        <w:tc>
          <w:tcPr>
            <w:tcW w:w="1380" w:type="dxa"/>
            <w:vAlign w:val="bottom"/>
          </w:tcPr>
          <w:p>
            <w:pPr>
              <w:spacing w:after="0"/>
              <w:rPr>
                <w:sz w:val="15"/>
                <w:szCs w:val="15"/>
                <w:color w:val="auto"/>
              </w:rPr>
            </w:pPr>
          </w:p>
        </w:tc>
        <w:tc>
          <w:tcPr>
            <w:tcW w:w="2000" w:type="dxa"/>
            <w:vAlign w:val="bottom"/>
            <w:gridSpan w:val="3"/>
          </w:tcPr>
          <w:p>
            <w:pPr>
              <w:jc w:val="center"/>
              <w:ind w:left="227"/>
              <w:spacing w:after="0"/>
              <w:rPr>
                <w:sz w:val="20"/>
                <w:szCs w:val="20"/>
                <w:color w:val="auto"/>
              </w:rPr>
            </w:pPr>
            <w:r>
              <w:rPr>
                <w:rFonts w:ascii="Arial" w:cs="Arial" w:eastAsia="Arial" w:hAnsi="Arial"/>
                <w:sz w:val="13"/>
                <w:szCs w:val="13"/>
                <w:color w:val="auto"/>
                <w:w w:val="94"/>
              </w:rPr>
              <w:t>CAR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60" w:type="dxa"/>
            <w:vAlign w:val="bottom"/>
          </w:tcPr>
          <w:p>
            <w:pPr>
              <w:jc w:val="center"/>
              <w:ind w:left="617"/>
              <w:spacing w:after="0"/>
              <w:rPr>
                <w:sz w:val="20"/>
                <w:szCs w:val="20"/>
                <w:color w:val="auto"/>
              </w:rPr>
            </w:pPr>
            <w:r>
              <w:rPr>
                <w:rFonts w:ascii="Arial" w:cs="Arial" w:eastAsia="Arial" w:hAnsi="Arial"/>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3300"/>
        <w:spacing w:after="0"/>
        <w:rPr>
          <w:sz w:val="20"/>
          <w:szCs w:val="20"/>
          <w:color w:val="auto"/>
        </w:rPr>
      </w:pPr>
      <w:r>
        <w:rPr>
          <w:rFonts w:ascii="Arial" w:cs="Arial" w:eastAsia="Arial" w:hAnsi="Arial"/>
          <w:sz w:val="13"/>
          <w:szCs w:val="13"/>
          <w:b w:val="1"/>
          <w:bCs w:val="1"/>
          <w:color w:val="auto"/>
        </w:rPr>
        <w:t xml:space="preserve">SECURITIES REGISTERED PURSUANT TO SECTION 12(g) OF THE ACT: </w:t>
      </w:r>
      <w:r>
        <w:rPr>
          <w:rFonts w:ascii="Arial" w:cs="Arial" w:eastAsia="Arial" w:hAnsi="Arial"/>
          <w:sz w:val="13"/>
          <w:szCs w:val="13"/>
          <w:color w:val="auto"/>
        </w:rPr>
        <w:t>None</w:t>
      </w:r>
    </w:p>
    <w:p>
      <w:pPr>
        <w:spacing w:after="0" w:line="7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8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o No </w:t>
      </w:r>
      <w:r>
        <w:rPr>
          <w:rFonts w:ascii="MS PGothic" w:cs="MS PGothic" w:eastAsia="MS PGothic" w:hAnsi="MS PGothic"/>
          <w:sz w:val="13"/>
          <w:szCs w:val="13"/>
          <w:color w:val="auto"/>
        </w:rPr>
        <w:t>☒</w:t>
      </w:r>
    </w:p>
    <w:p>
      <w:pPr>
        <w:spacing w:after="0" w:line="126" w:lineRule="exact"/>
        <w:rPr>
          <w:sz w:val="24"/>
          <w:szCs w:val="24"/>
          <w:color w:val="auto"/>
        </w:rPr>
      </w:pPr>
    </w:p>
    <w:p>
      <w:pPr>
        <w:ind w:right="36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78" w:lineRule="exact"/>
        <w:rPr>
          <w:sz w:val="24"/>
          <w:szCs w:val="24"/>
          <w:color w:val="auto"/>
        </w:rPr>
      </w:pPr>
    </w:p>
    <w:p>
      <w:pPr>
        <w:ind w:right="8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4" w:lineRule="exact"/>
        <w:rPr>
          <w:sz w:val="24"/>
          <w:szCs w:val="24"/>
          <w:color w:val="auto"/>
        </w:rPr>
      </w:pPr>
    </w:p>
    <w:p>
      <w:pPr>
        <w:ind w:right="46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“smaller reporting company” and “emerging growth company in Rule 12b-2 of the Exchange Act.</w:t>
      </w:r>
    </w:p>
    <w:p>
      <w:pPr>
        <w:sectPr>
          <w:pgSz w:w="11900" w:h="16838" w:orient="portrait"/>
          <w:cols w:equalWidth="0" w:num="1">
            <w:col w:w="11220"/>
          </w:cols>
          <w:pgMar w:left="320" w:top="1039" w:right="359" w:bottom="1440" w:gutter="0" w:footer="0" w:header="0"/>
        </w:sectPr>
      </w:pPr>
    </w:p>
    <w:p>
      <w:pPr>
        <w:spacing w:after="0" w:line="3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0"/>
          <w:szCs w:val="20"/>
          <w:color w:val="auto"/>
        </w:rPr>
      </w:pPr>
      <w:r>
        <w:rPr>
          <w:rFonts w:ascii="MS PGothic" w:cs="MS PGothic" w:eastAsia="MS PGothic" w:hAnsi="MS PGothic"/>
          <w:sz w:val="12"/>
          <w:szCs w:val="12"/>
          <w:color w:val="auto"/>
        </w:rPr>
        <w:t>☒</w:t>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9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MS PGothic" w:cs="MS PGothic" w:eastAsia="MS PGothic" w:hAnsi="MS PGothic"/>
          <w:sz w:val="10"/>
          <w:szCs w:val="10"/>
          <w:color w:val="auto"/>
        </w:rPr>
        <w:t>☐</w:t>
      </w:r>
    </w:p>
    <w:p>
      <w:pPr>
        <w:spacing w:after="0" w:line="378" w:lineRule="exact"/>
        <w:rPr>
          <w:sz w:val="24"/>
          <w:szCs w:val="24"/>
          <w:color w:val="auto"/>
        </w:rPr>
      </w:pPr>
    </w:p>
    <w:p>
      <w:pPr>
        <w:sectPr>
          <w:pgSz w:w="11900" w:h="16838" w:orient="portrait"/>
          <w:cols w:equalWidth="0" w:num="6">
            <w:col w:w="2780" w:space="720"/>
            <w:col w:w="120" w:space="140"/>
            <w:col w:w="2780" w:space="720"/>
            <w:col w:w="100" w:space="140"/>
            <w:col w:w="2800" w:space="720"/>
            <w:col w:w="200"/>
          </w:cols>
          <w:pgMar w:left="320" w:top="1039" w:right="359" w:bottom="1440" w:gutter="0" w:footer="0" w:header="0"/>
          <w:type w:val="continuous"/>
        </w:sectPr>
      </w:pPr>
    </w:p>
    <w:p>
      <w:pPr>
        <w:ind w:right="420"/>
        <w:spacing w:after="0" w:line="242"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0"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340"/>
        <w:spacing w:after="0" w:line="242" w:lineRule="auto"/>
        <w:rPr>
          <w:sz w:val="20"/>
          <w:szCs w:val="20"/>
          <w:color w:val="auto"/>
        </w:rPr>
      </w:pPr>
      <w:r>
        <w:rPr>
          <w:rFonts w:ascii="Arial" w:cs="Arial" w:eastAsia="Arial" w:hAnsi="Arial"/>
          <w:sz w:val="13"/>
          <w:szCs w:val="13"/>
          <w:color w:val="auto"/>
        </w:rPr>
        <w:t>As of June 30, 2020, the aggregate market value of the registrant’s common stock held by non-affiliates of the registrant was $1,199,360,829 based on the closing price of its common stock on the NASDAQ Global Select Market.</w:t>
      </w:r>
    </w:p>
    <w:p>
      <w:pPr>
        <w:spacing w:after="0" w:line="90"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12, 2021, the number of shares outstanding of the registrant’s common stock was 69,842,179.</w:t>
      </w:r>
    </w:p>
    <w:p>
      <w:pPr>
        <w:spacing w:after="0" w:line="91"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9" w:lineRule="exact"/>
        <w:rPr>
          <w:sz w:val="24"/>
          <w:szCs w:val="24"/>
          <w:color w:val="auto"/>
        </w:rPr>
      </w:pPr>
    </w:p>
    <w:p>
      <w:pPr>
        <w:ind w:right="700"/>
        <w:spacing w:after="0" w:line="242"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2021 annual meeting of stockholders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0" w:type="dxa"/>
            <w:vAlign w:val="bottom"/>
            <w:gridSpan w:val="3"/>
          </w:tcPr>
          <w:p>
            <w:pPr>
              <w:ind w:left="40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70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Item</w:t>
            </w: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3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3"/>
          </w:tcPr>
          <w:p>
            <w:pPr>
              <w:ind w:left="80"/>
              <w:spacing w:after="0"/>
              <w:rPr>
                <w:sz w:val="20"/>
                <w:szCs w:val="20"/>
                <w:color w:val="auto"/>
              </w:rPr>
            </w:pPr>
            <w:r>
              <w:rPr>
                <w:rFonts w:ascii="Arial" w:cs="Arial" w:eastAsia="Arial" w:hAnsi="Arial"/>
                <w:sz w:val="18"/>
                <w:szCs w:val="18"/>
                <w:b w:val="1"/>
                <w:bCs w:val="1"/>
                <w:color w:val="auto"/>
              </w:rPr>
              <w:t>PART I</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r>
      <w:tr>
        <w:trPr>
          <w:trHeight w:val="230"/>
        </w:trPr>
        <w:tc>
          <w:tcPr>
            <w:tcW w:w="480" w:type="dxa"/>
            <w:vAlign w:val="bottom"/>
            <w:gridSpan w:val="3"/>
          </w:tcPr>
          <w:p>
            <w:pPr>
              <w:spacing w:after="0"/>
              <w:rPr>
                <w:sz w:val="20"/>
                <w:szCs w:val="20"/>
                <w:color w:val="auto"/>
              </w:rPr>
            </w:pPr>
            <w:r>
              <w:rPr>
                <w:rFonts w:ascii="Arial" w:cs="Arial" w:eastAsia="Arial" w:hAnsi="Arial"/>
                <w:sz w:val="18"/>
                <w:szCs w:val="18"/>
                <w:color w:val="auto"/>
              </w:rPr>
              <w:t>1A</w:t>
            </w:r>
          </w:p>
        </w:tc>
        <w:tc>
          <w:tcPr>
            <w:tcW w:w="9400" w:type="dxa"/>
            <w:vAlign w:val="bottom"/>
            <w:gridSpan w:val="3"/>
          </w:tcPr>
          <w:p>
            <w:pPr>
              <w:ind w:left="8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Risk Factors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r>
      <w:tr>
        <w:trPr>
          <w:trHeight w:val="229"/>
        </w:trPr>
        <w:tc>
          <w:tcPr>
            <w:tcW w:w="480" w:type="dxa"/>
            <w:vAlign w:val="bottom"/>
            <w:gridSpan w:val="3"/>
          </w:tcPr>
          <w:p>
            <w:pPr>
              <w:spacing w:after="0"/>
              <w:rPr>
                <w:sz w:val="20"/>
                <w:szCs w:val="20"/>
                <w:color w:val="auto"/>
              </w:rPr>
            </w:pPr>
            <w:r>
              <w:rPr>
                <w:rFonts w:ascii="Arial" w:cs="Arial" w:eastAsia="Arial" w:hAnsi="Arial"/>
                <w:sz w:val="18"/>
                <w:szCs w:val="18"/>
                <w:color w:val="auto"/>
              </w:rPr>
              <w:t>1B</w:t>
            </w: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Unresolved Staff Comments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Properties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Legal Proceedings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Mine Safety Disclosures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34</w:t>
              </w:r>
            </w:hyperlink>
          </w:p>
        </w:tc>
      </w:tr>
      <w:tr>
        <w:trPr>
          <w:trHeight w:val="50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3"/>
          </w:tcPr>
          <w:p>
            <w:pPr>
              <w:ind w:left="8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400" w:type="dxa"/>
            <w:vAlign w:val="bottom"/>
            <w:gridSpan w:val="2"/>
          </w:tcPr>
          <w:p>
            <w:pPr>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Selected Financial Data</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Management’s Discussion and Analysis of Financial Condition and Results of Operations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r>
      <w:tr>
        <w:trPr>
          <w:trHeight w:val="230"/>
        </w:trPr>
        <w:tc>
          <w:tcPr>
            <w:tcW w:w="480" w:type="dxa"/>
            <w:vAlign w:val="bottom"/>
            <w:gridSpan w:val="3"/>
          </w:tcPr>
          <w:p>
            <w:pPr>
              <w:spacing w:after="0"/>
              <w:rPr>
                <w:sz w:val="20"/>
                <w:szCs w:val="20"/>
                <w:color w:val="auto"/>
              </w:rPr>
            </w:pPr>
            <w:r>
              <w:rPr>
                <w:rFonts w:ascii="Arial" w:cs="Arial" w:eastAsia="Arial" w:hAnsi="Arial"/>
                <w:sz w:val="18"/>
                <w:szCs w:val="18"/>
                <w:color w:val="auto"/>
              </w:rPr>
              <w:t>7A</w:t>
            </w:r>
          </w:p>
        </w:tc>
        <w:tc>
          <w:tcPr>
            <w:tcW w:w="9400" w:type="dxa"/>
            <w:vAlign w:val="bottom"/>
            <w:gridSpan w:val="3"/>
          </w:tcPr>
          <w:p>
            <w:pPr>
              <w:ind w:left="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Financial Statements and Supplementary Data</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r>
      <w:tr>
        <w:trPr>
          <w:trHeight w:val="229"/>
        </w:trPr>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Changes in and Disagreements with Accountants on Accounting and Financial Disclosure</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r>
      <w:tr>
        <w:trPr>
          <w:trHeight w:val="230"/>
        </w:trPr>
        <w:tc>
          <w:tcPr>
            <w:tcW w:w="480" w:type="dxa"/>
            <w:vAlign w:val="bottom"/>
            <w:gridSpan w:val="3"/>
          </w:tcPr>
          <w:p>
            <w:pPr>
              <w:spacing w:after="0"/>
              <w:rPr>
                <w:sz w:val="20"/>
                <w:szCs w:val="20"/>
                <w:color w:val="auto"/>
              </w:rPr>
            </w:pPr>
            <w:r>
              <w:rPr>
                <w:rFonts w:ascii="Arial" w:cs="Arial" w:eastAsia="Arial" w:hAnsi="Arial"/>
                <w:sz w:val="18"/>
                <w:szCs w:val="18"/>
                <w:color w:val="auto"/>
              </w:rPr>
              <w:t>9A</w:t>
            </w:r>
          </w:p>
        </w:tc>
        <w:tc>
          <w:tcPr>
            <w:tcW w:w="9400" w:type="dxa"/>
            <w:vAlign w:val="bottom"/>
            <w:gridSpan w:val="3"/>
          </w:tcPr>
          <w:p>
            <w:pPr>
              <w:ind w:left="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r>
      <w:tr>
        <w:trPr>
          <w:trHeight w:val="229"/>
        </w:trPr>
        <w:tc>
          <w:tcPr>
            <w:tcW w:w="480" w:type="dxa"/>
            <w:vAlign w:val="bottom"/>
            <w:gridSpan w:val="3"/>
          </w:tcPr>
          <w:p>
            <w:pPr>
              <w:spacing w:after="0"/>
              <w:rPr>
                <w:sz w:val="20"/>
                <w:szCs w:val="20"/>
                <w:color w:val="auto"/>
              </w:rPr>
            </w:pPr>
            <w:r>
              <w:rPr>
                <w:rFonts w:ascii="Arial" w:cs="Arial" w:eastAsia="Arial" w:hAnsi="Arial"/>
                <w:sz w:val="18"/>
                <w:szCs w:val="18"/>
                <w:color w:val="auto"/>
              </w:rPr>
              <w:t>9B</w:t>
            </w:r>
          </w:p>
        </w:tc>
        <w:tc>
          <w:tcPr>
            <w:tcW w:w="9400" w:type="dxa"/>
            <w:vAlign w:val="bottom"/>
            <w:gridSpan w:val="3"/>
          </w:tcPr>
          <w:p>
            <w:pPr>
              <w:ind w:left="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Other Information</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50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0" w:type="dxa"/>
            <w:vAlign w:val="bottom"/>
            <w:gridSpan w:val="3"/>
          </w:tcPr>
          <w:p>
            <w:pPr>
              <w:ind w:left="80"/>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Directors, Executive Officers and Corporate Governance</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400" w:type="dxa"/>
            <w:vAlign w:val="bottom"/>
            <w:gridSpan w:val="3"/>
          </w:tcPr>
          <w:p>
            <w:pPr>
              <w:ind w:left="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Executive Compensation</w:t>
              </w:r>
            </w:hyperlink>
          </w:p>
        </w:tc>
        <w:tc>
          <w:tcPr>
            <w:tcW w:w="1200" w:type="dxa"/>
            <w:vAlign w:val="bottom"/>
            <w:gridSpan w:val="3"/>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r>
    </w:tbl>
    <w:p>
      <w:pPr>
        <w:spacing w:after="0" w:line="22" w:lineRule="exact"/>
        <w:rPr>
          <w:sz w:val="20"/>
          <w:szCs w:val="20"/>
          <w:color w:val="auto"/>
        </w:rPr>
      </w:pPr>
    </w:p>
    <w:p>
      <w:pPr>
        <w:ind w:left="700" w:hanging="553"/>
        <w:spacing w:after="0"/>
        <w:tabs>
          <w:tab w:leader="none" w:pos="700" w:val="left"/>
        </w:tabs>
        <w:numPr>
          <w:ilvl w:val="0"/>
          <w:numId w:val="1"/>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Security Ownership of Certain Beneficial Owners and Management and</w:t>
        </w:r>
      </w:hyperlink>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Related Stockholder Matters</w:t>
              </w:r>
            </w:hyperlink>
          </w:p>
        </w:tc>
        <w:tc>
          <w:tcPr>
            <w:tcW w:w="234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r>
      <w:tr>
        <w:trPr>
          <w:trHeight w:val="23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8380" w:type="dxa"/>
            <w:vAlign w:val="bottom"/>
          </w:tcPr>
          <w:p>
            <w:pPr>
              <w:ind w:left="1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Certain Relationships and Related Transactions, and Director Independence</w:t>
              </w:r>
            </w:hyperlink>
          </w:p>
        </w:tc>
        <w:tc>
          <w:tcPr>
            <w:tcW w:w="234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r>
      <w:tr>
        <w:trPr>
          <w:trHeight w:val="229"/>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8380" w:type="dxa"/>
            <w:vAlign w:val="bottom"/>
          </w:tcPr>
          <w:p>
            <w:pPr>
              <w:ind w:left="1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Principal Accountant Fees and Services</w:t>
              </w:r>
            </w:hyperlink>
          </w:p>
        </w:tc>
        <w:tc>
          <w:tcPr>
            <w:tcW w:w="234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50</w:t>
              </w:r>
            </w:hyperlink>
          </w:p>
        </w:tc>
      </w:tr>
      <w:tr>
        <w:trPr>
          <w:trHeight w:val="500"/>
        </w:trPr>
        <w:tc>
          <w:tcPr>
            <w:tcW w:w="520" w:type="dxa"/>
            <w:vAlign w:val="bottom"/>
          </w:tcPr>
          <w:p>
            <w:pPr>
              <w:spacing w:after="0"/>
              <w:rPr>
                <w:sz w:val="24"/>
                <w:szCs w:val="24"/>
                <w:color w:val="auto"/>
              </w:rPr>
            </w:pPr>
          </w:p>
        </w:tc>
        <w:tc>
          <w:tcPr>
            <w:tcW w:w="8380" w:type="dxa"/>
            <w:vAlign w:val="bottom"/>
          </w:tcPr>
          <w:p>
            <w:pPr>
              <w:ind w:left="180"/>
              <w:spacing w:after="0"/>
              <w:rPr>
                <w:sz w:val="20"/>
                <w:szCs w:val="20"/>
                <w:color w:val="auto"/>
              </w:rPr>
            </w:pPr>
            <w:r>
              <w:rPr>
                <w:rFonts w:ascii="Arial" w:cs="Arial" w:eastAsia="Arial" w:hAnsi="Arial"/>
                <w:sz w:val="18"/>
                <w:szCs w:val="18"/>
                <w:b w:val="1"/>
                <w:bCs w:val="1"/>
                <w:color w:val="auto"/>
              </w:rPr>
              <w:t>PART IV</w:t>
            </w:r>
          </w:p>
        </w:tc>
        <w:tc>
          <w:tcPr>
            <w:tcW w:w="2340" w:type="dxa"/>
            <w:vAlign w:val="bottom"/>
          </w:tcPr>
          <w:p>
            <w:pPr>
              <w:spacing w:after="0"/>
              <w:rPr>
                <w:sz w:val="24"/>
                <w:szCs w:val="24"/>
                <w:color w:val="auto"/>
              </w:rPr>
            </w:pPr>
          </w:p>
        </w:tc>
      </w:tr>
      <w:tr>
        <w:trPr>
          <w:trHeight w:val="23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8380" w:type="dxa"/>
            <w:vAlign w:val="bottom"/>
          </w:tcPr>
          <w:p>
            <w:pPr>
              <w:ind w:left="1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Exhibits and Financial Statement Schedules</w:t>
              </w:r>
            </w:hyperlink>
          </w:p>
        </w:tc>
        <w:tc>
          <w:tcPr>
            <w:tcW w:w="234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tc>
      </w:tr>
      <w:tr>
        <w:trPr>
          <w:trHeight w:val="230"/>
        </w:trPr>
        <w:tc>
          <w:tcPr>
            <w:tcW w:w="520" w:type="dxa"/>
            <w:vAlign w:val="bottom"/>
          </w:tcPr>
          <w:p>
            <w:pPr>
              <w:spacing w:after="0"/>
              <w:rPr>
                <w:sz w:val="19"/>
                <w:szCs w:val="19"/>
                <w:color w:val="auto"/>
              </w:rPr>
            </w:pPr>
          </w:p>
        </w:tc>
        <w:tc>
          <w:tcPr>
            <w:tcW w:w="8380" w:type="dxa"/>
            <w:vAlign w:val="bottom"/>
          </w:tcPr>
          <w:p>
            <w:pPr>
              <w:ind w:left="18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Signatures</w:t>
              </w:r>
            </w:hyperlink>
          </w:p>
        </w:tc>
        <w:tc>
          <w:tcPr>
            <w:tcW w:w="234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1276"/>
        </w:trPr>
        <w:tc>
          <w:tcPr>
            <w:tcW w:w="52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Additionally, many of these risks and uncertainties are currently amplified by and will continue to be amplified by, or in the future may be amplified by, the coronavirus (“COVID-19”) outbreak, the continued restrictions that have been placed on travel in many countries as a result of the outbreak and the adverse impact on the global economy from the outbreak. These factors include, but are not limited to:</w:t>
      </w:r>
    </w:p>
    <w:p>
      <w:pPr>
        <w:spacing w:after="0" w:line="233" w:lineRule="exact"/>
        <w:rPr>
          <w:sz w:val="20"/>
          <w:szCs w:val="20"/>
          <w:color w:val="auto"/>
        </w:rPr>
      </w:pPr>
    </w:p>
    <w:p>
      <w:pPr>
        <w:ind w:left="660" w:right="1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outbreak and resulting economic conditions, which had, and is expected to continue to have, a significant impact on our operations, including an unprecedented decline in demand, as well as its current, and uncertain future impact, including but not limited to, its effect on the ability or desire of people to travel due to travel restrictions, and other restrictions and orders, which is expected to continue to impact our results, operations, outlooks, plans, goals, growth, cash flows, liquidity, and stock price;</w:t>
      </w:r>
    </w:p>
    <w:p>
      <w:pPr>
        <w:spacing w:after="0" w:line="230"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224"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28"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our estimated cost savings on a timely basis, or at all, and the amount of cash expenditures made in connection with such cost saving efforts;</w:t>
      </w:r>
    </w:p>
    <w:p>
      <w:pPr>
        <w:spacing w:after="0" w:line="224"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when COVID-19 related restrictions are lifted and travel demand increases;</w:t>
      </w:r>
    </w:p>
    <w:p>
      <w:pPr>
        <w:spacing w:after="0" w:line="230"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significant decline in travel demand as a result of COVID-19, including the current and any future disruptions in airline passenger traffic;</w:t>
      </w:r>
    </w:p>
    <w:p>
      <w:pPr>
        <w:spacing w:after="0" w:line="224"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an improvement in, or further deterioration of, economic conditions, particularly during our peak season or in key market segments;</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civil unrest or political instability in the locations in which we operate;</w:t>
      </w:r>
    </w:p>
    <w:p>
      <w:pPr>
        <w:spacing w:after="0" w:line="224"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the current and any future impacts as a result of COVID-19;</w:t>
      </w:r>
    </w:p>
    <w:p>
      <w:pPr>
        <w:spacing w:after="0" w:line="224"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52" w:lineRule="exact"/>
        <w:rPr>
          <w:rFonts w:ascii="Arial" w:cs="Arial" w:eastAsia="Arial" w:hAnsi="Arial"/>
          <w:sz w:val="18"/>
          <w:szCs w:val="18"/>
          <w:color w:val="auto"/>
        </w:rPr>
      </w:pPr>
    </w:p>
    <w:p>
      <w:pPr>
        <w:jc w:val="both"/>
        <w:ind w:left="660" w:right="7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224"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224"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28" w:lineRule="exact"/>
        <w:rPr>
          <w:rFonts w:ascii="Arial" w:cs="Arial" w:eastAsia="Arial" w:hAnsi="Arial"/>
          <w:sz w:val="18"/>
          <w:szCs w:val="18"/>
          <w:color w:val="auto"/>
        </w:rPr>
      </w:pPr>
    </w:p>
    <w:p>
      <w:pPr>
        <w:jc w:val="both"/>
        <w:ind w:left="660" w:right="40" w:hanging="328"/>
        <w:spacing w:after="0" w:line="27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211" w:lineRule="exact"/>
        <w:rPr>
          <w:rFonts w:ascii="Arial" w:cs="Arial" w:eastAsia="Arial" w:hAnsi="Arial"/>
          <w:sz w:val="17"/>
          <w:szCs w:val="17"/>
          <w:color w:val="auto"/>
        </w:rPr>
      </w:pPr>
    </w:p>
    <w:p>
      <w:pPr>
        <w:ind w:left="660" w:right="6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operators and independent contractors and/or disputes that may arise out of our agreements with such parties;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224"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52"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achieve our business plans, a further deterioration of the general economic conditions of the countries in which we operate, or significant changes in the assumptions and estimates that are used in our impairment testing for goodwill and intangible assets, which could result in a significant impairment of our goodwill; and</w:t>
      </w:r>
    </w:p>
    <w:p>
      <w:pPr>
        <w:spacing w:after="0" w:line="228"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accuracy and completeness of those statements. Other factors and assumptions not identified above, including those discussed in “Management’s Discussion and Analysis of Financial Condition and Results of Operations” set forth in Item 7, in “Risk Factors” set forth in Item 1A and in other portions of this Annual Report on Form 10-K, may contain forward-looking statements and involve uncertainties that could cause actual results to differ materially from those projected in such statements.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05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BUSINESS</w:t>
      </w:r>
    </w:p>
    <w:p>
      <w:pPr>
        <w:spacing w:after="0" w:line="37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“Avis,” “Budget,” “Budget Truck,” “Zipcar,” “Payless,” “Apex,” “Maggiore,” “Morini Rent,” “Turiscar,” “FranceCars” and “ACL Hire” refer to our Avis Rent A Car System, LLC, Budget Rent A Car System, Inc., Budget Truck Rental, LLC, Zipcar, Inc., Payless Car Rental, Inc., Apex Car Rentals, Maggiore Rent S.p.A., Morini S.p.A., Turiscar Group, AAA France Cars SAS and ACL Hire Ltd. operations, respectively, and, unless the context otherwise requires,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05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together with several other brands, well recognized in their respective markets. Our brands offer a range of options, from car and truck rental to car sharing. We and our licensees operate our brands in approximately 180 countries throughout the world. We generally maintain a leading share of airport car rental revenues in North America, Europe and Australasia, and we operate a leading car sharing network, as well as one of the leading commercial truck rental businesses in the United States. Our brands and mobility solutions have an extended global reach with more than 10,600 rental locations throughout the world, including approximately 4,100 locations operated by our licensees. We believe that Avis, Budget and Zipcar enjoy complementary demand patterns with mid-week commercial demand balanced by weekend leisure demand.</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Positive momentum from fourth quarter 2019 continued into January and February 2020; however, travel restrictions broadly implemented in response to the COVID-19 pandemic in March 2020 negatively affected reservations and revenue throughout the remainder of 2020. By reducing fleet, matching staffing levels to demand and reducing operational costs, and pausing capital spending, among other actions, we proactively managed declining reservations and revenue. As a result, for 2020, our global rental fleet, on average, totaled approximately 533,000 vehicles, 19% lower compared to 2019 and we completed approximately 22 million vehicle rental transactions worldwide, 47% lower compared to 2019. Our revenue was approximately $5.4 billion, 41% lower compared to 2019. We experienced longer lengths of rental compared to 2019, driven by an increase in monthly and leisure vehicle rentals. Revenue generated from on-airport locations was approximately 50%, a 14% reduction compared to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34" w:lineRule="exact"/>
        <w:rPr>
          <w:sz w:val="20"/>
          <w:szCs w:val="20"/>
          <w:color w:val="auto"/>
        </w:rPr>
      </w:pPr>
    </w:p>
    <w:p>
      <w:pPr>
        <w:jc w:val="both"/>
        <w:ind w:left="660" w:right="12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which provides and licenses the Company’s brands to third parties for vehicle rentals and ancillary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 and</w:t>
      </w:r>
    </w:p>
    <w:p>
      <w:pPr>
        <w:spacing w:after="0" w:line="202" w:lineRule="exact"/>
        <w:rPr>
          <w:rFonts w:ascii="Arial" w:cs="Arial" w:eastAsia="Arial" w:hAnsi="Arial"/>
          <w:sz w:val="18"/>
          <w:szCs w:val="18"/>
          <w:color w:val="auto"/>
        </w:rPr>
      </w:pPr>
    </w:p>
    <w:p>
      <w:pPr>
        <w:ind w:left="660" w:right="360" w:hanging="328"/>
        <w:spacing w:after="0" w:line="266"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which provides and licenses the Company’s brands to third parties for vehicle rentals and ancillary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Europe, the Middle East, Africa, Asia and Australasia, and operates the Company’s car sharing business in certain of these markets.</w:t>
      </w:r>
    </w:p>
    <w:p>
      <w:pPr>
        <w:spacing w:after="0" w:line="2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Additional discussion of our reportable segments is included in the Item 7. “Management’s Discussion and Analysis of Financial Condition and Results of Operations” and in Note 20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9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began 2020 with a focus on driving sustainable and profitable growth by leveraging differentiated brands and products, delivering margins from our established businesses, and positioning our company as a global leader in the mobility sector. As we saw significant impacts on travel demand and the global economy from COVID-19, we proactively managed our business with cost removal and mitigation actions described above. At the same time, we prioritized health and safety, and launched a coalition designed to enhance the cleanliness and disinfection of</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rental facilities and vehicles. We also increased the availability of our app-based Mobile Select product and facilities with automated exit gates to provide our customers with contactless, self-service rental transactions.</w:t>
      </w:r>
    </w:p>
    <w:p>
      <w:pPr>
        <w:spacing w:after="0" w:line="22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For 2021, as travel demand starts to normalize and the global economy emerges from COVID-19, we expect our strategy to continue to focus on cost discipline, revenue growth and reinvestment aimed at allowing the Company to increase profitability.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Discipline</w:t>
      </w:r>
    </w:p>
    <w:p>
      <w:pPr>
        <w:spacing w:after="0" w:line="2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Through cost discipline, we aim to improve our Adjusted EBITDA margin by focusing on fixed and variable cost controls as well as vehicle costs. We believe we can increase our profitability by keeping fixed expenses to unavoidable or fundamentally necessary items and optimizing variable expense in controllable areas with clear metrics and visibility, permitting us to exit the COVID-19 crisis as a stronger, more adaptive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Growth</w:t>
      </w:r>
    </w:p>
    <w:p>
      <w:pPr>
        <w:spacing w:after="0" w:line="25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seek to increase revenue through the delivery of a differentiated customer experience through technology and service. We expect to continue to enhance the customer experience we offer, including through an increase in the locations that offer our Mobile Select product, which provides a differentiated customer choice model, our Avis mobile application, recognized as one of the best mobile travel rental car applications, connected cars, and continued improvement in customer service. We also intend to drive revenue through continued enhancement of our operations in the off-airport, ride hail, package delivery and partnerships channels.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Reinvestment</w:t>
      </w:r>
    </w:p>
    <w:p>
      <w:pPr>
        <w:spacing w:after="0" w:line="25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also intend to reinvest in our business, including in our systems and platforms, and potential new business models, including expanding our risk vehicle dispositions through our direct-to-consumer sales channels, which include online sales channels and strategically positioned Avis vehicle retail car sale lots, and in the evolving mobility sector based on our leading brands, global operations and our fleet management capabilities. We continue to believe that our company is well-positioned as a leader in the evolving mobility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4057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each of our brands are positioned to be embraced by different target customers, and we see benefits and savings from our brands sharing some of the same maintenance facilities, fleet management systems, technology and administrative infrastructure. In addition, we are able to recognize benefits and savings by combining our car rental and car sharing maintenance activities and fleets at times to increase our fleet utilization efficiency and to meet demand peaks. These benefits have historically been further enhanced by complementary demand patterns balancing our business customers’ utilization during weekdays and our leisure and urban customers’ utilization on evenings and weekends. We also operate the Payless and Apex brands, which operate in the value segment of the car rental industry, augmenting our Avis, Budget and Zipcar brands. In addition, our Maggiore and Morini Rent brands in Italy, FranceCars brand in France and Turiscar brand in Portugal further extend the range of vehicle use occasions we are able to serve.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6350</wp:posOffset>
            </wp:positionV>
            <wp:extent cx="5760720" cy="1457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145732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Budget Truck.</w:t>
      </w:r>
    </w:p>
    <w:p>
      <w:pPr>
        <w:spacing w:after="0" w:line="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Budget Truck and Zipcar.</w:t>
      </w:r>
    </w:p>
    <w:p>
      <w:pPr>
        <w:spacing w:after="0" w:line="2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COVID-19 impacts have changed the composition of our revenues by market compared to prior year. In 2019, the mix for revenues by market was 64% airport and 36% off-airport.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45402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0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and serves the premium commercial and leisure segments of the travel industry. We operate or license Avis vehicle rental locations at virtually all of the largest commercial airports and cities in the world.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Avis locations as of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2,900</w:t>
            </w:r>
          </w:p>
        </w:tc>
      </w:tr>
      <w:tr>
        <w:trPr>
          <w:trHeight w:val="229"/>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Avis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5,300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2020, our Company-operated Avis locations generated total revenues of approximately $3.0 billion, of which approximately $1.4 billion was derived from commercial customers and approximately $1.6 billion was derived from customers renting at airports. The following graphs present the approximate composition of our Avis revenues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-7620</wp:posOffset>
            </wp:positionV>
            <wp:extent cx="5734685" cy="145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also license the Avis brand to independent commercial owners who operate approximately half of our locations worldwide and generally pay royalty fees to us based on a percentage of applicable revenues. In 2020, these royalty fees totaled approximately 1% of our Avis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52" w:lineRule="exact"/>
        <w:rPr>
          <w:sz w:val="20"/>
          <w:szCs w:val="20"/>
          <w:color w:val="auto"/>
        </w:rPr>
      </w:pPr>
    </w:p>
    <w:p>
      <w:pPr>
        <w:ind w:left="660" w:right="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Avis mobile application, which allows customers a unique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w:t>
      </w:r>
    </w:p>
    <w:p>
      <w:pPr>
        <w:spacing w:after="0" w:line="210" w:lineRule="exact"/>
        <w:rPr>
          <w:rFonts w:ascii="Arial" w:cs="Arial" w:eastAsia="Arial" w:hAnsi="Arial"/>
          <w:sz w:val="18"/>
          <w:szCs w:val="18"/>
          <w:color w:val="auto"/>
        </w:rPr>
      </w:pPr>
    </w:p>
    <w:p>
      <w:pPr>
        <w:ind w:left="660" w:right="140" w:hanging="328"/>
        <w:spacing w:after="0" w:line="24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Avis Preferred</w:t>
      </w:r>
      <w:r>
        <w:rPr>
          <w:rFonts w:ascii="Arial" w:cs="Arial" w:eastAsia="Arial" w:hAnsi="Arial"/>
          <w:sz w:val="18"/>
          <w:szCs w:val="18"/>
          <w:color w:val="auto"/>
        </w:rPr>
        <w:t>, a frequent renter rewards program that offers counter-bypass at major airport locations and reward points for every</w:t>
      </w:r>
      <w:r>
        <w:rPr>
          <w:rFonts w:ascii="Arial" w:cs="Arial" w:eastAsia="Arial" w:hAnsi="Arial"/>
          <w:sz w:val="18"/>
          <w:szCs w:val="18"/>
          <w:i w:val="1"/>
          <w:iCs w:val="1"/>
          <w:color w:val="auto"/>
        </w:rPr>
        <w:t xml:space="preserve"> </w:t>
      </w:r>
      <w:r>
        <w:rPr>
          <w:rFonts w:ascii="Arial" w:cs="Arial" w:eastAsia="Arial" w:hAnsi="Arial"/>
          <w:sz w:val="18"/>
          <w:szCs w:val="18"/>
          <w:color w:val="auto"/>
        </w:rPr>
        <w:t>dollar spent on vehicle rentals and related products. Avis Mobile Select, the newest feature on the Avis mobile application, allows Avis Preferred customers to select their specific car via their mobile device upon arrival, proceed directly to the vehicle, and utilize a unique code to exit via our automated Express Exit for a completely contactless rental experience;</w:t>
      </w:r>
    </w:p>
    <w:p>
      <w:pPr>
        <w:spacing w:after="0" w:line="20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Avis Select Series</w:t>
      </w:r>
      <w:r>
        <w:rPr>
          <w:rFonts w:ascii="Arial" w:cs="Arial" w:eastAsia="Arial" w:hAnsi="Arial"/>
          <w:sz w:val="18"/>
          <w:szCs w:val="18"/>
          <w:color w:val="auto"/>
        </w:rPr>
        <w:t>, a selection of luxury vehicles including Mercedes, Jaguars, Corvettes,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invited or earned customer status levels allowing for upgrades and counter bypass;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premium, sport and performance vehicles as well as eco-friendly vehicles, including gasoline/electric hybrids;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portable navigation units, tablets and satellite radio service;</w:t>
      </w:r>
    </w:p>
    <w:p>
      <w:pPr>
        <w:spacing w:after="0" w:line="252"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8"/>
          <w:szCs w:val="18"/>
          <w:i w:val="1"/>
          <w:iCs w:val="1"/>
          <w:color w:val="auto"/>
        </w:rPr>
        <w:t>Avis Access</w:t>
      </w:r>
      <w:r>
        <w:rPr>
          <w:rFonts w:ascii="Arial" w:cs="Arial" w:eastAsia="Arial" w:hAnsi="Arial"/>
          <w:sz w:val="18"/>
          <w:szCs w:val="18"/>
          <w:color w:val="auto"/>
        </w:rPr>
        <w:t>, a full range of special products and services for drivers and passengers with disabilities;</w:t>
      </w:r>
    </w:p>
    <w:p>
      <w:pPr>
        <w:spacing w:after="0" w:line="228"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Curbside Delivery, a service that provides customers at select airport locations in the United States with the added convenience of being dropped off at the airport terminal in the same car that they rented; and</w:t>
      </w:r>
    </w:p>
    <w:p>
      <w:pPr>
        <w:spacing w:after="0" w:line="224" w:lineRule="exact"/>
        <w:rPr>
          <w:rFonts w:ascii="Arial" w:cs="Arial" w:eastAsia="Arial" w:hAnsi="Arial"/>
          <w:sz w:val="18"/>
          <w:szCs w:val="18"/>
          <w:color w:val="auto"/>
        </w:rPr>
      </w:pPr>
    </w:p>
    <w:p>
      <w:pPr>
        <w:ind w:left="660" w:right="10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our corporate customers, Avis Budget Group Business Intelligence, a proprietary customer reporting solution that provides a centralized reporting tool and customer reporting portal for all corporate clients around the globe, enabling them to easily view and analyze their rental activity, permitting them to better manage their travel budgets and monitor employee compliance with applicable travel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8580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31686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 Rental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operate or license Budget car rental locations at most of the largest airports and cities in the world.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Budget locations as of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2,250</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Budget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3,800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also license the Budget brand to independent commercial owners who operate approximately half of our locations worldwide and generally pay royalty fees to us based on a percentage of applicable revenues. In 2020, these royalty fees totaled approximately 1% of our Budget revenues.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Budget offers its customers several products and services similar to Avis, such as refueling options, roadside assistance, electronic toll collection, curbside delivery and other supplemental rental products, emailed receipts and special rental rates for frequent renters. In addition, Budget’s mobile application allows customers to reserve, modify and cancel reservations on their mobile device, and its Fastbreak service expedites rental service for frequent travelers.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Budget Truck</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As of December 31, 2020, our Budget Truck fleet is comprised of approximately 20,000 vehicles that are rented through a network of approximately 515 dealer-operated and 410 Company-operated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gross vehicle weight of less than 26,000 pounds, for a variety of commercial applications. The consumer sector consists primarily of individuals who rent trucks to move household goods on either a one-way or local basis.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2020, our Company-operated Budget vehicle rental operations generated total revenues of approximately $1.9 billion, of which approximately $1.4 billion was derived from leisure customers and $0.9 billion was derived from customers renting at airports. The following graphs present the approximate composition of our Budget revenues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37630" cy="1826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763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 Members can reserve vehicles online, on a mobile device or over the phone, by the minute, hour or by the day, at rates that include gasoline, secondary insurance and other costs associated with vehicle ownership. We continue to offer our Zipcar Flex product in London providing for one-way rentals, including to and from Heathrow airport, which can be parked in public on-street spots in designated areas of the city.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other brands include the following:</w:t>
      </w:r>
    </w:p>
    <w:p>
      <w:pPr>
        <w:spacing w:after="0" w:line="252" w:lineRule="exact"/>
        <w:rPr>
          <w:sz w:val="20"/>
          <w:szCs w:val="20"/>
          <w:color w:val="auto"/>
        </w:rPr>
      </w:pPr>
    </w:p>
    <w:p>
      <w:pPr>
        <w:ind w:left="660" w:right="18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Payless, a leading rental car supplier serving the deep-value segment of the industry, which we license or operate in approximately 240 locations worldwide, including more than 150 locations operated by licensees and approximately 90 Company-operated locations.</w:t>
      </w:r>
    </w:p>
    <w:p>
      <w:pPr>
        <w:spacing w:after="0" w:line="228" w:lineRule="exact"/>
        <w:rPr>
          <w:rFonts w:ascii="Arial" w:cs="Arial" w:eastAsia="Arial" w:hAnsi="Arial"/>
          <w:sz w:val="18"/>
          <w:szCs w:val="18"/>
          <w:color w:val="auto"/>
        </w:rPr>
      </w:pPr>
    </w:p>
    <w:p>
      <w:pPr>
        <w:ind w:left="1300" w:right="500" w:hanging="320"/>
        <w:spacing w:after="0" w:line="261"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Company-operated Payless locations are primarily located in North America, the majority of which are at or near major airports. Payless’ rental fees are often lower than those of larger, more established vehicle rental brands.</w:t>
      </w:r>
    </w:p>
    <w:p>
      <w:pPr>
        <w:spacing w:after="0" w:line="224" w:lineRule="exact"/>
        <w:rPr>
          <w:rFonts w:ascii="Arial" w:cs="Arial" w:eastAsia="Arial" w:hAnsi="Arial"/>
          <w:sz w:val="18"/>
          <w:szCs w:val="18"/>
          <w:color w:val="auto"/>
        </w:rPr>
      </w:pPr>
    </w:p>
    <w:p>
      <w:pPr>
        <w:ind w:left="1300" w:right="360" w:hanging="320"/>
        <w:spacing w:after="0" w:line="261"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Payless business model allows the Company to extend the life-cycle of a portion of our rental fleet, as we “cascade” certain vehicles that exceed certain Avis and Budget age or mileage thresholds to be used by Payless.</w:t>
      </w:r>
    </w:p>
    <w:p>
      <w:pPr>
        <w:spacing w:after="0" w:line="224"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Apex, which operates in approximately 30 rental locations at, or near, major airports and in several metropolitan cities in New Zealand and Australia.</w:t>
      </w:r>
    </w:p>
    <w:p>
      <w:pPr>
        <w:spacing w:after="0" w:line="224" w:lineRule="exact"/>
        <w:rPr>
          <w:rFonts w:ascii="Arial" w:cs="Arial" w:eastAsia="Arial" w:hAnsi="Arial"/>
          <w:sz w:val="18"/>
          <w:szCs w:val="18"/>
          <w:color w:val="auto"/>
        </w:rPr>
      </w:pPr>
    </w:p>
    <w:p>
      <w:pPr>
        <w:ind w:left="1300" w:right="300" w:hanging="320"/>
        <w:spacing w:after="0" w:line="261"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Apex generates reservations through proprietary websites as well as a contact center and online travel agencies and has typically had a greater-than-average length of rental.</w:t>
      </w:r>
    </w:p>
    <w:p>
      <w:pPr>
        <w:spacing w:after="0" w:line="224"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Maggiore, a leading vehicle rental brand in Italy, where we operate or license in approximately 150 rental locations throughout the country.</w:t>
      </w:r>
    </w:p>
    <w:p>
      <w:pPr>
        <w:spacing w:after="0" w:line="224" w:lineRule="exact"/>
        <w:rPr>
          <w:rFonts w:ascii="Arial" w:cs="Arial" w:eastAsia="Arial" w:hAnsi="Arial"/>
          <w:sz w:val="18"/>
          <w:szCs w:val="18"/>
          <w:color w:val="auto"/>
        </w:rPr>
      </w:pPr>
    </w:p>
    <w:p>
      <w:pPr>
        <w:ind w:left="1300" w:right="240" w:hanging="320"/>
        <w:spacing w:after="0" w:line="261" w:lineRule="auto"/>
        <w:tabs>
          <w:tab w:leader="none" w:pos="1296"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Maggiore has a strong local reputation and benefits from a strong presence at airport, off-airport and railway locations and from the integration of our existing operations and rental fleet management expertise.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right="18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Morini Rent, a leading vehicle rental brand in Italy, which offers rental of cars, vans and refrigerated vehicles and which we operate or license in approximately 50 rental locations throughout the country.</w:t>
      </w:r>
    </w:p>
    <w:p>
      <w:pPr>
        <w:spacing w:after="0" w:line="224"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FranceCars, which operates one of the largest light commercial vehicle rental fleets in France in approximately 85 rental locations and leverages our existing operational processes and local customer base.</w:t>
      </w:r>
    </w:p>
    <w:p>
      <w:pPr>
        <w:spacing w:after="0" w:line="224"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Turiscar, a leading vehicle rental brand in Portugal, which operates primarily in the corporate market, including light commercial vehicles, at more than 25 rental locations throughout the country.</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ACL Hire, a provider of quality vehicle rental and maintenance services in the UK, with a strong focus on light commercial vehicles.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customers can make vehicle rental reservations through our brand-specific websites and toll-free reservation centers, by calling a specific location directly,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23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Zipcar members may reserve cars by the minute, hour or by the day through Zipcar’s reservation system, which is accessible through the Zipcar website, through the Zipcar application on their smartphone or by phone. We also use two-way SMS texting, enabling us to proactively reach out to members during their reservation via their mobile device to manage their reservation, including reservation extension.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support our brands through a range of marketing channels and campaigns, including traditional media, such as television and print advertising, as well as Internet and email marketing, social media and mobile device applications. We market through sponsorships of major sports entities such as the PGA Tour, Pebble Beach, the New York Yankees, the Toronto Maple Leafs, Toronto Raptors, Toronto FC and AC Milan FC. We also market through sponsorships of charitable organizations such as the Make-A-Wish Foundation. We utilize a customer relationship management system that enables us to deliver more targeted and relevant offers to customers across online and offline channels and allows our customers to benefit through better and more relevant marketing, improved service delivery and loyalty programs that reward frequent renters with free rental days and car class upgrades.</w:t>
      </w:r>
    </w:p>
    <w:p>
      <w:pPr>
        <w:spacing w:after="0" w:line="23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We maintain strong links to the travel industry including marketing alliances with numerous marketing partners, such as American Airlines, and major hotel companies.</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addition, we have developed relationships that provide brand exposure and access to new customers, including deals to provide vehicles to ride-hail drivers in cities across North America.</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Approximately 50% of vehicle rental transactions in 2020 from our Company-operated Avis locations were generated by travelers who rented from Avis under contracts between Avis and their employers or through membership in an organization with which Avis has a contractual affiliation (such as AARP and Costco Wholesale). This percentage is lower compared to the 2019 percentage of 60% as a result of impacts from the COVID-19 pandemic, which among other things, drove a decrease in commercial travel. The Company offers Business Intelligence,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 maintains marketing relationships with other organizations such as American Express, MasterCard International and others, through which we are able to provide their customers with incentives to rent from Avis. Generally, Avis licensees also have the option to participate in these affiliations.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40"/>
        <w:spacing w:after="0" w:line="233" w:lineRule="auto"/>
        <w:rPr>
          <w:sz w:val="20"/>
          <w:szCs w:val="20"/>
          <w:color w:val="auto"/>
        </w:rPr>
      </w:pPr>
      <w:r>
        <w:rPr>
          <w:rFonts w:ascii="Arial" w:cs="Arial" w:eastAsia="Arial" w:hAnsi="Arial"/>
          <w:sz w:val="18"/>
          <w:szCs w:val="18"/>
          <w:color w:val="auto"/>
        </w:rPr>
        <w:t>Additionally, we offer “Unlimited Rewards</w:t>
      </w:r>
      <w:r>
        <w:rPr>
          <w:rFonts w:ascii="Arial" w:cs="Arial" w:eastAsia="Arial" w:hAnsi="Arial"/>
          <w:sz w:val="23"/>
          <w:szCs w:val="23"/>
          <w:color w:val="auto"/>
          <w:vertAlign w:val="superscript"/>
        </w:rPr>
        <w:t>®</w:t>
      </w:r>
      <w:r>
        <w:rPr>
          <w:rFonts w:ascii="Arial" w:cs="Arial" w:eastAsia="Arial" w:hAnsi="Arial"/>
          <w:sz w:val="18"/>
          <w:szCs w:val="18"/>
          <w:color w:val="auto"/>
        </w:rPr>
        <w:t>,” an award-winning loyalty incentive program for travel agents, and Avis and Budget programs for small businesses that offer discounted rates, central billing options and rental credits to members. Budget has contractual arrangements with American Express, MasterCard International and other organizations, which offer members incentives to rent from Budget.</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Zipcar brand utilizes a diverse set of marketing and sales strategies to acquire and engage members, including digital marketing, email and in-app messaging, and social media engagement. Zipcar maintains close relationships with universities that provide access to campuses and various marketing channels to attract students, who upon graduation may continue their relationship with us. Through our Zipcar for Business program, we also offer direct-bill accounts and employee benefit programs to companies, federal agencies and local governments that support the use of Zipcars.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7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2020 totaled $78 million, with approximately $57 million in our International segment and $21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spacing w:after="0" w:line="23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continue to optimize the Avis and Budget brands by issuing new license agreements and periodically acquiring licensees to grow our revenues and expand our global presence. Discussion of our recent acquisitions is included in Note 6 to the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7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229" w:lineRule="exact"/>
        <w:rPr>
          <w:sz w:val="20"/>
          <w:szCs w:val="20"/>
          <w:color w:val="auto"/>
        </w:rPr>
      </w:pPr>
    </w:p>
    <w:p>
      <w:pPr>
        <w:ind w:left="660" w:right="4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w:t>
      </w:r>
    </w:p>
    <w:p>
      <w:pPr>
        <w:spacing w:after="0" w:line="224"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roadside assistance services, electronic toll collection services, curbside delivery, tablet rentals, access to satellite radio, portable navigation units and child safety seat rentals; and</w:t>
      </w:r>
    </w:p>
    <w:p>
      <w:pPr>
        <w:spacing w:after="0" w:line="224"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offer customized bundling of certain of these ancillary products and services, allowing our customers to benefit from discounted pricing and providing customers the flexibility to add multiple products or services that suit their needs.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offer a wide variety of vehicles in our rental fleet, including luxury cars, specialty-use vehicles and light commercial vehicles. Our fleet consists primarily of vehicles from the current and immediately preceding model year. We maintain a single fleet of vehicles for Avis and Budget in countries where we operate both brands. The substantial majority of Zipcar’s fleet is dedicated to use by Zipcar.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diverse rental fleet, in which no vehicle manufacturer represented more than 13% of our 2020 fleet purchases, and we regularly adjust our fleet levels to be consistent with demand. We participate in a variety of vehicle purchase programs with major vehicle manufacturers. As a result of the COVID-19 pandemic, we reduced our fleet purchases by 56% compared to 2019 as we sought to proactively manage our fleet size. The following presents the approximate percentage of fleet purchases by manufacturer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-6350</wp:posOffset>
            </wp:positionV>
            <wp:extent cx="4286250" cy="251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Includes all manufacturers for which fleet purchases were less than 5%.</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Fleet costs represented approximately 22% of our aggregate expenses in 2020. Fleet costs can vary from year to year based on the prices at which we are able to purchase and dispose of rental vehicles, the mix of risk and program vehicles, holding periods, and overall fleet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2020, approximately 24% of our average rental fleet was comprised of the following:</w:t>
      </w:r>
    </w:p>
    <w:p>
      <w:pPr>
        <w:spacing w:after="0" w:line="252" w:lineRule="exact"/>
        <w:rPr>
          <w:sz w:val="20"/>
          <w:szCs w:val="20"/>
          <w:color w:val="auto"/>
        </w:rPr>
      </w:pPr>
    </w:p>
    <w:p>
      <w:pPr>
        <w:ind w:left="660" w:right="3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vehicles subject to agreements requiring automobile manufacturers to repurchase vehicles at a specified price during a specified time period or guarantee our rate of depreciation on the vehicles during a specified period of time;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vehicles subject to operating leases, which are subject to a fixed lease period and interest rate.</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refer to vehicles subject to these agreements as “program” vehicles and vehicles not subject to these agreements as “risk” vehicles because we retain the risk associated with such vehicles’ residual values at the time of their disposition. The following graphs present the approximate percentage of program vehicles in both our average rental fleet and purchases within each of our reporting segments in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-6350</wp:posOffset>
            </wp:positionV>
            <wp:extent cx="5520690" cy="3086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06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prices of previously-owned vehicles in the wholesale market. In 2020, approximately 38% of the vehicles we disposed of were sold pursuant to repurchase or guaranteed depreciation programs.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dispose of our risk vehicles largely through resale and alternative disposition channels, including direct-to-consumer, online auctions, and direct-to-dealer sales, as well as through more traditional automobile auctions. Alternative disposition channels provide the opportunity to increase vehicle sales prices and reduce relevant fleet costs compared to selling vehicles at auctions. We have continued to expand the scope of our direct-to-consumer vehicle sales program, growing sales of our risk vehicles directly to consumers through our Ultimate Test Drive (UTD) online program and our approximately 15 physical retail locations. Both our UTD program and retail locations offer customers the ability to purchase well -maintained, late-model rental vehicles from our fleet. We dispose of our program vehicles in accordance with repurchase or guaranteed depreciation programs with major vehicle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7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2020, our average quarterly vehicle rental fleet size ranged from a low of approximately 440,000 vehicles in fourth quarter to a high of approximately 610,000 vehicles in first quarter. Average fleet utilization for 2020, which is based on the number of rental days (or portion thereof) that vehicles are rented compared to the total amount of time that vehicles are available for rent, ranged from approximately 35% in second quarter to approximately 62% in first and fourth quarters. Our average car rental fleet size and utilization are typically highest during the third quarter of each year. Our calculation of utilization may not be comparable to other companies’ calculation of similarly titled metrics.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developed specialized training programs for our technicians. Our Supply Chain Department prepares technical service bulletins that can be retrieved electronically at our repair locations. In addition, we have implemented policies and procedures to promptly address manufacturer recalls as part of our ongoing maintenance and repair efforts.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program focuses on continually improving the overall customer experience based on our research of customer service practices, improved customer insights, executing our customer relationship management strategy, delivering customer-centric employee training and leverage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spacing w:after="0" w:line="2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employees at our Company-operated locations are trained and empowered to resolve most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2020, in response to COVID-19, we launched the “Avis Safety Pledge” and “Budget Worry-Free Promise,” designed to keep our customers and employees safe through a partnership with RB, the maker of Lysol, to enhance the cleanliness and disinfection of our rental facilities and vehicles. RB is also part of a coalition we formed with Hip Hop Public Health, a national nonprofit organization that creates engaging content to drive behavioral change and supplements our employee training for consistent, responsible habits and to optimize the effectiveness of our cleaning protocols. Our facilities are also utilizing plexiglass shields along with signage and floor markings to encourage safety habits and social distancing, and we have provided our staff with masks, hand sanitizer and gloves and we make this protective equipment available to our customers.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 defined by each airport authority), often subject to minimum annual guaranteed amounts. Concessions are typically awarded by airport authorities every three to ten years based upon competitive bids. Our concession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agreements with the various airport authorities generally impose certain minimum operating requirements, provide for relocation in the event of future construction and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2018,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6350</wp:posOffset>
            </wp:positionV>
            <wp:extent cx="5709285" cy="2280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and Ubeeqo brands; and Sixt AG.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Systems, Inc. and Enterprise.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Puerto Rico and the U.S. Virgin Islands, in accordance with the minimum financial responsibility requirements (“MFRs”) and primacy of coverage laws of the relevant jurisdiction. In certain cases, we assume liability above applicable MFRs, up to $1 million per occurrence, other than in cases involving a negligent act on the part of the Company, for which we purchase insurance coverage for exposures beyond retained amounts from a combination of unaffiliated excess insurers.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AEGIS Motor Insurance Limited. AEGIS Motor Insurance Limited reinsures certain risks through an unaffiliated company, which limits its liabilities. We insure the risk of liability to third parties in Argentina through unaffiliated insurers.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offer our U.S.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 Ltd. Additional personal accident insurance offered to our customers in Europe and Australasia is provided by a third-party insurer, and primarily reinsured by our Avis Budget Europe International Reinsurance Limited subsidiary. We also maintain excess insurance coverage through unaffiliated carriers to help mitigate our potential exposure to large liability losses. We otherwise bear these and other risks, except to the extent that the risks are transferred through insurance or contractual arrangements.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“We Try Harder,” “We Know The Road” and “Own The Trip, Not The Car”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U.S. and other countries.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SOCIAL RESPONSIBILITY</w:t>
      </w:r>
    </w:p>
    <w:p>
      <w:pPr>
        <w:spacing w:after="0" w:line="27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At Avis Budget Group, we take our responsibilities as a corporate citizen seriously. We are aware of how our actions can benefit the community and are sensitive to the needs of the environment, our customers and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Our practices in corporate social responsibility focus on our people, our communities, and our planet. We are committed to the highest standards of ethics, integrity and compliance in all respects of our business.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We believe that our success has its foundation in how we treat our employees. In concert with our core values, we seek to foster</w:t>
      </w:r>
      <w:r>
        <w:rPr>
          <w:rFonts w:ascii="Arial" w:cs="Arial" w:eastAsia="Arial" w:hAnsi="Arial"/>
          <w:sz w:val="18"/>
          <w:szCs w:val="18"/>
          <w:i w:val="1"/>
          <w:iCs w:val="1"/>
          <w:color w:val="auto"/>
        </w:rPr>
        <w:t xml:space="preserve"> </w:t>
      </w:r>
      <w:r>
        <w:rPr>
          <w:rFonts w:ascii="Arial" w:cs="Arial" w:eastAsia="Arial" w:hAnsi="Arial"/>
          <w:sz w:val="18"/>
          <w:szCs w:val="18"/>
          <w:color w:val="auto"/>
        </w:rPr>
        <w:t>an environment where 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Our Communities</w:t>
      </w:r>
      <w:r>
        <w:rPr>
          <w:rFonts w:ascii="Arial" w:cs="Arial" w:eastAsia="Arial" w:hAnsi="Arial"/>
          <w:sz w:val="18"/>
          <w:szCs w:val="18"/>
          <w:color w:val="auto"/>
        </w:rPr>
        <w:t>: We help and encourage our employees to connect to the communities in which they reside. Through our “Inspire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program we challenge our employees to dedicate an hour of their time to a local cause close to their hearts. As well as empowering our employees to volunteer in their local communities, we are committed to helping a variety of causes and charities that support people in crisis situations and who live with life-threatening illnesses. Those we support were chosen because our employees told us that charities that support women and children are the most important to them.</w:t>
      </w:r>
    </w:p>
    <w:p>
      <w:pPr>
        <w:spacing w:after="0" w:line="228" w:lineRule="exact"/>
        <w:rPr>
          <w:sz w:val="20"/>
          <w:szCs w:val="20"/>
          <w:color w:val="auto"/>
        </w:rPr>
      </w:pPr>
    </w:p>
    <w:p>
      <w:pPr>
        <w:ind w:left="580" w:right="20" w:hanging="329"/>
        <w:spacing w:after="0" w:line="270" w:lineRule="auto"/>
        <w:tabs>
          <w:tab w:leader="none" w:pos="5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Being Prepared When Disaster Strikes: Over the past seventy years, we have developed strong competencies in responding to business disruptions. Whether the disruption is man-made, an extreme weather event or a global health crisis,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spacing w:after="0" w:line="20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As a responsible corporate citizen, we are committed to monitoring, measuring and managing our environmental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and working to reduce it where practicable on an ongoing basis. This enables us to meet customer expectations while building a resilient business for generations to come. The following illustrates these commitments:</w:t>
      </w:r>
    </w:p>
    <w:p>
      <w:pPr>
        <w:spacing w:after="0" w:line="221" w:lineRule="exact"/>
        <w:rPr>
          <w:sz w:val="20"/>
          <w:szCs w:val="20"/>
          <w:color w:val="auto"/>
        </w:rPr>
      </w:pPr>
    </w:p>
    <w:p>
      <w:pPr>
        <w:ind w:left="660" w:right="2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Environmental Footprint: Through our continuous improvement approach, we work proactively to address the environmental challenges that impact our business. Guided by our Environmental Policy, we focus on the environmental issues most important to us and our stakeholders.</w:t>
      </w:r>
    </w:p>
    <w:p>
      <w:pPr>
        <w:spacing w:after="0" w:line="228"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Sustainable Operations: We are driving the efficiencies needed to reduce our environmental impact and enhance the sustainability of our operations. These are mainly driven by improvements on vehicle preventive maintenance, the incorporation of green building practices and by complying with all environmental regulations.</w:t>
      </w:r>
    </w:p>
    <w:p>
      <w:pPr>
        <w:spacing w:after="0" w:line="228"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Carbon Offset Program: We are committed to helping educate both consumers and travel professionals on their environmental impact from rental car use and on how that can be reduced. We also work closely with our corporate customers to help them achieve their environmental impact reduction targets through our carbon offset program.</w:t>
      </w:r>
    </w:p>
    <w:p>
      <w:pPr>
        <w:spacing w:after="0" w:line="22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Sustainable Fleet: We have been actively anticipating and driving changes in mobility. Connected and autonomous vehicles are likely to become a common feature worldwide, along with an increase use of electric and shared vehicles, which is why we’re building on our core experience, data intelligence and technology to develop entirely new lines of business and extend our offering and capabilities for our customers, businesses and cities. Our efforts include:</w:t>
      </w:r>
    </w:p>
    <w:p>
      <w:pPr>
        <w:spacing w:after="0" w:line="230" w:lineRule="exact"/>
        <w:rPr>
          <w:rFonts w:ascii="Arial" w:cs="Arial" w:eastAsia="Arial" w:hAnsi="Arial"/>
          <w:sz w:val="18"/>
          <w:szCs w:val="18"/>
          <w:color w:val="auto"/>
        </w:rPr>
      </w:pPr>
    </w:p>
    <w:p>
      <w:pPr>
        <w:ind w:left="1620" w:right="60" w:hanging="316"/>
        <w:spacing w:after="0" w:line="254" w:lineRule="auto"/>
        <w:tabs>
          <w:tab w:leader="none" w:pos="16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Car Sharing: Our Zipcar car sharing technology was designed and specifically built for our car sharing business and has been continually refined and upgraded. With more than one million members worldwide, Zipcar is taking thousands of vehicles off the road and reducing congestion. In addition, car sharing members report notable reductions in their own driving behavior after joining.</w:t>
      </w:r>
    </w:p>
    <w:p>
      <w:pPr>
        <w:spacing w:after="0" w:line="230" w:lineRule="exact"/>
        <w:rPr>
          <w:rFonts w:ascii="Arial" w:cs="Arial" w:eastAsia="Arial" w:hAnsi="Arial"/>
          <w:sz w:val="18"/>
          <w:szCs w:val="18"/>
          <w:color w:val="auto"/>
        </w:rPr>
      </w:pPr>
    </w:p>
    <w:p>
      <w:pPr>
        <w:ind w:left="1620" w:right="500" w:hanging="316"/>
        <w:spacing w:after="0" w:line="261" w:lineRule="auto"/>
        <w:tabs>
          <w:tab w:leader="none" w:pos="16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Connected Vehicles: Connected vehicles support our ability to reduce emissions through a steadfast focus on fleet maintenance and optimization.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20" w:hanging="316"/>
        <w:spacing w:after="0" w:line="254" w:lineRule="auto"/>
        <w:tabs>
          <w:tab w:leader="none" w:pos="16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Fleet Efficiency: We offer our customers the opportunity to choose from a wide variety of vehicles, including hybrids, electric or fuel efficient vehicles at almost all of our locations. Our fleet consists primarily of vehicles from the current and immediately preceding model year - this ensures the highest possible standards of air emissions control. Our hybrid fleet is one of the largest in our industry with approximately 21,000 hybrid vehicles globally.</w:t>
      </w:r>
    </w:p>
    <w:p>
      <w:pPr>
        <w:spacing w:after="0" w:line="2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most recent Corporate Social Responsibility Report (“CSR”) is available on the Company’s website. The information contained on the Company’s website is not included in, or incorporated by reference into, this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HUMAN CAPITAL RESOURCES AND MANAGEMENT</w:t>
      </w:r>
    </w:p>
    <w:p>
      <w:pPr>
        <w:spacing w:after="0" w:line="274"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of December 31, 2020, we employed approximately 20,000 people worldwide, of whom approximately 5,000 were employed on a part-time basis. Of our approximately 20,000 employees, approximately 8,300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34"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We strive to maintain satisfactory relationships with all of our employees, including the unions and work councils representing these employees. As of December 31, 2020, approximately 21% of our employees were covered by collective bargaining or similar agreements with various labor unions. We believe our employee relations are satisfactory. We have never experienced a large-scale work stoppage.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 We continuously review and, when necessary, update our programs to ensure they remain flexible, competitive, and aligned to what is important for our employees and their families.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Gender Pay Equity</w:t>
      </w:r>
    </w:p>
    <w:p>
      <w:pPr>
        <w:spacing w:after="0" w:line="270"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To ensure we are compensating both men and women employees fairly and equitably, we transitioned to a global Center of Excellence total rewards function five years ago with the aim to standardize and harmonize our rewards programs across all countries. As a result, we have established pay programs that provide for equal incentive pay opportunity for all employees in same or similar positions across the globe.</w:t>
      </w:r>
    </w:p>
    <w:p>
      <w:pPr>
        <w:ind w:right="80"/>
        <w:spacing w:after="0" w:line="253" w:lineRule="auto"/>
        <w:rPr>
          <w:sz w:val="20"/>
          <w:szCs w:val="20"/>
          <w:color w:val="auto"/>
        </w:rPr>
      </w:pPr>
      <w:r>
        <w:rPr>
          <w:rFonts w:ascii="Arial" w:cs="Arial" w:eastAsia="Arial" w:hAnsi="Arial"/>
          <w:sz w:val="18"/>
          <w:szCs w:val="18"/>
          <w:color w:val="auto"/>
        </w:rPr>
        <w:t>Additionally, we utilize global guidelines and standards to inform compensation decisions for all new hires and promotions. To monitor our performance for our management employees, we evaluate base salary placement relative to our internal salary ranges for men and women. For our hourly field workforce (non-management employees), we maintain pay equity through our standardized compensation practices in which all employees begin at the same start rate, based on their location and position, and annual pay increases are applied consistently to all employees based on tenure.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and Development</w:t>
      </w: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talent strategy is solidly rooted in attracting and retaining a diverse workforce. We run numerous recruitment programs that aim to give back to our local communities. Our Talent Acquisition teams have strong relationships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with organizations that help us reach a diverse pool of candidates including LGBTQ+ and those with physical or mental disabilities. We believe that our employees possess a wealth of knowledge that could and should be shared with others. We have a wealth of established learning and talent programs that we make available to our employees and in 2019 we launched a bespoke digital learning platform that has transformed the way we produce, manage and share learning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7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embrace diversity and inclusion. We value each employee around the world, whose talent, skill and personality have helped establish us as a leading global mobility provider. We believe that embracing and promoting diversity is a critical component of our success and we have committed to creating a safe, supportive and inclusive environment. As an equal-opportunity employer, we are proud to provide an inclusive workplace that embraces and celebrates demographic, cultural and lifestyle differences. We strive to have a diverse and inclusive work environment where co-workers feel valued for their uniqueness, recognized for their diverse talents, and where they can bring their whole selves to work. We have created employee resource groups (“ERGs”), company-sponsored group comprised of employees from diverse backgrounds that advocate equality, opportunities for advancement, and facilitate discussion around best practices and resources to more targeted cultural and racial understanding and diversity. These ERGs provide a space where employees can foster connections and develop in a supportive environment. As of the end of 2020, we had three ERGs : Power of WOMEN; Power of Veterans; and Power of COLOR.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7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 We currently collect incident rates to track safety performance for our United States operations, which represents our largest employee population. In addition to numerous proactive actions taken to ensure employee safety, our focus is also evident in our response to the COVID-19 pandemic, including the launch of the Avis Safety Pledge and the Budget Worry-Free Promise to help provide a safe and convenient rental experience by enhancing our cleaning protocols. We contracted with a council of medical professionals to provide feedback and consultation on our safety protocols and practices. In addition, we partnered with an organization that creates innovative behavioral based training to ensure our staff is properly skilled and educated on safety related to the pandemic. In response to COVID-19, we have also added work-from-home flexibility for employees who can work remotely; implemented temperature screening of employees at the majority of our locations in the United States; established new physical distancing procedures; provided additional personal protective equipment and cleaning supplies; modified certain work spaces with plexiglass dividers; implemented protocols to address actual and suspected COVID-19 cases and potential exposure; and required masks to be worn in all locations where allowed by local law. We will continue to provide our staff with hand sanitizer, gloves and masks and conduct daily health self-assessments before shifts where we are permitted to do so. We will continue to offer an enhanced sick leave policy and offer employees COVID-19 testing free of charge.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w:t>
      </w:r>
    </w:p>
    <w:p>
      <w:pPr>
        <w:spacing w:after="0" w:line="2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take a holistic approach to well- being. We understand that to deliver our best performance, our employees need to be healthy and happy in all areas of their lives. Our Live Well program focuses on helping our people achieve all aspects of well-being through habits and activities that promote physical, financial and emotional well-being.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and local ownership or investment requirements. Additional information about the regulations that we are subject to can be found in Item 1A. “Risk Factors” in this Annual Report on Form 10-K.</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principal executive office is located at 6 Sylvan Way, Parsippany, New Jersey 07054 (our telephone number is 973-496-4700). The Company files electronically with the Securities and Exchange Commission (the “SEC”) required reports on Form 8-K, Form 10-Q, Form 10-K and Form 11-K;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4057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1A. RISK FACTORS</w:t>
      </w:r>
    </w:p>
    <w:p>
      <w:pPr>
        <w:spacing w:after="0" w:line="37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234" w:lineRule="exact"/>
        <w:rPr>
          <w:sz w:val="20"/>
          <w:szCs w:val="20"/>
          <w:color w:val="auto"/>
        </w:rPr>
      </w:pPr>
    </w:p>
    <w:p>
      <w:pPr>
        <w:ind w:right="40"/>
        <w:spacing w:after="0" w:line="213" w:lineRule="auto"/>
        <w:rPr>
          <w:sz w:val="20"/>
          <w:szCs w:val="20"/>
          <w:color w:val="auto"/>
        </w:rPr>
      </w:pPr>
      <w:r>
        <w:rPr>
          <w:rFonts w:ascii="Arial" w:cs="Arial" w:eastAsia="Arial" w:hAnsi="Arial"/>
          <w:sz w:val="18"/>
          <w:szCs w:val="18"/>
          <w:color w:val="auto"/>
        </w:rPr>
        <w:t>The COVID-19 pandemic has significantly affected our business and is expected to continue to materially affect our business, financial condition, results of operations and/or cash flows for an extended period. Governmental authorities have taken and continue to take measures to address the outbreak, including restrictions on travel and other orders, including partial shelter-in-place orders. The pandemic is a highly fluid and rapidly evolving situation and we cannot anticipate with any certainty the length, scope or severity of such restrictions in each of the jurisdictions that we operate.</w:t>
      </w:r>
    </w:p>
    <w:p>
      <w:pPr>
        <w:spacing w:after="0" w:line="202" w:lineRule="exact"/>
        <w:rPr>
          <w:sz w:val="20"/>
          <w:szCs w:val="20"/>
          <w:color w:val="auto"/>
        </w:rPr>
      </w:pPr>
    </w:p>
    <w:p>
      <w:pPr>
        <w:ind w:right="260"/>
        <w:spacing w:after="0" w:line="213" w:lineRule="auto"/>
        <w:rPr>
          <w:sz w:val="20"/>
          <w:szCs w:val="20"/>
          <w:color w:val="auto"/>
        </w:rPr>
      </w:pPr>
      <w:r>
        <w:rPr>
          <w:rFonts w:ascii="Arial" w:cs="Arial" w:eastAsia="Arial" w:hAnsi="Arial"/>
          <w:sz w:val="18"/>
          <w:szCs w:val="18"/>
          <w:color w:val="auto"/>
        </w:rPr>
        <w:t>The full impact that COVID-19 will have on our business cannot be predicted at this time due to numerous uncertainties, including the duration and severity of the outbreak, future mutations in the virus that causes COVID-19, increases or spikes in the number of cases, the availability of vaccines and effectiveness of actions taken to contain the disease, the length of time it takes for rental volume and pricing to return and normal economic and operating conditions to resume, and other factors. This impact could include, but is not limited to, those discussed below:</w:t>
      </w:r>
    </w:p>
    <w:p>
      <w:pPr>
        <w:spacing w:after="0" w:line="202" w:lineRule="exact"/>
        <w:rPr>
          <w:sz w:val="20"/>
          <w:szCs w:val="20"/>
          <w:color w:val="auto"/>
        </w:rPr>
      </w:pPr>
    </w:p>
    <w:p>
      <w:pPr>
        <w:ind w:left="660" w:right="20" w:hanging="328"/>
        <w:spacing w:after="0" w:line="21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revenues and customer demand: Our revenues and profitability were materially impacted during 2020 compared to prior years, and we expect they will continue to be adversely affected. Although we believe that renting a vehicle will continue to be a safe, clean and attractive transport alternative, we cannot predict whether and when volumes will increase to historical levels. As we typically generate approximately 64% of our revenues from on-airport locations, our business is highly dependent on travel and both commercial demand and leisure demand. In addition, our truck rental business is affected by the housing, light commercial and consumer sectors, all of which have been adversely impacted by the COVID-19 pandemic, and we cannot predict the pace of recovery in those sectors.</w:t>
      </w:r>
    </w:p>
    <w:p>
      <w:pPr>
        <w:spacing w:after="0" w:line="203" w:lineRule="exact"/>
        <w:rPr>
          <w:rFonts w:ascii="Arial" w:cs="Arial" w:eastAsia="Arial" w:hAnsi="Arial"/>
          <w:sz w:val="18"/>
          <w:szCs w:val="18"/>
          <w:color w:val="auto"/>
        </w:rPr>
      </w:pPr>
    </w:p>
    <w:p>
      <w:pPr>
        <w:ind w:left="660" w:hanging="328"/>
        <w:spacing w:after="0" w:line="20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expenses: To date we have incurred, and expect to continue to incur, certain increased costs related to COVID-19, such as procurement of overflow parking for our idle vehicles and costs associated with sanitizing our vehicles and facilities. In April 2020, we experienced a fire at an overflow parking lot near Southwest Florida International Airport. As a result, we lost vehicles with an estimated carrying value of approximately $50 million. We could experience similar casualty losses in other overflow parking lots. In addition, the industry may become subject to enhanced health and hygiene requirements in attempts to address future outbreaks, which may increase our costs and take a significant amount of time to implement across our global operations. These additional costs may be required by regulators or expected by consumers even after the effects of COVID-19 subside. In response to the COVID-19 outbreak, we aimed to right-size our business for vehicle rental demand by reducing operating costs, in some cases by working with suppliers, landlords and other stakeholders. There can be no guarantee that our costs reduction efforts will be successful as the pandemic continues.</w:t>
      </w:r>
    </w:p>
    <w:p>
      <w:pPr>
        <w:spacing w:after="0" w:line="204" w:lineRule="exact"/>
        <w:rPr>
          <w:rFonts w:ascii="Arial" w:cs="Arial" w:eastAsia="Arial" w:hAnsi="Arial"/>
          <w:sz w:val="18"/>
          <w:szCs w:val="18"/>
          <w:color w:val="auto"/>
        </w:rPr>
      </w:pPr>
    </w:p>
    <w:p>
      <w:pPr>
        <w:ind w:left="660" w:right="20" w:hanging="328"/>
        <w:spacing w:after="0" w:line="21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workforce: The COVID-19 outbreak has caused us to reduce and furlough employees as we seek to keep our costs in line with demand. These actions could create risks, including but not limited to, our ability to manage the size of our workforce given uncertain future demand. Further, we may incur additional costs as a result of negotiations with labor unions that represent our employees or severance payments in the event our workforce is further reduced, and we could experience labor disputes or disruptions as we continue to implement our mitigation plans.</w:t>
      </w:r>
    </w:p>
    <w:p>
      <w:pPr>
        <w:spacing w:after="0" w:line="202" w:lineRule="exact"/>
        <w:rPr>
          <w:rFonts w:ascii="Arial" w:cs="Arial" w:eastAsia="Arial" w:hAnsi="Arial"/>
          <w:sz w:val="18"/>
          <w:szCs w:val="18"/>
          <w:color w:val="auto"/>
        </w:rPr>
      </w:pPr>
    </w:p>
    <w:p>
      <w:pPr>
        <w:jc w:val="both"/>
        <w:ind w:left="660" w:right="40" w:hanging="328"/>
        <w:spacing w:after="0" w:line="21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vehicle manufacturers and other suppliers: We have, and could face disruptions in the supply of vehicles from vehicle manufacturers or supply chain, whether due to outbreaks of COVID-19 at their manufacturing facilities, measures they take in response to COVID-19 or otherwise. We have faced, and may face additional, delays in receiving delivery of vehicles or other supplies that may make it difficult to meet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660" w:right="20" w:hanging="328"/>
        <w:spacing w:after="0" w:line="21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used car market: We depend on the used car market to sell vehicles and enable us to refresh our fleet. The used car market has faced and may again experience lower demand due to shutdowns of sales channels, other restrictions and the slowdown in overall global economic activity due to COVID-19, unemployment rates, depressed consumer demand and related factors.</w:t>
      </w:r>
    </w:p>
    <w:p>
      <w:pPr>
        <w:spacing w:after="0" w:line="202" w:lineRule="exact"/>
        <w:rPr>
          <w:rFonts w:ascii="Arial" w:cs="Arial" w:eastAsia="Arial" w:hAnsi="Arial"/>
          <w:sz w:val="18"/>
          <w:szCs w:val="18"/>
          <w:color w:val="auto"/>
        </w:rPr>
      </w:pPr>
    </w:p>
    <w:p>
      <w:pPr>
        <w:ind w:left="660" w:hanging="328"/>
        <w:spacing w:after="0" w:line="21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indebtedness and the adequacy of our cash flow and earnings and other conditions may affect our liquidity: We have taken a number of actions as a result of COVID-19 that have increased our long-term debt. As we manage through the effects of the pandemic, our level of indebtedness may further increase. In addition, we obtained covenant relief under the credit agreement governing our senior credit facilities through June 30, 2021. A default under our senior credit facilities would enable our lenders to terminate their commitments thereunder and could trigger a cross-default, acceleration or other consequences under our other indebtedness or financial instruments. There is no guarantee that debt financings will be available in the future to fund our obligations or will be available on terms consistent with our expectations.</w:t>
      </w:r>
    </w:p>
    <w:p>
      <w:pPr>
        <w:spacing w:after="0" w:line="203" w:lineRule="exact"/>
        <w:rPr>
          <w:rFonts w:ascii="Arial" w:cs="Arial" w:eastAsia="Arial" w:hAnsi="Arial"/>
          <w:sz w:val="18"/>
          <w:szCs w:val="18"/>
          <w:color w:val="auto"/>
        </w:rPr>
      </w:pPr>
    </w:p>
    <w:p>
      <w:pPr>
        <w:ind w:left="660" w:right="20" w:hanging="328"/>
        <w:spacing w:after="0" w:line="21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sentiment and discretionary spending patterns: To date there have been significant increases in unemployment in the United States and other regions due to the adoption of social distancing and other policies to slow the spread of the virus, which are likely to continue to have a significant negative impact on consumer discretionary spending, including in the mobility industry and the travel industry, which we serve. Even when economic and operating conditions for our business improve, we cannot predict the long-term effects of the pandemic on our business or the mobility industry.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THE BROADER ECONOMY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mobility industry is highly competitive, with price being one of the primary competitive factors. To the extent that our competitors reduce their pricing and we do not provide competitive pricing, or if price increases we implement make us less competitive, we risk losing rental volume from existing customers, and reducing the chances of success for future bids for new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pricing in the vehicle rental industry is impacted by the size of rental fleets and the supply of vehicles available for rent. Any significant fluctuations in the supply of rental vehicles available in the market due to an unexpected decrease in demand, or actions taken by our competitors that increases fleet significantly above market demand, could negatively affect our pricing, operating plans or results of operations.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or fleet management services, more effectively utilize mobile platforms,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spacing w:after="0" w:line="2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 and availability.</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2020, on average approximately 76% of our rental fleet was comprised of risk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on-line auctions, direct-to-dealer sales and directly to consumers through either retail lots or our Ultimate Test Drive on-line consumer car sales program. These 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ultimate sale of such vehicles or require us to depreciate those vehicles at a more accelerated rate than previously anticipated while we own them.</w:t>
      </w:r>
    </w:p>
    <w:p>
      <w:pPr>
        <w:spacing w:after="0" w:line="23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due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Program and leased vehicles enable us to determine our depreciation expense in advance of purchase. Our program and leased vehicles also generally provide us with flexibility to reduce the size of our fleet rapidly. This flexibility is affected as the percentage of program vehicles in our fleet is reduced,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3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and therefore subject to a “true-up” payment obligation from the manufacturer; or (ii) returned to the manufacturer, but for which we were not yet paid, and therefore we could incur a substantial loss as a result of such failure to perform.</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increases the cost of vehicles or declines to sell vehicles to us on terms or at prices consistent with past practice. Should any of these risks occur, we may be unable to obtain a sufficient number of vehicles to operate our business without significantly increasing our fleet costs or reducing our volumes.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vehicles may be subject to safety recalls by their manufacturers, which could have an adverse impact on our business when we remove recalled vehicles from our rentable fleet. We cannot control nor predict the number of vehicles that will be subject to manufacturer recalls in the future. Recalls often require us to retrieve vehicles from customers and/or hold vehicles until we can arrange for the repairs described in the recalls to be completed. As such, recalls can increase our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could also face liability claims related to vehicles subject to a safety recall. Depending on the nature and severity of the recall, it could create customer service problems, reduce the residual value of the vehicles involved, harm our general reputation and/or have an adverse impact on our financial condition or results of operations.</w:t>
      </w:r>
    </w:p>
    <w:p>
      <w:pPr>
        <w:spacing w:after="0" w:line="21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Weakness in travel demand or general economic conditions, or a significant increase in fuel costs, can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When travel demand or economic conditions in the United States, Europe and/or worldwide weakens, our financial condition and results of operations are often adversely impacted.</w:t>
      </w:r>
    </w:p>
    <w:p>
      <w:pPr>
        <w:spacing w:after="0" w:line="22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In addition, any significant increases in fuel prices, a severe protracted disruption in fuel supplies or rationing of fuel could discourage our customers from renting vehicles or reduce or disrupt air travel, which could also adversely impact our results of operations.</w:t>
      </w:r>
    </w:p>
    <w:p>
      <w:pPr>
        <w:spacing w:after="0" w:line="21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 For example, our operations in the United Kingdom include a significant amount of cross-border business that could be negatively impacted by the United Kingdom’s exit from the European Union. Given the lack of comparable precedent, it is unclear what financial, trade and legal implications the withdrawal of the United Kingdom from the European Union will have and how such withdrawal will affect our operations. Such withdrawal could lead to volatility in the global financial markets, adversely affect tax, legal and regulatory regimes and could impact the economies of the United Kingdom and other countries in which we operate, which could have a material adverse effect on our results in such countries. Operating our business in a number of different regions and countries exposes us to a number of other risks, including:</w:t>
      </w:r>
    </w:p>
    <w:p>
      <w:pPr>
        <w:spacing w:after="0" w:line="23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that are subject to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tax regimes, including consequences from changes in applicable tax laws;</w:t>
      </w:r>
    </w:p>
    <w:p>
      <w:pPr>
        <w:spacing w:after="0" w:line="252"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5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trade disruptions or disputes, including in connection with the ongoing trade negotiations between the United States and China;</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52"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political, economic and commercial instability, which in turn could impact the amount of royalty payments they make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NATURE OF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brands may negatively impact our business.</w:t>
      </w:r>
    </w:p>
    <w:p>
      <w:pPr>
        <w:spacing w:after="0" w:line="23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spacing w:after="0" w:line="217"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Any failure to adapt to changes in the mobility industry, provide a high-quality rental experience for our customers and members, adopt new technologies, capitalize on cost saving initiatives or meet customer needs could substantially harm our reputation and competitiveness and could adversely impact our financial condition or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52" w:lineRule="exact"/>
        <w:rPr>
          <w:sz w:val="20"/>
          <w:szCs w:val="20"/>
          <w:color w:val="auto"/>
        </w:rPr>
      </w:pPr>
    </w:p>
    <w:p>
      <w:pPr>
        <w:ind w:left="660" w:right="84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224"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distribution systems (“GDS”), such as Amadeus, Galileo/Apollo, Sabre and Worldspan, that connect travel agents, travel service providers and corporations to our reservation systems.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 particularly if our customers are unable to access our reservation systems through alternate channels.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7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lease or have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to the increased level of summer leisure travel and household moving activity.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1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spacing w:after="0" w:line="23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inconsistencies between our standards, procedures and policies and those of an acquired business, partnership and/or joint venture;</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52"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224"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224"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224"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or derived from a strategic transaction and could adversely impact our financial condition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Vehicle electrification refers to a range of technologies that uses electricity to propel a vehicle and includes hybrid, plug-in, extended 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to reduce fuel consumption and greenhouse gas emissions, as mandated by various governmental standards and regulations. If we are not adequately prepared to meet consumer demand for electric, hybrid and autonomous vehicles as such demand develops, our financial condition or results of operations could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employment-related claims by our employees. We may become exposed to uninsured liability at levels in excess of our historical levels. In addition, liabilities related to existing or future claims may exceed the level of our reserves and/or our insurance, which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were not adequately insured, our results of operations, financial position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in the jurisdictions in which our insurance company subsidiaries are domiciled. Any changes in regulations that alter or impede our reinsurance obligations or insurance subsidiary operations could adversely impact the economic benefits that we rely upon to support our reinsurance efforts, which in turn would adversely impact our financial condition or results of operations.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liability insurance, personal accident insurance and personal effects protection, are regulated under state laws governing such products. Our vehicle rental operations outside the United States must also comply with certain local laws and regulations regarding the sale of supplemental liability and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at the time of rental that damage to the rented vehicle may be covered to some extent by the customer’s personal automobile insurance and that loss damage waivers may not be necessary. In addition,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3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Additionally, current U.S. federal law pre-empts state laws that impute tort liability based solely on ownership of a vehicle involved in an accident. If such federal law were to change, our insurance liability exposure could materially increase.</w:t>
      </w:r>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U.S. dollars at the applicable currency exchange rate for inclusion in our Consolidated Financial Statements. Changes in exchange rates among these currencies and the U.S. dollar will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gasoline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22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or claims based on allegations of discrimination, misclassification as exempt employees under the Fair Labor Standards Act, wage and hour pay disputes, COVID-19 complaints and various other claims. We could be subject to substantial costs and/or adverse outcomes from such complaints or litigation, which could have a material adverse effect on our financial condition, cash flows or results of operations.</w:t>
      </w:r>
    </w:p>
    <w:p>
      <w:pPr>
        <w:spacing w:after="0" w:line="23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At some of our locations, we outsource to third party independent contractors who operate the business as a separate entity. The independent contractors are paid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From time to time, our Company may be reviewed or investigated by government regulators, which could lead to tax assessments, enforcement actions, fines and penalties or the assertion of private litigation claims. It is not possible to predict with certainty the outcome of claims, investigations and lawsuits, and we could in the future incur judgments, taxes, fines or penalties or enter into settlements of lawsuits or claims that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3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 recognition of the contribution that our various operations located in different countries provide to the global network, we implemented a new transfer pricing policy. We are seeking Advanced Pricing Agreements with certain tax authorities to obtain certainty regarding our new transfer pricing policy but our efforts have been delayed due to COVID-19. While this effort is ongoing, the process of negotiating and ultimately entering into these agreements may take several years. The ultimate results of our negotiations of these agreements with tax authorities, the expiration of such agreements, or changes in circumstances or in the interpretation of such agreements could increase our tax costs in these jurisdictions. Many countries routinely examine transfer pricing policies of taxpayers subject to their jurisdiction, challenge transfer pricing practices aggressively where there is potential non-compliance and impose significant interest charges and penalties where non-compliance is determined. To the extent we do not have an existing Advance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Environmental regulatory authorities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7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locations. Should our operations become subject to new laws or regulations that negatively impact our ability to engage in licensing activities, our financial condition or results of operations could be adversely impacted.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tax reform.</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Tax Cuts and Jobs Act (the “Tax Act”) eliminated the use of like-kind exchange for personal property and also included a provision allowing for full expensing of qualified property purchases through the year 2022. Since 2004, we have utilized a like-kind exchange program whereby we replace vehicles in a manner that allows tax gains on vehicles sold in the U.S. to be deferred, resulting in a material deferral of U.S. federal and state income taxes. While the Tax Act repealed like-kind exchange treatment for vehicle sales, the effect of the repeal will be largely offset through 2022 by the full expensing provision of certain business assets in the year placed in service, which we believe includes our vehicles. However, the downsizing of our fleet in 2020 resulted in significant taxable gains and has significantly decreased the amount of tax deductions available under the full expensing provision. This has resulted in the utilization of tax attributes and increased federal and state income tax liabilities that could require us to make material cash payments. Furthermore, a downsizing or reduction in purchases would also likely occur if, and to the extent, we are unable to obtain financing when our asset-backed rental vehicle financings mature, or in connection with another significant decrease in demand for vehicle rentals. The full expensing provision phases out at the end of year 2022 and we are not certain if this provision will be extended. Certain U.S. states have modified their tax statutes as a result of the Tax Act, and such state legislation negates the full expensing benefits granted under the Tax Act, which negatively impacts our tax liability in such states. Other U.S. states continue to modify their tax statutes related to full expensing. Therefore, we cannot offer assurance that the benefits from the expected tax deductions will continue.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current and future debt obligations.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the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affect our ability to generate revenue. Certain of our debt obligations contain restrictive covenants and provisions applicable to us and our subsidiaries that limit our ability to, among other things:</w:t>
      </w:r>
    </w:p>
    <w:p>
      <w:pPr>
        <w:spacing w:after="0" w:line="225" w:lineRule="exact"/>
        <w:rPr>
          <w:sz w:val="20"/>
          <w:szCs w:val="20"/>
          <w:color w:val="auto"/>
        </w:rPr>
      </w:pPr>
    </w:p>
    <w:p>
      <w:pPr>
        <w:ind w:left="660" w:right="2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 to fund working capital, capital expenditures, debt service requirements, execution of our business strategy or acquisitions and other purposes;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guarantees in respect of obligations of other persons;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redeem or repurchase capital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distributions from our subsidiaries;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 and</w:t>
      </w:r>
    </w:p>
    <w:p>
      <w:pPr>
        <w:spacing w:after="0" w:line="252"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adverse changes in general economic, industry and competitive conditions, as well as changes in government regulation and changes to our business.</w:t>
      </w:r>
    </w:p>
    <w:p>
      <w:pPr>
        <w:spacing w:after="0" w:line="22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Our failure to comply with the restrictive covenants contained in the agreements or instruments that govern our debt obligations, if not waived, would cause a default under the applicable debt agreement and could result in a cross-default under several of our other debt obligations, including our U.S. and European asset-backed debt facilities. If such a default were to occur, certain provisions in our various debt agreements could require that we repay or accelerate debt payments to the lenders or holders of our debt, and there can be no assurance that we would be able to refinance or obtain a replacement for such financing programs.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movements or disruptions in the credit and asset-backed securities markets.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engage in new financings or refinance our existing financings. In addition, we could be subject to increased collateral requirements to the extent that we request any amendment or renewal of any of our existing asset-backed or debt financings.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potential increases in interest rates.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were to increase, whether due to an increase in market interest rates or an increase in our own cost of borrowing, our debt service obligations for our variable rate indebtedness would increase even though the amount of borrowings remained the same, and our results of operations could be adversely affected. As of December 31, 2020, our total outstanding debt of approximately $11.1 billion included unhedged interest rate sensitive debt of approximately $1.9 billion. During our seasonal borrowing peak in 2020, outstanding unhedged interest rate sensitive debt totaled approximately $5.5 billion.</w:t>
      </w:r>
    </w:p>
    <w:p>
      <w:pPr>
        <w:spacing w:after="0" w:line="23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MATTERS, DATA SECURITY AND PRIVACY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we have been subject to, and from time to time in the future may be subject to,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have centralized our information systems and we rely on third-party communications service and system providers for technology services and link our systems with the business locations these systems were designed to serve. We have been subjected to, and from time to time in the future may be subject to, a failure or interruption that results in the unavailability of certain of our information systems. Such a failure or interruption, or a major disruption of communications between a system and the locations it serves,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from network failures, power outages, cyber attacks, employee errors,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 as a disruption could be experienced in any of our information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Threats to network and data security are becoming increasingly diverse and sophisticated. As cybersecurity threats become more frequent, intense and sophisticated, costs of proactive defense measures may increase. Third parties may have the technology or expertise to breach the security of our customer transaction data and our security measures may not prevent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 -party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w:t>
      </w:r>
    </w:p>
    <w:p>
      <w:pPr>
        <w:spacing w:after="0" w:line="23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anyone who is able to circumvent our security measures, or those of our third-party service providers,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Current privacy and data protection laws, particularly the European Union’s General Data Protection Regulation and the equivalent in the United Kingdom (collectively, the “GDPR”), California Consumer Privacy Act including modifications by the California Privacy Rights Act (collectively, the “CCPA”), and other regulations in the jurisdictions in which we operate impose obligations and restrictions regarding the types of information that we may collect, process, sell and retain about our customers, employees and other individuals with whom we deal or propose to deal, some of which may be non-public personal data. The GDPR and CCPA, are each wide-ranging in scope, providing individuals located in the European Union and the United Kingdom, and California residents, respectively, greater control over their personal data. These laws impose several requirements relating to rights of the individuals to whom the personal data relates, the information provided to the individuals, the security and confidentiality of the personal data, data breach notification, the use of third-party processors in connection with the processing of personal data, and the transfer or sale of personal data, and measures we must take to demonstrate compliance. The GDPR and CCPA also impose significant forfeitures and penalties for noncompliance and afford private rights of action to individuals under certain circumstances. The Company has adopted policies and procedures in compliance with the GDPR and CCPA, which may need to be updated as additional information concerning best practices are made available through guidance from regulatory authorities or published enforcement decisions. Privacy laws in the countries where we operate are developing at a rapid pace and may be interpreted and applied inconsistently from country to country, or from state to state in the U.S., and impose inconsistent or conflicting requirements. Complying with varying jurisdictional privacy requirements could increase our operating costs, divert management attention or require additional changes to our business practices. Should we be found to not be in compliance with the GDPR, CCPA or similar privacy and data protection laws, we could be subject to substantial monetary forfeitures, government consent decrees, regulatory enforcement actions, and other penalties that could negatively impact our operating results or harm our reputation.</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centralized nature of our information systems combined with the global nature of our business requires the routine flow of information about employees, customers and potential customers across national borders, particularly in the United States, the United Kingdom and Europe. Should this flow of information become illegal or subject us to onerous requirements or restrictions, our ability to serve our customers and efficiently manage our employees and operations could be negatively impacted for an extended period of time. In addition,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security standards could result in substantial increased fees to credit card companies, other liabilities and/or loss of the right to collect credit card payments, which could adversely impact our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occur, it could cause our stock price to fall and may expose us to litigation, including class action lawsuits that, even if unsuccessful, could be costly to defend and a distraction to management.</w:t>
      </w:r>
    </w:p>
    <w:p>
      <w:pPr>
        <w:spacing w:after="0" w:line="2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acquisition of control. However, these provisions could apply even if an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057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1B. UNRESOLVED STAFF COMMENTS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PROPERTIES</w:t>
      </w:r>
    </w:p>
    <w:p>
      <w:pPr>
        <w:spacing w:after="0" w:line="396" w:lineRule="exact"/>
        <w:rPr>
          <w:sz w:val="20"/>
          <w:szCs w:val="20"/>
          <w:color w:val="auto"/>
        </w:rPr>
      </w:pPr>
    </w:p>
    <w:p>
      <w:pPr>
        <w:jc w:val="both"/>
        <w:ind w:right="280"/>
        <w:spacing w:after="0" w:line="265" w:lineRule="auto"/>
        <w:rPr>
          <w:sz w:val="20"/>
          <w:szCs w:val="20"/>
          <w:color w:val="auto"/>
        </w:rPr>
      </w:pPr>
      <w:r>
        <w:rPr>
          <w:rFonts w:ascii="Arial" w:cs="Arial" w:eastAsia="Arial" w:hAnsi="Arial"/>
          <w:sz w:val="17"/>
          <w:szCs w:val="17"/>
          <w:color w:val="auto"/>
        </w:rPr>
        <w:t>Our principal executive offices are located at 6 Sylvan Way, Parsippany, New Jersey 07054 pursuant to a lease agreement that expires in 2023. We own a facility in Virginia Beach, Virginia, which serves as a satellite administrative facility for our car and truck rental operations. We also lease office space in Tulsa, Oklahoma, and Boston, Massachusetts, pursuant to leases expiring in 2025 and 2023, respectively.</w:t>
      </w:r>
    </w:p>
    <w:p>
      <w:pPr>
        <w:ind w:right="280"/>
        <w:spacing w:after="0" w:line="254" w:lineRule="auto"/>
        <w:rPr>
          <w:sz w:val="20"/>
          <w:szCs w:val="20"/>
          <w:color w:val="auto"/>
        </w:rPr>
      </w:pPr>
      <w:r>
        <w:rPr>
          <w:rFonts w:ascii="Arial" w:cs="Arial" w:eastAsia="Arial" w:hAnsi="Arial"/>
          <w:sz w:val="18"/>
          <w:szCs w:val="18"/>
          <w:color w:val="auto"/>
        </w:rPr>
        <w:t>These locations primarily provide operational and administrative services or contact center operations for our Americas segment. We also lease office space in Bracknell, England, Barcelona, Spain and Budapest, Hungary, pursuant to leases expiring in 2027, 2024 and 2021,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2% of the locations from which we operate and in some cases we sublease to franchisees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to our Consolidated Financial Statements for information regarding lease commitments.</w:t>
      </w:r>
    </w:p>
    <w:p>
      <w:pPr>
        <w:spacing w:after="0" w:line="23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4057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legal proceedings, see Note 15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05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057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86"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At January 31, 2021, the number of stockholders of record was 2,346.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neither declared nor paid any cash dividend on our common stock in 2020 or 2019, and we do not currently anticipate paying cash dividends on our common stock. However, 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the Board of Directors deems relevant.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SECURITIES AUTHORIZED FOR ISSUANCE UNDER EQUITY COMPENSATION PLANS</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2020.</w:t>
      </w: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Weighted-Average</w:t>
            </w:r>
          </w:p>
        </w:tc>
        <w:tc>
          <w:tcPr>
            <w:tcW w:w="22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Number of Securities</w:t>
            </w:r>
          </w:p>
        </w:tc>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gridSpan w:val="2"/>
            <w:vMerge w:val="restart"/>
          </w:tcPr>
          <w:p>
            <w:pPr>
              <w:jc w:val="center"/>
              <w:ind w:right="300"/>
              <w:spacing w:after="0" w:line="162" w:lineRule="exact"/>
              <w:rPr>
                <w:sz w:val="20"/>
                <w:szCs w:val="20"/>
                <w:color w:val="auto"/>
              </w:rPr>
            </w:pPr>
            <w:r>
              <w:rPr>
                <w:rFonts w:ascii="Arial" w:cs="Arial" w:eastAsia="Arial" w:hAnsi="Arial"/>
                <w:sz w:val="16"/>
                <w:szCs w:val="16"/>
                <w:b w:val="1"/>
                <w:bCs w:val="1"/>
                <w:color w:val="auto"/>
              </w:rPr>
              <w:t>Exercise Price of</w:t>
            </w: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to be Issued Upon Exercise</w:t>
            </w:r>
          </w:p>
        </w:tc>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gridSpan w:val="2"/>
            <w:vMerge w:val="restart"/>
          </w:tcPr>
          <w:p>
            <w:pPr>
              <w:jc w:val="center"/>
              <w:ind w:right="300"/>
              <w:spacing w:after="0" w:line="162" w:lineRule="exact"/>
              <w:rPr>
                <w:sz w:val="20"/>
                <w:szCs w:val="20"/>
                <w:color w:val="auto"/>
              </w:rPr>
            </w:pPr>
            <w:r>
              <w:rPr>
                <w:rFonts w:ascii="Arial" w:cs="Arial" w:eastAsia="Arial" w:hAnsi="Arial"/>
                <w:sz w:val="16"/>
                <w:szCs w:val="16"/>
                <w:b w:val="1"/>
                <w:bCs w:val="1"/>
                <w:color w:val="auto"/>
              </w:rPr>
              <w:t>Outstanding Options,</w:t>
            </w: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of Outstanding Options,</w:t>
            </w:r>
          </w:p>
        </w:tc>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gridSpan w:val="2"/>
            <w:vMerge w:val="restart"/>
          </w:tcPr>
          <w:p>
            <w:pPr>
              <w:jc w:val="center"/>
              <w:ind w:right="300"/>
              <w:spacing w:after="0" w:line="162" w:lineRule="exact"/>
              <w:rPr>
                <w:sz w:val="20"/>
                <w:szCs w:val="20"/>
                <w:color w:val="auto"/>
              </w:rPr>
            </w:pPr>
            <w:r>
              <w:rPr>
                <w:rFonts w:ascii="Arial" w:cs="Arial" w:eastAsia="Arial" w:hAnsi="Arial"/>
                <w:sz w:val="16"/>
                <w:szCs w:val="16"/>
                <w:b w:val="1"/>
                <w:bCs w:val="1"/>
                <w:color w:val="auto"/>
              </w:rPr>
              <w:t>Warrants and Rights</w:t>
            </w: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Warrants, Rights</w:t>
            </w:r>
          </w:p>
        </w:tc>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2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1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(Excludes Restricted</w:t>
            </w: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00" w:type="dxa"/>
            <w:vAlign w:val="bottom"/>
            <w:vMerge w:val="restart"/>
          </w:tcPr>
          <w:p>
            <w:pPr>
              <w:spacing w:after="0"/>
              <w:rPr>
                <w:sz w:val="14"/>
                <w:szCs w:val="14"/>
                <w:color w:val="auto"/>
              </w:rPr>
            </w:pPr>
          </w:p>
        </w:tc>
        <w:tc>
          <w:tcPr>
            <w:tcW w:w="2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and Restricted Stock Units</w:t>
            </w:r>
          </w:p>
        </w:tc>
        <w:tc>
          <w:tcPr>
            <w:tcW w:w="2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Reflected in First Column)</w:t>
            </w:r>
          </w:p>
        </w:tc>
        <w:tc>
          <w:tcPr>
            <w:tcW w:w="0" w:type="dxa"/>
            <w:vAlign w:val="bottom"/>
          </w:tcPr>
          <w:p>
            <w:pPr>
              <w:spacing w:after="0"/>
              <w:rPr>
                <w:sz w:val="1"/>
                <w:szCs w:val="1"/>
                <w:color w:val="auto"/>
              </w:rPr>
            </w:pPr>
          </w:p>
        </w:tc>
      </w:tr>
      <w:tr>
        <w:trPr>
          <w:trHeight w:val="148"/>
        </w:trPr>
        <w:tc>
          <w:tcPr>
            <w:tcW w:w="4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center"/>
              <w:ind w:right="176"/>
              <w:spacing w:after="0" w:line="148" w:lineRule="exact"/>
              <w:rPr>
                <w:sz w:val="20"/>
                <w:szCs w:val="20"/>
                <w:color w:val="auto"/>
              </w:rPr>
            </w:pPr>
            <w:r>
              <w:rPr>
                <w:rFonts w:ascii="Arial" w:cs="Arial" w:eastAsia="Arial" w:hAnsi="Arial"/>
                <w:sz w:val="16"/>
                <w:szCs w:val="16"/>
                <w:b w:val="1"/>
                <w:bCs w:val="1"/>
                <w:color w:val="auto"/>
              </w:rPr>
              <w:t>Stock Units) ($)</w:t>
            </w:r>
          </w:p>
        </w:tc>
        <w:tc>
          <w:tcPr>
            <w:tcW w:w="100" w:type="dxa"/>
            <w:vAlign w:val="bottom"/>
            <w:tcBorders>
              <w:bottom w:val="single" w:sz="8" w:color="CCEEFF"/>
            </w:tcBorders>
          </w:tcPr>
          <w:p>
            <w:pPr>
              <w:spacing w:after="0"/>
              <w:rPr>
                <w:sz w:val="12"/>
                <w:szCs w:val="12"/>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0" w:type="dxa"/>
            <w:vAlign w:val="bottom"/>
          </w:tcPr>
          <w:p>
            <w:pPr>
              <w:spacing w:after="0"/>
              <w:rPr>
                <w:sz w:val="1"/>
                <w:szCs w:val="1"/>
                <w:color w:val="auto"/>
              </w:rPr>
            </w:pPr>
          </w:p>
        </w:tc>
      </w:tr>
      <w:tr>
        <w:trPr>
          <w:trHeight w:val="182"/>
        </w:trPr>
        <w:tc>
          <w:tcPr>
            <w:tcW w:w="4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4,457,508</w:t>
            </w:r>
          </w:p>
        </w:tc>
        <w:tc>
          <w:tcPr>
            <w:tcW w:w="0" w:type="dxa"/>
            <w:vAlign w:val="bottom"/>
          </w:tcPr>
          <w:p>
            <w:pPr>
              <w:spacing w:after="0"/>
              <w:rPr>
                <w:sz w:val="1"/>
                <w:szCs w:val="1"/>
                <w:color w:val="auto"/>
              </w:rPr>
            </w:pPr>
          </w:p>
        </w:tc>
      </w:tr>
      <w:tr>
        <w:trPr>
          <w:trHeight w:val="188"/>
        </w:trPr>
        <w:tc>
          <w:tcPr>
            <w:tcW w:w="43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Equity compensation plans not approved by security</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holders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4,457,508</w:t>
            </w:r>
          </w:p>
        </w:tc>
        <w:tc>
          <w:tcPr>
            <w:tcW w:w="0" w:type="dxa"/>
            <w:vAlign w:val="bottom"/>
          </w:tcPr>
          <w:p>
            <w:pPr>
              <w:spacing w:after="0"/>
              <w:rPr>
                <w:sz w:val="1"/>
                <w:szCs w:val="1"/>
                <w:color w:val="auto"/>
              </w:rPr>
            </w:pPr>
          </w:p>
        </w:tc>
      </w:tr>
      <w:tr>
        <w:trPr>
          <w:trHeight w:val="296"/>
        </w:trPr>
        <w:tc>
          <w:tcPr>
            <w:tcW w:w="4260" w:type="dxa"/>
            <w:vAlign w:val="bottom"/>
          </w:tcPr>
          <w:p>
            <w:pPr>
              <w:spacing w:after="0"/>
              <w:rPr>
                <w:sz w:val="20"/>
                <w:szCs w:val="20"/>
                <w:color w:val="auto"/>
              </w:rPr>
            </w:pPr>
            <w:r>
              <w:rPr>
                <w:rFonts w:ascii="Arial" w:cs="Arial" w:eastAsia="Arial" w:hAnsi="Arial"/>
                <w:sz w:val="16"/>
                <w:szCs w:val="16"/>
                <w:color w:val="auto"/>
              </w:rPr>
              <w:t>__________</w:t>
            </w: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40" w:hanging="392"/>
        <w:spacing w:after="0" w:line="190" w:lineRule="auto"/>
        <w:tabs>
          <w:tab w:leader="none" w:pos="44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Includes awards granted under the Amended and Restated Equity and Incentive Plan, which plan was approved by stockholders.</w:t>
      </w:r>
    </w:p>
    <w:p>
      <w:pPr>
        <w:ind w:left="440" w:hanging="392"/>
        <w:spacing w:after="0" w:line="193" w:lineRule="auto"/>
        <w:tabs>
          <w:tab w:leader="none" w:pos="44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Represents 4,457,508 shares available for issuance under the Amended and Restated Equity and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62626"/>
        </w:rPr>
        <w:t>The Company’s Board of Directors has authorized the repurchase of up to approximately $1.8 billion of its common stock under a plan originally approved in 2013 and subsequently expanded, most recently in August 2019.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three months ended December 31, 2020, no common stock repurchases were made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peer group indices, the S&amp;P Midcap 400 Index, and the Dow Jones U.S. Transportation Average Index for the period of five fiscal years commencing December 31, 2015 and ending December 31, 2020. The broad equity market indices used by the Company are the S&amp;P Midcap 400 Index, which measures the performance of mid-sized companies, and the Dow Jones U.S. Transportation Average Index, which measures the performance of transportation companies. The graph and table depict the result of an investment on December 31, 2015 of $100 in the Company’s common stock, the S&amp;P Midcap 400 Index and the Dow Jones U.S. Transportation Average Index, including 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-4445</wp:posOffset>
            </wp:positionV>
            <wp:extent cx="5306060" cy="3806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06060" cy="380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9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0"/>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Avis Budget Group, Inc.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102.78</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S&amp;P Midcap 400 Index</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120.74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124.80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157.49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179.00</w:t>
            </w:r>
          </w:p>
        </w:tc>
      </w:tr>
      <w:tr>
        <w:trPr>
          <w:trHeight w:val="180"/>
        </w:trPr>
        <w:tc>
          <w:tcPr>
            <w:tcW w:w="29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Dow Jones U.S. Transportation Average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Index</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4057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40575"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60" w:right="2120" w:hanging="975"/>
        <w:spacing w:after="0" w:line="303"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9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057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9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Our brands offer a range of options, from car and truck rental to car sharing in North America, Europe, Australasia and certain other regions we serve, with an average rental fleet of approximately 533,000 vehicles. We also license the use of our trademarks to licensees in the areas in which we do not operate directly. We and our licensees operate our brands in approximately 180 countries throughout the world.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spread of the novel coronavirus (“COVID-19”) and the impact on travel demand and the global economy has had significant negative impacts on all aspects of our business. Significant events affecting travel have historically had an impact on vehicle rental volumes, with the full extent of the impact generally determined by the length of time the event influences travel decisions. COVID-19 and the resulting economic conditions have had, and we believe will continue to have, a significant negative impact on our operations and vehicle rental volumes and consequently our financial results, and such negative impact may continue well beyond the containment of this outbreak. In particular:</w:t>
      </w:r>
    </w:p>
    <w:p>
      <w:pPr>
        <w:spacing w:after="0" w:line="235" w:lineRule="exact"/>
        <w:rPr>
          <w:sz w:val="20"/>
          <w:szCs w:val="20"/>
          <w:color w:val="auto"/>
        </w:rPr>
      </w:pPr>
    </w:p>
    <w:p>
      <w:pPr>
        <w:ind w:left="660" w:right="2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Reservation volume was significantly behind the prior year on a comparable basis as a result of the effects of COVID-19, which impacted our peak summer season. We are not able to predict the impact that the COVID-19 pandemic may have on the seasonality of our business, particularly if the pandemic's effects increase.</w:t>
      </w:r>
    </w:p>
    <w:p>
      <w:pPr>
        <w:spacing w:after="0" w:line="228" w:lineRule="exact"/>
        <w:rPr>
          <w:rFonts w:ascii="Arial" w:cs="Arial" w:eastAsia="Arial" w:hAnsi="Arial"/>
          <w:sz w:val="18"/>
          <w:szCs w:val="18"/>
          <w:color w:val="auto"/>
        </w:rPr>
      </w:pPr>
    </w:p>
    <w:p>
      <w:pPr>
        <w:ind w:left="660" w:right="160" w:hanging="328"/>
        <w:spacing w:after="0" w:line="25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used vehicle market was significantly disrupted in the first half of the second quarter, impacting our ability to dispose of used vehicles as a result of COVID-19. Beginning in the second half of the second quarter and continuing throughout the third and fourth quarters, the used car market improved significantly. If there are further disruptions due to COVID-19, we may experience a reduction in residual values for risk vehicles in our fleet which could cause us to sustain a substantial loss on the ultimate sale of such vehicles or require us to depreciate those vehicles at a more accelerated rate than we have anticipated. If our ability to sell vehicles in the used vehicle market becomes severely limited again, we may have difficulty meeting collateral requirements due under our asset-backed financing facilities.</w:t>
      </w:r>
    </w:p>
    <w:p>
      <w:pPr>
        <w:spacing w:after="0" w:line="23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April 2020, Moody’s and S&amp;P Global (the “Rating Agencies”) downgraded our long-term corporate debt rating. If we were to experience a further downgrade, this could negatively impact our ability to respond to adverse changes in general economic, industry and competitive conditions, as well as changes in government regulation and changes to our business.</w:t>
      </w:r>
    </w:p>
    <w:p>
      <w:pPr>
        <w:spacing w:after="0" w:line="228" w:lineRule="exact"/>
        <w:rPr>
          <w:rFonts w:ascii="Arial" w:cs="Arial" w:eastAsia="Arial" w:hAnsi="Arial"/>
          <w:sz w:val="18"/>
          <w:szCs w:val="18"/>
          <w:color w:val="auto"/>
        </w:rPr>
      </w:pPr>
    </w:p>
    <w:p>
      <w:pPr>
        <w:ind w:left="660" w:right="60" w:hanging="328"/>
        <w:spacing w:after="0" w:line="273"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decreased rental volume, we parked our vehicles in overflow parking lots. In April 2020, we experienced a fire at an overflow parking lot near Southwest Florida International Airport. As a result, we have lost vehicles with an estimated carrying value of approximately $50 million. We realized a loss of approximately $10 million related to this incident, which has been treated as COVID-19 charges and excluded from Adjusted EBITDA. We could experience similar casualty losses in other overflow parking lots.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100" w:hanging="328"/>
        <w:spacing w:after="0" w:line="25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taken cost removal and mitigation actions by eliminating all non-essential capital and operating expenditures and we are continuing to negotiate with partners and suppliers for further reductions. Expenses for 2020 reflect the reduction or furlough of a large part of our global workforce, reduction of base compensation at the level of vice presidents and above, frozen merit increases, elimination of our 401(k) match for highly compensated employees, and cancellation of future hiring. We aggressively reduced the size of our global fleet beginning in March and ended December with 31% fewer units than the prior year. Our vehicle dispositions will occur through both traditional methods and by utilizing our alternative distribution strategy by selling directly to dealers and consumers. We also negotiated a significant number of new vehicle cancellations during 2020 to improve utilization and shrink the fleet size.</w:t>
      </w:r>
    </w:p>
    <w:p>
      <w:pPr>
        <w:spacing w:after="0" w:line="21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have never previously experienced such a decrease in demand, and as a result, our ability to be predictive regarding the impact of such a decrease is uncertain. In addition, the duration of the pandemic is uncertain. As a consequence, we cannot estimate the impact on our business, financial condition or financial forecast or operational results with reasonable certainty. Our results of operations, financial condition, and cash flows were significantly impacted during the year ended December 31, 2020, by the ongoing COVID-19 pandemic. The trends and results for the year ended December 31, 2020 may not be indicative of results that may be expected in the future due to uncertainty regarding the extent and duration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4057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39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 discussion regarding our financial condition and results of operations for the year ended December 31, 2020 compared to 2019 is presented below. A discussion regarding our financial condition and results of operations for the year ended December 31, 2019 compared to 2018 can be found under Item 7 in our Annual Report on Form 10-K for the year ended December 31, 2019, filed with the SEC on February 20, 2020, which is available on the SEC’s website at www.sec.gov and our Investor Relations website at ir.avisbudgetgroup.com.</w:t>
      </w:r>
    </w:p>
    <w:p>
      <w:pPr>
        <w:spacing w:after="0" w:line="21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3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non-operational charges related to shareholder activist activity, gain on sale of equity method investment in China, COVID-19 charges and income taxes. Net charges for unprecedented personal-injury and other legal matters and gain on sale of equity method investment in China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results of operations. We have revised our definition of Adjusted EBITDA to exclude COVID-19 charges. We did not revise prior years' Adjusted EBITDA amounts because there were no other charges similar in nature to these. We believe Adjusted EBITDA is useful as a supplemental</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2020 vs. Year Ended December 31, 2019</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372"/>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5860" w:type="dxa"/>
            <w:vAlign w:val="bottom"/>
          </w:tcPr>
          <w:p>
            <w:pPr>
              <w:ind w:left="4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425"/>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25"/>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60" w:type="dxa"/>
            <w:vAlign w:val="bottom"/>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Because of the impact of COVID-19, revenues decreased during 2020 compared to 2019, driven by a 38% decrease in volume and a 6% decrease in revenue per day excluding exchange rate movements, partially offset by an $8 million benefit from currency exchange rate movements. Total expenses during the year ended December 31, 2020 decreased compared to 2019, primarily due to strategic cost reduction initiatives and reduced operational activities because of the impact of COVID-19.</w:t>
      </w:r>
    </w:p>
    <w:p>
      <w:pPr>
        <w:spacing w:after="0" w:line="231"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During the year ended December 31, 2020, all expenses increased as a percentage of revenue, with the exception of selling, general and administrative costs, as a result of the impact of COVID-19, partially offset by strategic cost reduction initiatives to right-size the business. Operating expenses increased to 61.5% of revenue during 2020 compared to 51.2% in 2019. Vehicle depreciation and lease charges increased to 25.3% of revenue during 2020 compared to 22.5% in 2019. Selling, general and administrative costs decreased to 13.0% of revenue during 2020 compared to 13.5% in 2019, primarily due to strategic cost reduction initiatives to right-size the business. Vehicle interest costs increased to 5.9% of revenue during 2020 compared to 3.8% in 2019.</w:t>
      </w:r>
    </w:p>
    <w:p>
      <w:pPr>
        <w:spacing w:after="0" w:line="23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effective tax rates were a benefit of 28% and 5% for the year ended December 31, 2020 and 2019, respectively, which in 2019 included a $113 million one-time benefit arising from the release of valuation allowances on certain of our foreign deferred tax assets primarily driven by tax planning strategies. As a result of these items, our net income decreased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For 2020, the Company reported losses of $9.71 per diluted share. For 2019, the Company reported earnings of $3.98 per diluted share, which includes a one-time benefit arising from the release of valuation allowances on certain of our foreign deferred tax assets primarily driven by tax planning strategies of $1.50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9"/>
                <w:szCs w:val="9"/>
                <w:color w:val="auto"/>
              </w:rPr>
              <w:t>(a)</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40" w:type="dxa"/>
            <w:vAlign w:val="bottom"/>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Reconciliation of net income (loss) to Adjusted EBITDA</w:t>
            </w:r>
          </w:p>
        </w:tc>
        <w:tc>
          <w:tcPr>
            <w:tcW w:w="460" w:type="dxa"/>
            <w:vAlign w:val="bottom"/>
            <w:tcBorders>
              <w:bottom w:val="single" w:sz="8" w:color="auto"/>
            </w:tcBorders>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568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34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5680" w:type="dxa"/>
            <w:vAlign w:val="bottom"/>
            <w:gridSpan w:val="3"/>
          </w:tcPr>
          <w:p>
            <w:pPr>
              <w:spacing w:after="0"/>
              <w:rPr>
                <w:sz w:val="20"/>
                <w:szCs w:val="20"/>
                <w:color w:val="auto"/>
              </w:rPr>
            </w:pPr>
            <w:r>
              <w:rPr>
                <w:rFonts w:ascii="Arial" w:cs="Arial" w:eastAsia="Arial" w:hAnsi="Arial"/>
                <w:sz w:val="18"/>
                <w:szCs w:val="18"/>
                <w:color w:val="auto"/>
              </w:rPr>
              <w:t>Provision for (benefit from) income taxes</w:t>
            </w:r>
          </w:p>
        </w:tc>
        <w:tc>
          <w:tcPr>
            <w:tcW w:w="24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68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392"/>
        </w:trPr>
        <w:tc>
          <w:tcPr>
            <w:tcW w:w="560" w:type="dxa"/>
            <w:vAlign w:val="bottom"/>
          </w:tcPr>
          <w:p>
            <w:pPr>
              <w:spacing w:after="0"/>
              <w:rPr>
                <w:sz w:val="20"/>
                <w:szCs w:val="20"/>
                <w:color w:val="auto"/>
              </w:rPr>
            </w:pPr>
            <w:r>
              <w:rPr>
                <w:rFonts w:ascii="Arial" w:cs="Arial" w:eastAsia="Arial" w:hAnsi="Arial"/>
                <w:sz w:val="18"/>
                <w:szCs w:val="18"/>
                <w:color w:val="auto"/>
              </w:rPr>
              <w:t>Add:</w:t>
            </w: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Interest expense related to corporate debt, net:</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56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56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Early extinguishment of debt</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 xml:space="preserve">Restructuring and other related charges </w:t>
            </w:r>
            <w:r>
              <w:rPr>
                <w:rFonts w:ascii="Arial" w:cs="Arial" w:eastAsia="Arial" w:hAnsi="Arial"/>
                <w:sz w:val="9"/>
                <w:szCs w:val="9"/>
                <w:color w:val="auto"/>
              </w:rPr>
              <w:t>(c)</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9"/>
                <w:szCs w:val="9"/>
                <w:color w:val="auto"/>
              </w:rPr>
              <w:t>(d)</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 w:type="dxa"/>
            <w:vAlign w:val="bottom"/>
          </w:tcPr>
          <w:p>
            <w:pPr>
              <w:spacing w:after="0"/>
              <w:rPr>
                <w:sz w:val="19"/>
                <w:szCs w:val="19"/>
                <w:color w:val="auto"/>
              </w:rPr>
            </w:pPr>
          </w:p>
        </w:tc>
        <w:tc>
          <w:tcPr>
            <w:tcW w:w="8580" w:type="dxa"/>
            <w:vAlign w:val="bottom"/>
            <w:gridSpan w:val="4"/>
          </w:tcPr>
          <w:p>
            <w:pPr>
              <w:ind w:left="18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9"/>
                <w:szCs w:val="9"/>
                <w:color w:val="auto"/>
              </w:rPr>
              <w:t>(e)</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9"/>
                <w:szCs w:val="9"/>
                <w:color w:val="auto"/>
              </w:rPr>
              <w:t>(f)</w:t>
            </w:r>
          </w:p>
        </w:tc>
        <w:tc>
          <w:tcPr>
            <w:tcW w:w="2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60" w:type="dxa"/>
            <w:vAlign w:val="bottom"/>
          </w:tcPr>
          <w:p>
            <w:pPr>
              <w:spacing w:after="0"/>
              <w:rPr>
                <w:sz w:val="19"/>
                <w:szCs w:val="19"/>
                <w:color w:val="auto"/>
              </w:rPr>
            </w:pPr>
          </w:p>
        </w:tc>
        <w:tc>
          <w:tcPr>
            <w:tcW w:w="5120" w:type="dxa"/>
            <w:vAlign w:val="bottom"/>
            <w:gridSpan w:val="2"/>
          </w:tcPr>
          <w:p>
            <w:pPr>
              <w:ind w:left="18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10"/>
                <w:szCs w:val="10"/>
                <w:color w:val="auto"/>
              </w:rPr>
              <w:t>(d)</w:t>
            </w:r>
          </w:p>
        </w:tc>
        <w:tc>
          <w:tcPr>
            <w:tcW w:w="24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6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34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0"/>
        </w:trPr>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320" w:hanging="312"/>
        <w:spacing w:after="0" w:line="192" w:lineRule="auto"/>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right="140" w:hanging="332"/>
        <w:spacing w:after="0" w:line="232" w:lineRule="auto"/>
        <w:tabs>
          <w:tab w:leader="none" w:pos="325"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2020, consists of $116 million within operating expenses, $5 million within selling, general and administrative expenses and $1 million within vehicle depreciation and lease charges, net in our consolidated results of operations. Primarily consisting of $60 million of minimum annual guaranteed rent in excess of concession fees, $48 million of incremental cleaning supplies to sanitize vehicles and facilities, overflow parking for idle vehicles and related shuttling costs and other charges and $14 million of losses associated with vehicles damaged in overflow parking lots, net of insurance proceeds.</w:t>
      </w:r>
    </w:p>
    <w:p>
      <w:pPr>
        <w:ind w:left="360" w:hanging="352"/>
        <w:spacing w:after="0" w:line="187" w:lineRule="auto"/>
        <w:tabs>
          <w:tab w:leader="none" w:pos="36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Other related charges include costs associated with the separation of certain officers of the Company.</w:t>
      </w:r>
    </w:p>
    <w:p>
      <w:pPr>
        <w:ind w:left="320" w:hanging="312"/>
        <w:spacing w:after="0" w:line="187" w:lineRule="auto"/>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Reported within operating expenses in our consolidated results of operations.</w:t>
      </w:r>
    </w:p>
    <w:p>
      <w:pPr>
        <w:ind w:left="320" w:hanging="312"/>
        <w:spacing w:after="0" w:line="187" w:lineRule="auto"/>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Reported within selling, general and administrative expenses in our consolidated results of operations.</w:t>
      </w:r>
    </w:p>
    <w:p>
      <w:pPr>
        <w:ind w:left="280" w:hanging="272"/>
        <w:spacing w:after="0" w:line="193" w:lineRule="auto"/>
        <w:tabs>
          <w:tab w:leader="none" w:pos="28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Primarily comprised of acquisition- and integration-related expenses.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7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(89 %)</w:t>
            </w:r>
          </w:p>
        </w:tc>
      </w:tr>
    </w:tbl>
    <w:p>
      <w:pPr>
        <w:spacing w:after="0" w:line="16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Revenues decreased 38% during 2020, compared to 2019, primarily due to a 36% decrease in volume and a 3% decrease in revenue per day excluding exchange rate effects as a result of the impact of COVID-19.</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Operating expenses increased to 58.9% of revenue during 2020 compared to 50.2% in 2019, primarily due to impacts directly related to COVID-19, partially offset by strategic cost reduction initiatives to right-size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business. Vehicle depreciation and lease charges increased to 24.4% of revenue during 2020 compared to 23.0% in 2019, primarily due to impacts directly related to COVID-19, partially offset by 23% lower per-unit fleet costs. Selling, general and administrative costs decreased to 10.5% of revenue during 2020 compared to 12.1% in 2019, primarily due to strategic cost reduction initiatives to right-size the business. Vehicle interest costs increased to 6.9% of revenue during 2020 compared to 4.5% in 2019, primarily due to impacts directly related to COVID-19, partially offset by strategic cost reduction initiatives to right-size the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decreased 89% during 2020, compared to 2019, due to lower revenues directly related to COVID-19.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7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n/m</w:t>
            </w:r>
          </w:p>
        </w:tc>
      </w:tr>
    </w:tbl>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Revenues decreased 49% during 2020, compared to 2019, primarily due to a 42% decrease in volume and a 13% decrease in revenue per day excluding exchange rate movements as a result of the impact of COVID-19, partially offset by a $9 million benefit from currency exchange rate movements.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year ended December 31, 2020, all expenses increased as a percentage of revenue as a result of the impact of COVID-19, partially offset by strategic cost reduction initiatives to right-size the business. Operating expenses increased to 68.5% of revenue during 2020 compared to 53.5% in 2019. Vehicle depreciation and lease charges increased to 27.9% of revenue during 2020 compared to 21.3% in 2019. Selling, general and administrative costs increased to 16.5% of revenue during 2020 compared to 14.3% in 2019. Vehicle interest costs increased to 3.1% of revenue during 2020 compared to 2.1% in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decreased during 2020, compared to 2019, due to lower revenues directly related to COVID-19.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72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center"/>
              <w:ind w:left="43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n/m</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n/m</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Adjusted EBITDA decreased $22 million during 2020, compared to 2019, primarily due to lower selling, general and administrative expenses related to cost reduction initiatives,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057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85"/>
        </w:trPr>
        <w:tc>
          <w:tcPr>
            <w:tcW w:w="204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20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9,311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(4,642)</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Liabilities under vehicle programs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(5,292)</w:t>
            </w: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w:t>
            </w:r>
          </w:p>
        </w:tc>
      </w:tr>
    </w:tbl>
    <w:p>
      <w:pPr>
        <w:spacing w:after="0" w:line="35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decrease in assets and liabilities under vehicle programs compared to 2019 is primarily related to the reduction of our vehicle rental fleet to right-size our business in response to the COVID-19 pandemic. The decrease in stockholders’ equity compared to 2019 is primarily due to our comprehensive loss and share repurchases.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2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During 2020, our Avis Budget Rental Car Funding subsidiary issued approximately $700 million and $650 million in asset-backed notes with an expected final payment date of August 2025 and February 2026, and a weighted average interest rate of 2.42% and 2.28%, respectively. The proceeds from these borrowings were used to fund the repayment of maturing vehicle-backed debt and the acquisition of rental cars in the United States.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April 2020, we entered into an amendment (the “Amendment”) to our senior credit facilities, consisting of an approximately $1.2 billion term loan maturing in 2027 and a $1.8 billion revolving credit facility maturing in 2023, which remain in place after the Amendment. The Amendment provides for relief from the quarterly-tested leverage covenant contained in the credit agreement governing the senior credit facilities until the end of a specific relief period, including a holiday from such leverage covenant through 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under the revolving credit facility.</w:t>
      </w:r>
    </w:p>
    <w:p>
      <w:pPr>
        <w:spacing w:after="0" w:line="23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 May 2020, we issued $500 million of 10</w:t>
      </w:r>
      <w:r>
        <w:rPr>
          <w:rFonts w:ascii="Arial" w:cs="Arial" w:eastAsia="Arial" w:hAnsi="Arial"/>
          <w:sz w:val="16"/>
          <w:szCs w:val="16"/>
          <w:color w:val="auto"/>
        </w:rPr>
        <w:t>½</w:t>
      </w:r>
      <w:r>
        <w:rPr>
          <w:rFonts w:ascii="Arial" w:cs="Arial" w:eastAsia="Arial" w:hAnsi="Arial"/>
          <w:sz w:val="18"/>
          <w:szCs w:val="18"/>
          <w:color w:val="auto"/>
        </w:rPr>
        <w:t>% Senior Secured Notes due May 2025. We used the proceeds from this offering for general corporate purposes. In August 2020, we issued $ 350 million of additional 5¾</w:t>
      </w:r>
      <w:r>
        <w:rPr>
          <w:rFonts w:ascii="Arial" w:cs="Arial" w:eastAsia="Arial" w:hAnsi="Arial"/>
          <w:sz w:val="16"/>
          <w:szCs w:val="16"/>
          <w:color w:val="auto"/>
        </w:rPr>
        <w:t>%</w:t>
      </w:r>
      <w:r>
        <w:rPr>
          <w:rFonts w:ascii="Arial" w:cs="Arial" w:eastAsia="Arial" w:hAnsi="Arial"/>
          <w:sz w:val="18"/>
          <w:szCs w:val="18"/>
          <w:color w:val="auto"/>
        </w:rPr>
        <w:t xml:space="preserve"> Senior Notes due July 2027 to redeem the outstanding $100 million in aggregate principal amount of our 5½% Senior Notes due 2023, with the remainder being used for general corporate purposes.</w:t>
      </w:r>
    </w:p>
    <w:p>
      <w:pPr>
        <w:spacing w:after="0" w:line="23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the first quarter of 2020, we repurchased approximately 5.0 million shares of our outstanding common stock for approximately $113 million.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2020 vs. Year Ended December 31, 2019</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666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6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3"/>
        </w:trPr>
        <w:tc>
          <w:tcPr>
            <w:tcW w:w="66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5,929</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(4,363)</w:t>
            </w:r>
          </w:p>
        </w:tc>
      </w:tr>
      <w:tr>
        <w:trPr>
          <w:trHeight w:val="188"/>
        </w:trPr>
        <w:tc>
          <w:tcPr>
            <w:tcW w:w="666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66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1"/>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Cash provided by operating activities during 2020 was substantially lower compared with 2019 due to reduced operational activities as a result of the impact of COVID-19.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used in investing activities during 2020 compared with 2019 is primarily due to a decrease in investment in vehicles.</w:t>
      </w:r>
    </w:p>
    <w:p>
      <w:pPr>
        <w:spacing w:after="0" w:line="25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decrease in cash provided by financing activities during 2020 compared with 2019 is primarily due to a decrease in net borrowings under vehicle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$235 million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2020, we had approximately $11.1 billion of indebtedness (including corporate indebtedness of approximately $4.2 billion and debt under vehicle programs of approximately $6.9 billion). For detailed information regarding our debt and borrowing arrangements, see Notes 13 and 14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4057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liquidity position has been impacted by COVID-19 as a result of significant volume declines and we expect the impact of COVID-19 on the U.S. and worldwide economies to continue to affect our volumes even after the outbreak is contained. Our liquidity could be further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Item 1A. Risk Factors for further discussion).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31, 2020, we had access to $0.7 billion of available cash and cash equivalents and available borrowings under our revolving credit facility of approximately $0.6 billion, providing us with access to an approximate $1.3 billion of total liquidity. See Note 1 to our Consolidated Financial Statements for detailed information on liquidity and management’s plans.</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new liquidity covenant, the consolidated first lien leverage ratio requirement after the end of the waiver period on June 30, 2021 and other covenants associated with our senior credit facilities and other borrowings. As of December 31, 2020, we were in compliance with the financial covenants governing our indebtedness.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future contractual obligations as of December 31, 2020:</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680" w:type="dxa"/>
            <w:vAlign w:val="bottom"/>
          </w:tcPr>
          <w:p>
            <w:pPr>
              <w:spacing w:after="0"/>
              <w:rPr>
                <w:sz w:val="20"/>
                <w:szCs w:val="20"/>
                <w:color w:val="auto"/>
              </w:rPr>
            </w:pPr>
            <w:r>
              <w:rPr>
                <w:rFonts w:ascii="Arial" w:cs="Arial" w:eastAsia="Arial" w:hAnsi="Arial"/>
                <w:sz w:val="16"/>
                <w:szCs w:val="16"/>
                <w:color w:val="auto"/>
              </w:rPr>
              <w:t>Corporate debt</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183"/>
        </w:trPr>
        <w:tc>
          <w:tcPr>
            <w:tcW w:w="2680" w:type="dxa"/>
            <w:vAlign w:val="bottom"/>
          </w:tcPr>
          <w:p>
            <w:pPr>
              <w:spacing w:after="0"/>
              <w:rPr>
                <w:sz w:val="20"/>
                <w:szCs w:val="20"/>
                <w:color w:val="auto"/>
              </w:rPr>
            </w:pPr>
            <w:r>
              <w:rPr>
                <w:rFonts w:ascii="Arial" w:cs="Arial" w:eastAsia="Arial" w:hAnsi="Arial"/>
                <w:sz w:val="16"/>
                <w:szCs w:val="16"/>
                <w:color w:val="auto"/>
              </w:rPr>
              <w:t>Debt under vehicle</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programs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Debt interest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3,209</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Arial" w:cs="Arial" w:eastAsia="Arial" w:hAnsi="Arial"/>
                <w:sz w:val="16"/>
                <w:szCs w:val="16"/>
                <w:color w:val="auto"/>
              </w:rPr>
              <w:t>Commitments to purchase vehicles</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8,740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8,740</w:t>
            </w:r>
          </w:p>
        </w:tc>
        <w:tc>
          <w:tcPr>
            <w:tcW w:w="0" w:type="dxa"/>
            <w:vAlign w:val="bottom"/>
          </w:tcPr>
          <w:p>
            <w:pPr>
              <w:spacing w:after="0"/>
              <w:rPr>
                <w:sz w:val="1"/>
                <w:szCs w:val="1"/>
                <w:color w:val="auto"/>
              </w:rPr>
            </w:pPr>
          </w:p>
        </w:tc>
      </w:tr>
      <w:tr>
        <w:trPr>
          <w:trHeight w:val="143"/>
        </w:trPr>
        <w:tc>
          <w:tcPr>
            <w:tcW w:w="2680" w:type="dxa"/>
            <w:vAlign w:val="bottom"/>
          </w:tcPr>
          <w:p>
            <w:pPr>
              <w:spacing w:after="0" w:line="125" w:lineRule="exact"/>
              <w:rPr>
                <w:sz w:val="20"/>
                <w:szCs w:val="20"/>
                <w:color w:val="auto"/>
              </w:rPr>
            </w:pPr>
            <w:r>
              <w:rPr>
                <w:rFonts w:ascii="Arial" w:cs="Arial" w:eastAsia="Arial" w:hAnsi="Arial"/>
                <w:sz w:val="11"/>
                <w:szCs w:val="11"/>
                <w:color w:val="auto"/>
              </w:rPr>
              <w:t>(a)</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tcPr>
          <w:p>
            <w:pPr>
              <w:spacing w:after="0" w:line="181" w:lineRule="exact"/>
              <w:rPr>
                <w:sz w:val="20"/>
                <w:szCs w:val="20"/>
                <w:color w:val="auto"/>
              </w:rPr>
            </w:pPr>
            <w:r>
              <w:rPr>
                <w:rFonts w:ascii="Arial" w:cs="Arial" w:eastAsia="Arial" w:hAnsi="Arial"/>
                <w:sz w:val="16"/>
                <w:szCs w:val="16"/>
                <w:color w:val="auto"/>
              </w:rPr>
              <w:t>Defined benefit pension plan</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tcPr>
          <w:p>
            <w:pPr>
              <w:spacing w:after="0" w:line="219" w:lineRule="exact"/>
              <w:rPr>
                <w:sz w:val="20"/>
                <w:szCs w:val="20"/>
                <w:color w:val="auto"/>
              </w:rPr>
            </w:pPr>
            <w:r>
              <w:rPr>
                <w:rFonts w:ascii="Arial" w:cs="Arial" w:eastAsia="Arial" w:hAnsi="Arial"/>
                <w:sz w:val="16"/>
                <w:szCs w:val="16"/>
                <w:color w:val="auto"/>
              </w:rPr>
              <w:t xml:space="preserve">contributions </w:t>
            </w:r>
            <w:r>
              <w:rPr>
                <w:rFonts w:ascii="Arial" w:cs="Arial" w:eastAsia="Arial" w:hAnsi="Arial"/>
                <w:sz w:val="21"/>
                <w:szCs w:val="21"/>
                <w:color w:val="auto"/>
                <w:vertAlign w:val="superscript"/>
              </w:rPr>
              <w:t>(b)</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59"/>
        </w:trPr>
        <w:tc>
          <w:tcPr>
            <w:tcW w:w="2680" w:type="dxa"/>
            <w:vAlign w:val="bottom"/>
          </w:tcPr>
          <w:p>
            <w:pPr>
              <w:spacing w:after="0" w:line="159" w:lineRule="exact"/>
              <w:rPr>
                <w:sz w:val="20"/>
                <w:szCs w:val="20"/>
                <w:color w:val="auto"/>
              </w:rPr>
            </w:pPr>
            <w:r>
              <w:rPr>
                <w:rFonts w:ascii="Arial" w:cs="Arial" w:eastAsia="Arial" w:hAnsi="Arial"/>
                <w:sz w:val="16"/>
                <w:szCs w:val="16"/>
                <w:color w:val="auto"/>
              </w:rPr>
              <w:t>Other purchase</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line="204" w:lineRule="exact"/>
              <w:rPr>
                <w:sz w:val="20"/>
                <w:szCs w:val="20"/>
                <w:color w:val="auto"/>
              </w:rPr>
            </w:pPr>
            <w:r>
              <w:rPr>
                <w:rFonts w:ascii="Arial" w:cs="Arial" w:eastAsia="Arial" w:hAnsi="Arial"/>
                <w:sz w:val="16"/>
                <w:szCs w:val="16"/>
                <w:color w:val="auto"/>
              </w:rPr>
              <w:t xml:space="preserve">commitments </w:t>
            </w:r>
            <w:r>
              <w:rPr>
                <w:rFonts w:ascii="Arial" w:cs="Arial" w:eastAsia="Arial" w:hAnsi="Arial"/>
                <w:sz w:val="21"/>
                <w:szCs w:val="21"/>
                <w:color w:val="auto"/>
                <w:vertAlign w:val="superscript"/>
              </w:rPr>
              <w:t>(c)</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0"/>
        </w:trPr>
        <w:tc>
          <w:tcPr>
            <w:tcW w:w="2680" w:type="dxa"/>
            <w:vAlign w:val="bottom"/>
          </w:tcPr>
          <w:p>
            <w:pPr>
              <w:spacing w:after="0" w:line="210"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(d)</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11,647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25,105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80" w:hanging="332"/>
        <w:spacing w:after="0" w:line="221" w:lineRule="auto"/>
        <w:tabs>
          <w:tab w:leader="none" w:pos="33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Represents commitments to purchase vehicles, the majority of which are from Ford, Fiat Chrysler and General Motors. These commitments are generally subject to the vehicle manufacturers satisfying their obligations under the repurchase and guaranteed depreciation agreements. The purchase of such vehicles is generally financed through borrowings under vehicle programs in addition to cash received upon the sale of vehicles, some of which were purchased under repurchase and guaranteed depreciation programs (see Note 15 to our Consolidated Financial Statements).</w:t>
      </w:r>
    </w:p>
    <w:p>
      <w:pPr>
        <w:spacing w:after="0" w:line="2" w:lineRule="exact"/>
        <w:rPr>
          <w:rFonts w:ascii="Arial" w:cs="Arial" w:eastAsia="Arial" w:hAnsi="Arial"/>
          <w:sz w:val="19"/>
          <w:szCs w:val="19"/>
          <w:color w:val="auto"/>
          <w:vertAlign w:val="superscript"/>
        </w:rPr>
      </w:pPr>
    </w:p>
    <w:p>
      <w:pPr>
        <w:ind w:left="340" w:right="80" w:hanging="332"/>
        <w:spacing w:after="0" w:line="204" w:lineRule="auto"/>
        <w:tabs>
          <w:tab w:leader="none" w:pos="33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Represents the expected contributions to our defined benefit pension plans in 2021. The amount of future contributions to our defined benefit pension plans will depend on the rates of return generated from plan assets and other factors (see Note 18 to our Consolidated Financial Statements) and are not included above.</w:t>
      </w:r>
    </w:p>
    <w:p>
      <w:pPr>
        <w:spacing w:after="0" w:line="1" w:lineRule="exact"/>
        <w:rPr>
          <w:rFonts w:ascii="Arial" w:cs="Arial" w:eastAsia="Arial" w:hAnsi="Arial"/>
          <w:sz w:val="19"/>
          <w:szCs w:val="19"/>
          <w:color w:val="auto"/>
          <w:vertAlign w:val="superscript"/>
        </w:rPr>
      </w:pPr>
    </w:p>
    <w:p>
      <w:pPr>
        <w:ind w:left="320" w:hanging="312"/>
        <w:spacing w:after="0" w:line="187" w:lineRule="auto"/>
        <w:tabs>
          <w:tab w:leader="none" w:pos="3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Primarily represents commitments under service contracts for information technology, telecommunications and marketing agreements with travel service companies.</w:t>
      </w:r>
    </w:p>
    <w:p>
      <w:pPr>
        <w:ind w:left="340" w:right="400" w:hanging="332"/>
        <w:spacing w:after="0" w:line="211" w:lineRule="auto"/>
        <w:tabs>
          <w:tab w:leader="none" w:pos="33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Excludes income tax uncertainties of $24 million, $13 million of which is subject to indemnification by Realogy and Wyndham. We are unable to estimate the period in which these income tax uncertainties are expected to be settled.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guarantees and indemnifications, see Note 15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presenting our financial statements in conformity with GAAP, we are required to make estimates and assumptions that affect the amounts reported therein. Several of the estimates and assumptions we are required to make relate to matters that are inherently uncertain as they pertain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However, our businesses operate in environments where we are paid a fee for a service performed, and therefore the results of the majority of our recurring operations are recorded in our financial statements using accounting policies that are not particularly subjective, nor complex.</w:t>
      </w:r>
    </w:p>
    <w:p>
      <w:pPr>
        <w:spacing w:after="0" w:line="13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projections of future cash flows, which include forecast of future revenue and Adjusted EBITDA.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2020, 2019 and 2018, there was no impairment of goodwill and no material impairment of other intangible assets, see Note 7 to our Consolidated Financial Statements. For our Europe, Middle East and Africa (“EMEA”) reporting unit, the percentage by which the estimated fair value exceeded the carrying value as of October 1, 2020 was 17% and the amount of goodwill allocated to our reporting unit was $488 million.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discount rate and market multiples. In the future, failure to achieve our business plans, a further deterioration of the general 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the Company to make assumptions regarding the age and mileage of the vehicle at the time of disposal, as well as expected used vehicle market conditions. The Company regularly evaluates estimated residual values and adjusts depreciation rates as appropriate. Differences between actual residual values and those estimated result in a gain or loss on disposal and are recorded as part of vehicle depreciation and lease charges, net, at the time of sale. See Note 2 to our Consolidated Financial Statements.</w:t>
      </w:r>
    </w:p>
    <w:p>
      <w:pPr>
        <w:spacing w:after="0" w:line="1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9 to our Consolidated Financial Statements for more information regarding income taxes.</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gasoline prices.</w:t>
      </w:r>
    </w:p>
    <w:p>
      <w:pPr>
        <w:spacing w:after="0" w:line="15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5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Notes 13, 14 and 19 to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5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2020. With all other variables held constant, a hypothetical 10% change (increase or decrease) in currency exchange rates would not have a material impact on our 2020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primary interest rate exposure at December 31, 2020 was interest rate fluctuations in the U.S., specifically LIBOR and commercial paper interest rates due to their impact on variable rate borrowings and other interest rate sensitive liabilities. We use interest rate swaps and caps to manage our exposure to interest rate movements. We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anticipate that LIBOR and commercial paper rates will remain a primary market risk exposure for the foreseeable future.</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2020, we estimate that a 10% change in interest rates would not have a material impact on our 2020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gasoline. We anticipate that such commodity risk will remain a market risk exposure for the foreseeable future. We determined that a hypothetical 10% change in the price of gasoline would not have a material impact on our earnings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9A. CONTROLS AND PROCEDURES</w:t>
      </w:r>
    </w:p>
    <w:p>
      <w:pPr>
        <w:spacing w:after="0" w:line="378" w:lineRule="exact"/>
        <w:rPr>
          <w:sz w:val="20"/>
          <w:szCs w:val="20"/>
          <w:color w:val="auto"/>
        </w:rPr>
      </w:pPr>
    </w:p>
    <w:p>
      <w:pPr>
        <w:ind w:left="340" w:right="20" w:hanging="332"/>
        <w:spacing w:after="0" w:line="258" w:lineRule="auto"/>
        <w:tabs>
          <w:tab w:leader="none" w:pos="43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210" w:lineRule="exact"/>
        <w:rPr>
          <w:rFonts w:ascii="Arial" w:cs="Arial" w:eastAsia="Arial" w:hAnsi="Arial"/>
          <w:sz w:val="18"/>
          <w:szCs w:val="18"/>
          <w:color w:val="auto"/>
        </w:rPr>
      </w:pPr>
    </w:p>
    <w:p>
      <w:pPr>
        <w:ind w:left="340" w:right="180" w:hanging="332"/>
        <w:spacing w:after="0" w:line="255" w:lineRule="auto"/>
        <w:tabs>
          <w:tab w:leader="none" w:pos="43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2020, our internal control over financial reporting was effective. The effectiveness of the Company’s internal control over financial reporting as of December 31, 2020 has been audited by Deloitte &amp; Touche LLP, an independent registered public accounting firm. Their attestation report is included below.</w:t>
      </w:r>
    </w:p>
    <w:p>
      <w:pPr>
        <w:spacing w:after="0" w:line="211" w:lineRule="exact"/>
        <w:rPr>
          <w:rFonts w:ascii="Arial" w:cs="Arial" w:eastAsia="Arial" w:hAnsi="Arial"/>
          <w:sz w:val="18"/>
          <w:szCs w:val="18"/>
          <w:color w:val="auto"/>
        </w:rPr>
      </w:pPr>
    </w:p>
    <w:p>
      <w:pPr>
        <w:jc w:val="both"/>
        <w:ind w:left="340" w:hanging="332"/>
        <w:spacing w:after="0" w:line="266" w:lineRule="auto"/>
        <w:tabs>
          <w:tab w:leader="none" w:pos="426"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audited the internal control over financial reporting of Avis Budget Group, Inc. and subsidiaries (the "Company") as of December 31, 2020,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2020, based on criteria established in Internal Control - Integrated Framework (2013) issued by COSO.</w:t>
      </w:r>
    </w:p>
    <w:p>
      <w:pPr>
        <w:spacing w:after="0" w:line="22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and financial statement schedule as of and for the year ended December 31, 2020 of the Company and our report dated February 17, 2021 expressed an unqualified opinion on those consolidated financial statements and financial statement schedule.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8"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4057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057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2021 Annual Meeting of Stockholders to be filed with the SEC pursuant to Regulation 14A within 120 days after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3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2021 Annual Meeting of Stockholders to be filed with the SEC pursuant to Regulation 14A within 120 days after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2021 Annual Meeting of Stockholders to be filed with the SEC pursuant to Regulation 14A within 120 days after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2021 Annual Meeting of Stockholders to be filed with the SEC pursuant to Regulation 14A within 120 days after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2021 Annual Meeting of Stockholders to be filed with the SEC pursuant to Regulation 14A within 120 days after December 31, 2020.</w:t>
      </w:r>
    </w:p>
    <w:p>
      <w:pPr>
        <w:spacing w:after="0" w:line="200" w:lineRule="exact"/>
        <w:rPr>
          <w:sz w:val="20"/>
          <w:szCs w:val="20"/>
          <w:color w:val="auto"/>
        </w:rPr>
      </w:pP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40" w:right="9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4057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05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15(A)(1).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4057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3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Schedule II – Valuation and Qualifying Accounts for the years ended December 31, 2020, 2019 and 2018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4057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ITEM 15(A)(3). EXHIBITS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40" w:right="71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AVIS BUDGET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18"/>
        </w:trPr>
        <w:tc>
          <w:tcPr>
            <w:tcW w:w="8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35"/>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February 17, 2021</w:t>
            </w:r>
          </w:p>
        </w:tc>
      </w:tr>
    </w:tbl>
    <w:p>
      <w:pPr>
        <w:spacing w:after="0" w:line="3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Signature</w:t>
      </w:r>
    </w:p>
    <w:p>
      <w:pPr>
        <w:spacing w:after="0" w:line="37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(Joseph A. Ferraro)</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(Brian Choi)</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(Cathleen DeGenova)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(Bernardo Hees)</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(Jagdeep Pahwa)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(Lynn Krominga)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(Glenn Lurie)</w:t>
      </w:r>
    </w:p>
    <w:p>
      <w:pPr>
        <w:spacing w:after="0" w:line="181"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(Karthik Sarma)</w:t>
      </w: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3317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(Carl Sparks)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jc w:val="center"/>
              <w:ind w:right="299"/>
              <w:spacing w:after="0"/>
              <w:rPr>
                <w:sz w:val="20"/>
                <w:szCs w:val="20"/>
                <w:color w:val="auto"/>
              </w:rPr>
            </w:pPr>
            <w:r>
              <w:rPr>
                <w:rFonts w:ascii="Arial" w:cs="Arial" w:eastAsia="Arial" w:hAnsi="Arial"/>
                <w:sz w:val="16"/>
                <w:szCs w:val="16"/>
                <w:b w:val="1"/>
                <w:bCs w:val="1"/>
                <w:color w:val="auto"/>
                <w:w w:val="97"/>
              </w:rPr>
              <w:t>Title</w:t>
            </w:r>
          </w:p>
        </w:tc>
        <w:tc>
          <w:tcPr>
            <w:tcW w:w="1720" w:type="dxa"/>
            <w:vAlign w:val="bottom"/>
          </w:tcPr>
          <w:p>
            <w:pPr>
              <w:jc w:val="center"/>
              <w:ind w:left="31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86"/>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61"/>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Executive Vice President and Chief Financial</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195"/>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Officer</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Vice President and Chief Accounting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Executive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94"/>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Vice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635"/>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vMerge w:val="restart"/>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vMerge w:val="restart"/>
          </w:tcPr>
          <w:p>
            <w:pPr>
              <w:jc w:val="center"/>
              <w:ind w:left="319"/>
              <w:spacing w:after="0"/>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59" w:lineRule="exact"/>
        <w:rPr>
          <w:sz w:val="20"/>
          <w:szCs w:val="20"/>
          <w:color w:val="auto"/>
        </w:rPr>
      </w:pPr>
    </w:p>
    <w:p>
      <w:pPr>
        <w:sectPr>
          <w:pgSz w:w="11900" w:h="16838" w:orient="portrait"/>
          <w:cols w:equalWidth="0" w:num="2">
            <w:col w:w="4940" w:space="720"/>
            <w:col w:w="55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00" w:type="dxa"/>
            <w:vAlign w:val="bottom"/>
          </w:tcPr>
          <w:p>
            <w:pPr>
              <w:spacing w:after="0"/>
              <w:rPr>
                <w:sz w:val="18"/>
                <w:szCs w:val="18"/>
                <w:color w:val="auto"/>
              </w:rPr>
            </w:pPr>
          </w:p>
        </w:tc>
      </w:tr>
      <w:tr>
        <w:trPr>
          <w:trHeight w:val="810"/>
        </w:trPr>
        <w:tc>
          <w:tcPr>
            <w:tcW w:w="984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400" w:type="dxa"/>
            <w:vAlign w:val="bottom"/>
          </w:tcPr>
          <w:p>
            <w:pPr>
              <w:spacing w:after="0"/>
              <w:rPr>
                <w:sz w:val="24"/>
                <w:szCs w:val="24"/>
                <w:color w:val="auto"/>
              </w:rPr>
            </w:pPr>
          </w:p>
        </w:tc>
      </w:tr>
      <w:tr>
        <w:trPr>
          <w:trHeight w:val="473"/>
        </w:trPr>
        <w:tc>
          <w:tcPr>
            <w:tcW w:w="9840" w:type="dxa"/>
            <w:vAlign w:val="bottom"/>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Page</w:t>
            </w:r>
          </w:p>
        </w:tc>
      </w:tr>
      <w:tr>
        <w:trPr>
          <w:trHeight w:val="479"/>
        </w:trPr>
        <w:tc>
          <w:tcPr>
            <w:tcW w:w="9840" w:type="dxa"/>
            <w:vAlign w:val="bottom"/>
          </w:tcPr>
          <w:p>
            <w:pPr>
              <w:ind w:left="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Report of Independent Registered Public Accounting Firm</w:t>
              </w:r>
            </w:hyperlink>
          </w:p>
        </w:tc>
        <w:tc>
          <w:tcPr>
            <w:tcW w:w="140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2</w:t>
              </w:r>
            </w:hyperlink>
          </w:p>
        </w:tc>
      </w:tr>
      <w:tr>
        <w:trPr>
          <w:trHeight w:val="500"/>
        </w:trPr>
        <w:tc>
          <w:tcPr>
            <w:tcW w:w="984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Operations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6</w:t>
              </w:r>
            </w:hyperlink>
          </w:p>
        </w:tc>
      </w:tr>
      <w:tr>
        <w:trPr>
          <w:trHeight w:val="540"/>
        </w:trPr>
        <w:tc>
          <w:tcPr>
            <w:tcW w:w="98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Comprehensive Income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7</w:t>
              </w:r>
            </w:hyperlink>
          </w:p>
        </w:tc>
      </w:tr>
      <w:tr>
        <w:trPr>
          <w:trHeight w:val="499"/>
        </w:trPr>
        <w:tc>
          <w:tcPr>
            <w:tcW w:w="9840" w:type="dxa"/>
            <w:vAlign w:val="bottom"/>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Consolidated Balance Sheets as of December 31, 2020 and 2019</w:t>
              </w:r>
            </w:hyperlink>
          </w:p>
        </w:tc>
        <w:tc>
          <w:tcPr>
            <w:tcW w:w="14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8</w:t>
              </w:r>
            </w:hyperlink>
          </w:p>
        </w:tc>
      </w:tr>
      <w:tr>
        <w:trPr>
          <w:trHeight w:val="499"/>
        </w:trPr>
        <w:tc>
          <w:tcPr>
            <w:tcW w:w="9840" w:type="dxa"/>
            <w:vAlign w:val="bottom"/>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Consolidated Statements of Cash Flows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9</w:t>
              </w:r>
            </w:hyperlink>
          </w:p>
        </w:tc>
      </w:tr>
      <w:tr>
        <w:trPr>
          <w:trHeight w:val="540"/>
        </w:trPr>
        <w:tc>
          <w:tcPr>
            <w:tcW w:w="9840" w:type="dxa"/>
            <w:vAlign w:val="bottom"/>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Stockholders’ Equity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11</w:t>
              </w:r>
            </w:hyperlink>
          </w:p>
        </w:tc>
      </w:tr>
      <w:tr>
        <w:trPr>
          <w:trHeight w:val="500"/>
        </w:trPr>
        <w:tc>
          <w:tcPr>
            <w:tcW w:w="984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Notes to Consolidated Financial Statements</w:t>
              </w:r>
            </w:hyperlink>
          </w:p>
        </w:tc>
        <w:tc>
          <w:tcPr>
            <w:tcW w:w="140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12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2020 and 2019, and the related consolidated statements of operations, comprehensive income, stockholders' equity, and cash flows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17,</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Company's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As discussed in Note 3 to the financial statements, effective January 1, 2019, the Company adopted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transition method allowing entities to only apply the new lease standard in the year of adoption.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Vehicles - Depreciation Expense - United States Risk Vehicles - Refer to Notes 2 and 8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7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records rental vehicles at cost, net of accumulated depreciation. The initial cost of the vehicles is recorded net of incentives and allowances from manufacturers. Rental vehicles acquired by the Company outside of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 make assumptions regarding factors which include, but are not limited to, the anticipated age of the vehicles and market conditions for used vehicles at the time of disposal. The Company regularly evaluates estimated residual values and adjusts vehicle depreciation rates as appropriate. Any adjustments to depreciation are made prospectively.</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Given the volume of risk vehicles in the United States and the significant estimation uncertainty and judgments made by management to calculate the estimated residual values of these risk vehicles, auditing the estimated residual values of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historical sales data and data specific to the Company’s current fleet.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audit procedures to assess the reasonableness of the estimated residual values and vehicle depreciation expense related to United States risk vehicles included the following, among others:</w:t>
      </w:r>
    </w:p>
    <w:p>
      <w:pPr>
        <w:spacing w:after="0" w:line="225" w:lineRule="exact"/>
        <w:rPr>
          <w:sz w:val="20"/>
          <w:szCs w:val="20"/>
          <w:color w:val="auto"/>
        </w:rPr>
      </w:pPr>
    </w:p>
    <w:p>
      <w:pPr>
        <w:ind w:left="340" w:right="200" w:hanging="332"/>
        <w:spacing w:after="0" w:line="261"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significant assumptions and judgments to calculate the estimated residual values of risk vehicles and the expected dates of disposition.</w:t>
      </w:r>
    </w:p>
    <w:p>
      <w:pPr>
        <w:spacing w:after="0" w:line="224" w:lineRule="exact"/>
        <w:rPr>
          <w:rFonts w:ascii="Arial" w:cs="Arial" w:eastAsia="Arial" w:hAnsi="Arial"/>
          <w:sz w:val="18"/>
          <w:szCs w:val="18"/>
          <w:color w:val="auto"/>
        </w:rPr>
      </w:pPr>
    </w:p>
    <w:p>
      <w:pPr>
        <w:ind w:left="340" w:right="300" w:hanging="332"/>
        <w:spacing w:after="0" w:line="256"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w:t>
      </w:r>
    </w:p>
    <w:p>
      <w:pPr>
        <w:spacing w:after="0" w:line="228"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assessed the reasonableness of the estimated residual values of risk vehicles by performing the following procedures on a selection of risk vehicles:</w:t>
      </w:r>
    </w:p>
    <w:p>
      <w:pPr>
        <w:spacing w:after="0" w:line="224" w:lineRule="exact"/>
        <w:rPr>
          <w:rFonts w:ascii="Arial" w:cs="Arial" w:eastAsia="Arial" w:hAnsi="Arial"/>
          <w:sz w:val="18"/>
          <w:szCs w:val="18"/>
          <w:color w:val="auto"/>
        </w:rPr>
      </w:pPr>
    </w:p>
    <w:p>
      <w:pPr>
        <w:ind w:left="660" w:right="300" w:hanging="324"/>
        <w:spacing w:after="0" w:line="261" w:lineRule="auto"/>
        <w:rPr>
          <w:rFonts w:ascii="Arial" w:cs="Arial" w:eastAsia="Arial" w:hAnsi="Arial"/>
          <w:sz w:val="18"/>
          <w:szCs w:val="18"/>
          <w:color w:val="auto"/>
        </w:rPr>
      </w:pPr>
      <w:r>
        <w:rPr>
          <w:rFonts w:ascii="Arial" w:cs="Arial" w:eastAsia="Arial" w:hAnsi="Arial"/>
          <w:sz w:val="18"/>
          <w:szCs w:val="18"/>
          <w:color w:val="auto"/>
        </w:rPr>
        <w:t>– We tested the underlying historical data that served as the basis for the Company’s calculation of the estimated residual values to evaluate that the inputs were reasonable.</w:t>
      </w:r>
    </w:p>
    <w:p>
      <w:pPr>
        <w:spacing w:after="0" w:line="224" w:lineRule="exact"/>
        <w:rPr>
          <w:rFonts w:ascii="Arial" w:cs="Arial" w:eastAsia="Arial" w:hAnsi="Arial"/>
          <w:sz w:val="18"/>
          <w:szCs w:val="18"/>
          <w:color w:val="auto"/>
        </w:rPr>
      </w:pPr>
    </w:p>
    <w:p>
      <w:pPr>
        <w:ind w:left="660" w:right="680" w:hanging="324"/>
        <w:spacing w:after="0" w:line="261" w:lineRule="auto"/>
        <w:rPr>
          <w:rFonts w:ascii="Arial" w:cs="Arial" w:eastAsia="Arial" w:hAnsi="Arial"/>
          <w:sz w:val="18"/>
          <w:szCs w:val="18"/>
          <w:color w:val="auto"/>
        </w:rPr>
      </w:pPr>
      <w:r>
        <w:rPr>
          <w:rFonts w:ascii="Arial" w:cs="Arial" w:eastAsia="Arial" w:hAnsi="Arial"/>
          <w:sz w:val="18"/>
          <w:szCs w:val="18"/>
          <w:color w:val="auto"/>
        </w:rPr>
        <w:t>– We tested the mathematical accuracy of the Company’s calculation of the estimated residual values and vehicle depreciation expense rates.</w:t>
      </w:r>
    </w:p>
    <w:p>
      <w:pPr>
        <w:spacing w:after="0" w:line="224" w:lineRule="exact"/>
        <w:rPr>
          <w:rFonts w:ascii="Arial" w:cs="Arial" w:eastAsia="Arial" w:hAnsi="Arial"/>
          <w:sz w:val="18"/>
          <w:szCs w:val="18"/>
          <w:color w:val="auto"/>
        </w:rPr>
      </w:pPr>
    </w:p>
    <w:p>
      <w:pPr>
        <w:ind w:left="660" w:right="160" w:hanging="324"/>
        <w:spacing w:after="0" w:line="254" w:lineRule="auto"/>
        <w:rPr>
          <w:rFonts w:ascii="Arial" w:cs="Arial" w:eastAsia="Arial" w:hAnsi="Arial"/>
          <w:sz w:val="18"/>
          <w:szCs w:val="18"/>
          <w:color w:val="auto"/>
        </w:rPr>
      </w:pPr>
      <w:r>
        <w:rPr>
          <w:rFonts w:ascii="Arial" w:cs="Arial" w:eastAsia="Arial" w:hAnsi="Arial"/>
          <w:sz w:val="18"/>
          <w:szCs w:val="18"/>
          <w:color w:val="auto"/>
        </w:rPr>
        <w:t>– 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subsequent vehicle sales, and inquiries of management.</w:t>
      </w:r>
    </w:p>
    <w:p>
      <w:pPr>
        <w:spacing w:after="0" w:line="230" w:lineRule="exact"/>
        <w:rPr>
          <w:rFonts w:ascii="Arial" w:cs="Arial" w:eastAsia="Arial" w:hAnsi="Arial"/>
          <w:sz w:val="18"/>
          <w:szCs w:val="18"/>
          <w:color w:val="auto"/>
        </w:rPr>
      </w:pPr>
    </w:p>
    <w:p>
      <w:pPr>
        <w:ind w:left="660" w:right="80" w:hanging="324"/>
        <w:spacing w:after="0" w:line="261" w:lineRule="auto"/>
        <w:rPr>
          <w:rFonts w:ascii="Arial" w:cs="Arial" w:eastAsia="Arial" w:hAnsi="Arial"/>
          <w:sz w:val="18"/>
          <w:szCs w:val="18"/>
          <w:color w:val="auto"/>
        </w:rPr>
      </w:pPr>
      <w:r>
        <w:rPr>
          <w:rFonts w:ascii="Arial" w:cs="Arial" w:eastAsia="Arial" w:hAnsi="Arial"/>
          <w:sz w:val="18"/>
          <w:szCs w:val="18"/>
          <w:color w:val="auto"/>
        </w:rPr>
        <w:t>– We searched for contradictory evidence associated with the significant assumptions and judgments made by management based on our knowledge of the industry and review of third-party industry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right="420" w:hanging="332"/>
        <w:spacing w:after="0" w:line="261"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 - Public Liability and Property Damage Claims - United States - Refer to Note 2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spacing w:after="0" w:line="2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Given the volume of public liability and property damage claims in the United States and the subjectivity of estimating the related self-insurance reserves for reported claims not yet paid and claims incurred but not yet reported due to uncertain exposure and projected loss development, performing audit procedures to evaluate whether these self-insurance reserves were appropriately recorded as of December 31, 2020 required a high degree of auditor judgment and an increased extent of effort, including the need to involve our actuarial specialists.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Our audit procedures related to United States public liability and property damage self-insurance reserves included the following, among others:</w:t>
      </w:r>
    </w:p>
    <w:p>
      <w:pPr>
        <w:spacing w:after="0" w:line="225" w:lineRule="exact"/>
        <w:rPr>
          <w:sz w:val="20"/>
          <w:szCs w:val="20"/>
          <w:color w:val="auto"/>
        </w:rPr>
      </w:pPr>
    </w:p>
    <w:p>
      <w:pPr>
        <w:ind w:left="340" w:right="8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review of significant assumptions, key inputs and methods used to calculate the estimate of the reported claims not yet paid and claims incurred but not yet reported.</w:t>
      </w:r>
    </w:p>
    <w:p>
      <w:pPr>
        <w:spacing w:after="0" w:line="224" w:lineRule="exact"/>
        <w:rPr>
          <w:rFonts w:ascii="Arial" w:cs="Arial" w:eastAsia="Arial" w:hAnsi="Arial"/>
          <w:sz w:val="18"/>
          <w:szCs w:val="18"/>
          <w:color w:val="auto"/>
        </w:rPr>
      </w:pPr>
    </w:p>
    <w:p>
      <w:pPr>
        <w:ind w:left="340" w:right="220" w:hanging="332"/>
        <w:spacing w:after="0" w:line="261"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Company’s actuarial analysis, including historical claims, to test that the inputs to the actuarial estimate were reasonable.</w:t>
      </w:r>
    </w:p>
    <w:p>
      <w:pPr>
        <w:spacing w:after="0" w:line="224" w:lineRule="exact"/>
        <w:rPr>
          <w:rFonts w:ascii="Arial" w:cs="Arial" w:eastAsia="Arial" w:hAnsi="Arial"/>
          <w:sz w:val="18"/>
          <w:szCs w:val="18"/>
          <w:color w:val="auto"/>
        </w:rPr>
      </w:pPr>
    </w:p>
    <w:p>
      <w:pPr>
        <w:jc w:val="both"/>
        <w:ind w:left="340" w:right="740" w:hanging="332"/>
        <w:spacing w:after="0" w:line="256"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228" w:lineRule="exact"/>
        <w:rPr>
          <w:rFonts w:ascii="Arial" w:cs="Arial" w:eastAsia="Arial" w:hAnsi="Arial"/>
          <w:sz w:val="18"/>
          <w:szCs w:val="18"/>
          <w:color w:val="auto"/>
        </w:rPr>
      </w:pPr>
    </w:p>
    <w:p>
      <w:pPr>
        <w:ind w:left="660" w:right="360" w:hanging="324"/>
        <w:spacing w:after="0" w:line="261" w:lineRule="auto"/>
        <w:rPr>
          <w:rFonts w:ascii="Arial" w:cs="Arial" w:eastAsia="Arial" w:hAnsi="Arial"/>
          <w:sz w:val="18"/>
          <w:szCs w:val="18"/>
          <w:color w:val="auto"/>
        </w:rPr>
      </w:pPr>
      <w:r>
        <w:rPr>
          <w:rFonts w:ascii="Arial" w:cs="Arial" w:eastAsia="Arial" w:hAnsi="Arial"/>
          <w:sz w:val="18"/>
          <w:szCs w:val="18"/>
          <w:color w:val="auto"/>
        </w:rPr>
        <w:t>– Evaluated the reasonableness of the methodologies used in management’s estimate based on actuarial methods followed in the insurance industry associated with such liabilities.</w:t>
      </w:r>
    </w:p>
    <w:p>
      <w:pPr>
        <w:spacing w:after="0" w:line="224" w:lineRule="exact"/>
        <w:rPr>
          <w:rFonts w:ascii="Arial" w:cs="Arial" w:eastAsia="Arial" w:hAnsi="Arial"/>
          <w:sz w:val="18"/>
          <w:szCs w:val="18"/>
          <w:color w:val="auto"/>
        </w:rPr>
      </w:pPr>
    </w:p>
    <w:p>
      <w:pPr>
        <w:ind w:left="660" w:hanging="324"/>
        <w:spacing w:after="0" w:line="256" w:lineRule="auto"/>
        <w:rPr>
          <w:rFonts w:ascii="Arial" w:cs="Arial" w:eastAsia="Arial" w:hAnsi="Arial"/>
          <w:sz w:val="18"/>
          <w:szCs w:val="18"/>
          <w:color w:val="auto"/>
        </w:rPr>
      </w:pPr>
      <w:r>
        <w:rPr>
          <w:rFonts w:ascii="Arial" w:cs="Arial" w:eastAsia="Arial" w:hAnsi="Arial"/>
          <w:sz w:val="18"/>
          <w:szCs w:val="18"/>
          <w:color w:val="auto"/>
        </w:rPr>
        <w:t>– 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Europe, Middle East and Africa (“EMEA”) Reporting Unit - Refer to Notes 2 and 7 to the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7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Company’s evaluation of goodwill for impairment involves the comparison of the carrying value of each reporting unit to its fair value using the present value of expected future cash flows. When appropriate, comparative market multiples and other factors are used to corroborate the discounted cash flow results. When determining fair value, the Company utilizes various assumptions, including, but not limited to, management’s projections of future cash flows, which include forecasts of future revenue and adjusted earnings before interest, taxes, depreciation, and amortization (“Adjusted EBITDA”). A change in these underlying assumptions will cause a</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change in the results of the impairment test and, as such, could cause the fair value to be less than the respective carrying amount. For the Company’s Europe, Middle East and Africa (“EMEA”) reporting unit, the percentage by which the estimated fair value exceeded the carrying value as of the annual impairment testing date was 17% and the amount of goodwill allocated to this reporting unit was $488 million.</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Significant changes in events or conditions, including further impacts of the COVID-19 pandemic on the Company’s business and the travel industry, may impact the Company’s assumptions about future estimated cash flows, the discount rate and market multiples.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Given the significant judgments and assumptions made by management to estimate the fair value of the EMEA reporting unit combined with the estimation uncertainty related to the timing and magnitude of economic recovery, auditing the fair value of the EMEA reporting unit required extensive audit effort and judgment, including the need to involve our fair value specialists, when performing audit procedures to evaluate the reasonableness of management’s estimates and assumptions related to forecasts of future cash flows, specifically related to revenue and Adjusted EBITDA, and the selection of the discount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0"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Our audit procedures related to forecasts of future revenue and Adjusted EBITDA and the selection of the discount rate used by management to estimate the fair value of the EMEA reporting unit included the following, among others:</w:t>
      </w:r>
    </w:p>
    <w:p>
      <w:pPr>
        <w:spacing w:after="0" w:line="224" w:lineRule="exact"/>
        <w:rPr>
          <w:sz w:val="20"/>
          <w:szCs w:val="20"/>
          <w:color w:val="auto"/>
        </w:rPr>
      </w:pPr>
    </w:p>
    <w:p>
      <w:pPr>
        <w:ind w:left="340" w:right="900" w:hanging="332"/>
        <w:spacing w:after="0" w:line="246"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fair value calculation, forecasts of future revenue and Adjusted EBITDA, and the selection of the discount rate.</w:t>
      </w:r>
    </w:p>
    <w:p>
      <w:pPr>
        <w:spacing w:after="0" w:line="223" w:lineRule="exact"/>
        <w:rPr>
          <w:rFonts w:ascii="Arial" w:cs="Arial" w:eastAsia="Arial" w:hAnsi="Arial"/>
          <w:sz w:val="18"/>
          <w:szCs w:val="18"/>
          <w:color w:val="auto"/>
        </w:rPr>
      </w:pPr>
    </w:p>
    <w:p>
      <w:pPr>
        <w:ind w:left="340" w:hanging="332"/>
        <w:spacing w:after="0"/>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fair value specialists, we evaluated the reasonableness of the valuation methodology and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and Adjusted EBITDA forecasts by comparing the forecasts to:</w:t>
      </w:r>
    </w:p>
    <w:p>
      <w:pPr>
        <w:spacing w:after="0" w:line="2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Historical revenue and Adjusted EBITDA.</w:t>
      </w:r>
    </w:p>
    <w:p>
      <w:pPr>
        <w:spacing w:after="0" w:line="23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238" w:lineRule="exact"/>
        <w:rPr>
          <w:rFonts w:ascii="Arial" w:cs="Arial" w:eastAsia="Arial" w:hAnsi="Arial"/>
          <w:sz w:val="18"/>
          <w:szCs w:val="18"/>
          <w:color w:val="auto"/>
        </w:rPr>
      </w:pPr>
    </w:p>
    <w:p>
      <w:pPr>
        <w:ind w:left="660" w:right="180" w:hanging="324"/>
        <w:spacing w:after="0" w:line="246" w:lineRule="auto"/>
        <w:rPr>
          <w:rFonts w:ascii="Arial" w:cs="Arial" w:eastAsia="Arial" w:hAnsi="Arial"/>
          <w:sz w:val="18"/>
          <w:szCs w:val="18"/>
          <w:color w:val="auto"/>
        </w:rPr>
      </w:pPr>
      <w:r>
        <w:rPr>
          <w:rFonts w:ascii="Arial" w:cs="Arial" w:eastAsia="Arial" w:hAnsi="Arial"/>
          <w:sz w:val="18"/>
          <w:szCs w:val="18"/>
          <w:color w:val="auto"/>
        </w:rPr>
        <w:t>– Forecasted information included in Company press releases as well as in analyst and industry reports for the Company and certain of its peer companies.</w:t>
      </w:r>
    </w:p>
    <w:p>
      <w:pPr>
        <w:spacing w:after="0" w:line="223" w:lineRule="exact"/>
        <w:rPr>
          <w:rFonts w:ascii="Arial" w:cs="Arial" w:eastAsia="Arial" w:hAnsi="Arial"/>
          <w:sz w:val="18"/>
          <w:szCs w:val="18"/>
          <w:color w:val="auto"/>
        </w:rPr>
      </w:pPr>
    </w:p>
    <w:p>
      <w:pPr>
        <w:ind w:left="340" w:right="540" w:hanging="332"/>
        <w:spacing w:after="0" w:line="246"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evaluated the reasonableness of management’s assumptions related to the severity of business disruption associated with the COVID-19 pandemic on the EMEA reporting unit and timing of economic recovery by:</w:t>
      </w:r>
    </w:p>
    <w:p>
      <w:pPr>
        <w:spacing w:after="0" w:line="223" w:lineRule="exact"/>
        <w:rPr>
          <w:rFonts w:ascii="Arial" w:cs="Arial" w:eastAsia="Arial" w:hAnsi="Arial"/>
          <w:sz w:val="18"/>
          <w:szCs w:val="18"/>
          <w:color w:val="auto"/>
        </w:rPr>
      </w:pPr>
    </w:p>
    <w:p>
      <w:pPr>
        <w:ind w:left="660" w:right="60" w:hanging="324"/>
        <w:spacing w:after="0" w:line="246" w:lineRule="auto"/>
        <w:rPr>
          <w:rFonts w:ascii="Arial" w:cs="Arial" w:eastAsia="Arial" w:hAnsi="Arial"/>
          <w:sz w:val="18"/>
          <w:szCs w:val="18"/>
          <w:color w:val="auto"/>
        </w:rPr>
      </w:pPr>
      <w:r>
        <w:rPr>
          <w:rFonts w:ascii="Arial" w:cs="Arial" w:eastAsia="Arial" w:hAnsi="Arial"/>
          <w:sz w:val="18"/>
          <w:szCs w:val="18"/>
          <w:color w:val="auto"/>
        </w:rPr>
        <w:t>– Comparing management’s analysis of the expected business disruption from the COVID-19 pandemic on the EMEA reporting unit to the business impacts observed during 2020.</w:t>
      </w:r>
    </w:p>
    <w:p>
      <w:pPr>
        <w:spacing w:after="0" w:line="223" w:lineRule="exact"/>
        <w:rPr>
          <w:rFonts w:ascii="Arial" w:cs="Arial" w:eastAsia="Arial" w:hAnsi="Arial"/>
          <w:sz w:val="18"/>
          <w:szCs w:val="18"/>
          <w:color w:val="auto"/>
        </w:rPr>
      </w:pPr>
    </w:p>
    <w:p>
      <w:pPr>
        <w:ind w:left="660" w:right="340" w:hanging="324"/>
        <w:spacing w:after="0"/>
        <w:rPr>
          <w:rFonts w:ascii="Arial" w:cs="Arial" w:eastAsia="Arial" w:hAnsi="Arial"/>
          <w:sz w:val="18"/>
          <w:szCs w:val="18"/>
          <w:color w:val="auto"/>
        </w:rPr>
      </w:pPr>
      <w:r>
        <w:rPr>
          <w:rFonts w:ascii="Arial" w:cs="Arial" w:eastAsia="Arial" w:hAnsi="Arial"/>
          <w:sz w:val="18"/>
          <w:szCs w:val="18"/>
          <w:color w:val="auto"/>
        </w:rPr>
        <w:t>– Comparing management’s analysis of the timing of economic recovery to external economic recovery and industry forecasts to evaluate contradictory evidence related to management’s assumptions regarding the expected impact of the COVID-19 business disruption and timing of recovery.</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millions, except per share data)</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26"/>
        </w:trPr>
        <w:tc>
          <w:tcPr>
            <w:tcW w:w="70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426"/>
        </w:trPr>
        <w:tc>
          <w:tcPr>
            <w:tcW w:w="70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708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425"/>
        </w:trPr>
        <w:tc>
          <w:tcPr>
            <w:tcW w:w="70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25"/>
        </w:trPr>
        <w:tc>
          <w:tcPr>
            <w:tcW w:w="70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840"/>
          </w:cols>
          <w:pgMar w:left="320" w:top="1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40" w:right="7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7"/>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Avis Budget Group,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jc w:val="center"/>
              <w:ind w:left="247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8"/>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25"/>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72"/>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00"/>
              <w:spacing w:after="0"/>
              <w:rPr>
                <w:sz w:val="20"/>
                <w:szCs w:val="20"/>
                <w:color w:val="auto"/>
              </w:rPr>
            </w:pPr>
            <w:r>
              <w:rPr>
                <w:rFonts w:ascii="Arial" w:cs="Arial" w:eastAsia="Arial" w:hAnsi="Arial"/>
                <w:sz w:val="18"/>
                <w:szCs w:val="18"/>
                <w:color w:val="auto"/>
              </w:rPr>
              <w:t>Currency translation adjustments, net of tax of $23, $(6) and $(8),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7440" w:type="dxa"/>
            <w:vAlign w:val="bottom"/>
          </w:tcPr>
          <w:p>
            <w:pPr>
              <w:ind w:left="480"/>
              <w:spacing w:after="0"/>
              <w:rPr>
                <w:sz w:val="20"/>
                <w:szCs w:val="20"/>
                <w:color w:val="auto"/>
              </w:rPr>
            </w:pPr>
            <w:r>
              <w:rPr>
                <w:rFonts w:ascii="Arial" w:cs="Arial" w:eastAsia="Arial" w:hAnsi="Arial"/>
                <w:sz w:val="18"/>
                <w:szCs w:val="18"/>
                <w:color w:val="auto"/>
              </w:rPr>
              <w:t>Reclassification of currency translation adjustments to earnings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80"/>
              <w:spacing w:after="0"/>
              <w:rPr>
                <w:sz w:val="20"/>
                <w:szCs w:val="20"/>
                <w:color w:val="auto"/>
              </w:rPr>
            </w:pPr>
            <w:r>
              <w:rPr>
                <w:rFonts w:ascii="Arial" w:cs="Arial" w:eastAsia="Arial" w:hAnsi="Arial"/>
                <w:sz w:val="18"/>
                <w:szCs w:val="18"/>
                <w:color w:val="auto"/>
              </w:rPr>
              <w:t>Net unrealized holding gains (losses), net of tax of $14, $7, and $0,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7440" w:type="dxa"/>
            <w:vAlign w:val="bottom"/>
          </w:tcPr>
          <w:p>
            <w:pPr>
              <w:ind w:left="480"/>
              <w:spacing w:after="0" w:line="189" w:lineRule="exact"/>
              <w:rPr>
                <w:sz w:val="20"/>
                <w:szCs w:val="20"/>
                <w:color w:val="auto"/>
              </w:rPr>
            </w:pPr>
            <w:r>
              <w:rPr>
                <w:rFonts w:ascii="Arial" w:cs="Arial" w:eastAsia="Arial" w:hAnsi="Arial"/>
                <w:sz w:val="18"/>
                <w:szCs w:val="18"/>
                <w:color w:val="auto"/>
              </w:rPr>
              <w:t>Reclassification of cash flow hedges to earnings, net of tax of $(3), $1, and $1,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80"/>
              <w:spacing w:after="0"/>
              <w:rPr>
                <w:sz w:val="20"/>
                <w:szCs w:val="20"/>
                <w:color w:val="auto"/>
              </w:rPr>
            </w:pPr>
            <w:r>
              <w:rPr>
                <w:rFonts w:ascii="Arial" w:cs="Arial" w:eastAsia="Arial" w:hAnsi="Arial"/>
                <w:sz w:val="18"/>
                <w:szCs w:val="18"/>
                <w:color w:val="auto"/>
              </w:rPr>
              <w:t>Pension and post-retirement benefits, net of tax of $12, $6, and $6,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8"/>
        </w:trPr>
        <w:tc>
          <w:tcPr>
            <w:tcW w:w="7440" w:type="dxa"/>
            <w:vAlign w:val="bottom"/>
          </w:tcPr>
          <w:p>
            <w:pPr>
              <w:ind w:left="480"/>
              <w:spacing w:after="0" w:line="189" w:lineRule="exact"/>
              <w:rPr>
                <w:sz w:val="20"/>
                <w:szCs w:val="20"/>
                <w:color w:val="auto"/>
              </w:rPr>
            </w:pPr>
            <w:r>
              <w:rPr>
                <w:rFonts w:ascii="Arial" w:cs="Arial" w:eastAsia="Arial" w:hAnsi="Arial"/>
                <w:sz w:val="18"/>
                <w:szCs w:val="18"/>
                <w:color w:val="auto"/>
              </w:rPr>
              <w:t>Reclassification of pension and post-retirement benefits to earnings, net of tax of $(3),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640"/>
              <w:spacing w:after="0"/>
              <w:rPr>
                <w:sz w:val="20"/>
                <w:szCs w:val="20"/>
                <w:color w:val="auto"/>
              </w:rPr>
            </w:pPr>
            <w:r>
              <w:rPr>
                <w:rFonts w:ascii="Arial" w:cs="Arial" w:eastAsia="Arial" w:hAnsi="Arial"/>
                <w:sz w:val="18"/>
                <w:szCs w:val="18"/>
                <w:color w:val="auto"/>
              </w:rPr>
              <w:t>$(2), and $(2), respectively</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Avis Budget Group,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par value)</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162"/>
        </w:trPr>
        <w:tc>
          <w:tcPr>
            <w:tcW w:w="888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6"/>
                <w:szCs w:val="16"/>
                <w:color w:val="auto"/>
              </w:rPr>
            </w:pP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686</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Receivables (net of allowance for doubtful accounts of $60 and $52, respectively)</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911</w:t>
            </w:r>
          </w:p>
        </w:tc>
        <w:tc>
          <w:tcPr>
            <w:tcW w:w="0" w:type="dxa"/>
            <w:vAlign w:val="bottom"/>
          </w:tcPr>
          <w:p>
            <w:pPr>
              <w:spacing w:after="0"/>
              <w:rPr>
                <w:sz w:val="1"/>
                <w:szCs w:val="1"/>
                <w:color w:val="auto"/>
              </w:rPr>
            </w:pPr>
          </w:p>
        </w:tc>
      </w:tr>
      <w:tr>
        <w:trPr>
          <w:trHeight w:val="196"/>
        </w:trPr>
        <w:tc>
          <w:tcPr>
            <w:tcW w:w="8880" w:type="dxa"/>
            <w:vAlign w:val="bottom"/>
          </w:tcPr>
          <w:p>
            <w:pPr>
              <w:ind w:left="200"/>
              <w:spacing w:after="0"/>
              <w:rPr>
                <w:sz w:val="20"/>
                <w:szCs w:val="20"/>
                <w:color w:val="auto"/>
              </w:rPr>
            </w:pPr>
            <w:r>
              <w:rPr>
                <w:rFonts w:ascii="Arial" w:cs="Arial" w:eastAsia="Arial" w:hAnsi="Arial"/>
                <w:sz w:val="13"/>
                <w:szCs w:val="13"/>
                <w:color w:val="auto"/>
              </w:rPr>
              <w:t>Other current assets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75"/>
        </w:trPr>
        <w:tc>
          <w:tcPr>
            <w:tcW w:w="8880" w:type="dxa"/>
            <w:vAlign w:val="bottom"/>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1,795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2,145</w:t>
            </w:r>
          </w:p>
        </w:tc>
        <w:tc>
          <w:tcPr>
            <w:tcW w:w="0" w:type="dxa"/>
            <w:vAlign w:val="bottom"/>
          </w:tcPr>
          <w:p>
            <w:pPr>
              <w:spacing w:after="0"/>
              <w:rPr>
                <w:sz w:val="1"/>
                <w:szCs w:val="1"/>
                <w:color w:val="auto"/>
              </w:rPr>
            </w:pPr>
          </w:p>
        </w:tc>
      </w:tr>
      <w:tr>
        <w:trPr>
          <w:trHeight w:val="297"/>
        </w:trPr>
        <w:tc>
          <w:tcPr>
            <w:tcW w:w="88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792</w:t>
            </w: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2,560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2,596</w:t>
            </w: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Other intangibles, net</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97"/>
        </w:trPr>
        <w:tc>
          <w:tcPr>
            <w:tcW w:w="888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8,365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9,311</w:t>
            </w:r>
          </w:p>
        </w:tc>
        <w:tc>
          <w:tcPr>
            <w:tcW w:w="0" w:type="dxa"/>
            <w:vAlign w:val="bottom"/>
          </w:tcPr>
          <w:p>
            <w:pPr>
              <w:spacing w:after="0"/>
              <w:rPr>
                <w:sz w:val="1"/>
                <w:szCs w:val="1"/>
                <w:color w:val="auto"/>
              </w:rPr>
            </w:pPr>
          </w:p>
        </w:tc>
      </w:tr>
      <w:tr>
        <w:trPr>
          <w:trHeight w:val="269"/>
        </w:trPr>
        <w:tc>
          <w:tcPr>
            <w:tcW w:w="888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Program cash</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Vehicles, net</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12,177</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Receivables from vehicle manufacturers and other</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778</w:t>
            </w:r>
          </w:p>
        </w:tc>
        <w:tc>
          <w:tcPr>
            <w:tcW w:w="0" w:type="dxa"/>
            <w:vAlign w:val="bottom"/>
          </w:tcPr>
          <w:p>
            <w:pPr>
              <w:spacing w:after="0"/>
              <w:rPr>
                <w:sz w:val="1"/>
                <w:szCs w:val="1"/>
                <w:color w:val="auto"/>
              </w:rPr>
            </w:pPr>
          </w:p>
        </w:tc>
      </w:tr>
      <w:tr>
        <w:trPr>
          <w:trHeight w:val="197"/>
        </w:trPr>
        <w:tc>
          <w:tcPr>
            <w:tcW w:w="8880" w:type="dxa"/>
            <w:vAlign w:val="bottom"/>
          </w:tcPr>
          <w:p>
            <w:pPr>
              <w:ind w:left="200"/>
              <w:spacing w:after="0"/>
              <w:rPr>
                <w:sz w:val="20"/>
                <w:szCs w:val="20"/>
                <w:color w:val="auto"/>
              </w:rPr>
            </w:pPr>
            <w:r>
              <w:rPr>
                <w:rFonts w:ascii="Arial" w:cs="Arial" w:eastAsia="Arial" w:hAnsi="Arial"/>
                <w:sz w:val="13"/>
                <w:szCs w:val="13"/>
                <w:color w:val="auto"/>
              </w:rPr>
              <w:t>Investment in Avis Budget Rental Car Funding (AESOP) LLC—related party</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9,173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13,815</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17,538</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23,126</w:t>
            </w:r>
          </w:p>
        </w:tc>
        <w:tc>
          <w:tcPr>
            <w:tcW w:w="0" w:type="dxa"/>
            <w:vAlign w:val="bottom"/>
          </w:tcPr>
          <w:p>
            <w:pPr>
              <w:spacing w:after="0"/>
              <w:rPr>
                <w:sz w:val="1"/>
                <w:szCs w:val="1"/>
                <w:color w:val="auto"/>
              </w:rPr>
            </w:pPr>
          </w:p>
        </w:tc>
      </w:tr>
      <w:tr>
        <w:trPr>
          <w:trHeight w:val="27"/>
        </w:trPr>
        <w:tc>
          <w:tcPr>
            <w:tcW w:w="88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8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Accounts payable and other current liabilities</w:t>
            </w: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2,034</w:t>
            </w:r>
          </w:p>
        </w:tc>
        <w:tc>
          <w:tcPr>
            <w:tcW w:w="100" w:type="dxa"/>
            <w:vAlign w:val="bottom"/>
          </w:tcPr>
          <w:p>
            <w:pPr>
              <w:spacing w:after="0"/>
              <w:rPr>
                <w:sz w:val="16"/>
                <w:szCs w:val="16"/>
                <w:color w:val="auto"/>
              </w:rPr>
            </w:pPr>
          </w:p>
        </w:tc>
        <w:tc>
          <w:tcPr>
            <w:tcW w:w="4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2,206</w:t>
            </w:r>
          </w:p>
        </w:tc>
        <w:tc>
          <w:tcPr>
            <w:tcW w:w="0" w:type="dxa"/>
            <w:vAlign w:val="bottom"/>
          </w:tcPr>
          <w:p>
            <w:pPr>
              <w:spacing w:after="0"/>
              <w:rPr>
                <w:sz w:val="1"/>
                <w:szCs w:val="1"/>
                <w:color w:val="auto"/>
              </w:rPr>
            </w:pPr>
          </w:p>
        </w:tc>
      </w:tr>
      <w:tr>
        <w:trPr>
          <w:trHeight w:val="196"/>
        </w:trPr>
        <w:tc>
          <w:tcPr>
            <w:tcW w:w="8880" w:type="dxa"/>
            <w:vAlign w:val="bottom"/>
          </w:tcPr>
          <w:p>
            <w:pPr>
              <w:ind w:left="200"/>
              <w:spacing w:after="0"/>
              <w:rPr>
                <w:sz w:val="20"/>
                <w:szCs w:val="20"/>
                <w:color w:val="auto"/>
              </w:rPr>
            </w:pPr>
            <w:r>
              <w:rPr>
                <w:rFonts w:ascii="Arial" w:cs="Arial" w:eastAsia="Arial" w:hAnsi="Arial"/>
                <w:sz w:val="13"/>
                <w:szCs w:val="13"/>
                <w:color w:val="auto"/>
              </w:rPr>
              <w:t>Short-term debt and current portion of long-term debt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5"/>
        </w:trPr>
        <w:tc>
          <w:tcPr>
            <w:tcW w:w="888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2,225</w:t>
            </w:r>
          </w:p>
        </w:tc>
        <w:tc>
          <w:tcPr>
            <w:tcW w:w="0" w:type="dxa"/>
            <w:vAlign w:val="bottom"/>
          </w:tcPr>
          <w:p>
            <w:pPr>
              <w:spacing w:after="0"/>
              <w:rPr>
                <w:sz w:val="1"/>
                <w:szCs w:val="1"/>
                <w:color w:val="auto"/>
              </w:rPr>
            </w:pPr>
          </w:p>
        </w:tc>
      </w:tr>
      <w:tr>
        <w:trPr>
          <w:trHeight w:val="297"/>
        </w:trPr>
        <w:tc>
          <w:tcPr>
            <w:tcW w:w="8880" w:type="dxa"/>
            <w:vAlign w:val="bottom"/>
          </w:tcPr>
          <w:p>
            <w:pPr>
              <w:spacing w:after="0"/>
              <w:rPr>
                <w:sz w:val="20"/>
                <w:szCs w:val="20"/>
                <w:color w:val="auto"/>
              </w:rPr>
            </w:pPr>
            <w:r>
              <w:rPr>
                <w:rFonts w:ascii="Arial" w:cs="Arial" w:eastAsia="Arial" w:hAnsi="Arial"/>
                <w:sz w:val="13"/>
                <w:szCs w:val="13"/>
                <w:color w:val="auto"/>
              </w:rPr>
              <w:t>Long-term debt</w:t>
            </w:r>
          </w:p>
        </w:tc>
        <w:tc>
          <w:tcPr>
            <w:tcW w:w="240" w:type="dxa"/>
            <w:vAlign w:val="bottom"/>
          </w:tcPr>
          <w:p>
            <w:pPr>
              <w:spacing w:after="0"/>
              <w:rPr>
                <w:sz w:val="24"/>
                <w:szCs w:val="24"/>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4,191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3,416</w:t>
            </w:r>
          </w:p>
        </w:tc>
        <w:tc>
          <w:tcPr>
            <w:tcW w:w="0" w:type="dxa"/>
            <w:vAlign w:val="bottom"/>
          </w:tcPr>
          <w:p>
            <w:pPr>
              <w:spacing w:after="0"/>
              <w:rPr>
                <w:sz w:val="1"/>
                <w:szCs w:val="1"/>
                <w:color w:val="auto"/>
              </w:rPr>
            </w:pPr>
          </w:p>
        </w:tc>
      </w:tr>
      <w:tr>
        <w:trPr>
          <w:trHeight w:val="189"/>
        </w:trPr>
        <w:tc>
          <w:tcPr>
            <w:tcW w:w="8880" w:type="dxa"/>
            <w:vAlign w:val="bottom"/>
          </w:tcPr>
          <w:p>
            <w:pPr>
              <w:spacing w:after="0"/>
              <w:rPr>
                <w:sz w:val="20"/>
                <w:szCs w:val="20"/>
                <w:color w:val="auto"/>
              </w:rPr>
            </w:pPr>
            <w:r>
              <w:rPr>
                <w:rFonts w:ascii="Arial" w:cs="Arial" w:eastAsia="Arial" w:hAnsi="Arial"/>
                <w:sz w:val="13"/>
                <w:szCs w:val="13"/>
                <w:color w:val="auto"/>
              </w:rPr>
              <w:t>Long-term operating lease liabilities</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2,140</w:t>
            </w:r>
          </w:p>
        </w:tc>
        <w:tc>
          <w:tcPr>
            <w:tcW w:w="0" w:type="dxa"/>
            <w:vAlign w:val="bottom"/>
          </w:tcPr>
          <w:p>
            <w:pPr>
              <w:spacing w:after="0"/>
              <w:rPr>
                <w:sz w:val="1"/>
                <w:szCs w:val="1"/>
                <w:color w:val="auto"/>
              </w:rPr>
            </w:pPr>
          </w:p>
        </w:tc>
      </w:tr>
      <w:tr>
        <w:trPr>
          <w:trHeight w:val="196"/>
        </w:trPr>
        <w:tc>
          <w:tcPr>
            <w:tcW w:w="888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20"/>
                <w:szCs w:val="20"/>
                <w:color w:val="auto"/>
              </w:rPr>
            </w:pPr>
            <w:r>
              <w:rPr>
                <w:rFonts w:ascii="Arial" w:cs="Arial" w:eastAsia="Arial" w:hAnsi="Arial"/>
                <w:sz w:val="13"/>
                <w:szCs w:val="13"/>
                <w:color w:val="auto"/>
              </w:rPr>
              <w:t>Total liabilities exclusive of liabilities under vehicle programs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9,053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w:t>
            </w:r>
          </w:p>
        </w:tc>
        <w:tc>
          <w:tcPr>
            <w:tcW w:w="0" w:type="dxa"/>
            <w:vAlign w:val="bottom"/>
          </w:tcPr>
          <w:p>
            <w:pPr>
              <w:spacing w:after="0"/>
              <w:rPr>
                <w:sz w:val="1"/>
                <w:szCs w:val="1"/>
                <w:color w:val="auto"/>
              </w:rPr>
            </w:pPr>
          </w:p>
        </w:tc>
      </w:tr>
      <w:tr>
        <w:trPr>
          <w:trHeight w:val="270"/>
        </w:trPr>
        <w:tc>
          <w:tcPr>
            <w:tcW w:w="8880" w:type="dxa"/>
            <w:vAlign w:val="bottom"/>
          </w:tcPr>
          <w:p>
            <w:pPr>
              <w:spacing w:after="0"/>
              <w:rPr>
                <w:sz w:val="20"/>
                <w:szCs w:val="20"/>
                <w:color w:val="auto"/>
              </w:rPr>
            </w:pPr>
            <w:r>
              <w:rPr>
                <w:rFonts w:ascii="Arial" w:cs="Arial" w:eastAsia="Arial" w:hAnsi="Arial"/>
                <w:sz w:val="13"/>
                <w:szCs w:val="13"/>
                <w:color w:val="auto"/>
              </w:rPr>
              <w:t>Liabilities under vehicle programs: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Debt</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3,132</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Debt due to Avis Budget Rental Car Funding (AESOP) LLC—related party</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5,080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7,936</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1,383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2,189</w:t>
            </w:r>
          </w:p>
        </w:tc>
        <w:tc>
          <w:tcPr>
            <w:tcW w:w="0" w:type="dxa"/>
            <w:vAlign w:val="bottom"/>
          </w:tcPr>
          <w:p>
            <w:pPr>
              <w:spacing w:after="0"/>
              <w:rPr>
                <w:sz w:val="1"/>
                <w:szCs w:val="1"/>
                <w:color w:val="auto"/>
              </w:rPr>
            </w:pPr>
          </w:p>
        </w:tc>
      </w:tr>
      <w:tr>
        <w:trPr>
          <w:trHeight w:val="196"/>
        </w:trPr>
        <w:tc>
          <w:tcPr>
            <w:tcW w:w="8880" w:type="dxa"/>
            <w:vAlign w:val="bottom"/>
          </w:tcPr>
          <w:p>
            <w:pPr>
              <w:ind w:left="200"/>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8,640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13,932</w:t>
            </w:r>
          </w:p>
        </w:tc>
        <w:tc>
          <w:tcPr>
            <w:tcW w:w="0" w:type="dxa"/>
            <w:vAlign w:val="bottom"/>
          </w:tcPr>
          <w:p>
            <w:pPr>
              <w:spacing w:after="0"/>
              <w:rPr>
                <w:sz w:val="1"/>
                <w:szCs w:val="1"/>
                <w:color w:val="auto"/>
              </w:rPr>
            </w:pPr>
          </w:p>
        </w:tc>
      </w:tr>
      <w:tr>
        <w:trPr>
          <w:trHeight w:val="270"/>
        </w:trPr>
        <w:tc>
          <w:tcPr>
            <w:tcW w:w="8880" w:type="dxa"/>
            <w:vAlign w:val="bottom"/>
          </w:tcPr>
          <w:p>
            <w:pPr>
              <w:spacing w:after="0"/>
              <w:rPr>
                <w:sz w:val="20"/>
                <w:szCs w:val="20"/>
                <w:color w:val="auto"/>
              </w:rPr>
            </w:pPr>
            <w:r>
              <w:rPr>
                <w:rFonts w:ascii="Arial" w:cs="Arial" w:eastAsia="Arial" w:hAnsi="Arial"/>
                <w:sz w:val="13"/>
                <w:szCs w:val="13"/>
                <w:color w:val="auto"/>
              </w:rPr>
              <w:t>Commitments and contingencies (Note 15)</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880" w:type="dxa"/>
            <w:vAlign w:val="bottom"/>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Preferred stock, $.01 par value—authorized 10 shares; none issued and outstanding</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Common stock, $.01 par value—authorized 250 shares; issued 137 shares, respectively</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6,668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6,741</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(785)</w:t>
            </w:r>
          </w:p>
        </w:tc>
        <w:tc>
          <w:tcPr>
            <w:tcW w:w="0" w:type="dxa"/>
            <w:vAlign w:val="bottom"/>
          </w:tcPr>
          <w:p>
            <w:pPr>
              <w:spacing w:after="0"/>
              <w:rPr>
                <w:sz w:val="1"/>
                <w:szCs w:val="1"/>
                <w:color w:val="auto"/>
              </w:rPr>
            </w:pPr>
          </w:p>
        </w:tc>
      </w:tr>
      <w:tr>
        <w:trPr>
          <w:trHeight w:val="189"/>
        </w:trPr>
        <w:tc>
          <w:tcPr>
            <w:tcW w:w="888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96"/>
        </w:trPr>
        <w:tc>
          <w:tcPr>
            <w:tcW w:w="8880" w:type="dxa"/>
            <w:vAlign w:val="bottom"/>
          </w:tcPr>
          <w:p>
            <w:pPr>
              <w:ind w:left="200"/>
              <w:spacing w:after="0"/>
              <w:rPr>
                <w:sz w:val="20"/>
                <w:szCs w:val="20"/>
                <w:color w:val="auto"/>
              </w:rPr>
            </w:pPr>
            <w:r>
              <w:rPr>
                <w:rFonts w:ascii="Arial" w:cs="Arial" w:eastAsia="Arial" w:hAnsi="Arial"/>
                <w:sz w:val="13"/>
                <w:szCs w:val="13"/>
                <w:color w:val="auto"/>
              </w:rPr>
              <w:t>Treasury stock, at cost—67 and 63 shares, respectively</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(5,144)</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83"/>
        </w:trPr>
        <w:tc>
          <w:tcPr>
            <w:tcW w:w="8880" w:type="dxa"/>
            <w:vAlign w:val="bottom"/>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17,538</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23,126</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11"/>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2018</w:t>
            </w:r>
          </w:p>
        </w:tc>
      </w:tr>
      <w:tr>
        <w:trPr>
          <w:trHeight w:val="195"/>
        </w:trPr>
        <w:tc>
          <w:tcPr>
            <w:tcW w:w="77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Vehicle 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(Gain) loss on sale of vehicles,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Early extinguishment of debt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Net change in assets and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Accounts payable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w:t>
            </w:r>
          </w:p>
        </w:tc>
      </w:tr>
      <w:tr>
        <w:trPr>
          <w:trHeight w:val="412"/>
        </w:trPr>
        <w:tc>
          <w:tcPr>
            <w:tcW w:w="77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412"/>
        </w:trPr>
        <w:tc>
          <w:tcPr>
            <w:tcW w:w="770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(12,589)</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Proceeds received on disposition of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9,648</w:t>
            </w: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9"/>
        </w:trPr>
        <w:tc>
          <w:tcPr>
            <w:tcW w:w="7700" w:type="dxa"/>
            <w:vAlign w:val="bottom"/>
          </w:tcPr>
          <w:p>
            <w:pPr>
              <w:ind w:left="160"/>
              <w:spacing w:after="0"/>
              <w:rPr>
                <w:sz w:val="20"/>
                <w:szCs w:val="20"/>
                <w:color w:val="auto"/>
              </w:rPr>
            </w:pPr>
            <w:r>
              <w:rPr>
                <w:rFonts w:ascii="Arial" w:cs="Arial" w:eastAsia="Arial" w:hAnsi="Arial"/>
                <w:sz w:val="16"/>
                <w:szCs w:val="16"/>
                <w:color w:val="auto"/>
              </w:rPr>
              <w:t>Proceeds from debt securities of Avis Budget Rental Car Funding (AESOP)—related party</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7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w:t>
            </w: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r>
      <w:tr>
        <w:trPr>
          <w:trHeight w:val="412"/>
        </w:trPr>
        <w:tc>
          <w:tcPr>
            <w:tcW w:w="77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 exclusive of vehicle programs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17,339</w:t>
            </w: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Payments on borrowings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(16,385)</w:t>
            </w:r>
          </w:p>
        </w:tc>
        <w:tc>
          <w:tcPr>
            <w:tcW w:w="0" w:type="dxa"/>
            <w:vAlign w:val="bottom"/>
          </w:tcPr>
          <w:p>
            <w:pPr>
              <w:spacing w:after="0"/>
              <w:rPr>
                <w:sz w:val="1"/>
                <w:szCs w:val="1"/>
                <w:color w:val="auto"/>
              </w:rPr>
            </w:pPr>
          </w:p>
        </w:tc>
      </w:tr>
      <w:tr>
        <w:trPr>
          <w:trHeight w:val="219"/>
        </w:trPr>
        <w:tc>
          <w:tcPr>
            <w:tcW w:w="7620" w:type="dxa"/>
            <w:vAlign w:val="bottom"/>
          </w:tcPr>
          <w:p>
            <w:pPr>
              <w:ind w:left="160"/>
              <w:spacing w:after="0"/>
              <w:rPr>
                <w:sz w:val="20"/>
                <w:szCs w:val="20"/>
                <w:color w:val="auto"/>
              </w:rPr>
            </w:pPr>
            <w:r>
              <w:rPr>
                <w:rFonts w:ascii="Arial" w:cs="Arial" w:eastAsia="Arial" w:hAnsi="Arial"/>
                <w:sz w:val="16"/>
                <w:szCs w:val="16"/>
                <w:color w:val="auto"/>
              </w:rPr>
              <w:t>Debt financing fees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09"/>
        </w:trPr>
        <w:tc>
          <w:tcPr>
            <w:tcW w:w="7620" w:type="dxa"/>
            <w:vAlign w:val="bottom"/>
          </w:tcPr>
          <w:p>
            <w:pPr>
              <w:spacing w:after="0"/>
              <w:rPr>
                <w:sz w:val="20"/>
                <w:szCs w:val="20"/>
                <w:color w:val="auto"/>
              </w:rPr>
            </w:pPr>
            <w:r>
              <w:rPr>
                <w:rFonts w:ascii="Arial" w:cs="Arial" w:eastAsia="Arial" w:hAnsi="Arial"/>
                <w:sz w:val="16"/>
                <w:szCs w:val="16"/>
                <w:color w:val="auto"/>
              </w:rPr>
              <w:t>Net (decrease) increase in cash and cash equivalents, program and restricted cash</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Interest payments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560" w:type="dxa"/>
            <w:vAlign w:val="bottom"/>
          </w:tcPr>
          <w:p>
            <w:pPr>
              <w:spacing w:after="0"/>
              <w:rPr>
                <w:sz w:val="13"/>
                <w:szCs w:val="13"/>
                <w:color w:val="auto"/>
              </w:rPr>
            </w:pPr>
          </w:p>
        </w:tc>
        <w:tc>
          <w:tcPr>
            <w:tcW w:w="174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76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 Paid-in</w:t>
            </w:r>
          </w:p>
        </w:tc>
        <w:tc>
          <w:tcPr>
            <w:tcW w:w="140" w:type="dxa"/>
            <w:vAlign w:val="bottom"/>
          </w:tcPr>
          <w:p>
            <w:pPr>
              <w:spacing w:after="0"/>
              <w:rPr>
                <w:sz w:val="4"/>
                <w:szCs w:val="4"/>
                <w:color w:val="auto"/>
              </w:rPr>
            </w:pPr>
          </w:p>
        </w:tc>
        <w:tc>
          <w:tcPr>
            <w:tcW w:w="1140" w:type="dxa"/>
            <w:vAlign w:val="bottom"/>
            <w:gridSpan w:val="2"/>
            <w:vMerge w:val="restart"/>
          </w:tcPr>
          <w:p>
            <w:pPr>
              <w:ind w:left="60"/>
              <w:spacing w:after="0" w:line="95"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Income (Loss)</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0"/>
        </w:trPr>
        <w:tc>
          <w:tcPr>
            <w:tcW w:w="2560" w:type="dxa"/>
            <w:vAlign w:val="bottom"/>
          </w:tcPr>
          <w:p>
            <w:pPr>
              <w:spacing w:after="0" w:line="147" w:lineRule="exact"/>
              <w:rPr>
                <w:sz w:val="20"/>
                <w:szCs w:val="20"/>
                <w:color w:val="auto"/>
              </w:rPr>
            </w:pPr>
            <w:r>
              <w:rPr>
                <w:rFonts w:ascii="Arial" w:cs="Arial" w:eastAsia="Arial" w:hAnsi="Arial"/>
                <w:sz w:val="13"/>
                <w:szCs w:val="13"/>
                <w:b w:val="1"/>
                <w:bCs w:val="1"/>
                <w:color w:val="auto"/>
              </w:rPr>
              <w:t>Balance at January 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6,820</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(5,002)</w:t>
            </w:r>
          </w:p>
        </w:tc>
        <w:tc>
          <w:tcPr>
            <w:tcW w:w="120" w:type="dxa"/>
            <w:vAlign w:val="bottom"/>
          </w:tcPr>
          <w:p>
            <w:pPr>
              <w:spacing w:after="0"/>
              <w:rPr>
                <w:sz w:val="13"/>
                <w:szCs w:val="13"/>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b w:val="1"/>
                <w:bCs w:val="1"/>
                <w:color w:val="auto"/>
              </w:rPr>
              <w:t>Comprehensive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b w:val="1"/>
                <w:bCs w:val="1"/>
                <w:color w:val="auto"/>
              </w:rPr>
              <w:t>Total comprehensive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3"/>
                <w:szCs w:val="13"/>
                <w:color w:val="auto"/>
              </w:rPr>
              <w:t>Net activity related to restricted stock units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Arial" w:cs="Arial" w:eastAsia="Arial" w:hAnsi="Arial"/>
                <w:sz w:val="13"/>
                <w:szCs w:val="13"/>
                <w:color w:val="auto"/>
              </w:rPr>
              <w:t>Activity related to employee stock purchase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560" w:type="dxa"/>
            <w:vAlign w:val="bottom"/>
          </w:tcPr>
          <w:p>
            <w:pPr>
              <w:ind w:left="160"/>
              <w:spacing w:after="0"/>
              <w:rPr>
                <w:sz w:val="20"/>
                <w:szCs w:val="20"/>
                <w:color w:val="auto"/>
              </w:rPr>
            </w:pPr>
            <w:r>
              <w:rPr>
                <w:rFonts w:ascii="Arial" w:cs="Arial" w:eastAsia="Arial" w:hAnsi="Arial"/>
                <w:sz w:val="13"/>
                <w:szCs w:val="13"/>
                <w:color w:val="auto"/>
              </w:rPr>
              <w:t>plan</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20"/>
                <w:szCs w:val="20"/>
                <w:color w:val="auto"/>
              </w:rPr>
            </w:pPr>
            <w:r>
              <w:rPr>
                <w:rFonts w:ascii="Arial" w:cs="Arial" w:eastAsia="Arial" w:hAnsi="Arial"/>
                <w:sz w:val="13"/>
                <w:szCs w:val="13"/>
                <w:color w:val="auto"/>
              </w:rPr>
              <w:t>Repurchase of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6,771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(5,134)</w:t>
            </w:r>
          </w:p>
        </w:tc>
        <w:tc>
          <w:tcPr>
            <w:tcW w:w="12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3"/>
                <w:szCs w:val="13"/>
                <w:b w:val="1"/>
                <w:bCs w:val="1"/>
                <w:color w:val="auto"/>
              </w:rPr>
              <w:t>Comprehensive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b w:val="1"/>
                <w:bCs w:val="1"/>
                <w:color w:val="auto"/>
              </w:rPr>
              <w:t>Total comprehensive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color w:val="auto"/>
              </w:rPr>
              <w:t>Net activity related to restricted stock units</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Arial" w:cs="Arial" w:eastAsia="Arial" w:hAnsi="Arial"/>
                <w:sz w:val="13"/>
                <w:szCs w:val="13"/>
                <w:color w:val="auto"/>
              </w:rPr>
              <w:t>Activity related to employee stock purchase</w:t>
            </w:r>
          </w:p>
        </w:tc>
        <w:tc>
          <w:tcPr>
            <w:tcW w:w="82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10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560" w:type="dxa"/>
            <w:vAlign w:val="bottom"/>
          </w:tcPr>
          <w:p>
            <w:pPr>
              <w:ind w:left="160"/>
              <w:spacing w:after="0"/>
              <w:rPr>
                <w:sz w:val="20"/>
                <w:szCs w:val="20"/>
                <w:color w:val="auto"/>
              </w:rPr>
            </w:pPr>
            <w:r>
              <w:rPr>
                <w:rFonts w:ascii="Arial" w:cs="Arial" w:eastAsia="Arial" w:hAnsi="Arial"/>
                <w:sz w:val="13"/>
                <w:szCs w:val="13"/>
                <w:color w:val="auto"/>
              </w:rPr>
              <w:t>plan</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60" w:type="dxa"/>
            <w:vAlign w:val="bottom"/>
          </w:tcPr>
          <w:p>
            <w:pPr>
              <w:spacing w:after="0"/>
              <w:rPr>
                <w:sz w:val="20"/>
                <w:szCs w:val="20"/>
                <w:color w:val="auto"/>
              </w:rPr>
            </w:pPr>
            <w:r>
              <w:rPr>
                <w:rFonts w:ascii="Arial" w:cs="Arial" w:eastAsia="Arial" w:hAnsi="Arial"/>
                <w:sz w:val="13"/>
                <w:szCs w:val="13"/>
                <w:color w:val="auto"/>
              </w:rPr>
              <w:t>Repurchase of common stock</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6,741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(5,144)</w:t>
            </w:r>
          </w:p>
        </w:tc>
        <w:tc>
          <w:tcPr>
            <w:tcW w:w="12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84"/>
        </w:trPr>
        <w:tc>
          <w:tcPr>
            <w:tcW w:w="2560" w:type="dxa"/>
            <w:vAlign w:val="bottom"/>
          </w:tcPr>
          <w:p>
            <w:pPr>
              <w:spacing w:after="0"/>
              <w:rPr>
                <w:sz w:val="20"/>
                <w:szCs w:val="20"/>
                <w:color w:val="auto"/>
              </w:rPr>
            </w:pPr>
            <w:r>
              <w:rPr>
                <w:rFonts w:ascii="Arial" w:cs="Arial" w:eastAsia="Arial" w:hAnsi="Arial"/>
                <w:sz w:val="13"/>
                <w:szCs w:val="13"/>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Net loss</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3"/>
                <w:szCs w:val="13"/>
                <w:b w:val="1"/>
                <w:bCs w:val="1"/>
                <w:color w:val="auto"/>
              </w:rPr>
              <w:t>Total comprehensive 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Net activity related to restricted stock units</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5"/>
        </w:trPr>
        <w:tc>
          <w:tcPr>
            <w:tcW w:w="2560" w:type="dxa"/>
            <w:vAlign w:val="bottom"/>
          </w:tcPr>
          <w:p>
            <w:pPr>
              <w:spacing w:after="0" w:line="145" w:lineRule="exact"/>
              <w:rPr>
                <w:sz w:val="20"/>
                <w:szCs w:val="20"/>
                <w:color w:val="auto"/>
              </w:rPr>
            </w:pPr>
            <w:r>
              <w:rPr>
                <w:rFonts w:ascii="Arial" w:cs="Arial" w:eastAsia="Arial" w:hAnsi="Arial"/>
                <w:sz w:val="13"/>
                <w:szCs w:val="13"/>
                <w:color w:val="auto"/>
              </w:rPr>
              <w:t>Activity related to employee stock purchase</w:t>
            </w:r>
          </w:p>
        </w:tc>
        <w:tc>
          <w:tcPr>
            <w:tcW w:w="820" w:type="dxa"/>
            <w:vAlign w:val="bottom"/>
            <w:gridSpan w:val="2"/>
            <w:vMerge w:val="restart"/>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10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560" w:type="dxa"/>
            <w:vAlign w:val="bottom"/>
          </w:tcPr>
          <w:p>
            <w:pPr>
              <w:ind w:left="160"/>
              <w:spacing w:after="0"/>
              <w:rPr>
                <w:sz w:val="20"/>
                <w:szCs w:val="20"/>
                <w:color w:val="auto"/>
              </w:rPr>
            </w:pPr>
            <w:r>
              <w:rPr>
                <w:rFonts w:ascii="Arial" w:cs="Arial" w:eastAsia="Arial" w:hAnsi="Arial"/>
                <w:sz w:val="13"/>
                <w:szCs w:val="13"/>
                <w:color w:val="auto"/>
              </w:rPr>
              <w:t>plan</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3"/>
                <w:szCs w:val="13"/>
                <w:color w:val="auto"/>
              </w:rPr>
              <w:t>Repurchase of common stock</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70"/>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56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(5,167)</w:t>
            </w:r>
          </w:p>
        </w:tc>
        <w:tc>
          <w:tcPr>
            <w:tcW w:w="1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3"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the “Company”).</w:t>
      </w:r>
    </w:p>
    <w:p>
      <w:pPr>
        <w:spacing w:after="0" w:line="1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30" w:lineRule="exact"/>
        <w:rPr>
          <w:rFonts w:ascii="Arial" w:cs="Arial" w:eastAsia="Arial" w:hAnsi="Arial"/>
          <w:sz w:val="18"/>
          <w:szCs w:val="18"/>
          <w:b w:val="1"/>
          <w:bCs w:val="1"/>
          <w:color w:val="auto"/>
        </w:rPr>
      </w:pPr>
    </w:p>
    <w:p>
      <w:pPr>
        <w:ind w:left="1300" w:right="80" w:hanging="482"/>
        <w:spacing w:after="0" w:line="268"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97" w:lineRule="exact"/>
        <w:rPr>
          <w:rFonts w:ascii="Arial" w:cs="Arial" w:eastAsia="Arial" w:hAnsi="Arial"/>
          <w:sz w:val="18"/>
          <w:szCs w:val="18"/>
          <w:color w:val="auto"/>
        </w:rPr>
      </w:pPr>
    </w:p>
    <w:p>
      <w:pPr>
        <w:ind w:left="1300" w:right="40" w:hanging="482"/>
        <w:spacing w:after="0" w:line="268"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the Company does not operate directly.</w:t>
      </w:r>
    </w:p>
    <w:p>
      <w:pPr>
        <w:spacing w:after="0" w:line="220" w:lineRule="exact"/>
        <w:rPr>
          <w:sz w:val="20"/>
          <w:szCs w:val="20"/>
          <w:color w:val="auto"/>
        </w:rPr>
      </w:pPr>
    </w:p>
    <w:p>
      <w:pPr>
        <w:ind w:left="500" w:right="260"/>
        <w:spacing w:after="0" w:line="256" w:lineRule="auto"/>
        <w:rPr>
          <w:sz w:val="20"/>
          <w:szCs w:val="20"/>
          <w:color w:val="auto"/>
        </w:rPr>
      </w:pPr>
      <w:r>
        <w:rPr>
          <w:rFonts w:ascii="Arial" w:cs="Arial" w:eastAsia="Arial" w:hAnsi="Arial"/>
          <w:sz w:val="18"/>
          <w:szCs w:val="18"/>
          <w:color w:val="auto"/>
        </w:rPr>
        <w:t>The Company has completed the business acquisitions discussed in Note 6 to these Consolidated Financial Statements. The operating results of the acquired businesses are included in the accompanying Consolidated Financial Statements from the dates of acquisition.</w:t>
      </w:r>
    </w:p>
    <w:p>
      <w:pPr>
        <w:spacing w:after="0" w:line="148"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Company presents separately the financial data of its vehicle programs. These programs are distinct from the 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Liquidity and Management’s Plans</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continuing cases of COVID-19 and the developments surrounding the pandemic have had a material negative impact on all aspects of the Company’s business. Significant events affecting travel and the overall economy have historically had an impact on vehicle rental volumes, with the full extent of the impact generally determined by the length of time the event influences travel decisions as well as general economic conditions. The COVID-19 outbreak and resulting economic conditions have had, and the Company believes will continue to have, a significant adverse impact on its operations and vehicle rental volumes, and on its financial results and liquidity, and such negative impact may continue well beyond the containment of the outbreak.</w:t>
      </w:r>
    </w:p>
    <w:p>
      <w:pPr>
        <w:spacing w:after="0" w:line="235"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Company cannot assure its assumptions used to estimate its liquidity requirements will be correct because it has never previously experienced such a change in demand, and as a consequence, its ability to be predictive is uncertain. In addition, the duration of the pandemic is uncertain. Therefore, the Company has taken, and plans to take further actions to manage its liquidity, including reducing capital expenditures, operating expenses and the number of vehicles in its fleet. The Company has no meaningful corporate debt maturities until 2023. The Company plans to finance the routine Asset Backed Securities (“ABS”) maturities with program cash on hand, available revolving debt capacity and fleet sales. As a result, based on current operational assumptions, the Company believes it has adequate liquidity beyond the next twelve months.</w:t>
      </w:r>
    </w:p>
    <w:p>
      <w:pPr>
        <w:spacing w:after="0" w:line="234" w:lineRule="exact"/>
        <w:rPr>
          <w:sz w:val="20"/>
          <w:szCs w:val="20"/>
          <w:color w:val="auto"/>
        </w:rPr>
      </w:pPr>
    </w:p>
    <w:p>
      <w:pPr>
        <w:ind w:left="500" w:right="80"/>
        <w:spacing w:after="0" w:line="273" w:lineRule="auto"/>
        <w:rPr>
          <w:sz w:val="20"/>
          <w:szCs w:val="20"/>
          <w:color w:val="auto"/>
        </w:rPr>
      </w:pPr>
      <w:r>
        <w:rPr>
          <w:rFonts w:ascii="Arial" w:cs="Arial" w:eastAsia="Arial" w:hAnsi="Arial"/>
          <w:sz w:val="17"/>
          <w:szCs w:val="17"/>
          <w:color w:val="auto"/>
        </w:rPr>
        <w:t>In April 2020, the Company entered into an amendment (the “Amendment”) to its senior credit facilities, consisting of an approximately $1.2 billion term loan maturing in 2027 and a $1.8 billion revolving credit facility maturing in 2023, which remain in place after the Amendment. The Amendment provides for relief from the quarterly-tested leverage covenant contained in the credit agreement governing the senior credit facilities until the end of a specific relief period, including a holiday from such leverage covenant through</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right="120"/>
        <w:spacing w:after="0" w:line="256" w:lineRule="auto"/>
        <w:rPr>
          <w:sz w:val="20"/>
          <w:szCs w:val="20"/>
          <w:color w:val="auto"/>
        </w:rPr>
      </w:pPr>
      <w:r>
        <w:rPr>
          <w:rFonts w:ascii="Arial" w:cs="Arial" w:eastAsia="Arial" w:hAnsi="Arial"/>
          <w:sz w:val="18"/>
          <w:szCs w:val="18"/>
          <w:color w:val="auto"/>
        </w:rPr>
        <w:t>June 30, 2021, during which time (i) certain negative covenant exceptions are not available to the Company, (ii) pricing on the senior credit facilities is increased, (iii) the Company must comply with a liquidity covenant and additional reporting requirements and (iv) the Company must meet additional conditions to borrow under the revolving credit facility.</w:t>
      </w:r>
    </w:p>
    <w:p>
      <w:pPr>
        <w:spacing w:after="0" w:line="207" w:lineRule="exact"/>
        <w:rPr>
          <w:sz w:val="20"/>
          <w:szCs w:val="20"/>
          <w:color w:val="auto"/>
        </w:rPr>
      </w:pPr>
    </w:p>
    <w:p>
      <w:pPr>
        <w:ind w:left="500" w:right="6940" w:hanging="492"/>
        <w:spacing w:after="0" w:line="451" w:lineRule="auto"/>
        <w:tabs>
          <w:tab w:leader="none" w:pos="48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the Company and all entities in which it has a direct or indirect controlling financial interest and variable interest entities for which the Company has determined it is the primary beneficiary. Intercompany transactions have been eliminated in consolidation.</w:t>
      </w:r>
    </w:p>
    <w:p>
      <w:pPr>
        <w:spacing w:after="0" w:line="1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and Assumptions</w:t>
      </w:r>
    </w:p>
    <w:p>
      <w:pPr>
        <w:spacing w:after="0" w:line="193" w:lineRule="exact"/>
        <w:rPr>
          <w:rFonts w:ascii="Arial" w:cs="Arial" w:eastAsia="Arial" w:hAnsi="Arial"/>
          <w:sz w:val="18"/>
          <w:szCs w:val="18"/>
          <w:b w:val="1"/>
          <w:bCs w:val="1"/>
          <w:color w:val="auto"/>
        </w:rPr>
      </w:pPr>
    </w:p>
    <w:p>
      <w:pPr>
        <w:ind w:left="500" w:right="3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74" w:lineRule="exact"/>
        <w:rPr>
          <w:rFonts w:ascii="Arial" w:cs="Arial" w:eastAsia="Arial" w:hAnsi="Arial"/>
          <w:sz w:val="18"/>
          <w:szCs w:val="18"/>
          <w:b w:val="1"/>
          <w:bCs w:val="1"/>
          <w:color w:val="auto"/>
        </w:rPr>
      </w:pPr>
    </w:p>
    <w:p>
      <w:pPr>
        <w:ind w:left="500" w:right="1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Company derives revenues primarily by providing vehicle rentals and other related products and mobility services to commercial and leisure customers, as well as through licensing of its rental brands.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238"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Beginning January 1, 2018, the Company recognized revenue when obligations under the terms of a contract with the customer were satisfied; generally this occurred evenly over the contract (over time); when control of the promised products or services was transferred to the customer. Revenue was measured as the amount of consideration the Company expected to be entitled to receive in exchange for transferring products or services. Certain customers may have received cash-based rebates, which were accounted for as variable consideration. The Company estimated these rebates based on the expected amount to be provided to customers and reduced revenue recognized. Vehicle rental and rental-related revenues were recognized evenly over the period of rental.</w:t>
      </w:r>
    </w:p>
    <w:p>
      <w:pPr>
        <w:spacing w:after="0" w:line="234" w:lineRule="exact"/>
        <w:rPr>
          <w:rFonts w:ascii="Arial" w:cs="Arial" w:eastAsia="Arial" w:hAnsi="Arial"/>
          <w:sz w:val="18"/>
          <w:szCs w:val="18"/>
          <w:b w:val="1"/>
          <w:bCs w:val="1"/>
          <w:color w:val="auto"/>
        </w:rPr>
      </w:pPr>
    </w:p>
    <w:p>
      <w:pPr>
        <w:ind w:left="50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Beginning January 1, 2019, the Company combined all lease and non-lease components of its vehicle rental contracts for which the timing and pattern of transfer are the same and the lease component meets the classification of an operating lease. For the years ended December 31, 2020 and 2019, vehicle rentals and other related products and mobility services are recognized evenly over the period of rental, which is on average five and four days, respectively. (See Note 3–Leases).</w:t>
      </w:r>
    </w:p>
    <w:p>
      <w:pPr>
        <w:spacing w:after="0" w:line="230" w:lineRule="exact"/>
        <w:rPr>
          <w:rFonts w:ascii="Arial" w:cs="Arial" w:eastAsia="Arial" w:hAnsi="Arial"/>
          <w:sz w:val="18"/>
          <w:szCs w:val="18"/>
          <w:b w:val="1"/>
          <w:bCs w:val="1"/>
          <w:color w:val="auto"/>
        </w:rPr>
      </w:pPr>
    </w:p>
    <w:p>
      <w:pPr>
        <w:ind w:left="50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The Company excludes from the measurement of its transaction price any tax assessed by a governmental authority that is both imposed on and concurrent with a specific revenue-producing transaction and collected from a customer. As a result, revenue is recorded net of such taxes collected.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232" w:lineRule="exact"/>
        <w:rPr>
          <w:sz w:val="20"/>
          <w:szCs w:val="20"/>
          <w:color w:val="auto"/>
        </w:rPr>
      </w:pPr>
    </w:p>
    <w:p>
      <w:pPr>
        <w:ind w:left="500" w:right="580"/>
        <w:spacing w:after="0" w:line="256" w:lineRule="auto"/>
        <w:rPr>
          <w:sz w:val="20"/>
          <w:szCs w:val="20"/>
          <w:color w:val="auto"/>
        </w:rPr>
      </w:pPr>
      <w:r>
        <w:rPr>
          <w:rFonts w:ascii="Arial" w:cs="Arial" w:eastAsia="Arial" w:hAnsi="Arial"/>
          <w:sz w:val="18"/>
          <w:szCs w:val="18"/>
          <w:color w:val="auto"/>
        </w:rPr>
        <w:t>Effective January 1, 2019, revenues are recognized under ASU 2016-02, “Leases (Topic 842),” with the exception of royalty fee revenue derived from the Company licensees and revenue related to the Company’s customer loyalty program, which were approximately $159 million and $144 million for the years ended December 31, 2020 and 2019, respectively.</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The following table presents the Company’s revenues disaggregated by geography.</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120" w:type="dxa"/>
            <w:vAlign w:val="bottom"/>
          </w:tcPr>
          <w:p>
            <w:pPr>
              <w:spacing w:after="0"/>
              <w:rPr>
                <w:sz w:val="22"/>
                <w:szCs w:val="22"/>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Europe, Middle East and Africa</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Asia and Australasia</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71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1"/>
        </w:trPr>
        <w:tc>
          <w:tcPr>
            <w:tcW w:w="7120" w:type="dxa"/>
            <w:vAlign w:val="bottom"/>
            <w:vMerge w:val="restart"/>
          </w:tcPr>
          <w:p>
            <w:pPr>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20" w:type="dxa"/>
            <w:vAlign w:val="bottom"/>
          </w:tcPr>
          <w:p>
            <w:pPr>
              <w:spacing w:after="0"/>
              <w:rPr>
                <w:sz w:val="22"/>
                <w:szCs w:val="22"/>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60"/>
              <w:spacing w:after="0"/>
              <w:rPr>
                <w:sz w:val="20"/>
                <w:szCs w:val="20"/>
                <w:color w:val="auto"/>
              </w:rPr>
            </w:pPr>
            <w:r>
              <w:rPr>
                <w:rFonts w:ascii="Arial" w:cs="Arial" w:eastAsia="Arial" w:hAnsi="Arial"/>
                <w:sz w:val="18"/>
                <w:szCs w:val="18"/>
                <w:color w:val="auto"/>
              </w:rPr>
              <w:t>Avis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Budget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71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74"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generally equivalent to the estimated retail value of points expected to be redeemed. The Company estimates points that will never be redeemed based upon actual redemption and expiration patterns. Currently loyalty points expire after 12 months of member inactivity. Future changes to expiration assumptions or expiration policy, or to program rules, may result in changes to deferred revenue as well as recognized revenues from the program.</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the Company’s customer loyalty program.</w:t>
      </w:r>
    </w:p>
    <w:p>
      <w:pPr>
        <w:spacing w:after="0" w:line="271"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68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January 1</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64</w:t>
            </w:r>
          </w:p>
        </w:tc>
      </w:tr>
      <w:tr>
        <w:trPr>
          <w:trHeight w:val="230"/>
        </w:trPr>
        <w:tc>
          <w:tcPr>
            <w:tcW w:w="688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114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17</w:t>
            </w:r>
          </w:p>
        </w:tc>
      </w:tr>
      <w:tr>
        <w:trPr>
          <w:trHeight w:val="229"/>
        </w:trPr>
        <w:tc>
          <w:tcPr>
            <w:tcW w:w="688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December 31</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59</w:t>
            </w:r>
          </w:p>
        </w:tc>
      </w:tr>
      <w:tr>
        <w:trPr>
          <w:trHeight w:val="20"/>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ind w:left="500"/>
        <w:spacing w:after="0" w:line="258" w:lineRule="auto"/>
        <w:rPr>
          <w:sz w:val="20"/>
          <w:szCs w:val="20"/>
          <w:color w:val="auto"/>
        </w:rPr>
      </w:pPr>
      <w:r>
        <w:rPr>
          <w:rFonts w:ascii="Arial" w:cs="Arial" w:eastAsia="Arial" w:hAnsi="Arial"/>
          <w:sz w:val="14"/>
          <w:szCs w:val="14"/>
          <w:color w:val="auto"/>
        </w:rPr>
        <w:t>At December 31, 2020 and 2019, $17 million and $22 million was included in accounts payable and other current liabilities, respectively, and $17 million and $37 million, respectively, in other non-current liabilities. Non-current amounts are expected to be recognized as revenue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9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The accumulated currency translation adjustment as of December 31, 2020 and 2019 were gains of $40 million and $9 million, respectively. The Company has designated its euro-denominated Notes as a hedge of its investment in euro-denominated foreign operations and, accordingly, records the effective portion of gains or losses on this net investment hedge in accumulated other comprehensive income (loss) as part of currency translation adjustments.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93"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The Company considers highly liquid investments purchased with an original maturity of three months or less to be cash equivalents. Program cash primarily represents amounts specifically designated to purchase assets under vehicle programs and/or to repay the related debt, as such the Company considers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239"/>
        </w:trPr>
        <w:tc>
          <w:tcPr>
            <w:tcW w:w="688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Program cash</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0"/>
                <w:szCs w:val="10"/>
                <w:color w:val="auto"/>
              </w:rPr>
              <w:t>(a)</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1"/>
        </w:trPr>
        <w:tc>
          <w:tcPr>
            <w:tcW w:w="6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198" w:lineRule="auto"/>
        <w:tabs>
          <w:tab w:leader="none" w:pos="82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ectPr>
          <w:pgSz w:w="11900" w:h="16838" w:orient="portrait"/>
          <w:cols w:equalWidth="0" w:num="1">
            <w:col w:w="11180"/>
          </w:cols>
          <w:pgMar w:left="320" w:top="140" w:right="399" w:bottom="1440" w:gutter="0" w:footer="0" w:header="0"/>
        </w:sectPr>
      </w:pP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 to 10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to 15 years</w:t>
      </w:r>
    </w:p>
    <w:p>
      <w:pPr>
        <w:spacing w:after="0" w:line="182" w:lineRule="exact"/>
        <w:rPr>
          <w:sz w:val="20"/>
          <w:szCs w:val="20"/>
          <w:color w:val="auto"/>
        </w:rPr>
      </w:pPr>
    </w:p>
    <w:p>
      <w:pPr>
        <w:sectPr>
          <w:pgSz w:w="11900" w:h="16838" w:orient="portrait"/>
          <w:cols w:equalWidth="0" w:num="2">
            <w:col w:w="5100" w:space="720"/>
            <w:col w:w="5360"/>
          </w:cols>
          <w:pgMar w:left="320" w:top="140" w:right="399" w:bottom="1440" w:gutter="0" w:footer="0" w:header="0"/>
          <w:type w:val="continuous"/>
        </w:sectPr>
      </w:pPr>
    </w:p>
    <w:p>
      <w:pPr>
        <w:ind w:left="500"/>
        <w:spacing w:after="0" w:line="253" w:lineRule="auto"/>
        <w:rPr>
          <w:sz w:val="20"/>
          <w:szCs w:val="20"/>
          <w:color w:val="auto"/>
        </w:rPr>
      </w:pPr>
      <w:r>
        <w:rPr>
          <w:rFonts w:ascii="Arial" w:cs="Arial" w:eastAsia="Arial" w:hAnsi="Arial"/>
          <w:sz w:val="18"/>
          <w:szCs w:val="18"/>
          <w:color w:val="auto"/>
        </w:rPr>
        <w:t>The Company capitalizes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$265 million and $261 million as of December 31, 2020 and 2019, respectively.</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74"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The Company does not amortize goodwill, but assesses it for impairment at least annually and whenever events or changes in circumstances indicate that the carrying amounts of their respective reporting units exceed their fair values. The Company performs its annual impairment assessment in the fourth quarter of each year at the reporting unit level. The Company assesses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15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is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93" w:lineRule="exact"/>
        <w:rPr>
          <w:sz w:val="20"/>
          <w:szCs w:val="20"/>
          <w:color w:val="auto"/>
        </w:rPr>
      </w:pPr>
    </w:p>
    <w:p>
      <w:pPr>
        <w:ind w:left="500" w:right="40"/>
        <w:spacing w:after="0" w:line="270" w:lineRule="auto"/>
        <w:rPr>
          <w:sz w:val="20"/>
          <w:szCs w:val="20"/>
          <w:color w:val="auto"/>
        </w:rPr>
      </w:pPr>
      <w:r>
        <w:rPr>
          <w:rFonts w:ascii="Arial" w:cs="Arial" w:eastAsia="Arial" w:hAnsi="Arial"/>
          <w:sz w:val="17"/>
          <w:szCs w:val="17"/>
          <w:color w:val="auto"/>
        </w:rPr>
        <w:t>Vehicles are stated at cost, net of accumulated depreciation. The initial cost of the vehicles is recorded net of incentives and allowances from manufacturers. The Company acquires a portion of its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The Company depreciates vehicles such that the net book value on the date of return to the manufacturers is intended to equal the contractual guaranteed residual values, thereby minimizing any gain or loss.</w:t>
      </w:r>
    </w:p>
    <w:p>
      <w:pPr>
        <w:spacing w:after="0" w:line="139" w:lineRule="exact"/>
        <w:rPr>
          <w:sz w:val="20"/>
          <w:szCs w:val="20"/>
          <w:color w:val="auto"/>
        </w:rPr>
      </w:pPr>
    </w:p>
    <w:p>
      <w:pPr>
        <w:jc w:val="both"/>
        <w:ind w:left="500" w:right="40"/>
        <w:spacing w:after="0" w:line="256"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48"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The estimation of residual values requires the Company to make assumptions regarding the age and mileage of the car at the time of disposal, as well as expected used vehicle auction market conditions. The Company regularly evaluates estimated residual values and adjusts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$12 million, $15 million and $15 million for 2020, 2019 and 2018, respectively.</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93"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Advertising costs are generally expensed in the period incurred and are recorded within selling, general and administrative expense in the Company’s Consolidated Statements of Operations. During 2020, 2019 and 2018, advertising costs were approximately $54 million, $121 million and $116 million,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For information regarding the accounting for the effects of the Tax Cuts and Jobs Act (the “Tax Act”), see Note 9-Income Taxes. As a result of the provisions of the Tax Act, the Company accounts for Global Intangible Low-Taxed Income (“GILTI”) as a component of current period income tax expense in the year incurred.</w:t>
      </w:r>
    </w:p>
    <w:p>
      <w:pPr>
        <w:spacing w:after="0" w:line="151"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records net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In the event the Company were to determine that it would be able to realize the deferred income tax assets in the future in excess of their net recorded amount, the Company would adjust the valuation allowance, which would reduce the provision for income taxes.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left="500" w:right="260"/>
        <w:spacing w:after="0" w:line="254" w:lineRule="auto"/>
        <w:rPr>
          <w:sz w:val="20"/>
          <w:szCs w:val="20"/>
          <w:color w:val="auto"/>
        </w:rPr>
      </w:pPr>
      <w:r>
        <w:rPr>
          <w:rFonts w:ascii="Arial" w:cs="Arial" w:eastAsia="Arial" w:hAnsi="Arial"/>
          <w:sz w:val="18"/>
          <w:szCs w:val="18"/>
          <w:color w:val="auto"/>
        </w:rPr>
        <w:t>The Company measures the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50"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fair value of the Company’s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the Company has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Company’s derivative assets and liabilities consist principally of currency exchange contracts, interest rate swaps, interest rate caps and commodity contracts, and are carried at fair value based on significant observable inputs (Level 2 inputs). Derivatives entered into by the Company are typically executed over-the-counter and are valued using internal valuation techniques, as no quoted market prices exist for such instruments. The valuation technique and inputs depend on the type of derivative and the nature of the underlying exposure. The Company principally uses discounted cash flows to value these instruments. These models take into account a variety of factors including, where applicable, maturity, currency exchange rates, interest rate yield curves of the Company and counterparties, credit curves, counterparty creditworthiness and commodity prices. These factors are applied on a consistent basis and are based upon observable inputs where available.</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3"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Derivative instruments are used as part of the Company’s overall strategy to manage exposure to market risks associated with fluctuations in currency exchange rates, interest rates and gasoline costs. As a matter of policy, derivatives are not used for trading or speculative purposes.</w:t>
      </w:r>
    </w:p>
    <w:p>
      <w:pPr>
        <w:spacing w:after="0" w:line="148"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280"/>
        <w:spacing w:after="0" w:line="256" w:lineRule="auto"/>
        <w:rPr>
          <w:sz w:val="20"/>
          <w:szCs w:val="20"/>
          <w:color w:val="auto"/>
        </w:rPr>
      </w:pPr>
      <w:r>
        <w:rPr>
          <w:rFonts w:ascii="Arial" w:cs="Arial" w:eastAsia="Arial" w:hAnsi="Arial"/>
          <w:sz w:val="18"/>
          <w:szCs w:val="18"/>
          <w:color w:val="auto"/>
        </w:rPr>
        <w:t>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93" w:lineRule="exact"/>
        <w:rPr>
          <w:sz w:val="20"/>
          <w:szCs w:val="20"/>
          <w:color w:val="auto"/>
        </w:rPr>
      </w:pPr>
    </w:p>
    <w:p>
      <w:pPr>
        <w:jc w:val="both"/>
        <w:ind w:left="500" w:right="700"/>
        <w:spacing w:after="0" w:line="256"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93"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Consolidated Balance Sheets include $ 396 million and $441 million of liabilities associated with retained risks of liability to third parties as of December 31, 2020 and 2019,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for which the Company is ultimately liable and changes in the cost per incident. These amounts are included within accounts payable and other current liabilities and other non-current liabilities.</w:t>
      </w:r>
    </w:p>
    <w:p>
      <w:pPr>
        <w:spacing w:after="0" w:line="15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Consolidated Balance Sheets also include liabilities of approximately $53 million and $56 million as of December 31, 2020 and 2019,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The Company’s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the Company’s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the Company’s publicly traded, near-the-money stock options, and the valuation period is based on the vesting period of the awards. The risk-free interest rate is derived from the U.S. Treasury yield curve in effect at the time of grant and, since the Company does not currently pay or plan to pay a dividend on its common stock, the expected dividend yield was zero.</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3"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The Company uses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44"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The Company records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93"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related to acquisition-related activities such as due-diligence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Joint venture investments are typically accounted for under the equity method of accounting. Under this method, the Company records its proportional share of the joint venture’s net income or loss within operating expenses in the Consolidated Statements of Operations. The Company assesses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2020 and 2019, the Company had investments in joint ventures with a carrying value of $63 million and $56 million, respectively, recorded within other non-current assets on the Consolidated Balance Sheets.</w:t>
      </w:r>
    </w:p>
    <w:p>
      <w:pPr>
        <w:spacing w:after="0" w:line="153"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2020, 2019 and 2018, the amounts realized from the sale of equity investments and dividend income was $5 million, $10 million and $5 million, respectively.</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and assesses their fair value each reporting period until disposed. When the divestiture represents a strategic shift that has, or will have, a major effect on the Company’s operations and financial results, the disposal is presented as a discontinued operation.</w:t>
      </w:r>
    </w:p>
    <w:p>
      <w:pPr>
        <w:spacing w:after="0" w:line="151"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2018, the Company entered into a definitive stock purchase agreement to sell the Company’s 50% equity method investment in Anji Car Rental &amp; Leasing Company Limited (“China”), located in China, to Shanghai Automotive Industry Sales Company, Ltd., a 50% owner of China. Upon receiving clearance from applicable regulatory authorities in China during 2019, the Company completed the sale for $64 million, net of cross-border withholding taxes and recorded a $44 million gain within operating expenses. China’s operations are reported within the Company’s International segment.</w:t>
      </w:r>
    </w:p>
    <w:p>
      <w:pPr>
        <w:spacing w:after="0" w:line="151"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color w:val="auto"/>
        </w:rPr>
        <w:t>During 2018, as a result of the sale of a non-core business, the Company recognized a gain of $4 million within operating expenses on the Consolidated Statements of Operations.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193"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The Company applies the measurement alternative, which allows these investments to be recorded at cost, less impairment, if any, and subsequently adjust for observable price changes of identical or similar</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investments of the same issuer. Any changes in value are recorded within operating expenses. As of December 31, 2020 and 2019, the Company had investments in nonmarketable equity securities recorded within other non-current assets with a carrying value of $8 million, respectively. The Company realized a $12 million gain from the sale of a nonmarketable equity security during the year ended December 31, 2019. There were no material adjustments made to the carrying amounts of nonmarketable equity securities during the years ended December 31, 2020 and 2019.</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70"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On January 1, 2020, as the result of a new accounting pronouncement, the Company adopted Accounting Standard Update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operations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The adoption of this accounting pronouncement did not have a material impact on the Company's Consolidated Financial Statements.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On January 1, 2020, as the result of a new accounting pronouncement, the Company adopted ASU 2018-13, “Disclosure Framework— Changes to the Disclosure Requirements for Fair Value Measurement,” which adds, removes, and modifies disclosure requirements related to fair value measurements. The adoption of this accounting pronouncement did not have a material impact on the Company's Consolidated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7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On January 1, 2020, as the result of a new accounting pronouncement, the Company adopted ASU 2016-13, “Financial Instruments— Credit Losses (Topic 326): Measurement of Credit Losses on Financial Instruments,” and related updates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The adoption of this accounting pronouncement did not have a material impact on the Company's Consolidated Financial Statements.</w:t>
      </w:r>
    </w:p>
    <w:p>
      <w:pPr>
        <w:spacing w:after="0" w:line="214" w:lineRule="exact"/>
        <w:rPr>
          <w:sz w:val="20"/>
          <w:szCs w:val="20"/>
          <w:color w:val="auto"/>
        </w:rPr>
      </w:pPr>
    </w:p>
    <w:p>
      <w:pPr>
        <w:ind w:left="500" w:right="840"/>
        <w:spacing w:after="0" w:line="282" w:lineRule="auto"/>
        <w:rPr>
          <w:sz w:val="20"/>
          <w:szCs w:val="20"/>
          <w:color w:val="auto"/>
        </w:rPr>
      </w:pPr>
      <w:r>
        <w:rPr>
          <w:rFonts w:ascii="Arial" w:cs="Arial" w:eastAsia="Arial" w:hAnsi="Arial"/>
          <w:sz w:val="18"/>
          <w:szCs w:val="18"/>
          <w:i w:val="1"/>
          <w:iCs w:val="1"/>
          <w:color w:val="auto"/>
        </w:rPr>
        <w:t>Financial Disclosures About Guarantors and Issuers of Guaranteed Securities and Affiliates Whose Securities Collateralize a Registrant’s Securities</w:t>
      </w:r>
    </w:p>
    <w:p>
      <w:pPr>
        <w:spacing w:after="0" w:line="207"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During first quarter 2020, the Company early adopted the Securities and Exchange Commission’s (the “SEC”), “Financial Disclosures About Guarantors and Issuers of Guaranteed Securities and Affiliates Whose Securities Collateralize a Registrant’s Securities” rules, which simplify the disclosure requirements related to the Company’s registered securities under Rule 3-10 of Regulation S-X. The final rule also allows for the simplified disclosure to be included within Management’s Discussion and Analysis of Financial Condition and Results of Operations. During third quarter 2020, the Company redeemed its remaining $100 million of publicly registered debt securities (see Note 11—Long-term corporate debt and borrowing arrangements for details). The Company’s remaining outstanding debt securities were issued in private placements exempt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the registration requirements of the federal securities laws, and therefore, such disclosure is not required.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Topic 842: Accounting for Lease Concessions during COVID-19 Pandemic</w:t>
      </w:r>
    </w:p>
    <w:p>
      <w:pPr>
        <w:spacing w:after="0" w:line="270" w:lineRule="exact"/>
        <w:rPr>
          <w:sz w:val="20"/>
          <w:szCs w:val="20"/>
          <w:color w:val="auto"/>
        </w:rPr>
      </w:pPr>
    </w:p>
    <w:p>
      <w:pPr>
        <w:ind w:left="500" w:right="280"/>
        <w:spacing w:after="0" w:line="254" w:lineRule="auto"/>
        <w:rPr>
          <w:sz w:val="20"/>
          <w:szCs w:val="20"/>
          <w:color w:val="auto"/>
        </w:rPr>
      </w:pPr>
      <w:r>
        <w:rPr>
          <w:rFonts w:ascii="Arial" w:cs="Arial" w:eastAsia="Arial" w:hAnsi="Arial"/>
          <w:sz w:val="18"/>
          <w:szCs w:val="18"/>
          <w:color w:val="auto"/>
        </w:rPr>
        <w:t>In April 2020, the Financial Accounting Standards Board (“FASB”) issued a question-and-answer document to address questions on the application of the lease accounting guidance for lease concessions related to the effects of the COVID-19 pandemic. The FASB provided for companies to make an election to account for this rent relief in the current period and not trigger a lease modification under Topic 842 - Leases. The Company made this election.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Disclosures, Selected Financial Data and Supplementary Financial Information</w:t>
      </w:r>
    </w:p>
    <w:p>
      <w:pPr>
        <w:spacing w:after="0" w:line="270" w:lineRule="exact"/>
        <w:rPr>
          <w:sz w:val="20"/>
          <w:szCs w:val="20"/>
          <w:color w:val="auto"/>
        </w:rPr>
      </w:pPr>
    </w:p>
    <w:p>
      <w:pPr>
        <w:ind w:left="500" w:right="240"/>
        <w:spacing w:after="0" w:line="254" w:lineRule="auto"/>
        <w:rPr>
          <w:sz w:val="20"/>
          <w:szCs w:val="20"/>
          <w:color w:val="auto"/>
        </w:rPr>
      </w:pPr>
      <w:r>
        <w:rPr>
          <w:rFonts w:ascii="Arial" w:cs="Arial" w:eastAsia="Arial" w:hAnsi="Arial"/>
          <w:sz w:val="18"/>
          <w:szCs w:val="18"/>
          <w:color w:val="auto"/>
        </w:rPr>
        <w:t>In February 2021, the Company early adopted the SEC’s, Selected Financial Data and Supplementary Financial Information rule amendments for Regulation S-K Items 301 and 302(a), which eliminates the requirement for five years of selected financial data and replaces the requirement for two years of tabular selected quarterly financial information with a principles-based requirement to only disclose if material retrospective changes occur.</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70" w:lineRule="exact"/>
        <w:rPr>
          <w:sz w:val="20"/>
          <w:szCs w:val="20"/>
          <w:color w:val="auto"/>
        </w:rPr>
      </w:pPr>
    </w:p>
    <w:p>
      <w:pPr>
        <w:ind w:left="500" w:right="400"/>
        <w:spacing w:after="0" w:line="254" w:lineRule="auto"/>
        <w:rPr>
          <w:sz w:val="20"/>
          <w:szCs w:val="20"/>
          <w:color w:val="auto"/>
        </w:rPr>
      </w:pPr>
      <w:r>
        <w:rPr>
          <w:rFonts w:ascii="Arial" w:cs="Arial" w:eastAsia="Arial" w:hAnsi="Arial"/>
          <w:sz w:val="18"/>
          <w:szCs w:val="18"/>
          <w:color w:val="auto"/>
        </w:rPr>
        <w:t>On January 1, 2021, as the result of a new accounting pronouncement, the Company adopted ASU 2019-12, “Simplifying the Accounting for Income Taxes,” which simplifies the accounting for income taxes by removing certain exceptions and improving the application of existing guidance. The adoption of this accounting pronouncement did not have a material impact on the Company's Consolidated Financial Statements.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70"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On January 1, 2021, as the result of a new accounting pronouncement, the Company adopted ASU 2018-14, “Disclosure Framework— 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The adoption of this accounting pronouncement did not have a material impact on the Company's Consolidated Financial Statements.</w:t>
      </w:r>
    </w:p>
    <w:p>
      <w:pPr>
        <w:spacing w:after="0" w:line="210"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January 1, 2019, as the result of a new accounting pronouncement, the Company adopted Topic 842 along with related updates.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utilized the transition method allowing entities to only apply the new lease standard in the year of adoption.</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Lessor</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18"/>
                <w:szCs w:val="18"/>
                <w:color w:val="auto"/>
              </w:rPr>
            </w:pPr>
          </w:p>
        </w:tc>
        <w:tc>
          <w:tcPr>
            <w:tcW w:w="212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5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 2020</w:t>
            </w:r>
          </w:p>
        </w:tc>
        <w:tc>
          <w:tcPr>
            <w:tcW w:w="240" w:type="dxa"/>
            <w:vAlign w:val="bottom"/>
          </w:tcPr>
          <w:p>
            <w:pPr>
              <w:spacing w:after="0"/>
              <w:rPr>
                <w:sz w:val="19"/>
                <w:szCs w:val="19"/>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Americas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2,141</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Asia and Australasia</w:t>
            </w: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 lease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9,028</w:t>
            </w: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796"/>
        </w:trPr>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24"/>
                <w:szCs w:val="24"/>
                <w:color w:val="auto"/>
              </w:rPr>
            </w:pPr>
          </w:p>
        </w:tc>
        <w:tc>
          <w:tcPr>
            <w:tcW w:w="2100" w:type="dxa"/>
            <w:vAlign w:val="bottom"/>
          </w:tcPr>
          <w:p>
            <w:pPr>
              <w:jc w:val="right"/>
              <w:ind w:right="61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6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 2020</w:t>
            </w:r>
          </w:p>
        </w:tc>
        <w:tc>
          <w:tcPr>
            <w:tcW w:w="240" w:type="dxa"/>
            <w:vAlign w:val="bottom"/>
          </w:tcPr>
          <w:p>
            <w:pPr>
              <w:spacing w:after="0"/>
              <w:rPr>
                <w:sz w:val="19"/>
                <w:szCs w:val="19"/>
                <w:color w:val="auto"/>
              </w:rPr>
            </w:pPr>
          </w:p>
        </w:tc>
        <w:tc>
          <w:tcPr>
            <w:tcW w:w="210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6440" w:type="dxa"/>
            <w:vAlign w:val="bottom"/>
          </w:tcPr>
          <w:p>
            <w:pPr>
              <w:ind w:left="520"/>
              <w:spacing w:after="0"/>
              <w:rPr>
                <w:sz w:val="20"/>
                <w:szCs w:val="20"/>
                <w:color w:val="auto"/>
              </w:rPr>
            </w:pPr>
            <w:r>
              <w:rPr>
                <w:rFonts w:ascii="Arial" w:cs="Arial" w:eastAsia="Arial" w:hAnsi="Arial"/>
                <w:sz w:val="18"/>
                <w:szCs w:val="18"/>
                <w:color w:val="auto"/>
              </w:rPr>
              <w:t>Avis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5,163</w:t>
            </w:r>
          </w:p>
        </w:tc>
      </w:tr>
      <w:tr>
        <w:trPr>
          <w:trHeight w:val="230"/>
        </w:trPr>
        <w:tc>
          <w:tcPr>
            <w:tcW w:w="6440" w:type="dxa"/>
            <w:vAlign w:val="bottom"/>
          </w:tcPr>
          <w:p>
            <w:pPr>
              <w:ind w:left="520"/>
              <w:spacing w:after="0"/>
              <w:rPr>
                <w:sz w:val="20"/>
                <w:szCs w:val="20"/>
                <w:color w:val="auto"/>
              </w:rPr>
            </w:pPr>
            <w:r>
              <w:rPr>
                <w:rFonts w:ascii="Arial" w:cs="Arial" w:eastAsia="Arial" w:hAnsi="Arial"/>
                <w:sz w:val="18"/>
                <w:szCs w:val="18"/>
                <w:color w:val="auto"/>
              </w:rPr>
              <w:t>Budget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29"/>
        </w:trPr>
        <w:tc>
          <w:tcPr>
            <w:tcW w:w="6440" w:type="dxa"/>
            <w:vAlign w:val="bottom"/>
          </w:tcPr>
          <w:p>
            <w:pPr>
              <w:ind w:left="5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6440" w:type="dxa"/>
            <w:vAlign w:val="bottom"/>
          </w:tcPr>
          <w:p>
            <w:pPr>
              <w:ind w:left="520"/>
              <w:spacing w:after="0"/>
              <w:rPr>
                <w:sz w:val="20"/>
                <w:szCs w:val="20"/>
                <w:color w:val="auto"/>
              </w:rPr>
            </w:pPr>
            <w:r>
              <w:rPr>
                <w:rFonts w:ascii="Arial" w:cs="Arial" w:eastAsia="Arial" w:hAnsi="Arial"/>
                <w:sz w:val="18"/>
                <w:szCs w:val="18"/>
                <w:color w:val="auto"/>
              </w:rPr>
              <w:t>Total lease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9,028</w:t>
            </w: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74"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34"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The Company leases a portion of its vehicles under operating leases. As of December 31, 2020 and 2019, the Company has guaranteed up to $202 million and $314 million, respectively,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Year Ended</w:t>
            </w:r>
          </w:p>
        </w:tc>
        <w:tc>
          <w:tcPr>
            <w:tcW w:w="240" w:type="dxa"/>
            <w:vAlign w:val="bottom"/>
          </w:tcPr>
          <w:p>
            <w:pPr>
              <w:spacing w:after="0"/>
              <w:rPr>
                <w:sz w:val="17"/>
                <w:szCs w:val="17"/>
                <w:color w:val="auto"/>
              </w:rPr>
            </w:pPr>
          </w:p>
        </w:tc>
        <w:tc>
          <w:tcPr>
            <w:tcW w:w="21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9"/>
                <w:szCs w:val="9"/>
                <w:b w:val="1"/>
                <w:bCs w:val="1"/>
                <w:color w:val="auto"/>
              </w:rPr>
              <w:t>(a)</w:t>
            </w: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 2020</w:t>
            </w: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Operating lease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property lease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Vehicle leases</w:t>
            </w: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9"/>
                <w:szCs w:val="9"/>
                <w:color w:val="auto"/>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9"/>
                <w:szCs w:val="9"/>
                <w:color w:val="auto"/>
              </w:rPr>
              <w:t>(c)</w:t>
            </w:r>
          </w:p>
        </w:tc>
        <w:tc>
          <w:tcPr>
            <w:tcW w:w="240" w:type="dxa"/>
            <w:vAlign w:val="bottom"/>
          </w:tcPr>
          <w:p>
            <w:pPr>
              <w:spacing w:after="0"/>
              <w:rPr>
                <w:sz w:val="19"/>
                <w:szCs w:val="19"/>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9"/>
                <w:szCs w:val="9"/>
                <w:color w:val="auto"/>
              </w:rPr>
              <w:t>(b)</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vehicle lease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right="620" w:hanging="326"/>
        <w:spacing w:after="0" w:line="204" w:lineRule="auto"/>
        <w:tabs>
          <w:tab w:leader="none" w:pos="77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expenses and includes $60 million of minimum annual guaranteed rent in excess of concession fees as defined in our rental concession agreement for the year ended December 31, 2020.</w:t>
      </w:r>
    </w:p>
    <w:p>
      <w:pPr>
        <w:spacing w:after="0" w:line="1" w:lineRule="exact"/>
        <w:rPr>
          <w:rFonts w:ascii="Arial" w:cs="Arial" w:eastAsia="Arial" w:hAnsi="Arial"/>
          <w:sz w:val="19"/>
          <w:szCs w:val="19"/>
          <w:color w:val="auto"/>
          <w:vertAlign w:val="superscript"/>
        </w:rPr>
      </w:pPr>
    </w:p>
    <w:p>
      <w:pPr>
        <w:ind w:left="760" w:hanging="266"/>
        <w:spacing w:after="0" w:line="187" w:lineRule="auto"/>
        <w:tabs>
          <w:tab w:leader="none" w:pos="7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760" w:hanging="266"/>
        <w:spacing w:after="0" w:line="189" w:lineRule="auto"/>
        <w:tabs>
          <w:tab w:leader="none" w:pos="76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Supplemental balance sheet information related to leases is as follows: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Operating lease ROU assets</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operating lease liabilities</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Operating lease liabilities</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Weighted average discount rate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Finance</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Finance lease ROU assets, gross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3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9"/>
          <w:szCs w:val="9"/>
          <w:color w:val="auto"/>
        </w:rPr>
        <w:t>(b)</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Short-term vehicle finance lease liabilities</w:t>
      </w:r>
    </w:p>
    <w:p>
      <w:pPr>
        <w:spacing w:after="0" w:line="23" w:lineRule="exact"/>
        <w:rPr>
          <w:sz w:val="20"/>
          <w:szCs w:val="20"/>
          <w:color w:val="auto"/>
        </w:rPr>
      </w:pPr>
    </w:p>
    <w:p>
      <w:pPr>
        <w:ind w:left="760" w:right="2120"/>
        <w:spacing w:after="0" w:line="324" w:lineRule="auto"/>
        <w:rPr>
          <w:sz w:val="20"/>
          <w:szCs w:val="20"/>
          <w:color w:val="auto"/>
        </w:rPr>
      </w:pPr>
      <w:r>
        <w:rPr>
          <w:rFonts w:ascii="Arial" w:cs="Arial" w:eastAsia="Arial" w:hAnsi="Arial"/>
          <w:sz w:val="17"/>
          <w:szCs w:val="17"/>
          <w:color w:val="auto"/>
        </w:rPr>
        <w:t xml:space="preserve">Long-term vehicle finance lease liabilities Vehicle finance lease liabilities </w:t>
      </w:r>
      <w:r>
        <w:rPr>
          <w:rFonts w:ascii="Arial" w:cs="Arial" w:eastAsia="Arial" w:hAnsi="Arial"/>
          <w:sz w:val="9"/>
          <w:szCs w:val="9"/>
          <w:color w:val="auto"/>
        </w:rPr>
        <w:t>(c)</w:t>
      </w:r>
    </w:p>
    <w:p>
      <w:pPr>
        <w:spacing w:after="0" w:line="93" w:lineRule="exact"/>
        <w:rPr>
          <w:sz w:val="20"/>
          <w:szCs w:val="20"/>
          <w:color w:val="auto"/>
        </w:rPr>
      </w:pPr>
    </w:p>
    <w:p>
      <w:pPr>
        <w:ind w:left="760" w:right="2200"/>
        <w:spacing w:after="0" w:line="277" w:lineRule="auto"/>
        <w:rPr>
          <w:sz w:val="20"/>
          <w:szCs w:val="20"/>
          <w:color w:val="auto"/>
        </w:rPr>
      </w:pPr>
      <w:r>
        <w:rPr>
          <w:rFonts w:ascii="Arial" w:cs="Arial" w:eastAsia="Arial" w:hAnsi="Arial"/>
          <w:sz w:val="18"/>
          <w:szCs w:val="18"/>
          <w:color w:val="auto"/>
        </w:rPr>
        <w:t>Weighted average remaining lease term Weighted average discount rate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Operating</w:t>
      </w:r>
    </w:p>
    <w:p>
      <w:pPr>
        <w:spacing w:after="0" w:line="4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9"/>
          <w:szCs w:val="9"/>
          <w:color w:val="auto"/>
        </w:rPr>
        <w:t>(d)</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Short-term vehicle operating lease liabilities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vehicle operating lease liabilities</w:t>
      </w:r>
    </w:p>
    <w:p>
      <w:pPr>
        <w:spacing w:after="0" w:line="3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9"/>
          <w:szCs w:val="9"/>
          <w:color w:val="auto"/>
        </w:rPr>
        <w:t>(e)</w:t>
      </w:r>
    </w:p>
    <w:p>
      <w:pPr>
        <w:spacing w:after="0" w:line="171" w:lineRule="exact"/>
        <w:rPr>
          <w:sz w:val="20"/>
          <w:szCs w:val="20"/>
          <w:color w:val="auto"/>
        </w:rPr>
      </w:pPr>
    </w:p>
    <w:p>
      <w:pPr>
        <w:ind w:left="720" w:right="2240"/>
        <w:spacing w:after="0" w:line="277" w:lineRule="auto"/>
        <w:rPr>
          <w:sz w:val="20"/>
          <w:szCs w:val="20"/>
          <w:color w:val="auto"/>
        </w:rPr>
      </w:pPr>
      <w:r>
        <w:rPr>
          <w:rFonts w:ascii="Arial" w:cs="Arial" w:eastAsia="Arial" w:hAnsi="Arial"/>
          <w:sz w:val="18"/>
          <w:szCs w:val="18"/>
          <w:color w:val="auto"/>
        </w:rPr>
        <w:t>Weighted average remaining lease term Weighted average discount rate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560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2,560</w:t>
            </w:r>
          </w:p>
        </w:tc>
      </w:tr>
      <w:tr>
        <w:trPr>
          <w:trHeight w:val="338"/>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514</w:t>
            </w:r>
          </w:p>
        </w:tc>
      </w:tr>
      <w:tr>
        <w:trPr>
          <w:trHeight w:val="229"/>
        </w:trPr>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2,078</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2,592</w:t>
            </w:r>
          </w:p>
        </w:tc>
      </w:tr>
      <w:tr>
        <w:trPr>
          <w:trHeight w:val="318"/>
        </w:trPr>
        <w:tc>
          <w:tcPr>
            <w:tcW w:w="900" w:type="dxa"/>
            <w:vAlign w:val="bottom"/>
          </w:tcPr>
          <w:p>
            <w:pPr>
              <w:spacing w:after="0"/>
              <w:rPr>
                <w:sz w:val="24"/>
                <w:szCs w:val="24"/>
                <w:color w:val="auto"/>
              </w:rPr>
            </w:pPr>
          </w:p>
        </w:tc>
        <w:tc>
          <w:tcPr>
            <w:tcW w:w="1540" w:type="dxa"/>
            <w:vAlign w:val="bottom"/>
          </w:tcPr>
          <w:p>
            <w:pPr>
              <w:jc w:val="center"/>
              <w:ind w:left="710"/>
              <w:spacing w:after="0"/>
              <w:rPr>
                <w:sz w:val="20"/>
                <w:szCs w:val="20"/>
                <w:color w:val="auto"/>
              </w:rPr>
            </w:pPr>
            <w:r>
              <w:rPr>
                <w:rFonts w:ascii="Arial" w:cs="Arial" w:eastAsia="Arial" w:hAnsi="Arial"/>
                <w:sz w:val="18"/>
                <w:szCs w:val="18"/>
                <w:color w:val="auto"/>
                <w:w w:val="99"/>
              </w:rPr>
              <w:t>8.4 years</w:t>
            </w:r>
          </w:p>
        </w:tc>
      </w:tr>
      <w:tr>
        <w:trPr>
          <w:trHeight w:val="230"/>
        </w:trPr>
        <w:tc>
          <w:tcPr>
            <w:tcW w:w="9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3.86 %</w:t>
            </w:r>
          </w:p>
        </w:tc>
      </w:tr>
      <w:tr>
        <w:trPr>
          <w:trHeight w:val="904"/>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304</w:t>
            </w:r>
          </w:p>
        </w:tc>
      </w:tr>
      <w:tr>
        <w:trPr>
          <w:trHeight w:val="229"/>
        </w:trPr>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262</w:t>
            </w:r>
          </w:p>
        </w:tc>
      </w:tr>
      <w:tr>
        <w:trPr>
          <w:trHeight w:val="318"/>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86</w:t>
            </w:r>
          </w:p>
        </w:tc>
      </w:tr>
      <w:tr>
        <w:trPr>
          <w:trHeight w:val="229"/>
        </w:trPr>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9"/>
              </w:rPr>
              <w:t>140</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w:t>
            </w:r>
          </w:p>
        </w:tc>
      </w:tr>
      <w:tr>
        <w:trPr>
          <w:trHeight w:val="358"/>
        </w:trPr>
        <w:tc>
          <w:tcPr>
            <w:tcW w:w="900" w:type="dxa"/>
            <w:vAlign w:val="bottom"/>
          </w:tcPr>
          <w:p>
            <w:pPr>
              <w:spacing w:after="0"/>
              <w:rPr>
                <w:sz w:val="24"/>
                <w:szCs w:val="24"/>
                <w:color w:val="auto"/>
              </w:rPr>
            </w:pPr>
          </w:p>
        </w:tc>
        <w:tc>
          <w:tcPr>
            <w:tcW w:w="1540" w:type="dxa"/>
            <w:vAlign w:val="bottom"/>
          </w:tcPr>
          <w:p>
            <w:pPr>
              <w:jc w:val="center"/>
              <w:ind w:left="710"/>
              <w:spacing w:after="0"/>
              <w:rPr>
                <w:sz w:val="20"/>
                <w:szCs w:val="20"/>
                <w:color w:val="auto"/>
              </w:rPr>
            </w:pPr>
            <w:r>
              <w:rPr>
                <w:rFonts w:ascii="Arial" w:cs="Arial" w:eastAsia="Arial" w:hAnsi="Arial"/>
                <w:sz w:val="18"/>
                <w:szCs w:val="18"/>
                <w:color w:val="auto"/>
                <w:w w:val="99"/>
              </w:rPr>
              <w:t>1.8 years</w:t>
            </w:r>
          </w:p>
        </w:tc>
      </w:tr>
      <w:tr>
        <w:trPr>
          <w:trHeight w:val="230"/>
        </w:trPr>
        <w:tc>
          <w:tcPr>
            <w:tcW w:w="9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1.99 %</w:t>
            </w:r>
          </w:p>
        </w:tc>
      </w:tr>
      <w:tr>
        <w:trPr>
          <w:trHeight w:val="675"/>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113</w:t>
            </w:r>
          </w:p>
        </w:tc>
      </w:tr>
      <w:tr>
        <w:trPr>
          <w:trHeight w:val="378"/>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82</w:t>
            </w:r>
          </w:p>
        </w:tc>
      </w:tr>
      <w:tr>
        <w:trPr>
          <w:trHeight w:val="230"/>
        </w:trPr>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w:t>
            </w: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15601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2,596</w:t>
            </w:r>
          </w:p>
        </w:tc>
      </w:tr>
      <w:tr>
        <w:trPr>
          <w:trHeight w:val="338"/>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479</w:t>
            </w:r>
          </w:p>
        </w:tc>
      </w:tr>
      <w:tr>
        <w:trPr>
          <w:trHeight w:val="229"/>
        </w:trPr>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2,140</w:t>
            </w:r>
          </w:p>
        </w:tc>
      </w:tr>
      <w:tr>
        <w:trPr>
          <w:trHeight w:val="223"/>
        </w:trPr>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2,619</w:t>
            </w:r>
          </w:p>
        </w:tc>
      </w:tr>
      <w:tr>
        <w:trPr>
          <w:trHeight w:val="318"/>
        </w:trPr>
        <w:tc>
          <w:tcPr>
            <w:tcW w:w="920" w:type="dxa"/>
            <w:vAlign w:val="bottom"/>
          </w:tcPr>
          <w:p>
            <w:pPr>
              <w:spacing w:after="0"/>
              <w:rPr>
                <w:sz w:val="24"/>
                <w:szCs w:val="24"/>
                <w:color w:val="auto"/>
              </w:rPr>
            </w:pP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8.9 years</w:t>
            </w:r>
          </w:p>
        </w:tc>
      </w:tr>
      <w:tr>
        <w:trPr>
          <w:trHeight w:val="230"/>
        </w:trPr>
        <w:tc>
          <w:tcPr>
            <w:tcW w:w="9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4.31 %</w:t>
            </w:r>
          </w:p>
        </w:tc>
      </w:tr>
      <w:tr>
        <w:trPr>
          <w:trHeight w:val="904"/>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337</w:t>
            </w:r>
          </w:p>
        </w:tc>
      </w:tr>
      <w:tr>
        <w:trPr>
          <w:trHeight w:val="229"/>
        </w:trPr>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w:t>
            </w:r>
          </w:p>
        </w:tc>
      </w:tr>
      <w:tr>
        <w:trPr>
          <w:trHeight w:val="223"/>
        </w:trPr>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281</w:t>
            </w:r>
          </w:p>
        </w:tc>
      </w:tr>
      <w:tr>
        <w:trPr>
          <w:trHeight w:val="318"/>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229"/>
        </w:trPr>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9"/>
              </w:rPr>
              <w:t>157</w:t>
            </w:r>
          </w:p>
        </w:tc>
      </w:tr>
      <w:tr>
        <w:trPr>
          <w:trHeight w:val="223"/>
        </w:trPr>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w:t>
            </w:r>
          </w:p>
        </w:tc>
      </w:tr>
      <w:tr>
        <w:trPr>
          <w:trHeight w:val="358"/>
        </w:trPr>
        <w:tc>
          <w:tcPr>
            <w:tcW w:w="920" w:type="dxa"/>
            <w:vAlign w:val="bottom"/>
          </w:tcPr>
          <w:p>
            <w:pPr>
              <w:spacing w:after="0"/>
              <w:rPr>
                <w:sz w:val="24"/>
                <w:szCs w:val="24"/>
                <w:color w:val="auto"/>
              </w:rPr>
            </w:pPr>
          </w:p>
        </w:tc>
        <w:tc>
          <w:tcPr>
            <w:tcW w:w="1540" w:type="dxa"/>
            <w:vAlign w:val="bottom"/>
          </w:tcPr>
          <w:p>
            <w:pPr>
              <w:jc w:val="center"/>
              <w:ind w:left="670"/>
              <w:spacing w:after="0"/>
              <w:rPr>
                <w:sz w:val="20"/>
                <w:szCs w:val="20"/>
                <w:color w:val="auto"/>
              </w:rPr>
            </w:pPr>
            <w:r>
              <w:rPr>
                <w:rFonts w:ascii="Arial" w:cs="Arial" w:eastAsia="Arial" w:hAnsi="Arial"/>
                <w:sz w:val="18"/>
                <w:szCs w:val="18"/>
                <w:color w:val="auto"/>
                <w:w w:val="99"/>
              </w:rPr>
              <w:t>2.0 years</w:t>
            </w:r>
          </w:p>
        </w:tc>
      </w:tr>
      <w:tr>
        <w:trPr>
          <w:trHeight w:val="230"/>
        </w:trPr>
        <w:tc>
          <w:tcPr>
            <w:tcW w:w="9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675"/>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195</w:t>
            </w:r>
          </w:p>
        </w:tc>
      </w:tr>
      <w:tr>
        <w:trPr>
          <w:trHeight w:val="378"/>
        </w:trPr>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124</w:t>
            </w:r>
          </w:p>
        </w:tc>
      </w:tr>
      <w:tr>
        <w:trPr>
          <w:trHeight w:val="230"/>
        </w:trPr>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w:t>
            </w:r>
          </w:p>
        </w:tc>
      </w:tr>
      <w:tr>
        <w:trPr>
          <w:trHeight w:val="223"/>
        </w:trPr>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195</w:t>
            </w:r>
          </w:p>
        </w:tc>
      </w:tr>
    </w:tbl>
    <w:p>
      <w:pPr>
        <w:spacing w:after="0" w:line="14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 years</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3.08 %</w:t>
      </w:r>
    </w:p>
    <w:p>
      <w:pPr>
        <w:spacing w:after="0" w:line="324" w:lineRule="exact"/>
        <w:rPr>
          <w:sz w:val="20"/>
          <w:szCs w:val="20"/>
          <w:color w:val="auto"/>
        </w:rPr>
      </w:pPr>
    </w:p>
    <w:p>
      <w:pPr>
        <w:sectPr>
          <w:pgSz w:w="11900" w:h="16838" w:orient="portrait"/>
          <w:cols w:equalWidth="0" w:num="3">
            <w:col w:w="6140" w:space="100"/>
            <w:col w:w="2440" w:space="100"/>
            <w:col w:w="2460"/>
          </w:cols>
          <w:pgMar w:left="320" w:top="140" w:right="339" w:bottom="1440" w:gutter="0" w:footer="0" w:header="0"/>
        </w:sectPr>
      </w:pPr>
    </w:p>
    <w:p>
      <w:pPr>
        <w:ind w:left="760" w:hanging="266"/>
        <w:spacing w:after="0" w:line="194" w:lineRule="auto"/>
        <w:tabs>
          <w:tab w:leader="none" w:pos="76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ind w:left="760" w:hanging="266"/>
        <w:spacing w:after="0" w:line="187" w:lineRule="auto"/>
        <w:tabs>
          <w:tab w:leader="none" w:pos="7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Included in Vehicles, net within Assets under vehicle programs.</w:t>
      </w:r>
    </w:p>
    <w:p>
      <w:pPr>
        <w:ind w:left="760" w:hanging="266"/>
        <w:spacing w:after="0" w:line="187" w:lineRule="auto"/>
        <w:tabs>
          <w:tab w:leader="none" w:pos="7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Included in Debt within Liabilities under vehicle programs.</w:t>
      </w:r>
    </w:p>
    <w:p>
      <w:pPr>
        <w:ind w:left="760" w:hanging="266"/>
        <w:spacing w:after="0" w:line="187" w:lineRule="auto"/>
        <w:tabs>
          <w:tab w:leader="none" w:pos="76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760" w:hanging="266"/>
        <w:spacing w:after="0" w:line="189" w:lineRule="auto"/>
        <w:tabs>
          <w:tab w:leader="none" w:pos="76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in Other within Liabilities under vehicle programs.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796"/>
        </w:trPr>
        <w:tc>
          <w:tcPr>
            <w:tcW w:w="6420" w:type="dxa"/>
            <w:vAlign w:val="bottom"/>
          </w:tcPr>
          <w:p>
            <w:pPr>
              <w:spacing w:after="0"/>
              <w:rPr>
                <w:sz w:val="24"/>
                <w:szCs w:val="24"/>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r>
      <w:tr>
        <w:trPr>
          <w:trHeight w:val="230"/>
        </w:trPr>
        <w:tc>
          <w:tcPr>
            <w:tcW w:w="64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2019</w:t>
            </w:r>
          </w:p>
        </w:tc>
      </w:tr>
      <w:tr>
        <w:trPr>
          <w:trHeight w:val="209"/>
        </w:trPr>
        <w:tc>
          <w:tcPr>
            <w:tcW w:w="6420" w:type="dxa"/>
            <w:vAlign w:val="bottom"/>
          </w:tcPr>
          <w:p>
            <w:pPr>
              <w:ind w:left="520"/>
              <w:spacing w:after="0"/>
              <w:rPr>
                <w:sz w:val="20"/>
                <w:szCs w:val="20"/>
                <w:color w:val="auto"/>
              </w:rPr>
            </w:pPr>
            <w:r>
              <w:rPr>
                <w:rFonts w:ascii="Arial" w:cs="Arial" w:eastAsia="Arial" w:hAnsi="Arial"/>
                <w:sz w:val="18"/>
                <w:szCs w:val="18"/>
                <w:color w:val="auto"/>
              </w:rPr>
              <w:t>Cash payments for lease liabilities within operating activities: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420" w:type="dxa"/>
            <w:vAlign w:val="bottom"/>
          </w:tcPr>
          <w:p>
            <w:pPr>
              <w:ind w:left="720"/>
              <w:spacing w:after="0"/>
              <w:rPr>
                <w:sz w:val="20"/>
                <w:szCs w:val="20"/>
                <w:color w:val="auto"/>
              </w:rPr>
            </w:pPr>
            <w:r>
              <w:rPr>
                <w:rFonts w:ascii="Arial" w:cs="Arial" w:eastAsia="Arial" w:hAnsi="Arial"/>
                <w:sz w:val="18"/>
                <w:szCs w:val="18"/>
                <w:color w:val="auto"/>
              </w:rPr>
              <w:t>Property operating leases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6420" w:type="dxa"/>
            <w:vAlign w:val="bottom"/>
          </w:tcPr>
          <w:p>
            <w:pPr>
              <w:ind w:left="720"/>
              <w:spacing w:after="0"/>
              <w:rPr>
                <w:sz w:val="20"/>
                <w:szCs w:val="20"/>
                <w:color w:val="auto"/>
              </w:rPr>
            </w:pPr>
            <w:r>
              <w:rPr>
                <w:rFonts w:ascii="Arial" w:cs="Arial" w:eastAsia="Arial" w:hAnsi="Arial"/>
                <w:sz w:val="18"/>
                <w:szCs w:val="18"/>
                <w:color w:val="auto"/>
              </w:rPr>
              <w:t>Vehicle operating leases</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420" w:type="dxa"/>
            <w:vAlign w:val="bottom"/>
          </w:tcPr>
          <w:p>
            <w:pPr>
              <w:ind w:left="720"/>
              <w:spacing w:after="0"/>
              <w:rPr>
                <w:sz w:val="20"/>
                <w:szCs w:val="20"/>
                <w:color w:val="auto"/>
              </w:rPr>
            </w:pPr>
            <w:r>
              <w:rPr>
                <w:rFonts w:ascii="Arial" w:cs="Arial" w:eastAsia="Arial" w:hAnsi="Arial"/>
                <w:sz w:val="18"/>
                <w:szCs w:val="18"/>
                <w:color w:val="auto"/>
              </w:rPr>
              <w:t>Vehicle finance leases</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20" w:type="dxa"/>
            <w:vAlign w:val="bottom"/>
          </w:tcPr>
          <w:p>
            <w:pPr>
              <w:ind w:left="520"/>
              <w:spacing w:after="0"/>
              <w:rPr>
                <w:sz w:val="20"/>
                <w:szCs w:val="20"/>
                <w:color w:val="auto"/>
              </w:rPr>
            </w:pPr>
            <w:r>
              <w:rPr>
                <w:rFonts w:ascii="Arial" w:cs="Arial" w:eastAsia="Arial" w:hAnsi="Arial"/>
                <w:sz w:val="18"/>
                <w:szCs w:val="18"/>
                <w:color w:val="auto"/>
              </w:rPr>
              <w:t>Cash payments for lease liabilities within financing activities: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420" w:type="dxa"/>
            <w:vAlign w:val="bottom"/>
          </w:tcPr>
          <w:p>
            <w:pPr>
              <w:ind w:left="720"/>
              <w:spacing w:after="0"/>
              <w:rPr>
                <w:sz w:val="20"/>
                <w:szCs w:val="20"/>
                <w:color w:val="auto"/>
              </w:rPr>
            </w:pPr>
            <w:r>
              <w:rPr>
                <w:rFonts w:ascii="Arial" w:cs="Arial" w:eastAsia="Arial" w:hAnsi="Arial"/>
                <w:sz w:val="18"/>
                <w:szCs w:val="18"/>
                <w:color w:val="auto"/>
              </w:rPr>
              <w:t>Vehicle finance leases</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188"/>
        </w:trPr>
        <w:tc>
          <w:tcPr>
            <w:tcW w:w="6420" w:type="dxa"/>
            <w:vAlign w:val="bottom"/>
          </w:tcPr>
          <w:p>
            <w:pPr>
              <w:ind w:left="520"/>
              <w:spacing w:after="0" w:line="189" w:lineRule="exact"/>
              <w:rPr>
                <w:sz w:val="20"/>
                <w:szCs w:val="20"/>
                <w:color w:val="auto"/>
              </w:rPr>
            </w:pPr>
            <w:r>
              <w:rPr>
                <w:rFonts w:ascii="Arial" w:cs="Arial" w:eastAsia="Arial" w:hAnsi="Arial"/>
                <w:sz w:val="18"/>
                <w:szCs w:val="18"/>
                <w:color w:val="auto"/>
              </w:rPr>
              <w:t>Non-cash activities - increase (decrease) in ROU assets in exchange for</w:t>
            </w: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17"/>
        </w:trPr>
        <w:tc>
          <w:tcPr>
            <w:tcW w:w="6420" w:type="dxa"/>
            <w:vAlign w:val="bottom"/>
          </w:tcPr>
          <w:p>
            <w:pPr>
              <w:ind w:left="680"/>
              <w:spacing w:after="0"/>
              <w:rPr>
                <w:sz w:val="20"/>
                <w:szCs w:val="20"/>
                <w:color w:val="auto"/>
              </w:rPr>
            </w:pPr>
            <w:r>
              <w:rPr>
                <w:rFonts w:ascii="Arial" w:cs="Arial" w:eastAsia="Arial" w:hAnsi="Arial"/>
                <w:sz w:val="18"/>
                <w:szCs w:val="18"/>
                <w:color w:val="auto"/>
              </w:rPr>
              <w:t>lease liabilities: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6420" w:type="dxa"/>
            <w:vAlign w:val="bottom"/>
          </w:tcPr>
          <w:p>
            <w:pPr>
              <w:ind w:left="72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9"/>
                <w:szCs w:val="9"/>
                <w:color w:val="auto"/>
              </w:rPr>
              <w:t>(a)</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6420" w:type="dxa"/>
            <w:vAlign w:val="bottom"/>
          </w:tcPr>
          <w:p>
            <w:pPr>
              <w:ind w:left="720"/>
              <w:spacing w:after="0"/>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9"/>
                <w:szCs w:val="9"/>
                <w:color w:val="auto"/>
              </w:rPr>
              <w:t>(a)</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420" w:type="dxa"/>
            <w:vAlign w:val="bottom"/>
          </w:tcPr>
          <w:p>
            <w:pPr>
              <w:ind w:left="720"/>
              <w:spacing w:after="0"/>
              <w:rPr>
                <w:sz w:val="20"/>
                <w:szCs w:val="20"/>
                <w:color w:val="auto"/>
              </w:rPr>
            </w:pPr>
            <w:r>
              <w:rPr>
                <w:rFonts w:ascii="Arial" w:cs="Arial" w:eastAsia="Arial" w:hAnsi="Arial"/>
                <w:sz w:val="18"/>
                <w:szCs w:val="18"/>
                <w:color w:val="auto"/>
              </w:rPr>
              <w:t>Vehicle finance leases</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05" w:lineRule="auto"/>
        <w:tabs>
          <w:tab w:leader="none" w:pos="76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2019, ROU assets obtained in exchange for lease liabilities since initial recognition.</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as of December 31, 2020 are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Vehicle Finance</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rPr>
              <w:t>Vehicle Operating</w:t>
            </w:r>
          </w:p>
        </w:tc>
      </w:tr>
      <w:tr>
        <w:trPr>
          <w:trHeight w:val="215"/>
        </w:trPr>
        <w:tc>
          <w:tcPr>
            <w:tcW w:w="56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Leases</w:t>
            </w:r>
          </w:p>
        </w:tc>
        <w:tc>
          <w:tcPr>
            <w:tcW w:w="30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Leases</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8"/>
          </w:tcPr>
          <w:p>
            <w:pPr>
              <w:ind w:lef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20"/>
              <w:spacing w:after="0"/>
              <w:rPr>
                <w:sz w:val="20"/>
                <w:szCs w:val="20"/>
                <w:color w:val="auto"/>
              </w:rPr>
            </w:pPr>
            <w:r>
              <w:rPr>
                <w:rFonts w:ascii="Arial" w:cs="Arial" w:eastAsia="Arial" w:hAnsi="Arial"/>
                <w:sz w:val="18"/>
                <w:szCs w:val="18"/>
                <w:color w:val="auto"/>
              </w:rPr>
              <w:t>Net income (loss) for basic and diluted EPS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780" w:type="dxa"/>
            <w:vAlign w:val="bottom"/>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20"/>
              <w:spacing w:after="0"/>
              <w:rPr>
                <w:sz w:val="20"/>
                <w:szCs w:val="20"/>
                <w:color w:val="auto"/>
              </w:rPr>
            </w:pPr>
            <w:r>
              <w:rPr>
                <w:rFonts w:ascii="Arial" w:cs="Arial" w:eastAsia="Arial" w:hAnsi="Arial"/>
                <w:sz w:val="18"/>
                <w:szCs w:val="18"/>
                <w:color w:val="auto"/>
              </w:rPr>
              <w:t>Options and non-vested stock</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2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520"/>
              <w:spacing w:after="0"/>
              <w:rPr>
                <w:sz w:val="20"/>
                <w:szCs w:val="20"/>
                <w:color w:val="auto"/>
              </w:rPr>
            </w:pPr>
            <w:r>
              <w:rPr>
                <w:rFonts w:ascii="Arial" w:cs="Arial" w:eastAsia="Arial" w:hAnsi="Arial"/>
                <w:sz w:val="18"/>
                <w:szCs w:val="18"/>
                <w:i w:val="1"/>
                <w:iCs w:val="1"/>
                <w:color w:val="auto"/>
              </w:rPr>
              <w:t>Earnings per share:</w:t>
            </w: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78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720"/>
              <w:spacing w:after="0"/>
              <w:rPr>
                <w:sz w:val="20"/>
                <w:szCs w:val="20"/>
                <w:color w:val="auto"/>
              </w:rPr>
            </w:pPr>
            <w:r>
              <w:rPr>
                <w:rFonts w:ascii="Arial" w:cs="Arial" w:eastAsia="Arial" w:hAnsi="Arial"/>
                <w:sz w:val="18"/>
                <w:szCs w:val="18"/>
                <w:color w:val="auto"/>
              </w:rPr>
              <w:t>Basic</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720"/>
              <w:spacing w:after="0"/>
              <w:rPr>
                <w:sz w:val="20"/>
                <w:szCs w:val="20"/>
                <w:color w:val="auto"/>
              </w:rPr>
            </w:pPr>
            <w:r>
              <w:rPr>
                <w:rFonts w:ascii="Arial" w:cs="Arial" w:eastAsia="Arial" w:hAnsi="Arial"/>
                <w:sz w:val="18"/>
                <w:szCs w:val="18"/>
                <w:color w:val="auto"/>
              </w:rPr>
              <w:t>Diluted</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8"/>
        </w:trPr>
        <w:tc>
          <w:tcPr>
            <w:tcW w:w="4780" w:type="dxa"/>
            <w:vAlign w:val="bottom"/>
          </w:tcPr>
          <w:p>
            <w:pPr>
              <w:spacing w:after="0"/>
              <w:rPr>
                <w:sz w:val="24"/>
                <w:szCs w:val="24"/>
                <w:color w:val="auto"/>
              </w:rPr>
            </w:pPr>
          </w:p>
        </w:tc>
        <w:tc>
          <w:tcPr>
            <w:tcW w:w="2360" w:type="dxa"/>
            <w:vAlign w:val="bottom"/>
            <w:gridSpan w:val="2"/>
          </w:tcPr>
          <w:p>
            <w:pPr>
              <w:jc w:val="right"/>
              <w:ind w:right="1340"/>
              <w:spacing w:after="0"/>
              <w:rPr>
                <w:sz w:val="20"/>
                <w:szCs w:val="20"/>
                <w:color w:val="auto"/>
              </w:rPr>
            </w:pPr>
            <w:r>
              <w:rPr>
                <w:rFonts w:ascii="Arial" w:cs="Arial" w:eastAsia="Arial" w:hAnsi="Arial"/>
                <w:sz w:val="18"/>
                <w:szCs w:val="18"/>
                <w:color w:val="auto"/>
              </w:rPr>
              <w:t>F-24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0" w:right="160"/>
        <w:spacing w:after="0" w:line="261" w:lineRule="auto"/>
        <w:rPr>
          <w:sz w:val="20"/>
          <w:szCs w:val="20"/>
          <w:color w:val="auto"/>
        </w:rPr>
      </w:pPr>
      <w:r>
        <w:rPr>
          <w:rFonts w:ascii="Arial" w:cs="Arial" w:eastAsia="Arial" w:hAnsi="Arial"/>
          <w:sz w:val="18"/>
          <w:szCs w:val="18"/>
          <w:color w:val="auto"/>
        </w:rPr>
        <w:t>The following table summarizes the Company’s outstanding common stock equivalents that were anti-dilutive and therefore excluded from the computation of diluted EPS (shares in millions):</w:t>
      </w:r>
    </w:p>
    <w:p>
      <w:pPr>
        <w:jc w:val="center"/>
        <w:ind w:left="636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20320</wp:posOffset>
            </wp:positionV>
            <wp:extent cx="2331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ind w:left="7340"/>
        <w:spacing w:after="0"/>
        <w:tabs>
          <w:tab w:leader="none" w:pos="8580" w:val="left"/>
          <w:tab w:leader="none" w:pos="98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r>
        <w:rPr>
          <w:sz w:val="20"/>
          <w:szCs w:val="20"/>
          <w:color w:val="auto"/>
        </w:rPr>
        <w:tab/>
      </w:r>
      <w:r>
        <w:rPr>
          <w:rFonts w:ascii="Arial" w:cs="Arial" w:eastAsia="Arial" w:hAnsi="Arial"/>
          <w:sz w:val="17"/>
          <w:szCs w:val="17"/>
          <w:b w:val="1"/>
          <w:bCs w:val="1"/>
          <w:color w:val="auto"/>
        </w:rPr>
        <w:t>2018</w:t>
      </w: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319"/>
        </w:trPr>
        <w:tc>
          <w:tcPr>
            <w:tcW w:w="6480" w:type="dxa"/>
            <w:vAlign w:val="bottom"/>
          </w:tcPr>
          <w:p>
            <w:pPr>
              <w:ind w:left="20"/>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__________</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 w:lineRule="exact"/>
        <w:rPr>
          <w:sz w:val="20"/>
          <w:szCs w:val="20"/>
          <w:color w:val="auto"/>
        </w:rPr>
      </w:pPr>
    </w:p>
    <w:p>
      <w:pPr>
        <w:ind w:left="820" w:right="800" w:hanging="326"/>
        <w:spacing w:after="0" w:line="216" w:lineRule="auto"/>
        <w:tabs>
          <w:tab w:leader="none" w:pos="813" w:val="left"/>
        </w:tabs>
        <w:numPr>
          <w:ilvl w:val="1"/>
          <w:numId w:val="43"/>
        </w:numPr>
        <w:rPr>
          <w:rFonts w:ascii="Arial" w:cs="Arial" w:eastAsia="Arial" w:hAnsi="Arial"/>
          <w:sz w:val="21"/>
          <w:szCs w:val="21"/>
          <w:color w:val="auto"/>
          <w:vertAlign w:val="superscript"/>
        </w:rPr>
      </w:pPr>
      <w:r>
        <w:rPr>
          <w:rFonts w:ascii="Arial" w:cs="Arial" w:eastAsia="Arial" w:hAnsi="Arial"/>
          <w:sz w:val="16"/>
          <w:szCs w:val="16"/>
          <w:color w:val="auto"/>
        </w:rPr>
        <w:t>The weighted average grant date fair value for anti-dilutive non-vested stock for 2020, 2019 and 2018 was $26.20, $39.48 and $48.66, respectively.</w:t>
      </w:r>
    </w:p>
    <w:p>
      <w:pPr>
        <w:spacing w:after="0" w:line="213" w:lineRule="exact"/>
        <w:rPr>
          <w:rFonts w:ascii="Arial" w:cs="Arial" w:eastAsia="Arial" w:hAnsi="Arial"/>
          <w:sz w:val="21"/>
          <w:szCs w:val="21"/>
          <w:color w:val="auto"/>
          <w:vertAlign w:val="superscript"/>
        </w:rPr>
      </w:pPr>
    </w:p>
    <w:p>
      <w:pPr>
        <w:ind w:left="200" w:hanging="192"/>
        <w:spacing w:after="0"/>
        <w:tabs>
          <w:tab w:leader="none" w:pos="2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274"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During first quarter 2020, the Company initiated a global restructuring plan to reduce operating costs, such as headcount and facilities, due to declining reservations and revenue resulting from the COVID-19 outbreak (“2020 Optimization Plan”). During the year ended December 31, 2020, as part of this process, the Company formally communicated to and terminated approximately 4,300 employees. The Company expects no further restructuring expense related to this initiative.</w:t>
      </w:r>
    </w:p>
    <w:p>
      <w:pPr>
        <w:spacing w:after="0" w:line="231"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During third quarter 2019, the Company initiated a restructuring plan to exit its operations in Brazil by closing rental facilities, disposing of assets and terminating personnel (“Brazil”). As of December 31, 2020, the Company terminated the employment of approximately 22 employees. The Company expects further restructuring expense of approximately $2 million, excluding effects of currency exchange rates, related to this initiative.</w:t>
      </w:r>
    </w:p>
    <w:p>
      <w:pPr>
        <w:spacing w:after="0" w:line="23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truck rental operations in the U.S. by reducing headcount, large vehicles and rental locations (“T19”). This initiative is complete.</w:t>
      </w:r>
    </w:p>
    <w:p>
      <w:pPr>
        <w:spacing w:after="0" w:line="229"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231"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This initiative is complete.</w:t>
      </w:r>
    </w:p>
    <w:p>
      <w:pPr>
        <w:spacing w:after="0" w:line="229"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The costs associated with this initiative primarily represent severance, outplacement services and other costs associated with employee terminations, the majority of which have been or are expected to be settled in cash. This initiative is complete.</w:t>
      </w:r>
    </w:p>
    <w:p>
      <w:pPr>
        <w:spacing w:after="0" w:line="232"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(“T15”).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The costs associated with this initiative primarily represent severance, outplacement services and other costs associated with employee terminations, the majority of which have been settled in cash. This initiative is complete.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Personnel</w:t>
            </w: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Facility Related</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1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at January 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Truck initiative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T17</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T15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Truck initiative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T15</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20" w:type="dxa"/>
            <w:vAlign w:val="bottom"/>
          </w:tcPr>
          <w:p>
            <w:pPr>
              <w:ind w:left="12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8" w:lineRule="auto"/>
        <w:tabs>
          <w:tab w:leader="none" w:pos="82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00" w:lineRule="exact"/>
        <w:rPr>
          <w:sz w:val="20"/>
          <w:szCs w:val="20"/>
          <w:color w:val="auto"/>
        </w:rPr>
      </w:pPr>
    </w:p>
    <w:p>
      <w:pPr>
        <w:spacing w:after="0" w:line="38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850"/>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00" w:type="dxa"/>
            <w:vAlign w:val="bottom"/>
          </w:tcPr>
          <w:p>
            <w:pPr>
              <w:ind w:left="520"/>
              <w:spacing w:after="0"/>
              <w:rPr>
                <w:sz w:val="20"/>
                <w:szCs w:val="20"/>
                <w:color w:val="auto"/>
              </w:rPr>
            </w:pPr>
            <w:r>
              <w:rPr>
                <w:rFonts w:ascii="Arial" w:cs="Arial" w:eastAsia="Arial" w:hAnsi="Arial"/>
                <w:sz w:val="18"/>
                <w:szCs w:val="18"/>
                <w:color w:val="auto"/>
              </w:rPr>
              <w:t>Balance at January 1, 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Truck initiative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T17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T15</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Truck initiative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T15</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Pr>
          <w:p>
            <w:pPr>
              <w:ind w:left="52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00" w:type="dxa"/>
            <w:vAlign w:val="bottom"/>
          </w:tcPr>
          <w:p>
            <w:pPr>
              <w:ind w:left="5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900" w:type="dxa"/>
            <w:vAlign w:val="bottom"/>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2020 Optimization Plan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900" w:type="dxa"/>
            <w:vAlign w:val="bottom"/>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00" w:type="dxa"/>
            <w:vAlign w:val="bottom"/>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900" w:type="dxa"/>
            <w:vAlign w:val="bottom"/>
          </w:tcPr>
          <w:p>
            <w:pPr>
              <w:ind w:left="5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70"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During 2020, the Company offered a voluntary termination program to certain employees in field operations, shared services, and general and administrative functions for a limited time. These employees, if qualified, elected resignation from employment in return for enhanced severance benefits to be settled in cash. During the year ended December 31, 2020, the Company recorded other related charges of approximately $ 18 million in connection with the LVOP. As of December 31, 2020, approximately 400 qualified employees elected to participate in the plan and the employment of all participants had been terminated.</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70"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In August 2020, the Company announced the resignation of John F. North, III as the Company’s Chief Financial Officer. Following his post-resignation transition to an advisory position, Mr. North continued to serve as a consultant through January 1, 2021. In connection with Mr. North’s departure, the Company recorded other related charges of approximately $5 million, inclusive of accelerated stock-based compensation expense for the year ended December 31, 2020.</w:t>
      </w:r>
    </w:p>
    <w:p>
      <w:pPr>
        <w:spacing w:after="0" w:line="231" w:lineRule="exact"/>
        <w:rPr>
          <w:sz w:val="20"/>
          <w:szCs w:val="20"/>
          <w:color w:val="auto"/>
        </w:rPr>
      </w:pPr>
    </w:p>
    <w:p>
      <w:pPr>
        <w:jc w:val="both"/>
        <w:ind w:left="500" w:right="180"/>
        <w:spacing w:after="0" w:line="256" w:lineRule="auto"/>
        <w:rPr>
          <w:sz w:val="20"/>
          <w:szCs w:val="20"/>
          <w:color w:val="auto"/>
        </w:rPr>
      </w:pPr>
      <w:r>
        <w:rPr>
          <w:rFonts w:ascii="Arial" w:cs="Arial" w:eastAsia="Arial" w:hAnsi="Arial"/>
          <w:sz w:val="18"/>
          <w:szCs w:val="18"/>
          <w:color w:val="auto"/>
        </w:rPr>
        <w:t>In March 2020, the Company announced the departure of Michael K. Tucker as Executive Vice President, General Counsel effective March 27, 2020. In connection with Mr. Tucker’s separation, the Company recorded other related charges of approximately $2 million for the year ended December 31, 2020.</w:t>
      </w:r>
    </w:p>
    <w:p>
      <w:pPr>
        <w:spacing w:after="0" w:line="229"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continued to serve in his role until a successor had been named and was employed by the Company through December 31, 2019. In connection with Mr. De Shon’s departure, the Company recorded other related charges of approximately $1 million for consulting fees and $14 million, inclusive of accelerated stock-based compensation expense, for the years ended December 31, 2020 and 2019, respectively.</w:t>
      </w:r>
    </w:p>
    <w:p>
      <w:pPr>
        <w:spacing w:after="0" w:line="232"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$4 million, inclusive of accelerated stock-based compensation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2020</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2020, the Company completed the acquisitions of various licensees in North America and Europe, for approximately</w:t>
      </w:r>
    </w:p>
    <w:p>
      <w:pPr>
        <w:spacing w:after="0" w:line="9"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$28 million, plus $22 million for acquired fleet. These investments were in-line with the Company’s strategy to re-acquire licensees when advantageous to expand its footprint of Company-operated locations. The acquired fleet was financed under the Company’s existing financing arrangements. In connection with these acquisitions, approximately $28 million was recorded in other intangibles related to license agreements. The license agreements are being amortized over a weighted average useful life of approximately two years. The fair value of the assets acquired and liabilities assumed has not yet been finalized and is therefore subject to change.</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2019</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Avis and Budget Licensees</w:t>
      </w:r>
    </w:p>
    <w:p>
      <w:pPr>
        <w:spacing w:after="0" w:line="274"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In 2019, the Company completed the acquisitions of various licensees, primarily in North America, for approximately $55 million, plus $27 million for acquired fleet, of which $ 74 million was paid in 2019 and the remaining purchase price was primarily paid in 2020. These investments were in-line with the Company’s strategy to re-acquire licensees when advantageous to expand its footprint of Company-operated locations.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acquired fleet was financed under the Company’s existing financing arrangements. The excess of the purchase price over preliminary fair value of net assets acquired was allocated to goodwill, which was assigned to the Company’s Americas reportable segment. In connection with these acquisitions, approximately $21 million was recorded in goodwill, other intangibles of $24 million related to license agreements and $7 million related to customer relationships. The license agreements and customer relationships are being amortized over a weighted average useful life of approximately three years. The goodwill is expected to be deductible for tax purposes. Differences between the preliminary allocation of purchase price and the final allocation were not material for Avis and Budget Licensees.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2019</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3"/>
                <w:szCs w:val="13"/>
                <w:color w:val="auto"/>
              </w:rPr>
            </w:pPr>
          </w:p>
        </w:tc>
        <w:tc>
          <w:tcPr>
            <w:tcW w:w="9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256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60" w:type="dxa"/>
            <w:vAlign w:val="bottom"/>
          </w:tcPr>
          <w:p>
            <w:pPr>
              <w:spacing w:after="0" w:line="235" w:lineRule="exact"/>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2560" w:type="dxa"/>
            <w:vAlign w:val="bottom"/>
          </w:tcPr>
          <w:p>
            <w:pPr>
              <w:spacing w:after="0" w:line="204"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4"/>
        </w:trPr>
        <w:tc>
          <w:tcPr>
            <w:tcW w:w="25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6"/>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187" w:lineRule="auto"/>
        <w:tabs>
          <w:tab w:leader="none" w:pos="8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1 to 40 years with a weighted average life of 18 years.</w:t>
      </w:r>
    </w:p>
    <w:p>
      <w:pPr>
        <w:ind w:left="820" w:hanging="326"/>
        <w:spacing w:after="0" w:line="187" w:lineRule="auto"/>
        <w:tabs>
          <w:tab w:leader="none" w:pos="8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Primarily amortized over a period ranging from 3 to 20 years with a weighted average life of 12 years.</w:t>
      </w:r>
    </w:p>
    <w:p>
      <w:pPr>
        <w:ind w:left="800" w:hanging="306"/>
        <w:spacing w:after="0" w:line="189" w:lineRule="auto"/>
        <w:tabs>
          <w:tab w:leader="none" w:pos="80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0 to 10 years with a weighted average life of 9 years.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License agreements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5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500" w:right="100"/>
        <w:spacing w:after="0" w:line="256" w:lineRule="auto"/>
        <w:rPr>
          <w:sz w:val="20"/>
          <w:szCs w:val="20"/>
          <w:color w:val="auto"/>
        </w:rPr>
      </w:pPr>
      <w:r>
        <w:rPr>
          <w:rFonts w:ascii="Arial" w:cs="Arial" w:eastAsia="Arial" w:hAnsi="Arial"/>
          <w:sz w:val="18"/>
          <w:szCs w:val="18"/>
          <w:color w:val="auto"/>
        </w:rPr>
        <w:t>Based on the Company’s amortizable intangible assets at December 31, 2020, the Company expects related amortization expense of approximately $59 million for 2021, $35 million for 2022, $26 million for 2023, $23 million for 2024 and $18 million for 2025 excluding effects of currency exchange rates.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r>
      <w:tr>
        <w:trPr>
          <w:trHeight w:val="426"/>
        </w:trPr>
        <w:tc>
          <w:tcPr>
            <w:tcW w:w="5540" w:type="dxa"/>
            <w:vAlign w:val="bottom"/>
          </w:tcPr>
          <w:p>
            <w:pPr>
              <w:spacing w:after="0"/>
              <w:rPr>
                <w:sz w:val="20"/>
                <w:szCs w:val="20"/>
                <w:color w:val="auto"/>
              </w:rPr>
            </w:pPr>
            <w:r>
              <w:rPr>
                <w:rFonts w:ascii="Arial" w:cs="Arial" w:eastAsia="Arial" w:hAnsi="Arial"/>
                <w:sz w:val="18"/>
                <w:szCs w:val="18"/>
                <w:color w:val="auto"/>
              </w:rPr>
              <w:t>Gross goodwill as of January 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impairment losses as of January 1, 2019</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January 1, 2019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2019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Vehicle Rental Activities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Rental vehicles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Vehicles held for sale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Vehicles,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20" w:type="dxa"/>
            <w:vAlign w:val="bottom"/>
            <w:gridSpan w:val="4"/>
            <w:vMerge w:val="restart"/>
          </w:tcPr>
          <w:p>
            <w:pPr>
              <w:spacing w:after="0"/>
              <w:rPr>
                <w:sz w:val="20"/>
                <w:szCs w:val="20"/>
                <w:color w:val="auto"/>
              </w:rPr>
            </w:pPr>
            <w:r>
              <w:rPr>
                <w:rFonts w:ascii="Arial" w:cs="Arial" w:eastAsia="Arial" w:hAnsi="Arial"/>
                <w:sz w:val="18"/>
                <w:szCs w:val="18"/>
                <w:color w:val="auto"/>
              </w:rPr>
              <w:t>The components of vehicle depreciation and lease charges, net are summarized below:</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12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Lease charges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spacing w:after="0" w:line="278" w:lineRule="auto"/>
        <w:rPr>
          <w:sz w:val="20"/>
          <w:szCs w:val="20"/>
          <w:color w:val="auto"/>
        </w:rPr>
      </w:pPr>
      <w:r>
        <w:rPr>
          <w:rFonts w:ascii="Arial" w:cs="Arial" w:eastAsia="Arial" w:hAnsi="Arial"/>
          <w:sz w:val="17"/>
          <w:szCs w:val="17"/>
          <w:color w:val="auto"/>
        </w:rPr>
        <w:t>At December 31, 2020, 2019 and 2018, the Company had payables related to vehicle purchases included in liabilities under vehicle programs - other of $232 million, $418 million and $472 million, respectively, and receivables related to vehicle sales included in assets under vehicle programs - receivables from vehicle manufacturers and other of $162 million, $576 million and $622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74"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On December 22, 2017 the Tax Act made substantial changes to corporate income tax laws. Among the key provisions were a U.S. corporate tax rate reduction from 35% to 21% effective for tax years beginning January 1, 2018 and a one-time transition tax on the deemed repatriation of cumulative earnings from foreign subsidiaries and changes to U.S. taxation of foreign earnings from a worldwide to a territorial tax system effective for tax years beginning January 1, 2018. The Company recognized the effects of the Tax Act in its Consolidated Financial Statements in accordance with Staff Accounting Bulletin No. 118, which provides SEC staff guidance for the application of FASB Accounting Standards Codification Topic 740, Income Taxes, in the reporting period that the Tax Act was signed into law.</w:t>
      </w:r>
    </w:p>
    <w:p>
      <w:pPr>
        <w:spacing w:after="0" w:line="166" w:lineRule="exact"/>
        <w:rPr>
          <w:sz w:val="20"/>
          <w:szCs w:val="20"/>
          <w:color w:val="auto"/>
        </w:rPr>
      </w:pPr>
    </w:p>
    <w:p>
      <w:pPr>
        <w:jc w:val="both"/>
        <w:ind w:left="500" w:right="580"/>
        <w:spacing w:after="0" w:line="256" w:lineRule="auto"/>
        <w:rPr>
          <w:sz w:val="20"/>
          <w:szCs w:val="20"/>
          <w:color w:val="auto"/>
        </w:rPr>
      </w:pPr>
      <w:r>
        <w:rPr>
          <w:rFonts w:ascii="Arial" w:cs="Arial" w:eastAsia="Arial" w:hAnsi="Arial"/>
          <w:sz w:val="18"/>
          <w:szCs w:val="18"/>
          <w:color w:val="auto"/>
        </w:rPr>
        <w:t>In 2017 the Company recorded a provisional income tax benefit of $317 million related to the remeasurement of its net deferred income tax liabilities as a result of the reduced corporate tax rate, and a provisional tax expense of $104 million for the one-time transition tax on the deemed repatriation of cumulative foreign subsidiary earnings.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 Company completed the accounting for the effects of the Tax Act during 2018 and recorded an additional income tax expense of $30 million for the one-time transition tax on the deemed repatriation of foreign earnings.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(benefit from) income taxes consists of the following:</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8"/>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Current income tax provision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2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State</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Deferred income tax provision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w:t>
            </w: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660" w:type="dxa"/>
            <w:vAlign w:val="bottom"/>
            <w:gridSpan w:val="2"/>
          </w:tcPr>
          <w:p>
            <w:pPr>
              <w:spacing w:after="0"/>
              <w:rPr>
                <w:sz w:val="20"/>
                <w:szCs w:val="20"/>
                <w:color w:val="auto"/>
              </w:rPr>
            </w:pPr>
            <w:r>
              <w:rPr>
                <w:rFonts w:ascii="Arial" w:cs="Arial" w:eastAsia="Arial" w:hAnsi="Arial"/>
                <w:sz w:val="18"/>
                <w:szCs w:val="18"/>
                <w:color w:val="auto"/>
              </w:rPr>
              <w:t>Pretax income for domestic and foreign operations consists of the following:</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8"/>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(590)</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Pretax income (loss)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(956)</w:t>
            </w:r>
          </w:p>
        </w:tc>
        <w:tc>
          <w:tcPr>
            <w:tcW w:w="10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6660" w:type="dxa"/>
            <w:vAlign w:val="bottom"/>
            <w:gridSpan w:val="2"/>
          </w:tcPr>
          <w:p>
            <w:pPr>
              <w:spacing w:after="0"/>
              <w:rPr>
                <w:sz w:val="20"/>
                <w:szCs w:val="20"/>
                <w:color w:val="auto"/>
              </w:rPr>
            </w:pPr>
            <w:r>
              <w:rPr>
                <w:rFonts w:ascii="Arial" w:cs="Arial" w:eastAsia="Arial" w:hAnsi="Arial"/>
                <w:sz w:val="18"/>
                <w:szCs w:val="18"/>
                <w:color w:val="auto"/>
              </w:rPr>
              <w:t>Deferred income tax assets and liabilities are comprised of the following:</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5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Deferred income tax assets: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Net tax loss carryforwards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Accrued liabilities and deferred revenue</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3"/>
                <w:szCs w:val="23"/>
                <w:color w:val="auto"/>
                <w:vertAlign w:val="superscript"/>
              </w:rPr>
              <w:t>(a)</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372"/>
        </w:trPr>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Deferred income tax liabilities: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net</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20" w:right="80" w:hanging="326"/>
        <w:spacing w:after="0" w:line="233" w:lineRule="auto"/>
        <w:tabs>
          <w:tab w:leader="none" w:pos="802"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The valuation allowance of $204 million at December 31, 2020 relates to tax loss carryforwards and certain deferred tax assets of $195 million and $9 million, respectively. The valuation allowance will be reduced when and if the Company determines it is more likely than not that the related deferred income tax assets will be realized. The valuation allowance of $214 million at December 31, 2019 relates to tax loss carryforwards and certain deferred tax assets of $192 million and $22 million, respectively. The valuation allowance will be reduced when and if the Company determines it is more likely than not that the related deferred income tax assets will be realized.</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26"/>
        </w:trPr>
        <w:tc>
          <w:tcPr>
            <w:tcW w:w="720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At December 31, 2020, the Company had U.S. federal net operating loss carryforwards of approximately $3.5 billion. The majority of the net operating loss carryforwards have an indefinite utilization period pursuant to the Tax Act and a significant remaining portion expires by 2031. Such net operating loss carryforwards are primarily related to accelerated depreciation of the Company’s U.S. vehicles. Currently, the Company does not record valuation allowances on the majority of its U.S. federal tax loss carryforwards as there are adequate deferred tax liabilities that could be realized within the carryforward period. At December 31, 2020, the Company had foreign net operating loss carryforwards of approximately $1.2 billion with an indefinite utilization period.</w:t>
      </w:r>
    </w:p>
    <w:p>
      <w:pPr>
        <w:spacing w:after="0" w:line="15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December 31, 2020, the Company had undistributed earnings of certain foreign subsidiaries of approximately $0.9 billion that it has indefinitely reinvested, and on which it has not recognized deferred taxes. Estimating the amount of potential tax is not practicable because of the complexity and variety of assumptions necessary to compute the tax.</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reconciliation between the U.S. federal income tax statutory rate and the Company’s effective income tax rate is as follows: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460" w:type="dxa"/>
            <w:vAlign w:val="bottom"/>
          </w:tcPr>
          <w:p>
            <w:pPr>
              <w:spacing w:after="0"/>
              <w:rPr>
                <w:sz w:val="20"/>
                <w:szCs w:val="20"/>
                <w:color w:val="auto"/>
              </w:rPr>
            </w:pPr>
          </w:p>
        </w:tc>
        <w:tc>
          <w:tcPr>
            <w:tcW w:w="35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tax benefits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5.5</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Changes in valuation allowances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188"/>
        </w:trPr>
        <w:tc>
          <w:tcPr>
            <w:tcW w:w="5460" w:type="dxa"/>
            <w:vAlign w:val="bottom"/>
          </w:tcPr>
          <w:p>
            <w:pPr>
              <w:ind w:left="180"/>
              <w:spacing w:after="0" w:line="189" w:lineRule="exact"/>
              <w:rPr>
                <w:sz w:val="20"/>
                <w:szCs w:val="20"/>
                <w:color w:val="auto"/>
              </w:rPr>
            </w:pPr>
            <w:r>
              <w:rPr>
                <w:rFonts w:ascii="Arial" w:cs="Arial" w:eastAsia="Arial" w:hAnsi="Arial"/>
                <w:sz w:val="18"/>
                <w:szCs w:val="18"/>
                <w:color w:val="auto"/>
              </w:rPr>
              <w:t>Taxes on foreign operations at rates different than U.S. federal</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460" w:type="dxa"/>
            <w:vAlign w:val="bottom"/>
          </w:tcPr>
          <w:p>
            <w:pPr>
              <w:ind w:left="340"/>
              <w:spacing w:after="0"/>
              <w:rPr>
                <w:sz w:val="20"/>
                <w:szCs w:val="20"/>
                <w:color w:val="auto"/>
              </w:rPr>
            </w:pPr>
            <w:r>
              <w:rPr>
                <w:rFonts w:ascii="Arial" w:cs="Arial" w:eastAsia="Arial" w:hAnsi="Arial"/>
                <w:sz w:val="18"/>
                <w:szCs w:val="18"/>
                <w:color w:val="auto"/>
              </w:rPr>
              <w:t>statutory rates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(5.2)</w:t>
            </w: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Tax Act (benefit) expense</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11.2</w:t>
            </w: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Other non-deductible (non-taxable) items</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23"/>
        </w:trPr>
        <w:tc>
          <w:tcPr>
            <w:tcW w:w="54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38.2 %</w:t>
            </w: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850"/>
        </w:trPr>
        <w:tc>
          <w:tcPr>
            <w:tcW w:w="6240" w:type="dxa"/>
            <w:vAlign w:val="bottom"/>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6240" w:type="dxa"/>
            <w:vAlign w:val="bottom"/>
          </w:tcPr>
          <w:p>
            <w:pPr>
              <w:ind w:left="520"/>
              <w:spacing w:after="0"/>
              <w:rPr>
                <w:sz w:val="20"/>
                <w:szCs w:val="20"/>
                <w:color w:val="auto"/>
              </w:rPr>
            </w:pPr>
            <w:r>
              <w:rPr>
                <w:rFonts w:ascii="Arial" w:cs="Arial" w:eastAsia="Arial" w:hAnsi="Arial"/>
                <w:sz w:val="18"/>
                <w:szCs w:val="18"/>
                <w:color w:val="auto"/>
              </w:rPr>
              <w:t>Balance, January 1</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240" w:type="dxa"/>
            <w:vAlign w:val="bottom"/>
          </w:tcPr>
          <w:p>
            <w:pPr>
              <w:ind w:left="72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240" w:type="dxa"/>
            <w:vAlign w:val="bottom"/>
          </w:tcPr>
          <w:p>
            <w:pPr>
              <w:ind w:left="72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240" w:type="dxa"/>
            <w:vAlign w:val="bottom"/>
          </w:tcPr>
          <w:p>
            <w:pPr>
              <w:ind w:left="720"/>
              <w:spacing w:after="0"/>
              <w:rPr>
                <w:sz w:val="20"/>
                <w:szCs w:val="20"/>
                <w:color w:val="auto"/>
              </w:rPr>
            </w:pPr>
            <w:r>
              <w:rPr>
                <w:rFonts w:ascii="Arial" w:cs="Arial" w:eastAsia="Arial" w:hAnsi="Arial"/>
                <w:sz w:val="18"/>
                <w:szCs w:val="18"/>
                <w:color w:val="auto"/>
              </w:rPr>
              <w:t>Statute of limitations</w:t>
            </w:r>
          </w:p>
        </w:tc>
        <w:tc>
          <w:tcPr>
            <w:tcW w:w="10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24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520"/>
              <w:spacing w:after="0"/>
              <w:rPr>
                <w:sz w:val="20"/>
                <w:szCs w:val="20"/>
                <w:color w:val="auto"/>
              </w:rPr>
            </w:pPr>
            <w:r>
              <w:rPr>
                <w:rFonts w:ascii="Arial" w:cs="Arial" w:eastAsia="Arial" w:hAnsi="Arial"/>
                <w:sz w:val="18"/>
                <w:szCs w:val="18"/>
                <w:color w:val="auto"/>
              </w:rPr>
              <w:t>Balance, December 31</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1"/>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in 2021.</w:t>
      </w:r>
    </w:p>
    <w:p>
      <w:pPr>
        <w:spacing w:after="0" w:line="171" w:lineRule="exact"/>
        <w:rPr>
          <w:sz w:val="20"/>
          <w:szCs w:val="20"/>
          <w:color w:val="auto"/>
        </w:rPr>
      </w:pPr>
    </w:p>
    <w:p>
      <w:pPr>
        <w:ind w:left="500" w:right="80"/>
        <w:spacing w:after="0" w:line="254" w:lineRule="auto"/>
        <w:rPr>
          <w:sz w:val="20"/>
          <w:szCs w:val="20"/>
          <w:color w:val="auto"/>
        </w:rPr>
      </w:pPr>
      <w:r>
        <w:rPr>
          <w:rFonts w:ascii="Arial" w:cs="Arial" w:eastAsia="Arial" w:hAnsi="Arial"/>
          <w:sz w:val="18"/>
          <w:szCs w:val="18"/>
          <w:color w:val="auto"/>
        </w:rPr>
        <w:t>The Company is subject to taxation in the United States and various foreign jurisdictions. As of December 31, 2020, the 2017 through 2019 tax years generally remain subject to examination by the federal tax authorities. The 2014 through 2019 tax years generally remain subject to examination by various state tax authorities. In significant foreign jurisdictions, the 2013 through 2019 tax years generally remain subject to examination by their respective tax authorities.</w:t>
      </w:r>
    </w:p>
    <w:p>
      <w:pPr>
        <w:spacing w:after="0" w:line="150"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Substantially all of the gross amount of the unrecognized tax benefits at December 31, 2020, 2019 and 2018, if recognized, would affect the Company’s provision for, or benefit from, income taxes. As of December 31, 2020, the Company’s unrecognized tax benefits were offset by tax loss carryforwards and other deferred tax assets in the amount of $38 million.</w:t>
      </w:r>
    </w:p>
    <w:p>
      <w:pPr>
        <w:spacing w:after="0" w:line="148"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56"/>
        </w:trPr>
        <w:tc>
          <w:tcPr>
            <w:tcW w:w="7220" w:type="dxa"/>
            <w:vAlign w:val="bottom"/>
          </w:tcPr>
          <w:p>
            <w:pPr>
              <w:spacing w:after="0"/>
              <w:rPr>
                <w:sz w:val="22"/>
                <w:szCs w:val="22"/>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2"/>
                <w:szCs w:val="22"/>
                <w:color w:val="auto"/>
              </w:rPr>
            </w:pPr>
          </w:p>
        </w:tc>
      </w:tr>
      <w:tr>
        <w:trPr>
          <w:trHeight w:val="223"/>
        </w:trPr>
        <w:tc>
          <w:tcPr>
            <w:tcW w:w="722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9"/>
                <w:szCs w:val="19"/>
                <w:color w:val="auto"/>
              </w:rPr>
            </w:pPr>
          </w:p>
        </w:tc>
      </w:tr>
      <w:tr>
        <w:trPr>
          <w:trHeight w:val="225"/>
        </w:trPr>
        <w:tc>
          <w:tcPr>
            <w:tcW w:w="722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Unrecognized tax benefit in non-current income taxes payable </w:t>
            </w:r>
            <w:r>
              <w:rPr>
                <w:rFonts w:ascii="Arial" w:cs="Arial" w:eastAsia="Arial" w:hAnsi="Arial"/>
                <w:sz w:val="23"/>
                <w:szCs w:val="23"/>
                <w:color w:val="auto"/>
                <w:vertAlign w:val="superscript"/>
              </w:rPr>
              <w:t>(a)</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9"/>
        </w:trPr>
        <w:tc>
          <w:tcPr>
            <w:tcW w:w="722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3"/>
                <w:szCs w:val="23"/>
                <w:color w:val="auto"/>
                <w:vertAlign w:val="superscript"/>
              </w:rPr>
              <w:t>(b)</w:t>
            </w: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820" w:right="160" w:hanging="326"/>
        <w:spacing w:after="0" w:line="223" w:lineRule="auto"/>
        <w:tabs>
          <w:tab w:leader="none" w:pos="813" w:val="left"/>
        </w:tabs>
        <w:numPr>
          <w:ilvl w:val="1"/>
          <w:numId w:val="48"/>
        </w:numPr>
        <w:rPr>
          <w:rFonts w:ascii="Arial" w:cs="Arial" w:eastAsia="Arial" w:hAnsi="Arial"/>
          <w:sz w:val="21"/>
          <w:szCs w:val="21"/>
          <w:color w:val="auto"/>
          <w:vertAlign w:val="superscript"/>
        </w:rPr>
      </w:pPr>
      <w:r>
        <w:rPr>
          <w:rFonts w:ascii="Arial" w:cs="Arial" w:eastAsia="Arial" w:hAnsi="Arial"/>
          <w:sz w:val="16"/>
          <w:szCs w:val="16"/>
          <w:color w:val="auto"/>
        </w:rPr>
        <w:t>Pursuant to the agreements governing the disposition of certain subsidiaries in 2006, the Company is entitled to indemnification for certain pre-disposition tax contingencies. As of December 31, 2020 and 2019, $13 million, respectively, of unrecognized tax benefits are related to tax contingencies for which the Company believes it is entitled to indemnification.</w:t>
      </w:r>
    </w:p>
    <w:p>
      <w:pPr>
        <w:ind w:left="820" w:hanging="326"/>
        <w:spacing w:after="0" w:line="225" w:lineRule="auto"/>
        <w:tabs>
          <w:tab w:leader="none" w:pos="813" w:val="left"/>
        </w:tabs>
        <w:numPr>
          <w:ilvl w:val="1"/>
          <w:numId w:val="48"/>
        </w:numPr>
        <w:rPr>
          <w:rFonts w:ascii="Arial" w:cs="Arial" w:eastAsia="Arial" w:hAnsi="Arial"/>
          <w:sz w:val="21"/>
          <w:szCs w:val="21"/>
          <w:color w:val="auto"/>
          <w:vertAlign w:val="superscript"/>
        </w:rPr>
      </w:pPr>
      <w:r>
        <w:rPr>
          <w:rFonts w:ascii="Arial" w:cs="Arial" w:eastAsia="Arial" w:hAnsi="Arial"/>
          <w:sz w:val="16"/>
          <w:szCs w:val="16"/>
          <w:color w:val="auto"/>
        </w:rPr>
        <w:t>The Company recognizes potential interest related to unrecognized tax benefits within interest expense related to corporate debt, net on the accompanying Consolidated Statements of Operations. Penalties incurred during the years ended December 31, 2020, 2019 and 2018, were not significant and were recognized as a component of the provision for income taxes.</w:t>
      </w:r>
    </w:p>
    <w:p>
      <w:pPr>
        <w:spacing w:after="0" w:line="213" w:lineRule="exact"/>
        <w:rPr>
          <w:rFonts w:ascii="Arial" w:cs="Arial" w:eastAsia="Arial" w:hAnsi="Arial"/>
          <w:sz w:val="21"/>
          <w:szCs w:val="21"/>
          <w:color w:val="auto"/>
          <w:vertAlign w:val="superscript"/>
        </w:rPr>
      </w:pPr>
    </w:p>
    <w:p>
      <w:pPr>
        <w:ind w:left="300" w:hanging="292"/>
        <w:spacing w:after="0"/>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Other current assets consisted of:</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6"/>
        </w:trPr>
        <w:tc>
          <w:tcPr>
            <w:tcW w:w="7220" w:type="dxa"/>
            <w:vAlign w:val="bottom"/>
          </w:tcPr>
          <w:p>
            <w:pPr>
              <w:spacing w:after="0"/>
              <w:rPr>
                <w:sz w:val="22"/>
                <w:szCs w:val="22"/>
                <w:color w:val="auto"/>
              </w:rPr>
            </w:pPr>
          </w:p>
        </w:tc>
        <w:tc>
          <w:tcPr>
            <w:tcW w:w="2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As of December 31,</w:t>
            </w:r>
          </w:p>
        </w:tc>
        <w:tc>
          <w:tcPr>
            <w:tcW w:w="440" w:type="dxa"/>
            <w:vAlign w:val="bottom"/>
            <w:tcBorders>
              <w:bottom w:val="single" w:sz="8" w:color="auto"/>
            </w:tcBorders>
          </w:tcPr>
          <w:p>
            <w:pPr>
              <w:spacing w:after="0"/>
              <w:rPr>
                <w:sz w:val="22"/>
                <w:szCs w:val="22"/>
                <w:color w:val="auto"/>
              </w:rPr>
            </w:pPr>
          </w:p>
        </w:tc>
      </w:tr>
      <w:tr>
        <w:trPr>
          <w:trHeight w:val="223"/>
        </w:trPr>
        <w:tc>
          <w:tcPr>
            <w:tcW w:w="7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Sales and use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7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810"/>
        </w:trPr>
        <w:tc>
          <w:tcPr>
            <w:tcW w:w="7720" w:type="dxa"/>
            <w:vAlign w:val="bottom"/>
          </w:tcPr>
          <w:p>
            <w:pPr>
              <w:spacing w:after="0"/>
              <w:rPr>
                <w:sz w:val="20"/>
                <w:szCs w:val="20"/>
                <w:color w:val="auto"/>
              </w:rPr>
            </w:pPr>
            <w:r>
              <w:rPr>
                <w:rFonts w:ascii="Arial" w:cs="Arial" w:eastAsia="Arial" w:hAnsi="Arial"/>
                <w:sz w:val="18"/>
                <w:szCs w:val="18"/>
                <w:b w:val="1"/>
                <w:bCs w:val="1"/>
                <w:color w:val="auto"/>
              </w:rPr>
              <w:t>11. Property and Equipment, net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772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7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Land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Projects in process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Buses and support vehicles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Depreciation and amortization expense relating to property and equipment during 2020, 2019 and 2018 was $218 million, $204 million and $191 million, respectively (including $113 million, $109 million and $92 million, respectively, of amortization expense relating to capitalized software). At December 31, 2020, the Company had payables related to property and equipment included in accounts payable and other current liabilities and in other non-current liabilities of $10 million and $3 million, respectively. At December 31, 2019, the Company had payables related to property and equipment included in accounts payable and other current liabilities and in other non-current liabilities of $16 million and $12 million, respectively. At December 31, 2018, the Company had payables related to property and equipment included in accounts payable and other current liabilities of $15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20" w:type="dxa"/>
            <w:vAlign w:val="bottom"/>
          </w:tcPr>
          <w:p>
            <w:pPr>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77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772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23"/>
        </w:trPr>
        <w:tc>
          <w:tcPr>
            <w:tcW w:w="772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right="5640" w:hanging="492"/>
        <w:spacing w:after="0" w:line="417" w:lineRule="auto"/>
        <w:tabs>
          <w:tab w:leader="none" w:pos="314"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8"/>
        </w:trPr>
        <w:tc>
          <w:tcPr>
            <w:tcW w:w="5500" w:type="dxa"/>
            <w:vAlign w:val="bottom"/>
          </w:tcPr>
          <w:p>
            <w:pPr>
              <w:spacing w:after="0"/>
              <w:rPr>
                <w:sz w:val="18"/>
                <w:szCs w:val="18"/>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Maturity</w:t>
            </w: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line="20" w:lineRule="exact"/>
              <w:rPr>
                <w:sz w:val="1"/>
                <w:szCs w:val="1"/>
                <w:color w:val="auto"/>
              </w:rPr>
            </w:pPr>
          </w:p>
        </w:tc>
      </w:tr>
      <w:tr>
        <w:trPr>
          <w:trHeight w:val="215"/>
        </w:trPr>
        <w:tc>
          <w:tcPr>
            <w:tcW w:w="5500" w:type="dxa"/>
            <w:vAlign w:val="bottom"/>
          </w:tcPr>
          <w:p>
            <w:pPr>
              <w:spacing w:after="0"/>
              <w:rPr>
                <w:sz w:val="18"/>
                <w:szCs w:val="18"/>
                <w:color w:val="auto"/>
              </w:rPr>
            </w:pPr>
          </w:p>
        </w:tc>
        <w:tc>
          <w:tcPr>
            <w:tcW w:w="16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rPr>
                <w:sz w:val="20"/>
                <w:szCs w:val="20"/>
                <w:color w:val="auto"/>
              </w:rPr>
            </w:pPr>
            <w:r>
              <w:rPr>
                <w:rFonts w:ascii="Arial" w:cs="Arial" w:eastAsia="Arial" w:hAnsi="Arial"/>
                <w:sz w:val="16"/>
                <w:szCs w:val="16"/>
                <w:color w:val="auto"/>
              </w:rPr>
              <w:t>5½%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6⅜%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4⅛%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5¼%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4½%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10½% Senior Secured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4¾%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5¾%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35"/>
        </w:trPr>
        <w:tc>
          <w:tcPr>
            <w:tcW w:w="5500" w:type="dxa"/>
            <w:vAlign w:val="bottom"/>
          </w:tcPr>
          <w:p>
            <w:pPr>
              <w:spacing w:after="0" w:line="235"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9"/>
        </w:trPr>
        <w:tc>
          <w:tcPr>
            <w:tcW w:w="5500" w:type="dxa"/>
            <w:vAlign w:val="bottom"/>
          </w:tcPr>
          <w:p>
            <w:pPr>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20" w:right="580" w:hanging="326"/>
        <w:spacing w:after="0" w:line="204" w:lineRule="auto"/>
        <w:tabs>
          <w:tab w:leader="none" w:pos="813"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3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75"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i w:val="1"/>
          <w:iCs w:val="1"/>
          <w:color w:val="auto"/>
        </w:rPr>
        <w:t xml:space="preserve">Floating Rate Term Loan due 2027. </w:t>
      </w:r>
      <w:r>
        <w:rPr>
          <w:rFonts w:ascii="Arial" w:cs="Arial" w:eastAsia="Arial" w:hAnsi="Arial"/>
          <w:sz w:val="18"/>
          <w:szCs w:val="18"/>
          <w:color w:val="auto"/>
        </w:rPr>
        <w:t>In February 2020, the Company amended its Floating Rate Term Loan and extended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term to 2027. The Company increased the outstanding borrowing principal amount of the Floating Rate Term Loan to $1.2 billion and on April 1, 2020 used the additional loan amount to redeem $100 million of its outstanding 5½% Senior Notes due 2023. As of December 31, 2020, the loan bears interest at one-month LIBOR plus 2.25%, for an aggregate rate of 2.40%; however, the Company entered into an interest rate swap to hedge $700 million of its interest rate exposure related to the floating rate term loan at an aggregate rate of 4.58%.</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5½% Senior Notes due 2023. </w:t>
      </w:r>
      <w:r>
        <w:rPr>
          <w:rFonts w:ascii="Arial" w:cs="Arial" w:eastAsia="Arial" w:hAnsi="Arial"/>
          <w:sz w:val="18"/>
          <w:szCs w:val="18"/>
          <w:color w:val="auto"/>
        </w:rPr>
        <w:t>In April 2013, the Company completed an offering of $500 million of 5½% Senior Notes due April 2023.</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notes were issued at par, with interest payable semi-annually.</w:t>
      </w:r>
    </w:p>
    <w:p>
      <w:pPr>
        <w:spacing w:after="0" w:line="252"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In November 2014, the Company issued $175 million of additional 5½% Senior Notes due 2023 at 99.625% of their face value, with interest payable semi-annually. The Company had the right to redeem these notes in whole or in part on or after April 1, 2018 at specified redemption prices plus accrued interest. The Company used the proceeds from the issuance to partially fund the acquisition of its Budget licensee for Southern California and Las Vegas.</w:t>
      </w:r>
    </w:p>
    <w:p>
      <w:pPr>
        <w:spacing w:after="0" w:line="231"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During 2020 and 2019, the Company redeemed $200 million principal amount of these notes for $202 million and $475 million principal amount of these notes for $483 million, respectively, plus accrued interest.</w:t>
      </w:r>
    </w:p>
    <w:p>
      <w:pPr>
        <w:spacing w:after="0" w:line="207"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i w:val="1"/>
          <w:iCs w:val="1"/>
          <w:color w:val="auto"/>
        </w:rPr>
        <w:t>6⅜% Senior Notes due 2024</w:t>
      </w:r>
      <w:r>
        <w:rPr>
          <w:rFonts w:ascii="Arial" w:cs="Arial" w:eastAsia="Arial" w:hAnsi="Arial"/>
          <w:sz w:val="18"/>
          <w:szCs w:val="18"/>
          <w:color w:val="auto"/>
        </w:rPr>
        <w:t>. In March 2016, the Company issued $ 350 million of 6⅜% Senior Notes due 2024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April 1, 2019 at specified redemption prices plus accrued interest. In May 2016, the Company used the net proceeds from the offering to redeem $300 million principal amount of its previous 4⅞% Senior Notes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left="500" w:right="260"/>
        <w:spacing w:after="0" w:line="258" w:lineRule="auto"/>
        <w:rPr>
          <w:sz w:val="20"/>
          <w:szCs w:val="20"/>
          <w:color w:val="auto"/>
        </w:rPr>
      </w:pPr>
      <w:r>
        <w:rPr>
          <w:rFonts w:ascii="Arial" w:cs="Arial" w:eastAsia="Arial" w:hAnsi="Arial"/>
          <w:sz w:val="18"/>
          <w:szCs w:val="18"/>
          <w:i w:val="1"/>
          <w:iCs w:val="1"/>
          <w:color w:val="auto"/>
        </w:rPr>
        <w:t xml:space="preserve">4⅛% euro-denominated Senior Notes due 2024. </w:t>
      </w:r>
      <w:r>
        <w:rPr>
          <w:rFonts w:ascii="Arial" w:cs="Arial" w:eastAsia="Arial" w:hAnsi="Arial"/>
          <w:sz w:val="18"/>
          <w:szCs w:val="18"/>
          <w:color w:val="auto"/>
        </w:rPr>
        <w:t>In September 2016, the Company issued €300 million of 4⅛% euro-denominated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2024 at par, with interest payable semi-annually. The Company has the right to redeem these notes in whole or in part at any time on or after November 15, 2019 at specified redemption prices plus accrued interest. In October 2016, the Company used the net proceeds from the offering primarily to redeem €275 million of its outstanding 6% euro-denominated Senior Notes due 2021.</w:t>
      </w:r>
    </w:p>
    <w:p>
      <w:pPr>
        <w:spacing w:after="0" w:line="210"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i w:val="1"/>
          <w:iCs w:val="1"/>
          <w:color w:val="auto"/>
        </w:rPr>
        <w:t xml:space="preserve">5¼% Senior Notes due 2025. </w:t>
      </w:r>
      <w:r>
        <w:rPr>
          <w:rFonts w:ascii="Arial" w:cs="Arial" w:eastAsia="Arial" w:hAnsi="Arial"/>
          <w:sz w:val="18"/>
          <w:szCs w:val="18"/>
          <w:color w:val="auto"/>
        </w:rPr>
        <w:t>In March 2015, the Company issued $ 375 million of 5¼% Senior Notes due 2025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has the right to redeem these notes in whole or in part at any time on or after March 15, 2020 at specified redemption prices plus accrued interest. In April 2015, the Company used net proceeds from the offering to redeem the remaining $223 million principal amount of its 9¾% Senior Notes and to partially fund the acquisition of Maggiore.</w:t>
      </w:r>
    </w:p>
    <w:p>
      <w:pPr>
        <w:spacing w:after="0" w:line="207"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i w:val="1"/>
          <w:iCs w:val="1"/>
          <w:color w:val="auto"/>
        </w:rPr>
        <w:t xml:space="preserve">4½% euro-denominated Senior Notes due 2025. </w:t>
      </w:r>
      <w:r>
        <w:rPr>
          <w:rFonts w:ascii="Arial" w:cs="Arial" w:eastAsia="Arial" w:hAnsi="Arial"/>
          <w:sz w:val="18"/>
          <w:szCs w:val="18"/>
          <w:color w:val="auto"/>
        </w:rPr>
        <w:t>In March 2017, the Company issued €250 million of 4½%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2025, at par, with interest payable semi-annually. The Company has the right to redeem these notes in whole or in part on or after May 15, 2020 at specified redemption prices plus accrued interest. In April 2017, the Company used the net proceeds from the offering to redeem its outstanding € 175 million principal amount of 6% euro -denominated Senior Notes due 2021 for €180 million plus accrued interest. In June 2017, the Company used the remaining proceeds to redeem a portion of its Floating Rate Senior Notes due 2017.</w:t>
      </w:r>
    </w:p>
    <w:p>
      <w:pPr>
        <w:spacing w:after="0" w:line="214" w:lineRule="exact"/>
        <w:rPr>
          <w:sz w:val="20"/>
          <w:szCs w:val="20"/>
          <w:color w:val="auto"/>
        </w:rPr>
      </w:pPr>
    </w:p>
    <w:p>
      <w:pPr>
        <w:ind w:left="500" w:right="20"/>
        <w:spacing w:after="0" w:line="261" w:lineRule="auto"/>
        <w:rPr>
          <w:sz w:val="20"/>
          <w:szCs w:val="20"/>
          <w:color w:val="auto"/>
        </w:rPr>
      </w:pPr>
      <w:r>
        <w:rPr>
          <w:rFonts w:ascii="Arial" w:cs="Arial" w:eastAsia="Arial" w:hAnsi="Arial"/>
          <w:sz w:val="18"/>
          <w:szCs w:val="18"/>
          <w:i w:val="1"/>
          <w:iCs w:val="1"/>
          <w:color w:val="auto"/>
        </w:rPr>
        <w:t xml:space="preserve">4¾% euro-denominated Senior Notes due 2026. </w:t>
      </w:r>
      <w:r>
        <w:rPr>
          <w:rFonts w:ascii="Arial" w:cs="Arial" w:eastAsia="Arial" w:hAnsi="Arial"/>
          <w:sz w:val="18"/>
          <w:szCs w:val="18"/>
          <w:color w:val="auto"/>
        </w:rPr>
        <w:t>In October 2018, the Company issued €350 million of 4¾%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The Company has the right to redeem these notes in whole or in part on or after September 30, 2021 at specified redemption prices plus accrued interest. In October 2018, the Company used the net proceeds from the offering to redeem its 5⅛% Senior Notes due June 2022 for $410 million plus accrued interest.</w:t>
      </w:r>
    </w:p>
    <w:p>
      <w:pPr>
        <w:spacing w:after="0" w:line="20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i w:val="1"/>
          <w:iCs w:val="1"/>
          <w:color w:val="auto"/>
        </w:rPr>
        <w:t xml:space="preserve">5¾% Senior Notes due 2027. </w:t>
      </w:r>
      <w:r>
        <w:rPr>
          <w:rFonts w:ascii="Arial" w:cs="Arial" w:eastAsia="Arial" w:hAnsi="Arial"/>
          <w:sz w:val="18"/>
          <w:szCs w:val="18"/>
          <w:color w:val="auto"/>
        </w:rPr>
        <w:t>In July 2019, the Company issued $ 400 million of 5¾% Senior Notes due July 2027,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The Company used the net proceeds from the offering to redeem $400 million principal amount of its 5½% Senior Notes due April 2023. In August 2020, the Company issued $ 350 million of additional 5¾% Senior Notes due July 2027, at 92% of face value, under the indenture governing its existing 5¾% Senior Notes. The Company used the proceeds from this offering to redeem the outstanding $100 million in aggregate principal amount of its 5½% Senior Notes due 2023, with the remainder being used for general corporate purposes.</w:t>
      </w:r>
    </w:p>
    <w:p>
      <w:pPr>
        <w:spacing w:after="0" w:line="214"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i w:val="1"/>
          <w:iCs w:val="1"/>
          <w:color w:val="auto"/>
        </w:rPr>
        <w:t xml:space="preserve">10½% Senior Secured Notes due 2025. </w:t>
      </w:r>
      <w:r>
        <w:rPr>
          <w:rFonts w:ascii="Arial" w:cs="Arial" w:eastAsia="Arial" w:hAnsi="Arial"/>
          <w:sz w:val="18"/>
          <w:szCs w:val="18"/>
          <w:color w:val="auto"/>
        </w:rPr>
        <w:t>In May 2020, the Company issued $500 million of 10½% Senior Secured Notes due May</w:t>
      </w:r>
      <w:r>
        <w:rPr>
          <w:rFonts w:ascii="Arial" w:cs="Arial" w:eastAsia="Arial" w:hAnsi="Arial"/>
          <w:sz w:val="18"/>
          <w:szCs w:val="18"/>
          <w:i w:val="1"/>
          <w:iCs w:val="1"/>
          <w:color w:val="auto"/>
        </w:rPr>
        <w:t xml:space="preserve"> </w:t>
      </w:r>
      <w:r>
        <w:rPr>
          <w:rFonts w:ascii="Arial" w:cs="Arial" w:eastAsia="Arial" w:hAnsi="Arial"/>
          <w:sz w:val="18"/>
          <w:szCs w:val="18"/>
          <w:color w:val="auto"/>
        </w:rPr>
        <w:t>2025, at 97% of face value, with interest payable semi-annually. The Company has the right to redeem these notes in whole or in part prior to May 15, 2022 at a redemption price equal to 100% of principal amount plus accrued interest and a make-whole premium. The Company has the right to redeem these notes in whole or in part on or after May 15, 2022 at specified redemption prices plus accrued interest. The notes are guaranteed on a senior unsecured basis by the Company and on a senior secured basis by certain of the Company’s subsidiaries. The Company used the proceeds from this offering for general corporate purposes.</w:t>
      </w:r>
    </w:p>
    <w:p>
      <w:pPr>
        <w:spacing w:after="0" w:line="23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5½% Senior Notes, 6⅜% Senior Notes, the 5¼% Senior Notes and the 5¾% Senior Notes are senior unsecured obligations of the Company’s Avis Budget Car Rental, LLC (“ABCR”) subsidiary, are guaranteed by the Company and certain of its domestic subsidiaries and rank equally in right of payment with all of the Company’s existing and future senior unsecured indebtedness.</w:t>
      </w:r>
    </w:p>
    <w:p>
      <w:pPr>
        <w:spacing w:after="0" w:line="229"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The 4⅛% euro-denominated Senior Notes, 4½% euro-denominated Senior Notes and 4¾% euro-denominated Senior Notes are unsecured obligations of the Company’s Avis Budget Finance plc subsidiary, are guaranteed on a senior basis by the Company and certain of its domestic subsidiaries and rank equally with all of the Company’s existing senior unsecured debt.</w:t>
      </w:r>
    </w:p>
    <w:p>
      <w:pPr>
        <w:spacing w:after="0" w:line="229" w:lineRule="exact"/>
        <w:rPr>
          <w:sz w:val="20"/>
          <w:szCs w:val="20"/>
          <w:color w:val="auto"/>
        </w:rPr>
      </w:pPr>
    </w:p>
    <w:p>
      <w:pPr>
        <w:ind w:left="500" w:right="440"/>
        <w:spacing w:after="0" w:line="261" w:lineRule="auto"/>
        <w:rPr>
          <w:sz w:val="20"/>
          <w:szCs w:val="20"/>
          <w:color w:val="auto"/>
        </w:rPr>
      </w:pPr>
      <w:r>
        <w:rPr>
          <w:rFonts w:ascii="Arial" w:cs="Arial" w:eastAsia="Arial" w:hAnsi="Arial"/>
          <w:sz w:val="18"/>
          <w:szCs w:val="18"/>
          <w:color w:val="auto"/>
        </w:rPr>
        <w:t>In connection with the debt amendments and repayments for the years ended December 31, 2020, 2019 and 2018, the Company recorded $9 million, $12 million and $19 million in early extinguishment of debt costs, respectively.</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8740" w:type="dxa"/>
            <w:vAlign w:val="bottom"/>
          </w:tcPr>
          <w:p>
            <w:pPr>
              <w:spacing w:after="0"/>
              <w:rPr>
                <w:sz w:val="20"/>
                <w:szCs w:val="20"/>
                <w:color w:val="auto"/>
              </w:rPr>
            </w:pPr>
            <w:r>
              <w:rPr>
                <w:rFonts w:ascii="Arial" w:cs="Arial" w:eastAsia="Arial" w:hAnsi="Arial"/>
                <w:sz w:val="18"/>
                <w:szCs w:val="18"/>
                <w:b w:val="1"/>
                <w:bCs w:val="1"/>
                <w:color w:val="auto"/>
              </w:rPr>
              <w:t>Debt Maturities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8"/>
        </w:trPr>
        <w:tc>
          <w:tcPr>
            <w:tcW w:w="8740" w:type="dxa"/>
            <w:vAlign w:val="bottom"/>
          </w:tcPr>
          <w:p>
            <w:pPr>
              <w:spacing w:after="0"/>
              <w:rPr>
                <w:sz w:val="20"/>
                <w:szCs w:val="20"/>
                <w:color w:val="auto"/>
              </w:rPr>
            </w:pPr>
            <w:r>
              <w:rPr>
                <w:rFonts w:ascii="Arial" w:cs="Arial" w:eastAsia="Arial" w:hAnsi="Arial"/>
                <w:sz w:val="18"/>
                <w:szCs w:val="18"/>
                <w:color w:val="auto"/>
              </w:rPr>
              <w:t>The following table provides contractual maturities of the Company’s corporate debt at December 31, 2020:</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r>
      <w:tr>
        <w:trPr>
          <w:trHeight w:val="223"/>
        </w:trPr>
        <w:tc>
          <w:tcPr>
            <w:tcW w:w="8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2020, the committed corporate credit facilities available to the Company and/or its subsidiaries were as follows:</w:t>
      </w:r>
    </w:p>
    <w:p>
      <w:pPr>
        <w:spacing w:after="0" w:line="15"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Total Capacity</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Letters of Credit</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Issued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6"/>
        </w:trPr>
        <w:tc>
          <w:tcPr>
            <w:tcW w:w="418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line="220" w:lineRule="auto"/>
        <w:tabs>
          <w:tab w:leader="none" w:pos="813"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250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74"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and/or liens by the Company and certain of its subsidiaries, acquisitions, mergers, liquidations, and sale and leaseback transactions. The Company’s senior credit facility also contains a maximum leverage ratio requirement which has been amended to provide a holiday from such leverage covenant through June 30, 2021 (See Note 1 - Basis of Presentation). As of December 31, 2020, the Company was in compliance with the financial covenants governing its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 under Vehicle Programs and Borrowing Arrangements</w:t>
      </w:r>
    </w:p>
    <w:p>
      <w:pPr>
        <w:spacing w:after="0" w:line="193"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tbl>
      <w:tblPr>
        <w:tblLayout w:type="fixed"/>
        <w:tblInd w:w="520" w:type="dxa"/>
        <w:tblCellMar>
          <w:top w:w="0" w:type="dxa"/>
          <w:left w:w="0" w:type="dxa"/>
          <w:bottom w:w="0" w:type="dxa"/>
          <w:right w:w="0" w:type="dxa"/>
        </w:tblCellMar>
      </w:tblPr>
      <w:tr>
        <w:trPr>
          <w:trHeight w:val="239"/>
        </w:trPr>
        <w:tc>
          <w:tcPr>
            <w:tcW w:w="7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5"/>
        </w:trPr>
        <w:tc>
          <w:tcPr>
            <w:tcW w:w="7120" w:type="dxa"/>
            <w:vAlign w:val="bottom"/>
          </w:tcPr>
          <w:p>
            <w:pPr>
              <w:spacing w:after="0" w:line="225" w:lineRule="exact"/>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7,975</w:t>
            </w:r>
          </w:p>
        </w:tc>
      </w:tr>
      <w:tr>
        <w:trPr>
          <w:trHeight w:val="230"/>
        </w:trPr>
        <w:tc>
          <w:tcPr>
            <w:tcW w:w="7120" w:type="dxa"/>
            <w:vAlign w:val="bottom"/>
          </w:tcPr>
          <w:p>
            <w:pPr>
              <w:spacing w:after="0" w:line="230" w:lineRule="exact"/>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3"/>
                <w:szCs w:val="23"/>
                <w:color w:val="auto"/>
                <w:vertAlign w:val="superscript"/>
              </w:rPr>
              <w:t>(a)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40"/>
        </w:trPr>
        <w:tc>
          <w:tcPr>
            <w:tcW w:w="7120" w:type="dxa"/>
            <w:vAlign w:val="bottom"/>
          </w:tcPr>
          <w:p>
            <w:pPr>
              <w:spacing w:after="0" w:line="240" w:lineRule="exact"/>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3"/>
                <w:szCs w:val="23"/>
                <w:color w:val="auto"/>
                <w:vertAlign w:val="superscript"/>
              </w:rPr>
              <w:t>(a)</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17"/>
        </w:trPr>
        <w:tc>
          <w:tcPr>
            <w:tcW w:w="712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7120" w:type="dxa"/>
            <w:vAlign w:val="bottom"/>
          </w:tcPr>
          <w:p>
            <w:pPr>
              <w:spacing w:after="0" w:line="230"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11,068</w:t>
            </w:r>
          </w:p>
        </w:tc>
      </w:tr>
      <w:tr>
        <w:trPr>
          <w:trHeight w:val="21"/>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199" w:lineRule="auto"/>
        <w:tabs>
          <w:tab w:leader="none" w:pos="820"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Decreases reflect reduced borrowings resulting from reductions in the Company's global rental fleet.</w:t>
      </w:r>
    </w:p>
    <w:p>
      <w:pPr>
        <w:ind w:left="820" w:right="340" w:hanging="326"/>
        <w:spacing w:after="0" w:line="216" w:lineRule="auto"/>
        <w:tabs>
          <w:tab w:leader="none" w:pos="813" w:val="left"/>
        </w:tabs>
        <w:numPr>
          <w:ilvl w:val="0"/>
          <w:numId w:val="53"/>
        </w:numPr>
        <w:rPr>
          <w:rFonts w:ascii="Arial" w:cs="Arial" w:eastAsia="Arial" w:hAnsi="Arial"/>
          <w:sz w:val="21"/>
          <w:szCs w:val="21"/>
          <w:color w:val="auto"/>
          <w:vertAlign w:val="superscript"/>
        </w:rPr>
      </w:pPr>
      <w:r>
        <w:rPr>
          <w:rFonts w:ascii="Arial" w:cs="Arial" w:eastAsia="Arial" w:hAnsi="Arial"/>
          <w:sz w:val="16"/>
          <w:szCs w:val="16"/>
          <w:color w:val="auto"/>
        </w:rPr>
        <w:t>Deferred financing fees related to Debt due to Avis Budget Rental Car Funding as of December 31, 2020 and 2019 were $36 million and $40 million, respectively.</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56"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a wholly-owned subsidiary of the Company, AESOP Leasing LP (“AESOP Leasing”), on a continuing basis. AESOP Leasing is required to use the proceeds of such loans to acquire or finance the acquisition of vehicles used in the Company’s rental car operations. By issuing debt through the Avis Budget Rental Car Funding program, the Company pays a lower rate of interest than if it had issued debt directly to third parties. Avis Budget Rental Car Funding is not consolidated, as the Company is not the “primary beneficiary” of Avis Budget Rental Car Funding. The Company determined that it is not the primary beneficiary because the Company does not have the obligation to absorb the potential losses or receive the benefits of Avis Budget Rental Car Funding’s activities since the Company’s only significant source of variability in the earnings, losses or cash flows of Avis Budget Rental Car Funding is exposure to its own creditworthiness, due to its loan from Avis Budget Rental Car Funding. Because Avis Budget Rental Car Funding is not consolidated, AESOP Leasing’s loan obligations to Avis Budget Rental Car Funding are reflected as related party debt on the Company’s Consolidated Balance Sheets. The Company also has an asset within Assets under vehicle programs on its Consolidated Balance Sheets which represents securities issued to the Company by Avis Budget Rental Car Funding. AESOP Leasing is consolidated, as the Company is the “primary beneficiary” of AESOP Leasing; as a result, the vehicles purchased by AESOP Leasing remain on the Company’s Consolidated Balance Sheets. The Company determined it is the primary beneficiary of AESOP Leasing, as it has the ability to direct its activities, an obligation to absorb a majority of its expected losses and the right to receive the benefits of AESOP Leasing’s activities. AESOP Leasing’s vehicles and related assets, which as of December 31, 2020, approximate $6.4 billion and some of which are subject to manufacturer repurchase and guaranteed depreciation agreements, collateralize the debt issued by Avis Budget Rental Car Funding. The assets and liabilities of AESOP Leasing are presented on the Company’s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the general credit of the Company. The Company periodically provides Avis Budget Rental Car Funding with non-contractually required support, in the form of equity and loans, to serve as additional collateral for the debt issued by Avis Budget Rental Car Funding.</w:t>
      </w:r>
    </w:p>
    <w:p>
      <w:pPr>
        <w:spacing w:after="0" w:line="167"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the Company’s rental car subsidiaries and pledging its assets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right="180"/>
        <w:spacing w:after="0" w:line="261" w:lineRule="auto"/>
        <w:rPr>
          <w:sz w:val="20"/>
          <w:szCs w:val="20"/>
          <w:color w:val="auto"/>
        </w:rPr>
      </w:pPr>
      <w:r>
        <w:rPr>
          <w:rFonts w:ascii="Arial" w:cs="Arial" w:eastAsia="Arial" w:hAnsi="Arial"/>
          <w:sz w:val="18"/>
          <w:szCs w:val="18"/>
          <w:color w:val="auto"/>
        </w:rPr>
        <w:t>secure the indebtedness. Because Avis Budget Rental Car Funding is not consolidated by the Company, its results of operations and cash flows are not reflected within the Company’s financial statements.</w:t>
      </w:r>
    </w:p>
    <w:p>
      <w:pPr>
        <w:spacing w:after="0" w:line="144"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During February 2019, April 2019 and August 2019, Avis Budget Rental Car Funding issued approximately $600 million, $650 million and $ 650 million, respectively, in asset-backed notes with an expected final payment date of March 2022, September 2024 and March 2025, respectively. During January 2020 and August 2020, Avis Budget Rental Car Funding issued approximately $700 million in asset-backed notes with an expected final payment date of August 2025 and issued approximately $650 million in asset-backed notes with an expected final payment date of February 2026, respectively. The Company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3.17% and 3.16% as of December 31, 2020 and 2019 respectively.</w:t>
      </w:r>
    </w:p>
    <w:p>
      <w:pPr>
        <w:spacing w:after="0" w:line="133"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The Company finances the acquisition of vehicles used in its Canadian rental operations through a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remote special-purpose entity, which issues privately placed notes to investors and bank-sponsored conduits. The Company finances the acquisition of fleet for its truck rental operations in the United States through a combination of debt facilities and leases. These debt borrowings represent a mix of fixed and floating rate debt and had a weighted average interest rate of 2.98% and 2.87% as of December 31, 2020 and 2019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17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2013, the Company entered into a three-year, €500 million European rental fleet securitization program,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finance fleet purchases for certain of the Company’s European operations. Since 2013, the Company increased its capacity to €1.7 billion, and extended the securitization maturity to 2022. The Company finances the acquisition of vehicles used in its International rental car operations through this and other consolidated, bankruptcy remote special-purpose entities, which issue privately placed notes to banks and bank-sponsored conduits. The International borrowings primarily represent floating rate notes and had a weighted average interest rate of 2.17% and 1.87% as of December 31, 2020 and 2019 respectively.</w:t>
      </w:r>
    </w:p>
    <w:p>
      <w:pPr>
        <w:spacing w:after="0" w:line="214" w:lineRule="exact"/>
        <w:rPr>
          <w:sz w:val="20"/>
          <w:szCs w:val="20"/>
          <w:color w:val="auto"/>
        </w:rPr>
      </w:pPr>
    </w:p>
    <w:p>
      <w:pPr>
        <w:jc w:val="both"/>
        <w:ind w:left="500" w:right="120"/>
        <w:spacing w:after="0" w:line="266"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The Company obtained a portion of its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and 2019, the weighted average interest rate on these borrowings was 1.16% and 1.25% respectively. All finance leases are on a fixed repayment basis and interest rates are fixed at the contract date.</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93" w:lineRule="exact"/>
        <w:rPr>
          <w:sz w:val="20"/>
          <w:szCs w:val="20"/>
          <w:color w:val="auto"/>
        </w:rPr>
      </w:pPr>
    </w:p>
    <w:p>
      <w:pPr>
        <w:ind w:left="500" w:right="60"/>
        <w:spacing w:after="0" w:line="261"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December 31, 2020:</w:t>
      </w:r>
    </w:p>
    <w:tbl>
      <w:tblPr>
        <w:tblLayout w:type="fixed"/>
        <w:tblInd w:w="520" w:type="dxa"/>
        <w:tblCellMar>
          <w:top w:w="0" w:type="dxa"/>
          <w:left w:w="0" w:type="dxa"/>
          <w:bottom w:w="0" w:type="dxa"/>
          <w:right w:w="0" w:type="dxa"/>
        </w:tblCellMar>
      </w:tblPr>
      <w:tr>
        <w:trPr>
          <w:trHeight w:val="185"/>
        </w:trPr>
        <w:tc>
          <w:tcPr>
            <w:tcW w:w="8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0"/>
              <w:spacing w:after="0" w:line="185" w:lineRule="exact"/>
              <w:rPr>
                <w:sz w:val="20"/>
                <w:szCs w:val="20"/>
                <w:color w:val="auto"/>
              </w:rPr>
            </w:pPr>
            <w:r>
              <w:rPr>
                <w:rFonts w:ascii="Arial" w:cs="Arial" w:eastAsia="Arial" w:hAnsi="Arial"/>
                <w:sz w:val="18"/>
                <w:szCs w:val="18"/>
                <w:b w:val="1"/>
                <w:bCs w:val="1"/>
                <w:color w:val="auto"/>
              </w:rPr>
              <w:t>Debt under</w:t>
            </w:r>
          </w:p>
        </w:tc>
      </w:tr>
      <w:tr>
        <w:trPr>
          <w:trHeight w:val="175"/>
        </w:trPr>
        <w:tc>
          <w:tcPr>
            <w:tcW w:w="8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Vehicle</w:t>
            </w:r>
          </w:p>
        </w:tc>
      </w:tr>
      <w:tr>
        <w:trPr>
          <w:trHeight w:val="229"/>
        </w:trPr>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line="230" w:lineRule="exact"/>
              <w:rPr>
                <w:sz w:val="20"/>
                <w:szCs w:val="20"/>
                <w:color w:val="auto"/>
              </w:rPr>
            </w:pPr>
            <w:r>
              <w:rPr>
                <w:rFonts w:ascii="Arial" w:cs="Arial" w:eastAsia="Arial" w:hAnsi="Arial"/>
                <w:sz w:val="18"/>
                <w:szCs w:val="18"/>
                <w:b w:val="1"/>
                <w:bCs w:val="1"/>
                <w:color w:val="auto"/>
                <w:w w:val="96"/>
              </w:rPr>
              <w:t xml:space="preserve">Programs </w:t>
            </w:r>
            <w:r>
              <w:rPr>
                <w:rFonts w:ascii="Arial" w:cs="Arial" w:eastAsia="Arial" w:hAnsi="Arial"/>
                <w:sz w:val="23"/>
                <w:szCs w:val="23"/>
                <w:color w:val="auto"/>
                <w:w w:val="96"/>
                <w:vertAlign w:val="superscript"/>
              </w:rPr>
              <w:t>(a)</w:t>
            </w:r>
          </w:p>
        </w:tc>
      </w:tr>
      <w:tr>
        <w:trPr>
          <w:trHeight w:val="225"/>
        </w:trPr>
        <w:tc>
          <w:tcPr>
            <w:tcW w:w="8640" w:type="dxa"/>
            <w:vAlign w:val="bottom"/>
          </w:tcPr>
          <w:p>
            <w:pPr>
              <w:spacing w:after="0" w:line="225"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1,626</w:t>
            </w:r>
          </w:p>
        </w:tc>
      </w:tr>
      <w:tr>
        <w:trPr>
          <w:trHeight w:val="230"/>
        </w:trPr>
        <w:tc>
          <w:tcPr>
            <w:tcW w:w="8640" w:type="dxa"/>
            <w:vAlign w:val="bottom"/>
          </w:tcPr>
          <w:p>
            <w:pPr>
              <w:spacing w:after="0" w:line="230"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2,444</w:t>
            </w:r>
          </w:p>
        </w:tc>
      </w:tr>
      <w:tr>
        <w:trPr>
          <w:trHeight w:val="240"/>
        </w:trPr>
        <w:tc>
          <w:tcPr>
            <w:tcW w:w="8640" w:type="dxa"/>
            <w:vAlign w:val="bottom"/>
          </w:tcPr>
          <w:p>
            <w:pPr>
              <w:spacing w:after="0" w:line="240"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3"/>
                <w:szCs w:val="23"/>
                <w:color w:val="auto"/>
                <w:vertAlign w:val="superscript"/>
              </w:rPr>
              <w:t>(d)</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17"/>
        </w:trPr>
        <w:tc>
          <w:tcPr>
            <w:tcW w:w="86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8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w:t>
            </w: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187" w:lineRule="auto"/>
        <w:tabs>
          <w:tab w:leader="none" w:pos="7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87" w:lineRule="auto"/>
        <w:tabs>
          <w:tab w:leader="none" w:pos="7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Includes $0.3 billion of bank and bank-sponsored facilities.</w:t>
      </w:r>
    </w:p>
    <w:p>
      <w:pPr>
        <w:ind w:left="760" w:hanging="266"/>
        <w:spacing w:after="0" w:line="187" w:lineRule="auto"/>
        <w:tabs>
          <w:tab w:leader="none" w:pos="76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Includes $1.1 billion of bank and bank-sponsored facilities.</w:t>
      </w:r>
    </w:p>
    <w:p>
      <w:pPr>
        <w:ind w:left="760" w:hanging="266"/>
        <w:spacing w:after="0" w:line="189" w:lineRule="auto"/>
        <w:tabs>
          <w:tab w:leader="none" w:pos="76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93" w:lineRule="exact"/>
        <w:rPr>
          <w:sz w:val="20"/>
          <w:szCs w:val="20"/>
          <w:color w:val="auto"/>
        </w:rPr>
      </w:pPr>
    </w:p>
    <w:p>
      <w:pPr>
        <w:ind w:left="500" w:right="460"/>
        <w:spacing w:after="0" w:line="261" w:lineRule="auto"/>
        <w:rPr>
          <w:sz w:val="20"/>
          <w:szCs w:val="20"/>
          <w:color w:val="auto"/>
        </w:rPr>
      </w:pPr>
      <w:r>
        <w:rPr>
          <w:rFonts w:ascii="Arial" w:cs="Arial" w:eastAsia="Arial" w:hAnsi="Arial"/>
          <w:sz w:val="18"/>
          <w:szCs w:val="18"/>
          <w:color w:val="auto"/>
        </w:rPr>
        <w:t>The following table presents available funding under the Company’s debt arrangements related to its vehicle programs, including related party debt due to Avis Budget Rental Car Funding, at December 31, 2020:</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2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Total Capacity </w:t>
            </w:r>
            <w:r>
              <w:rPr>
                <w:rFonts w:ascii="Arial" w:cs="Arial" w:eastAsia="Arial" w:hAnsi="Arial"/>
                <w:sz w:val="8"/>
                <w:szCs w:val="8"/>
                <w:color w:val="auto"/>
              </w:rPr>
              <w:t>(a)</w:t>
            </w: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xml:space="preserve">Borrowings </w:t>
            </w:r>
            <w:r>
              <w:rPr>
                <w:rFonts w:ascii="Arial" w:cs="Arial" w:eastAsia="Arial" w:hAnsi="Arial"/>
                <w:sz w:val="8"/>
                <w:szCs w:val="8"/>
                <w:color w:val="auto"/>
              </w:rPr>
              <w:t>(b)</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Available Capacity</w:t>
            </w:r>
          </w:p>
        </w:tc>
      </w:t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2,805</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1,769</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2"/>
        </w:trPr>
        <w:tc>
          <w:tcPr>
            <w:tcW w:w="514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6,902</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w:t>
            </w:r>
          </w:p>
        </w:tc>
      </w:tr>
      <w:tr>
        <w:trPr>
          <w:trHeight w:val="23"/>
        </w:trPr>
        <w:tc>
          <w:tcPr>
            <w:tcW w:w="5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800" w:hanging="306"/>
        <w:spacing w:after="0"/>
        <w:tabs>
          <w:tab w:leader="none" w:pos="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Capacity is subject to maintaining sufficient assets to collateralize debt.</w:t>
      </w:r>
    </w:p>
    <w:p>
      <w:pPr>
        <w:spacing w:after="0" w:line="1" w:lineRule="exact"/>
        <w:rPr>
          <w:rFonts w:ascii="Arial" w:cs="Arial" w:eastAsia="Arial" w:hAnsi="Arial"/>
          <w:sz w:val="14"/>
          <w:szCs w:val="14"/>
          <w:color w:val="auto"/>
        </w:rPr>
      </w:pPr>
    </w:p>
    <w:p>
      <w:pPr>
        <w:ind w:left="820" w:right="360" w:hanging="326"/>
        <w:spacing w:after="0" w:line="211" w:lineRule="auto"/>
        <w:tabs>
          <w:tab w:leader="none" w:pos="813"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$6.3 billion for Americas - Debt due to Avis Budget Rental Car Funding; $0.7 billion for Americas - Debt borrowings; $1.4 billion for International - Debt borrowings; and $0.2 billion for International - Finance leases.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9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December 31, 2020, the Company is not aware of any instances of non-compliance with any of the financial or restrictive covenants contained in the debt agreements under its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500" w:right="8060" w:hanging="492"/>
        <w:spacing w:after="0" w:line="475" w:lineRule="auto"/>
        <w:tabs>
          <w:tab w:leader="none" w:pos="31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40" w:lineRule="exact"/>
        <w:rPr>
          <w:sz w:val="20"/>
          <w:szCs w:val="20"/>
          <w:color w:val="auto"/>
        </w:rPr>
      </w:pPr>
    </w:p>
    <w:p>
      <w:pPr>
        <w:ind w:left="500" w:right="180"/>
        <w:spacing w:after="0" w:line="252" w:lineRule="auto"/>
        <w:rPr>
          <w:sz w:val="20"/>
          <w:szCs w:val="20"/>
          <w:color w:val="auto"/>
        </w:rPr>
      </w:pPr>
      <w:r>
        <w:rPr>
          <w:rFonts w:ascii="Arial" w:cs="Arial" w:eastAsia="Arial" w:hAnsi="Arial"/>
          <w:sz w:val="18"/>
          <w:szCs w:val="18"/>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35"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cases brought by plaintiffs who were injured in a vehicle accident allegedly caused by an employee of an independent contractor of the Company who was acting outside of the scope of employment. In fourth quarter 2019, the Company appealed both verdicts resulting in a reversal of the opinions rendered. The Georgia Supreme Court granted the plaintiffs’ application to review the state appellate court’s reversal of the judgement entered at the trial court. The Georgia Supreme Court heard oral arguments in December 2020. The Company has recognized a liability related to these cases, net of recoverable insurance proceeds, of approximately $12 million.</w:t>
      </w:r>
    </w:p>
    <w:p>
      <w:pPr>
        <w:spacing w:after="0" w:line="235"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The Company is involved in claims, legal proceedings, including class actions,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$35 million in excess of amounts accrued as of December 31, 2020; however, the Company does not believe that the impact should result in a material liability to the Company in relation to its consolidated financial condition or results of operations.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9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$8.7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93"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computer services and capital expenditures. As of December 31, 2020, the Company had approximately $177 million of purchase obligations, which extend through 2026.</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93" w:lineRule="exact"/>
        <w:rPr>
          <w:sz w:val="20"/>
          <w:szCs w:val="20"/>
          <w:color w:val="auto"/>
        </w:rPr>
      </w:pPr>
    </w:p>
    <w:p>
      <w:pPr>
        <w:ind w:left="500"/>
        <w:spacing w:after="0" w:line="271" w:lineRule="auto"/>
        <w:rPr>
          <w:sz w:val="20"/>
          <w:szCs w:val="20"/>
          <w:color w:val="auto"/>
        </w:rPr>
      </w:pPr>
      <w:r>
        <w:rPr>
          <w:rFonts w:ascii="Arial" w:cs="Arial" w:eastAsia="Arial" w:hAnsi="Arial"/>
          <w:sz w:val="17"/>
          <w:szCs w:val="17"/>
          <w:color w:val="auto"/>
        </w:rPr>
        <w:t>Concentrations of credit risk at December 31, 2020, include (i) risks related to the Company’s repurchase and guaranteed depreciation agreements with domestic and foreign car manufacturers, including Ford, Fiat Chrysler and General Motors, and primarily with respect to receivables for program cars that have been disposed but for which the Company has not yet received payment from the manufacturers and (ii) risks related to Realogy and Wyndham, including receivables of $25 million and $15 million, respectively, related to certain contingent, income tax and other corporate liabilities assumed by Realogy and Wyndham in connection with their disposition.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65" w:lineRule="auto"/>
        <w:rPr>
          <w:sz w:val="20"/>
          <w:szCs w:val="20"/>
          <w:color w:val="auto"/>
        </w:rPr>
      </w:pPr>
      <w:r>
        <w:rPr>
          <w:rFonts w:ascii="Arial" w:cs="Arial" w:eastAsia="Arial" w:hAnsi="Arial"/>
          <w:sz w:val="17"/>
          <w:szCs w:val="17"/>
          <w:color w:val="auto"/>
        </w:rPr>
        <w:t>The Company maintains a liability for asset retirement obligations. An asset retirement obligation is a legal obligation to perform certain activities in connection with the retirement, disposal or abandonment of assets. The Company’s asset retirement obligations, which are measured at discounted fair values, are primarily related to the removal of underground gasoline storage tanks at its rental facilities.</w:t>
      </w:r>
    </w:p>
    <w:p>
      <w:pPr>
        <w:ind w:left="500" w:right="360"/>
        <w:spacing w:after="0" w:line="438" w:lineRule="auto"/>
        <w:rPr>
          <w:sz w:val="20"/>
          <w:szCs w:val="20"/>
          <w:color w:val="auto"/>
        </w:rPr>
      </w:pPr>
      <w:r>
        <w:rPr>
          <w:rFonts w:ascii="Arial" w:cs="Arial" w:eastAsia="Arial" w:hAnsi="Arial"/>
          <w:sz w:val="18"/>
          <w:szCs w:val="18"/>
          <w:color w:val="auto"/>
        </w:rPr>
        <w:t xml:space="preserve">The liability accrued for asset retirement obligations was $30 million and $27 million at December 31, 2020 and 2019, respectively. </w:t>
      </w:r>
      <w:r>
        <w:rPr>
          <w:rFonts w:ascii="Arial" w:cs="Arial" w:eastAsia="Arial" w:hAnsi="Arial"/>
          <w:sz w:val="18"/>
          <w:szCs w:val="18"/>
          <w:b w:val="1"/>
          <w:bCs w:val="1"/>
          <w:i w:val="1"/>
          <w:iCs w:val="1"/>
          <w:color w:val="auto"/>
        </w:rPr>
        <w:t>Standard Guarantees/Indemnifications</w:t>
      </w:r>
    </w:p>
    <w:p>
      <w:pPr>
        <w:spacing w:after="0" w:line="1"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In the ordinary course of business, the Company enters into numerous agreements that contain standard guarantees and indemnities whereby the Company agrees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the Company could be required to make under these guarantees, nor is the Company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the Company, the Company maintains insurance coverage that mitigates its potential exposure.</w:t>
      </w:r>
    </w:p>
    <w:p>
      <w:pPr>
        <w:spacing w:after="0" w:line="213" w:lineRule="exact"/>
        <w:rPr>
          <w:sz w:val="20"/>
          <w:szCs w:val="20"/>
          <w:color w:val="auto"/>
        </w:rPr>
      </w:pPr>
    </w:p>
    <w:p>
      <w:pPr>
        <w:ind w:left="500" w:right="8580" w:hanging="492"/>
        <w:spacing w:after="0" w:line="451" w:lineRule="auto"/>
        <w:tabs>
          <w:tab w:leader="none" w:pos="3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Cash Dividend Payments</w:t>
      </w:r>
    </w:p>
    <w:p>
      <w:pPr>
        <w:ind w:left="500" w:right="160"/>
        <w:spacing w:after="0" w:line="256" w:lineRule="auto"/>
        <w:rPr>
          <w:sz w:val="20"/>
          <w:szCs w:val="20"/>
          <w:color w:val="auto"/>
        </w:rPr>
      </w:pPr>
      <w:r>
        <w:rPr>
          <w:rFonts w:ascii="Arial" w:cs="Arial" w:eastAsia="Arial" w:hAnsi="Arial"/>
          <w:sz w:val="18"/>
          <w:szCs w:val="18"/>
          <w:color w:val="auto"/>
        </w:rPr>
        <w:t>During 2020, 2019 and 2018, the Company did not declare or pay any cash dividends. The Company’s ability to pay dividends to holders of its common stock is limited by the Company’s senior credit facility, the indentures governing its senior notes and its vehicle financing programs.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262626"/>
        </w:rPr>
        <w:t xml:space="preserve">The Company’s Board of Directors has authorized the repurchase of up to approximately $1.8 billion of its common stock under a plan originally approved in 2013 and subsequently expanded, most recently in August 2019. </w:t>
      </w:r>
      <w:r>
        <w:rPr>
          <w:rFonts w:ascii="Arial" w:cs="Arial" w:eastAsia="Arial" w:hAnsi="Arial"/>
          <w:sz w:val="18"/>
          <w:szCs w:val="18"/>
          <w:color w:val="000000"/>
        </w:rPr>
        <w:t>During 2020, 2019 and 2018, the Company</w:t>
      </w:r>
      <w:r>
        <w:rPr>
          <w:rFonts w:ascii="Arial" w:cs="Arial" w:eastAsia="Arial" w:hAnsi="Arial"/>
          <w:sz w:val="18"/>
          <w:szCs w:val="18"/>
          <w:color w:val="262626"/>
        </w:rPr>
        <w:t xml:space="preserve"> </w:t>
      </w:r>
      <w:r>
        <w:rPr>
          <w:rFonts w:ascii="Arial" w:cs="Arial" w:eastAsia="Arial" w:hAnsi="Arial"/>
          <w:sz w:val="18"/>
          <w:szCs w:val="18"/>
          <w:color w:val="000000"/>
        </w:rPr>
        <w:t>repurchased approximately 13 million shares of common stock at a cost of approximately $375 million under the program. As of December 31, 2020, approximately $76 million of authorization remained available to repurchase common stock under this plan.</w:t>
      </w:r>
    </w:p>
    <w:p>
      <w:pPr>
        <w:spacing w:after="0" w:line="231"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its common stock. The Company paid a fixed sum upon the execution of the agreement in exchange for the right to receive either a pre-determined amount of cash or stock. The Company paid net premiums of $16 million to enter into this agreement, which was recorded as a reduction of additional paid in capital. In September 2019, the capped call options expired and all outstanding options settled for 0.6 million shares.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Issuances</w:t>
      </w:r>
    </w:p>
    <w:p>
      <w:pPr>
        <w:spacing w:after="0" w:line="27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On February 10, 2020, the Company announced it had appointed a new Chairman of the Board of Directors and in connection with this appointment, the new Chairman purchased an aggregate $ 15 million of unregistered shares of the Company’s common stock at a price per share equal to the closing price of the Company’s common stock on February 7, 2020. The Company issued the common stock from treasury shares.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Currency Translation</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6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6"/>
              </w:rPr>
              <w:t>Net Unrealized Gains</w:t>
            </w: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Minimum Pension</w:t>
            </w:r>
          </w:p>
        </w:tc>
        <w:tc>
          <w:tcPr>
            <w:tcW w:w="120" w:type="dxa"/>
            <w:vAlign w:val="bottom"/>
          </w:tcPr>
          <w:p>
            <w:pPr>
              <w:spacing w:after="0"/>
              <w:rPr>
                <w:sz w:val="13"/>
                <w:szCs w:val="13"/>
                <w:color w:val="auto"/>
              </w:rPr>
            </w:pPr>
          </w:p>
        </w:tc>
        <w:tc>
          <w:tcPr>
            <w:tcW w:w="13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640" w:type="dxa"/>
            <w:vAlign w:val="bottom"/>
            <w:gridSpan w:val="4"/>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(Losses) on Available-</w:t>
            </w:r>
          </w:p>
        </w:tc>
        <w:tc>
          <w:tcPr>
            <w:tcW w:w="14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3"/>
              </w:rPr>
              <w:t>Liability</w:t>
            </w:r>
          </w:p>
        </w:tc>
        <w:tc>
          <w:tcPr>
            <w:tcW w:w="120" w:type="dxa"/>
            <w:vAlign w:val="bottom"/>
          </w:tcPr>
          <w:p>
            <w:pPr>
              <w:spacing w:after="0"/>
              <w:rPr>
                <w:sz w:val="10"/>
                <w:szCs w:val="10"/>
                <w:color w:val="auto"/>
              </w:rPr>
            </w:pPr>
          </w:p>
        </w:tc>
        <w:tc>
          <w:tcPr>
            <w:tcW w:w="130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(a)</w:t>
            </w:r>
          </w:p>
        </w:tc>
        <w:tc>
          <w:tcPr>
            <w:tcW w:w="1540" w:type="dxa"/>
            <w:vAlign w:val="bottom"/>
            <w:gridSpan w:val="3"/>
          </w:tcPr>
          <w:p>
            <w:pPr>
              <w:jc w:val="center"/>
              <w:ind w:right="120"/>
              <w:spacing w:after="0" w:line="175" w:lineRule="exact"/>
              <w:rPr>
                <w:sz w:val="20"/>
                <w:szCs w:val="20"/>
                <w:color w:val="auto"/>
              </w:rPr>
            </w:pPr>
            <w:r>
              <w:rPr>
                <w:rFonts w:ascii="Arial" w:cs="Arial" w:eastAsia="Arial" w:hAnsi="Arial"/>
                <w:sz w:val="13"/>
                <w:szCs w:val="13"/>
                <w:b w:val="1"/>
                <w:bCs w:val="1"/>
                <w:color w:val="auto"/>
                <w:w w:val="94"/>
              </w:rPr>
              <w:t xml:space="preserve">Cash Flow Hedges </w:t>
            </w:r>
            <w:r>
              <w:rPr>
                <w:rFonts w:ascii="Arial" w:cs="Arial" w:eastAsia="Arial" w:hAnsi="Arial"/>
                <w:sz w:val="16"/>
                <w:szCs w:val="16"/>
                <w:b w:val="1"/>
                <w:bCs w:val="1"/>
                <w:color w:val="auto"/>
                <w:w w:val="94"/>
                <w:vertAlign w:val="superscript"/>
              </w:rPr>
              <w:t>(b)</w:t>
            </w:r>
          </w:p>
        </w:tc>
        <w:tc>
          <w:tcPr>
            <w:tcW w:w="100" w:type="dxa"/>
            <w:vAlign w:val="bottom"/>
          </w:tcPr>
          <w:p>
            <w:pPr>
              <w:spacing w:after="0"/>
              <w:rPr>
                <w:sz w:val="15"/>
                <w:szCs w:val="15"/>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8"/>
              </w:rPr>
              <w:t>For-Sale Securities</w:t>
            </w:r>
          </w:p>
        </w:tc>
        <w:tc>
          <w:tcPr>
            <w:tcW w:w="1400" w:type="dxa"/>
            <w:vAlign w:val="bottom"/>
            <w:gridSpan w:val="2"/>
          </w:tcPr>
          <w:p>
            <w:pPr>
              <w:jc w:val="center"/>
              <w:ind w:right="220"/>
              <w:spacing w:after="0" w:line="175" w:lineRule="exact"/>
              <w:rPr>
                <w:sz w:val="20"/>
                <w:szCs w:val="20"/>
                <w:color w:val="auto"/>
              </w:rPr>
            </w:pPr>
            <w:r>
              <w:rPr>
                <w:rFonts w:ascii="Arial" w:cs="Arial" w:eastAsia="Arial" w:hAnsi="Arial"/>
                <w:sz w:val="13"/>
                <w:szCs w:val="13"/>
                <w:b w:val="1"/>
                <w:bCs w:val="1"/>
                <w:color w:val="auto"/>
                <w:w w:val="92"/>
              </w:rPr>
              <w:t xml:space="preserve">Adjustment </w:t>
            </w:r>
            <w:r>
              <w:rPr>
                <w:rFonts w:ascii="Arial" w:cs="Arial" w:eastAsia="Arial" w:hAnsi="Arial"/>
                <w:sz w:val="16"/>
                <w:szCs w:val="16"/>
                <w:b w:val="1"/>
                <w:bCs w:val="1"/>
                <w:color w:val="auto"/>
                <w:w w:val="92"/>
                <w:vertAlign w:val="superscript"/>
              </w:rPr>
              <w:t>(c)</w:t>
            </w:r>
          </w:p>
        </w:tc>
        <w:tc>
          <w:tcPr>
            <w:tcW w:w="120" w:type="dxa"/>
            <w:vAlign w:val="bottom"/>
          </w:tcPr>
          <w:p>
            <w:pPr>
              <w:spacing w:after="0"/>
              <w:rPr>
                <w:sz w:val="15"/>
                <w:szCs w:val="15"/>
                <w:color w:val="auto"/>
              </w:rPr>
            </w:pPr>
          </w:p>
        </w:tc>
        <w:tc>
          <w:tcPr>
            <w:tcW w:w="130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3"/>
        </w:trPr>
        <w:tc>
          <w:tcPr>
            <w:tcW w:w="3220" w:type="dxa"/>
            <w:vAlign w:val="bottom"/>
          </w:tcPr>
          <w:p>
            <w:pPr>
              <w:spacing w:after="0" w:line="139" w:lineRule="exact"/>
              <w:rPr>
                <w:sz w:val="20"/>
                <w:szCs w:val="20"/>
                <w:color w:val="auto"/>
              </w:rPr>
            </w:pPr>
            <w:r>
              <w:rPr>
                <w:rFonts w:ascii="Arial" w:cs="Arial" w:eastAsia="Arial" w:hAnsi="Arial"/>
                <w:sz w:val="13"/>
                <w:szCs w:val="13"/>
                <w:color w:val="auto"/>
              </w:rPr>
              <w:t>Balance, December 31, 2017</w:t>
            </w:r>
          </w:p>
        </w:tc>
        <w:tc>
          <w:tcPr>
            <w:tcW w:w="1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5"/>
        </w:trPr>
        <w:tc>
          <w:tcPr>
            <w:tcW w:w="3220" w:type="dxa"/>
            <w:vAlign w:val="bottom"/>
          </w:tcPr>
          <w:p>
            <w:pPr>
              <w:ind w:left="160"/>
              <w:spacing w:after="0"/>
              <w:rPr>
                <w:sz w:val="20"/>
                <w:szCs w:val="20"/>
                <w:color w:val="auto"/>
              </w:rPr>
            </w:pPr>
            <w:r>
              <w:rPr>
                <w:rFonts w:ascii="Arial" w:cs="Arial" w:eastAsia="Arial" w:hAnsi="Arial"/>
                <w:sz w:val="13"/>
                <w:szCs w:val="13"/>
                <w:color w:val="auto"/>
              </w:rPr>
              <w:t>Cumulative effect of accounting change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Balance, January 1, 2018</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16"/>
        </w:trPr>
        <w:tc>
          <w:tcPr>
            <w:tcW w:w="3220" w:type="dxa"/>
            <w:vAlign w:val="bottom"/>
          </w:tcPr>
          <w:p>
            <w:pPr>
              <w:ind w:left="160"/>
              <w:spacing w:after="0" w:line="116" w:lineRule="exact"/>
              <w:rPr>
                <w:sz w:val="20"/>
                <w:szCs w:val="20"/>
                <w:color w:val="auto"/>
              </w:rPr>
            </w:pPr>
            <w:r>
              <w:rPr>
                <w:rFonts w:ascii="Arial" w:cs="Arial" w:eastAsia="Arial" w:hAnsi="Arial"/>
                <w:sz w:val="13"/>
                <w:szCs w:val="13"/>
                <w:color w:val="auto"/>
              </w:rPr>
              <w:t>Other comprehensive income (loss) before</w:t>
            </w:r>
          </w:p>
        </w:tc>
        <w:tc>
          <w:tcPr>
            <w:tcW w:w="1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52"/>
        </w:trPr>
        <w:tc>
          <w:tcPr>
            <w:tcW w:w="3220" w:type="dxa"/>
            <w:vAlign w:val="bottom"/>
          </w:tcPr>
          <w:p>
            <w:pPr>
              <w:ind w:left="320"/>
              <w:spacing w:after="0"/>
              <w:rPr>
                <w:sz w:val="20"/>
                <w:szCs w:val="20"/>
                <w:color w:val="auto"/>
              </w:rPr>
            </w:pPr>
            <w:r>
              <w:rPr>
                <w:rFonts w:ascii="Arial" w:cs="Arial" w:eastAsia="Arial" w:hAnsi="Arial"/>
                <w:sz w:val="13"/>
                <w:szCs w:val="13"/>
                <w:color w:val="auto"/>
              </w:rPr>
              <w:t>reclassifications</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20" w:type="dxa"/>
            <w:vAlign w:val="bottom"/>
          </w:tcPr>
          <w:p>
            <w:pPr>
              <w:ind w:left="16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1"/>
        </w:trPr>
        <w:tc>
          <w:tcPr>
            <w:tcW w:w="3220" w:type="dxa"/>
            <w:vAlign w:val="bottom"/>
          </w:tcPr>
          <w:p>
            <w:pPr>
              <w:ind w:left="320"/>
              <w:spacing w:after="0"/>
              <w:rPr>
                <w:sz w:val="20"/>
                <w:szCs w:val="20"/>
                <w:color w:val="auto"/>
              </w:rPr>
            </w:pPr>
            <w:r>
              <w:rPr>
                <w:rFonts w:ascii="Arial" w:cs="Arial" w:eastAsia="Arial" w:hAnsi="Arial"/>
                <w:sz w:val="13"/>
                <w:szCs w:val="13"/>
                <w:color w:val="auto"/>
              </w:rPr>
              <w:t>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Balance, December 31, 2018</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9"/>
        </w:trPr>
        <w:tc>
          <w:tcPr>
            <w:tcW w:w="3220" w:type="dxa"/>
            <w:vAlign w:val="bottom"/>
          </w:tcPr>
          <w:p>
            <w:pPr>
              <w:ind w:left="160"/>
              <w:spacing w:after="0" w:line="146" w:lineRule="exact"/>
              <w:rPr>
                <w:sz w:val="20"/>
                <w:szCs w:val="20"/>
                <w:color w:val="auto"/>
              </w:rPr>
            </w:pPr>
            <w:r>
              <w:rPr>
                <w:rFonts w:ascii="Arial" w:cs="Arial" w:eastAsia="Arial" w:hAnsi="Arial"/>
                <w:sz w:val="13"/>
                <w:szCs w:val="13"/>
                <w:color w:val="auto"/>
              </w:rPr>
              <w:t>Cumulative effect of accounting change</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Balance, January 1, 2019</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16"/>
        </w:trPr>
        <w:tc>
          <w:tcPr>
            <w:tcW w:w="3220" w:type="dxa"/>
            <w:vAlign w:val="bottom"/>
          </w:tcPr>
          <w:p>
            <w:pPr>
              <w:ind w:left="160"/>
              <w:spacing w:after="0" w:line="116" w:lineRule="exact"/>
              <w:rPr>
                <w:sz w:val="20"/>
                <w:szCs w:val="20"/>
                <w:color w:val="auto"/>
              </w:rPr>
            </w:pPr>
            <w:r>
              <w:rPr>
                <w:rFonts w:ascii="Arial" w:cs="Arial" w:eastAsia="Arial" w:hAnsi="Arial"/>
                <w:sz w:val="13"/>
                <w:szCs w:val="13"/>
                <w:color w:val="auto"/>
              </w:rPr>
              <w:t>Other comprehensive income (loss) before</w:t>
            </w:r>
          </w:p>
        </w:tc>
        <w:tc>
          <w:tcPr>
            <w:tcW w:w="1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2"/>
        </w:trPr>
        <w:tc>
          <w:tcPr>
            <w:tcW w:w="3220" w:type="dxa"/>
            <w:vAlign w:val="bottom"/>
          </w:tcPr>
          <w:p>
            <w:pPr>
              <w:ind w:left="320"/>
              <w:spacing w:after="0"/>
              <w:rPr>
                <w:sz w:val="20"/>
                <w:szCs w:val="20"/>
                <w:color w:val="auto"/>
              </w:rPr>
            </w:pPr>
            <w:r>
              <w:rPr>
                <w:rFonts w:ascii="Arial" w:cs="Arial" w:eastAsia="Arial" w:hAnsi="Arial"/>
                <w:sz w:val="13"/>
                <w:szCs w:val="13"/>
                <w:color w:val="auto"/>
              </w:rPr>
              <w:t>reclassifications</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20" w:type="dxa"/>
            <w:vAlign w:val="bottom"/>
          </w:tcPr>
          <w:p>
            <w:pPr>
              <w:ind w:left="16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1"/>
        </w:trPr>
        <w:tc>
          <w:tcPr>
            <w:tcW w:w="3220" w:type="dxa"/>
            <w:vAlign w:val="bottom"/>
          </w:tcPr>
          <w:p>
            <w:pPr>
              <w:ind w:left="320"/>
              <w:spacing w:after="0"/>
              <w:rPr>
                <w:sz w:val="20"/>
                <w:szCs w:val="20"/>
                <w:color w:val="auto"/>
              </w:rPr>
            </w:pPr>
            <w:r>
              <w:rPr>
                <w:rFonts w:ascii="Arial" w:cs="Arial" w:eastAsia="Arial" w:hAnsi="Arial"/>
                <w:sz w:val="13"/>
                <w:szCs w:val="13"/>
                <w:color w:val="auto"/>
              </w:rPr>
              <w:t>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Balance, December 31, 2019</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16"/>
        </w:trPr>
        <w:tc>
          <w:tcPr>
            <w:tcW w:w="3220" w:type="dxa"/>
            <w:vAlign w:val="bottom"/>
          </w:tcPr>
          <w:p>
            <w:pPr>
              <w:ind w:left="160"/>
              <w:spacing w:after="0" w:line="116" w:lineRule="exact"/>
              <w:rPr>
                <w:sz w:val="20"/>
                <w:szCs w:val="20"/>
                <w:color w:val="auto"/>
              </w:rPr>
            </w:pPr>
            <w:r>
              <w:rPr>
                <w:rFonts w:ascii="Arial" w:cs="Arial" w:eastAsia="Arial" w:hAnsi="Arial"/>
                <w:sz w:val="13"/>
                <w:szCs w:val="13"/>
                <w:color w:val="auto"/>
              </w:rPr>
              <w:t>Other comprehensive income (loss) before</w:t>
            </w:r>
          </w:p>
        </w:tc>
        <w:tc>
          <w:tcPr>
            <w:tcW w:w="1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2"/>
        </w:trPr>
        <w:tc>
          <w:tcPr>
            <w:tcW w:w="3220" w:type="dxa"/>
            <w:vAlign w:val="bottom"/>
          </w:tcPr>
          <w:p>
            <w:pPr>
              <w:ind w:left="320"/>
              <w:spacing w:after="0"/>
              <w:rPr>
                <w:sz w:val="20"/>
                <w:szCs w:val="20"/>
                <w:color w:val="auto"/>
              </w:rPr>
            </w:pPr>
            <w:r>
              <w:rPr>
                <w:rFonts w:ascii="Arial" w:cs="Arial" w:eastAsia="Arial" w:hAnsi="Arial"/>
                <w:sz w:val="13"/>
                <w:szCs w:val="13"/>
                <w:color w:val="auto"/>
              </w:rPr>
              <w:t>reclassifications</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220" w:type="dxa"/>
            <w:vAlign w:val="bottom"/>
          </w:tcPr>
          <w:p>
            <w:pPr>
              <w:ind w:left="160"/>
              <w:spacing w:after="0" w:line="145" w:lineRule="exact"/>
              <w:rPr>
                <w:sz w:val="20"/>
                <w:szCs w:val="20"/>
                <w:color w:val="auto"/>
              </w:rPr>
            </w:pPr>
            <w:r>
              <w:rPr>
                <w:rFonts w:ascii="Arial" w:cs="Arial" w:eastAsia="Arial" w:hAnsi="Arial"/>
                <w:sz w:val="13"/>
                <w:szCs w:val="13"/>
                <w:color w:val="auto"/>
              </w:rPr>
              <w:t>Amounts reclassified from accumulated other</w:t>
            </w: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1"/>
        </w:trPr>
        <w:tc>
          <w:tcPr>
            <w:tcW w:w="3220" w:type="dxa"/>
            <w:vAlign w:val="bottom"/>
          </w:tcPr>
          <w:p>
            <w:pPr>
              <w:ind w:left="320"/>
              <w:spacing w:after="0"/>
              <w:rPr>
                <w:sz w:val="20"/>
                <w:szCs w:val="20"/>
                <w:color w:val="auto"/>
              </w:rPr>
            </w:pPr>
            <w:r>
              <w:rPr>
                <w:rFonts w:ascii="Arial" w:cs="Arial" w:eastAsia="Arial" w:hAnsi="Arial"/>
                <w:sz w:val="13"/>
                <w:szCs w:val="13"/>
                <w:color w:val="auto"/>
              </w:rPr>
              <w:t>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9"/>
        </w:trPr>
        <w:tc>
          <w:tcPr>
            <w:tcW w:w="3220" w:type="dxa"/>
            <w:vAlign w:val="bottom"/>
          </w:tcPr>
          <w:p>
            <w:pPr>
              <w:spacing w:after="0" w:line="146" w:lineRule="exact"/>
              <w:rPr>
                <w:sz w:val="20"/>
                <w:szCs w:val="20"/>
                <w:color w:val="auto"/>
              </w:rPr>
            </w:pPr>
            <w:r>
              <w:rPr>
                <w:rFonts w:ascii="Arial" w:cs="Arial" w:eastAsia="Arial" w:hAnsi="Arial"/>
                <w:sz w:val="13"/>
                <w:szCs w:val="13"/>
                <w:color w:val="auto"/>
              </w:rPr>
              <w:t>Balance, December 31, 2020</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40" w:type="dxa"/>
            <w:vAlign w:val="bottom"/>
            <w:gridSpan w:val="3"/>
          </w:tcPr>
          <w:p>
            <w:pPr>
              <w:ind w:left="1120"/>
              <w:spacing w:after="0"/>
              <w:rPr>
                <w:sz w:val="20"/>
                <w:szCs w:val="20"/>
                <w:color w:val="auto"/>
              </w:rPr>
            </w:pPr>
            <w:r>
              <w:rPr>
                <w:rFonts w:ascii="Arial" w:cs="Arial" w:eastAsia="Arial" w:hAnsi="Arial"/>
                <w:sz w:val="13"/>
                <w:szCs w:val="13"/>
                <w:color w:val="auto"/>
              </w:rPr>
              <w:t>—   $</w:t>
            </w:r>
          </w:p>
        </w:tc>
        <w:tc>
          <w:tcPr>
            <w:tcW w:w="13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right="220"/>
        <w:spacing w:after="0" w:line="23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9-Income Taxes for impacts of the Tax Act) and include a $14 million gain, net of tax, related to the Company’s hedge of its investment in euro-denominated foreign operations (See Note 19-Financial Instruments).</w:t>
      </w:r>
    </w:p>
    <w:p>
      <w:pPr>
        <w:ind w:left="820" w:hanging="326"/>
        <w:spacing w:after="0" w:line="199" w:lineRule="auto"/>
        <w:tabs>
          <w:tab w:leader="none" w:pos="820" w:val="left"/>
        </w:tabs>
        <w:numPr>
          <w:ilvl w:val="1"/>
          <w:numId w:val="58"/>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2020, the amount reclassified from accumulated other comprehensive income (loss) into restructuring and other related charges.</w:t>
      </w:r>
    </w:p>
    <w:p>
      <w:pPr>
        <w:spacing w:after="0" w:line="16" w:lineRule="exact"/>
        <w:rPr>
          <w:rFonts w:ascii="Arial" w:cs="Arial" w:eastAsia="Arial" w:hAnsi="Arial"/>
          <w:sz w:val="19"/>
          <w:szCs w:val="19"/>
          <w:color w:val="auto"/>
          <w:vertAlign w:val="superscript"/>
        </w:rPr>
      </w:pPr>
    </w:p>
    <w:p>
      <w:pPr>
        <w:ind w:left="820" w:right="180" w:hanging="326"/>
        <w:spacing w:after="0" w:line="227" w:lineRule="auto"/>
        <w:tabs>
          <w:tab w:leader="none" w:pos="813" w:val="left"/>
        </w:tabs>
        <w:numPr>
          <w:ilvl w:val="1"/>
          <w:numId w:val="58"/>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2020</w:t>
      </w:r>
      <w:r>
        <w:rPr>
          <w:rFonts w:ascii="Arial" w:cs="Arial" w:eastAsia="Arial" w:hAnsi="Arial"/>
          <w:sz w:val="17"/>
          <w:szCs w:val="17"/>
          <w:color w:val="auto"/>
        </w:rPr>
        <w:t>,</w:t>
      </w:r>
      <w:r>
        <w:rPr>
          <w:rFonts w:ascii="Arial" w:cs="Arial" w:eastAsia="Arial" w:hAnsi="Arial"/>
          <w:sz w:val="14"/>
          <w:szCs w:val="14"/>
          <w:color w:val="auto"/>
        </w:rPr>
        <w:t xml:space="preserve"> 2019 and 2018, the amounts reclassified from accumulated other comprehensive income (loss) into corporate interest expense were $9 million ($6 million, net of tax), $4 million ($3 million, net of tax) and $3 million ($2 million, net of tax), respectively. For the year ended December 31, 2020, the amounts reclassified from accumulated other comprehensive income (loss) into vehicle interest expense was $2 million ($2 million, net of tax).</w:t>
      </w:r>
    </w:p>
    <w:p>
      <w:pPr>
        <w:spacing w:after="0" w:line="1" w:lineRule="exact"/>
        <w:rPr>
          <w:rFonts w:ascii="Arial" w:cs="Arial" w:eastAsia="Arial" w:hAnsi="Arial"/>
          <w:sz w:val="19"/>
          <w:szCs w:val="19"/>
          <w:color w:val="auto"/>
          <w:vertAlign w:val="superscript"/>
        </w:rPr>
      </w:pPr>
    </w:p>
    <w:p>
      <w:pPr>
        <w:ind w:left="820" w:right="400" w:hanging="326"/>
        <w:spacing w:after="0" w:line="211" w:lineRule="auto"/>
        <w:tabs>
          <w:tab w:leader="none" w:pos="807" w:val="left"/>
        </w:tabs>
        <w:numPr>
          <w:ilvl w:val="1"/>
          <w:numId w:val="58"/>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2020, 2019 and 2018, amounts reclassified from accumulated other comprehensive income (loss) into selling, general and administrative expenses were $9 million ($6 million, net of tax), $8 million ($6 million, net of tax) and $7 million ($5 million, net of tax), respectively</w:t>
      </w:r>
    </w:p>
    <w:p>
      <w:pPr>
        <w:spacing w:after="0" w:line="205" w:lineRule="exact"/>
        <w:rPr>
          <w:rFonts w:ascii="Arial" w:cs="Arial" w:eastAsia="Arial" w:hAnsi="Arial"/>
          <w:sz w:val="19"/>
          <w:szCs w:val="19"/>
          <w:color w:val="auto"/>
          <w:vertAlign w:val="superscript"/>
        </w:rPr>
      </w:pPr>
    </w:p>
    <w:p>
      <w:pPr>
        <w:ind w:left="300" w:hanging="292"/>
        <w:spacing w:after="0"/>
        <w:tabs>
          <w:tab w:leader="none" w:pos="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7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Company’s Amended and Restated Equity and Incentive Plan provides for the grant of options, stock appreciation rights, restricted stock, restricted stock units (“RSUs”) and other stock- or cash-based awards to employees, directors and other individuals who perform services for the Company and its subsidiaries. The maximum number of shares reserved for grant of awards under the plan is 22.5 million, with approximately 4.5 million shares available as of December 31, 2020. The Company typically settles stock-based awards with treasury shares.</w:t>
      </w:r>
    </w:p>
    <w:p>
      <w:pPr>
        <w:spacing w:after="0" w:line="151"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Unit Awards</w:t>
      </w:r>
    </w:p>
    <w:p>
      <w:pPr>
        <w:spacing w:after="0" w:line="193" w:lineRule="exact"/>
        <w:rPr>
          <w:sz w:val="20"/>
          <w:szCs w:val="20"/>
          <w:color w:val="auto"/>
        </w:rPr>
      </w:pPr>
    </w:p>
    <w:p>
      <w:pPr>
        <w:ind w:left="500" w:right="320"/>
        <w:spacing w:after="0" w:line="254" w:lineRule="auto"/>
        <w:rPr>
          <w:sz w:val="20"/>
          <w:szCs w:val="20"/>
          <w:color w:val="auto"/>
        </w:rPr>
      </w:pPr>
      <w:r>
        <w:rPr>
          <w:rFonts w:ascii="Arial" w:cs="Arial" w:eastAsia="Arial" w:hAnsi="Arial"/>
          <w:sz w:val="18"/>
          <w:szCs w:val="18"/>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50"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June 2020, the Company granted market-based RSUs that vest based on absolute stock price attainment. The grant date fair value of this award is estimated using a Monte Carlo simulation model. The weighted average assumptions used in the model are outlined in the table below. During the years ended December 31, 2019 and 2018 the Company did not issue any stock unit awards containing a market condition.</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Expected volatility of stock price</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0.18%</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Valuation period</w:t>
            </w:r>
          </w:p>
        </w:tc>
        <w:tc>
          <w:tcPr>
            <w:tcW w:w="2500" w:type="dxa"/>
            <w:vAlign w:val="bottom"/>
          </w:tcPr>
          <w:p>
            <w:pPr>
              <w:ind w:left="960"/>
              <w:spacing w:after="0"/>
              <w:rPr>
                <w:sz w:val="20"/>
                <w:szCs w:val="20"/>
                <w:color w:val="auto"/>
              </w:rPr>
            </w:pPr>
            <w:r>
              <w:rPr>
                <w:rFonts w:ascii="Arial" w:cs="Arial" w:eastAsia="Arial" w:hAnsi="Arial"/>
                <w:sz w:val="18"/>
                <w:szCs w:val="18"/>
                <w:color w:val="auto"/>
              </w:rPr>
              <w:t>3 years</w:t>
            </w: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Dividend yield</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2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 Term</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76"/>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70"/>
        </w:trPr>
        <w:tc>
          <w:tcPr>
            <w:tcW w:w="4720" w:type="dxa"/>
            <w:vAlign w:val="bottom"/>
            <w:vMerge w:val="continue"/>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2020</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847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36.99</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180"/>
              <w:spacing w:after="0" w:line="182" w:lineRule="exact"/>
              <w:rPr>
                <w:sz w:val="20"/>
                <w:szCs w:val="20"/>
                <w:color w:val="auto"/>
              </w:rPr>
            </w:pPr>
            <w:r>
              <w:rPr>
                <w:rFonts w:ascii="Arial" w:cs="Arial" w:eastAsia="Arial" w:hAnsi="Arial"/>
                <w:sz w:val="14"/>
                <w:szCs w:val="14"/>
                <w:color w:val="auto"/>
              </w:rPr>
              <w:t xml:space="preserve">Outstanding and expected to vest at December 31, 2020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2020</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38.89</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380"/>
              <w:spacing w:after="0" w:line="197"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36.64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December 31, 2020</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180"/>
              <w:spacing w:after="0"/>
              <w:rPr>
                <w:sz w:val="20"/>
                <w:szCs w:val="20"/>
                <w:color w:val="auto"/>
              </w:rPr>
            </w:pPr>
            <w:r>
              <w:rPr>
                <w:rFonts w:ascii="Arial" w:cs="Arial" w:eastAsia="Arial" w:hAnsi="Arial"/>
                <w:sz w:val="14"/>
                <w:szCs w:val="14"/>
                <w:color w:val="auto"/>
              </w:rPr>
              <w:t xml:space="preserve">Outstanding and expected to vest at December 31, 2020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720" w:type="dxa"/>
            <w:vAlign w:val="bottom"/>
            <w:vMerge w:val="continue"/>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8" w:lineRule="exact"/>
        <w:rPr>
          <w:sz w:val="20"/>
          <w:szCs w:val="20"/>
          <w:color w:val="auto"/>
        </w:rPr>
      </w:pPr>
    </w:p>
    <w:p>
      <w:pPr>
        <w:ind w:left="820" w:right="180" w:hanging="326"/>
        <w:spacing w:after="0" w:line="221" w:lineRule="auto"/>
        <w:tabs>
          <w:tab w:leader="none" w:pos="813"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RSUs granted in 2019 was $34.14 and $34.56, respectively, and the weighted-average fair value of time-based RSUs and performance-based RSUs granted in 2018 was $48.41 and $48.52, respectively.</w:t>
      </w:r>
    </w:p>
    <w:p>
      <w:pPr>
        <w:spacing w:after="0" w:line="2"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2020, 2019 and 2018 was $19 million, $18 million and $20 million, respectively.</w:t>
      </w:r>
    </w:p>
    <w:p>
      <w:pPr>
        <w:ind w:left="820" w:right="20" w:hanging="326"/>
        <w:spacing w:after="0" w:line="211" w:lineRule="auto"/>
        <w:tabs>
          <w:tab w:leader="none" w:pos="807"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$17 million and will be recognized over a weighted average vesting period of 1.0 years.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27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There were no stock options outstanding as of December 31, 2020. Stock options exercised during 2019 and 2018 had intrinsic values of $1 million and $8 million, respectively.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34" w:lineRule="exact"/>
        <w:rPr>
          <w:sz w:val="20"/>
          <w:szCs w:val="20"/>
          <w:color w:val="auto"/>
        </w:rPr>
      </w:pPr>
    </w:p>
    <w:p>
      <w:pPr>
        <w:ind w:left="500" w:right="440"/>
        <w:spacing w:after="0" w:line="256" w:lineRule="auto"/>
        <w:rPr>
          <w:sz w:val="20"/>
          <w:szCs w:val="20"/>
          <w:color w:val="auto"/>
        </w:rPr>
      </w:pPr>
      <w:r>
        <w:rPr>
          <w:rFonts w:ascii="Arial" w:cs="Arial" w:eastAsia="Arial" w:hAnsi="Arial"/>
          <w:sz w:val="18"/>
          <w:szCs w:val="18"/>
          <w:color w:val="auto"/>
        </w:rPr>
        <w:t>Prior to 2019, the Company granted stock awards on a quarterly basis to non-employee directors representing between 50% and 100% of a director’s annual compensation and such awards could be deferred under the Non-employee Directors Deferred Compensation Plan. Beginning in 2019, the Company</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80"/>
        <w:spacing w:after="0" w:line="256" w:lineRule="auto"/>
        <w:rPr>
          <w:sz w:val="20"/>
          <w:szCs w:val="20"/>
          <w:color w:val="auto"/>
        </w:rPr>
      </w:pPr>
      <w:r>
        <w:rPr>
          <w:rFonts w:ascii="Arial" w:cs="Arial" w:eastAsia="Arial" w:hAnsi="Arial"/>
          <w:sz w:val="18"/>
          <w:szCs w:val="18"/>
          <w:color w:val="auto"/>
        </w:rPr>
        <w:t>grants stock awards on an annual basis to non-employee directors representing between 50% and 100% of a director’s annual compensation and such awards can be deferred under the Non-employee Directors Deferred Compensation Plan. During 2020, 2019 and 2018, the Company granted 34,000, 40,000 and 34,000 awards, respectively, to non-employee directors.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34" w:lineRule="exact"/>
        <w:rPr>
          <w:sz w:val="20"/>
          <w:szCs w:val="20"/>
          <w:color w:val="auto"/>
        </w:rPr>
      </w:pPr>
    </w:p>
    <w:p>
      <w:pPr>
        <w:ind w:left="500" w:right="360"/>
        <w:spacing w:after="0" w:line="261" w:lineRule="auto"/>
        <w:rPr>
          <w:sz w:val="20"/>
          <w:szCs w:val="20"/>
          <w:color w:val="auto"/>
        </w:rPr>
      </w:pPr>
      <w:r>
        <w:rPr>
          <w:rFonts w:ascii="Arial" w:cs="Arial" w:eastAsia="Arial" w:hAnsi="Arial"/>
          <w:sz w:val="18"/>
          <w:szCs w:val="18"/>
          <w:color w:val="auto"/>
        </w:rPr>
        <w:t>During 2020, 2019 and 2018, the Company recorded stock-based compensation expense of $9 million ($7 million, net of tax), $22 million ($17 million, net of tax) and $24 million ($18 million, net of tax),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Contribution Savings Plans</w:t>
      </w:r>
    </w:p>
    <w:p>
      <w:pPr>
        <w:spacing w:after="0" w:line="193"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The Company sponsors several defined contribution savings plans in the United States and certain foreign subsidiaries that provide certain eligible employees of the Company an opportunity to accumulate funds for retirement. The Company matches portions of the contributions of participating employees on the basis specified by the plans. The Company’s contributions to these plans were $23 million, $32 million and $33 million during 2020, 2019 and 2018, respectively.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9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 sponsors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50"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consisted of the following:</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5"/>
        </w:trPr>
        <w:tc>
          <w:tcPr>
            <w:tcW w:w="5760" w:type="dxa"/>
            <w:vAlign w:val="bottom"/>
          </w:tcPr>
          <w:p>
            <w:pPr>
              <w:spacing w:after="0" w:line="225" w:lineRule="exact"/>
              <w:rPr>
                <w:sz w:val="20"/>
                <w:szCs w:val="20"/>
                <w:color w:val="auto"/>
              </w:rPr>
            </w:pPr>
            <w:r>
              <w:rPr>
                <w:rFonts w:ascii="Arial" w:cs="Arial" w:eastAsia="Arial" w:hAnsi="Arial"/>
                <w:sz w:val="18"/>
                <w:szCs w:val="18"/>
                <w:color w:val="auto"/>
              </w:rPr>
              <w:t xml:space="preserve">Service cost </w:t>
            </w:r>
            <w:r>
              <w:rPr>
                <w:rFonts w:ascii="Arial" w:cs="Arial" w:eastAsia="Arial" w:hAnsi="Arial"/>
                <w:sz w:val="23"/>
                <w:szCs w:val="23"/>
                <w:color w:val="auto"/>
                <w:vertAlign w:val="superscript"/>
              </w:rPr>
              <w:t>(a)</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7"/>
        </w:trPr>
        <w:tc>
          <w:tcPr>
            <w:tcW w:w="5760" w:type="dxa"/>
            <w:vAlign w:val="bottom"/>
          </w:tcPr>
          <w:p>
            <w:pPr>
              <w:spacing w:after="0" w:line="228" w:lineRule="exact"/>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8" w:lineRule="exact"/>
        <w:rPr>
          <w:sz w:val="20"/>
          <w:szCs w:val="20"/>
          <w:color w:val="auto"/>
        </w:rPr>
      </w:pPr>
    </w:p>
    <w:p>
      <w:pPr>
        <w:ind w:left="820" w:right="500" w:hanging="326"/>
        <w:spacing w:after="0" w:line="221" w:lineRule="auto"/>
        <w:tabs>
          <w:tab w:leader="none" w:pos="813"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2020, $4 million and $1 million were included in operating expenses and selling, general and administrative expenses, respectively. For the year ended December 31, 2019, $4 million and $1 million were included in operating expenses and selling, general and administrative expenses, respectively. For the year ended December 31, 2018, $4 million and $2 million were included in operating expenses and selling, general and administrative expenses, respectively.</w:t>
      </w:r>
    </w:p>
    <w:p>
      <w:pPr>
        <w:spacing w:after="0" w:line="2" w:lineRule="exact"/>
        <w:rPr>
          <w:rFonts w:ascii="Arial" w:cs="Arial" w:eastAsia="Arial" w:hAnsi="Arial"/>
          <w:sz w:val="19"/>
          <w:szCs w:val="19"/>
          <w:color w:val="auto"/>
          <w:vertAlign w:val="superscript"/>
        </w:rPr>
      </w:pPr>
    </w:p>
    <w:p>
      <w:pPr>
        <w:ind w:left="820" w:hanging="326"/>
        <w:spacing w:after="0" w:line="189" w:lineRule="auto"/>
        <w:tabs>
          <w:tab w:leader="none" w:pos="82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Included in selling, general and administrative expenses.</w:t>
      </w:r>
    </w:p>
    <w:p>
      <w:pPr>
        <w:spacing w:after="0" w:line="146" w:lineRule="exact"/>
        <w:rPr>
          <w:sz w:val="20"/>
          <w:szCs w:val="20"/>
          <w:color w:val="auto"/>
        </w:rPr>
      </w:pPr>
    </w:p>
    <w:p>
      <w:pPr>
        <w:ind w:left="500" w:right="200"/>
        <w:spacing w:after="0" w:line="261" w:lineRule="auto"/>
        <w:rPr>
          <w:sz w:val="20"/>
          <w:szCs w:val="20"/>
          <w:color w:val="auto"/>
        </w:rPr>
      </w:pPr>
      <w:r>
        <w:rPr>
          <w:rFonts w:ascii="Arial" w:cs="Arial" w:eastAsia="Arial" w:hAnsi="Arial"/>
          <w:sz w:val="18"/>
          <w:szCs w:val="18"/>
          <w:color w:val="auto"/>
        </w:rPr>
        <w:t>The estimated amount that will be amortized from accumulated other comprehensive loss into net periodic benefit cost in 2021 is $9 million, which consists primarily of net actuarial losses.</w:t>
      </w:r>
    </w:p>
    <w:p>
      <w:pPr>
        <w:spacing w:after="0" w:line="144" w:lineRule="exact"/>
        <w:rPr>
          <w:sz w:val="20"/>
          <w:szCs w:val="20"/>
          <w:color w:val="auto"/>
        </w:rPr>
      </w:pPr>
    </w:p>
    <w:p>
      <w:pPr>
        <w:ind w:left="500" w:right="540"/>
        <w:spacing w:after="0" w:line="261" w:lineRule="auto"/>
        <w:rPr>
          <w:sz w:val="20"/>
          <w:szCs w:val="20"/>
          <w:color w:val="auto"/>
        </w:rPr>
      </w:pPr>
      <w:r>
        <w:rPr>
          <w:rFonts w:ascii="Arial" w:cs="Arial" w:eastAsia="Arial" w:hAnsi="Arial"/>
          <w:sz w:val="18"/>
          <w:szCs w:val="18"/>
          <w:color w:val="auto"/>
        </w:rPr>
        <w:t>The Company uses a measurement date of December 31 for its pension plans. The funded status of the pension plans were as follows: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7800" w:type="dxa"/>
            <w:vAlign w:val="bottom"/>
            <w:gridSpan w:val="4"/>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2"/>
        </w:trPr>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2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Change in Benefit Obligation</w:t>
            </w:r>
          </w:p>
        </w:tc>
        <w:tc>
          <w:tcPr>
            <w:tcW w:w="30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20" w:type="dxa"/>
            <w:vAlign w:val="bottom"/>
          </w:tcPr>
          <w:p>
            <w:pPr>
              <w:spacing w:after="0" w:line="20" w:lineRule="exact"/>
              <w:rPr>
                <w:sz w:val="1"/>
                <w:szCs w:val="1"/>
                <w:color w:val="auto"/>
              </w:rPr>
            </w:pPr>
          </w:p>
        </w:tc>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Benefit obligation at end of prior year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280" w:type="dxa"/>
            <w:vAlign w:val="bottom"/>
            <w:gridSpan w:val="3"/>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Benefit obligation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331"/>
        </w:trPr>
        <w:tc>
          <w:tcPr>
            <w:tcW w:w="520" w:type="dxa"/>
            <w:vAlign w:val="bottom"/>
          </w:tcPr>
          <w:p>
            <w:pPr>
              <w:spacing w:after="0"/>
              <w:rPr>
                <w:sz w:val="24"/>
                <w:szCs w:val="24"/>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Change in Plan Assets</w:t>
            </w:r>
          </w:p>
        </w:tc>
        <w:tc>
          <w:tcPr>
            <w:tcW w:w="53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prior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Status</w:t>
            </w: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69"/>
        </w:trPr>
        <w:tc>
          <w:tcPr>
            <w:tcW w:w="7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90"/>
              <w:spacing w:after="0" w:line="15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Classification of net balance sheet assets (liabilities):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funded status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employees participated:</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340" w:type="dxa"/>
            <w:vAlign w:val="bottom"/>
          </w:tcPr>
          <w:p>
            <w:pPr>
              <w:spacing w:after="0"/>
              <w:rPr>
                <w:sz w:val="20"/>
                <w:szCs w:val="20"/>
                <w:color w:val="auto"/>
              </w:rPr>
            </w:pPr>
          </w:p>
        </w:tc>
        <w:tc>
          <w:tcPr>
            <w:tcW w:w="38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8"/>
              </w:rPr>
              <w:t>For the 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b w:val="1"/>
                <w:bCs w:val="1"/>
                <w:color w:val="auto"/>
              </w:rPr>
              <w:t>U.S. Pension Benefit Plans</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3.10 %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4.15 %</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445"/>
        </w:trPr>
        <w:tc>
          <w:tcPr>
            <w:tcW w:w="534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2.75 %</w:t>
            </w: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4.50 %</w:t>
            </w:r>
          </w:p>
        </w:tc>
      </w:tr>
    </w:tbl>
    <w:p>
      <w:pPr>
        <w:spacing w:after="0" w:line="161" w:lineRule="exact"/>
        <w:rPr>
          <w:sz w:val="20"/>
          <w:szCs w:val="20"/>
          <w:color w:val="auto"/>
        </w:rPr>
      </w:pPr>
    </w:p>
    <w:p>
      <w:pPr>
        <w:ind w:left="500" w:right="320"/>
        <w:spacing w:after="0" w:line="256" w:lineRule="auto"/>
        <w:rPr>
          <w:sz w:val="20"/>
          <w:szCs w:val="20"/>
          <w:color w:val="auto"/>
        </w:rPr>
      </w:pPr>
      <w:r>
        <w:rPr>
          <w:rFonts w:ascii="Arial" w:cs="Arial" w:eastAsia="Arial" w:hAnsi="Arial"/>
          <w:sz w:val="18"/>
          <w:szCs w:val="18"/>
          <w:color w:val="auto"/>
        </w:rPr>
        <w:t>To select discount rates for its defined benefit pension plans, the Company uses a modeling process that involves matching the expected cash outflows of such plans, to yield curves constructed from portfolios of AA-rated fixed-income debt instruments. The Company uses the average yields of the hypothetical portfolios as a discount rate benchmark.</w:t>
      </w:r>
    </w:p>
    <w:p>
      <w:pPr>
        <w:spacing w:after="0" w:line="148"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The Company’s expected rate of return on plan assets of 7.00% and 3.80% for the U.S. plans and non-U.S. plans, respectively, used to determine pension obligations and pension costs, are long-term rates based on</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right="340"/>
        <w:spacing w:after="0" w:line="261" w:lineRule="auto"/>
        <w:rPr>
          <w:sz w:val="20"/>
          <w:szCs w:val="20"/>
          <w:color w:val="auto"/>
        </w:rPr>
      </w:pPr>
      <w:r>
        <w:rPr>
          <w:rFonts w:ascii="Arial" w:cs="Arial" w:eastAsia="Arial" w:hAnsi="Arial"/>
          <w:sz w:val="18"/>
          <w:szCs w:val="18"/>
          <w:color w:val="auto"/>
        </w:rPr>
        <w:t>historic plan asset returns in individual jurisdictions, over varying long-term periods combined with current market expectations and broad asset mix considerations.</w:t>
      </w:r>
    </w:p>
    <w:p>
      <w:pPr>
        <w:spacing w:after="0" w:line="144"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As of December 31, 2020, plans with benefit obligations in excess of plan assets had accumulated benefit obligations of $518 million and plan assets of $307 million. As of December 31, 2019, plans with benefit obligations in excess of plan assets had accumulated benefit obligations of $466 million and plan assets of $276 million. The accumulated benefit obligation for all plans was $916 million and $811 million as of December 31, 2020 and 2019, respectively. The Company expects to contribute approximately $4 million to the U.S. plans and $5 million to the non-U.S. plans in 2021.</w:t>
      </w:r>
    </w:p>
    <w:p>
      <w:pPr>
        <w:spacing w:after="0" w:line="15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Company’s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the Company’s financial statements.</w:t>
      </w:r>
    </w:p>
    <w:p>
      <w:pPr>
        <w:spacing w:after="0" w:line="150"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defined benefit pension plans’ investment goals and objectives are managed by the Company or Company-appointed and member-appointed trustees with consultation from independent investment advisors. While the objectives may vary slightly by country and jurisdiction, collectively the Company seeks to produce returns on pension plan investments, which are based on levels of liquidity and investment risk that the Company believes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The Company believes that diversification of the pension plans’ assets is an important investment strategy to provide reasonable assurance that no single security or class of securities will have a disproportionate impact on the pension plans. As such, the Company allocates assets among traditional equity, fixed income (government issued securities, corporate bonds and short-term cash investments) and other investment strategies.</w:t>
      </w:r>
    </w:p>
    <w:p>
      <w:pPr>
        <w:spacing w:after="0" w:line="157"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40%-60% of the plans’ assets.</w:t>
      </w:r>
    </w:p>
    <w:p>
      <w:pPr>
        <w:spacing w:after="0" w:line="151"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33%-43% of the plans’ assets.</w:t>
      </w:r>
    </w:p>
    <w:p>
      <w:pPr>
        <w:spacing w:after="0" w:line="150" w:lineRule="exact"/>
        <w:rPr>
          <w:sz w:val="20"/>
          <w:szCs w:val="20"/>
          <w:color w:val="auto"/>
        </w:rPr>
      </w:pPr>
    </w:p>
    <w:p>
      <w:pPr>
        <w:jc w:val="both"/>
        <w:ind w:left="500" w:right="40"/>
        <w:spacing w:after="0" w:line="273" w:lineRule="auto"/>
        <w:rPr>
          <w:sz w:val="20"/>
          <w:szCs w:val="20"/>
          <w:color w:val="auto"/>
        </w:rPr>
      </w:pPr>
      <w:r>
        <w:rPr>
          <w:rFonts w:ascii="Arial" w:cs="Arial" w:eastAsia="Arial" w:hAnsi="Arial"/>
          <w:sz w:val="17"/>
          <w:szCs w:val="17"/>
          <w:color w:val="auto"/>
        </w:rPr>
        <w:t>The purpose of the alternative investment component is to provide diversification and risk reduction through less correlated investment strategies with the goal of enhanced returns and downside protection. Alternative strategies will not be used if they are designed solely to enhance return and/or employ significant leverage. Diversification of asset categories, investment styles and managers is central to managing investment risk. The alternative investment component is expected to approximate 7%-17% of the plans’ assets.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 as of December 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850"/>
        </w:trPr>
        <w:tc>
          <w:tcPr>
            <w:tcW w:w="7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7140" w:type="dxa"/>
            <w:vAlign w:val="bottom"/>
          </w:tcPr>
          <w:p>
            <w:pPr>
              <w:ind w:left="820"/>
              <w:spacing w:after="0"/>
              <w:rPr>
                <w:sz w:val="20"/>
                <w:szCs w:val="20"/>
                <w:color w:val="auto"/>
              </w:rPr>
            </w:pPr>
            <w:r>
              <w:rPr>
                <w:rFonts w:ascii="Arial" w:cs="Arial" w:eastAsia="Arial" w:hAnsi="Arial"/>
                <w:sz w:val="18"/>
                <w:szCs w:val="18"/>
                <w:b w:val="1"/>
                <w:bCs w:val="1"/>
                <w:color w:val="auto"/>
              </w:rPr>
              <w:t>Asset Class</w:t>
            </w: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7140" w:type="dxa"/>
            <w:vAlign w:val="bottom"/>
          </w:tcPr>
          <w:p>
            <w:pPr>
              <w:ind w:left="820"/>
              <w:spacing w:after="0"/>
              <w:rPr>
                <w:sz w:val="20"/>
                <w:szCs w:val="20"/>
                <w:color w:val="auto"/>
              </w:rPr>
            </w:pPr>
            <w:r>
              <w:rPr>
                <w:rFonts w:ascii="Arial" w:cs="Arial" w:eastAsia="Arial" w:hAnsi="Arial"/>
                <w:sz w:val="18"/>
                <w:szCs w:val="18"/>
                <w:color w:val="auto"/>
              </w:rPr>
              <w:t>Cash equivalents and short-term investments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7140" w:type="dxa"/>
            <w:vAlign w:val="bottom"/>
          </w:tcPr>
          <w:p>
            <w:pPr>
              <w:ind w:left="820"/>
              <w:spacing w:after="0"/>
              <w:rPr>
                <w:sz w:val="20"/>
                <w:szCs w:val="20"/>
                <w:color w:val="auto"/>
              </w:rPr>
            </w:pPr>
            <w:r>
              <w:rPr>
                <w:rFonts w:ascii="Arial" w:cs="Arial" w:eastAsia="Arial" w:hAnsi="Arial"/>
                <w:sz w:val="18"/>
                <w:szCs w:val="18"/>
                <w:color w:val="auto"/>
              </w:rPr>
              <w:t>U.S. equities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140" w:type="dxa"/>
            <w:vAlign w:val="bottom"/>
          </w:tcPr>
          <w:p>
            <w:pPr>
              <w:ind w:left="820"/>
              <w:spacing w:after="0"/>
              <w:rPr>
                <w:sz w:val="20"/>
                <w:szCs w:val="20"/>
                <w:color w:val="auto"/>
              </w:rPr>
            </w:pPr>
            <w:r>
              <w:rPr>
                <w:rFonts w:ascii="Arial" w:cs="Arial" w:eastAsia="Arial" w:hAnsi="Arial"/>
                <w:sz w:val="18"/>
                <w:szCs w:val="18"/>
                <w:color w:val="auto"/>
              </w:rPr>
              <w:t>Non-U.S. equities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7140" w:type="dxa"/>
            <w:vAlign w:val="bottom"/>
          </w:tcPr>
          <w:p>
            <w:pPr>
              <w:ind w:left="820"/>
              <w:spacing w:after="0"/>
              <w:rPr>
                <w:sz w:val="20"/>
                <w:szCs w:val="20"/>
                <w:color w:val="auto"/>
              </w:rPr>
            </w:pPr>
            <w:r>
              <w:rPr>
                <w:rFonts w:ascii="Arial" w:cs="Arial" w:eastAsia="Arial" w:hAnsi="Arial"/>
                <w:sz w:val="18"/>
                <w:szCs w:val="18"/>
                <w:color w:val="auto"/>
              </w:rPr>
              <w:t>Government bonds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140" w:type="dxa"/>
            <w:vAlign w:val="bottom"/>
          </w:tcPr>
          <w:p>
            <w:pPr>
              <w:ind w:left="8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140" w:type="dxa"/>
            <w:vAlign w:val="bottom"/>
          </w:tcPr>
          <w:p>
            <w:pPr>
              <w:ind w:left="8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7140" w:type="dxa"/>
            <w:vAlign w:val="bottom"/>
          </w:tcPr>
          <w:p>
            <w:pPr>
              <w:ind w:left="10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6640" w:type="dxa"/>
            <w:vAlign w:val="bottom"/>
          </w:tcPr>
          <w:p>
            <w:pPr>
              <w:ind w:left="320"/>
              <w:spacing w:after="0"/>
              <w:rPr>
                <w:sz w:val="20"/>
                <w:szCs w:val="20"/>
                <w:color w:val="auto"/>
              </w:rPr>
            </w:pPr>
            <w:r>
              <w:rPr>
                <w:rFonts w:ascii="Arial" w:cs="Arial" w:eastAsia="Arial" w:hAnsi="Arial"/>
                <w:sz w:val="18"/>
                <w:szCs w:val="18"/>
                <w:b w:val="1"/>
                <w:bCs w:val="1"/>
                <w:color w:val="auto"/>
              </w:rPr>
              <w:t>Asset Class</w:t>
            </w:r>
          </w:p>
        </w:tc>
        <w:tc>
          <w:tcPr>
            <w:tcW w:w="1300" w:type="dxa"/>
            <w:vAlign w:val="bottom"/>
            <w:gridSpan w:val="3"/>
          </w:tcPr>
          <w:p>
            <w:pPr>
              <w:ind w:left="3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40" w:type="dxa"/>
            <w:vAlign w:val="bottom"/>
          </w:tcPr>
          <w:p>
            <w:pPr>
              <w:ind w:left="320"/>
              <w:spacing w:after="0"/>
              <w:rPr>
                <w:sz w:val="20"/>
                <w:szCs w:val="20"/>
                <w:color w:val="auto"/>
              </w:rPr>
            </w:pPr>
            <w:r>
              <w:rPr>
                <w:rFonts w:ascii="Arial" w:cs="Arial" w:eastAsia="Arial" w:hAnsi="Arial"/>
                <w:sz w:val="18"/>
                <w:szCs w:val="18"/>
                <w:color w:val="auto"/>
              </w:rPr>
              <w:t>Cash equivalents and short-term investments</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640" w:type="dxa"/>
            <w:vAlign w:val="bottom"/>
          </w:tcPr>
          <w:p>
            <w:pPr>
              <w:ind w:left="320"/>
              <w:spacing w:after="0"/>
              <w:rPr>
                <w:sz w:val="20"/>
                <w:szCs w:val="20"/>
                <w:color w:val="auto"/>
              </w:rPr>
            </w:pPr>
            <w:r>
              <w:rPr>
                <w:rFonts w:ascii="Arial" w:cs="Arial" w:eastAsia="Arial" w:hAnsi="Arial"/>
                <w:sz w:val="18"/>
                <w:szCs w:val="18"/>
                <w:color w:val="auto"/>
              </w:rPr>
              <w:t>U.S. equities</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6640" w:type="dxa"/>
            <w:vAlign w:val="bottom"/>
          </w:tcPr>
          <w:p>
            <w:pPr>
              <w:ind w:left="320"/>
              <w:spacing w:after="0"/>
              <w:rPr>
                <w:sz w:val="20"/>
                <w:szCs w:val="20"/>
                <w:color w:val="auto"/>
              </w:rPr>
            </w:pPr>
            <w:r>
              <w:rPr>
                <w:rFonts w:ascii="Arial" w:cs="Arial" w:eastAsia="Arial" w:hAnsi="Arial"/>
                <w:sz w:val="18"/>
                <w:szCs w:val="18"/>
                <w:color w:val="auto"/>
              </w:rPr>
              <w:t>Non-U.S. equities</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640" w:type="dxa"/>
            <w:vAlign w:val="bottom"/>
          </w:tcPr>
          <w:p>
            <w:pPr>
              <w:ind w:left="320"/>
              <w:spacing w:after="0"/>
              <w:rPr>
                <w:sz w:val="20"/>
                <w:szCs w:val="20"/>
                <w:color w:val="auto"/>
              </w:rPr>
            </w:pPr>
            <w:r>
              <w:rPr>
                <w:rFonts w:ascii="Arial" w:cs="Arial" w:eastAsia="Arial" w:hAnsi="Arial"/>
                <w:sz w:val="18"/>
                <w:szCs w:val="18"/>
                <w:color w:val="auto"/>
              </w:rPr>
              <w:t>Government bonds</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6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664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r>
      <w:tr>
        <w:trPr>
          <w:trHeight w:val="21"/>
        </w:trPr>
        <w:tc>
          <w:tcPr>
            <w:tcW w:w="6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r>
      <w:tr>
        <w:trPr>
          <w:trHeight w:val="371"/>
        </w:trPr>
        <w:tc>
          <w:tcPr>
            <w:tcW w:w="7260" w:type="dxa"/>
            <w:vAlign w:val="bottom"/>
            <w:gridSpan w:val="2"/>
          </w:tcPr>
          <w:p>
            <w:pPr>
              <w:spacing w:after="0"/>
              <w:rPr>
                <w:sz w:val="20"/>
                <w:szCs w:val="20"/>
                <w:color w:val="auto"/>
              </w:rPr>
            </w:pPr>
            <w:r>
              <w:rPr>
                <w:rFonts w:ascii="Arial" w:cs="Arial" w:eastAsia="Arial" w:hAnsi="Arial"/>
                <w:sz w:val="18"/>
                <w:szCs w:val="18"/>
                <w:color w:val="auto"/>
                <w:w w:val="99"/>
              </w:rPr>
              <w:t>The Company estimates that future benefit payments from plan assets will be $30 million, $</w:t>
            </w:r>
          </w:p>
        </w:tc>
        <w:tc>
          <w:tcPr>
            <w:tcW w:w="3160" w:type="dxa"/>
            <w:vAlign w:val="bottom"/>
            <w:gridSpan w:val="7"/>
          </w:tcPr>
          <w:p>
            <w:pPr>
              <w:jc w:val="right"/>
              <w:spacing w:after="0"/>
              <w:rPr>
                <w:sz w:val="20"/>
                <w:szCs w:val="20"/>
                <w:color w:val="auto"/>
              </w:rPr>
            </w:pPr>
            <w:r>
              <w:rPr>
                <w:rFonts w:ascii="Arial" w:cs="Arial" w:eastAsia="Arial" w:hAnsi="Arial"/>
                <w:sz w:val="18"/>
                <w:szCs w:val="18"/>
                <w:color w:val="auto"/>
                <w:w w:val="99"/>
              </w:rPr>
              <w:t>31 million, $31 million, $32 million, $33</w:t>
            </w:r>
          </w:p>
        </w:tc>
      </w:tr>
      <w:tr>
        <w:trPr>
          <w:trHeight w:val="217"/>
        </w:trPr>
        <w:tc>
          <w:tcPr>
            <w:tcW w:w="7260" w:type="dxa"/>
            <w:vAlign w:val="bottom"/>
            <w:gridSpan w:val="2"/>
          </w:tcPr>
          <w:p>
            <w:pPr>
              <w:spacing w:after="0"/>
              <w:rPr>
                <w:sz w:val="20"/>
                <w:szCs w:val="20"/>
                <w:color w:val="auto"/>
              </w:rPr>
            </w:pPr>
            <w:r>
              <w:rPr>
                <w:rFonts w:ascii="Arial" w:cs="Arial" w:eastAsia="Arial" w:hAnsi="Arial"/>
                <w:sz w:val="18"/>
                <w:szCs w:val="18"/>
                <w:color w:val="auto"/>
              </w:rPr>
              <w:t>million and $184 million for 2021, 2022, 2023, 2024, 2025 and 2026 to 2030, respectively.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93"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Company contributes to a number of multiemployer plans under the terms of collective-bargaining agreements that cover a portion of its employees. The risks of participating in these multiemployer plans are different from single-employer plans in the following aspects: (i)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the Company elects to stop participating in a multiemployer plan, it may be required to contribute to such plan an amount based on the under-funded status of the plan; and (iv) the Company has no involvement in the management of the multiemployer plans’ investments. For the year ended December 31, 2020, the Company contributed a total of $7 million and during the years ended December 31, 2019 and 2018, the Company contributed a total of $9 million in each of the periods to multiemployer plans.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Financial Instruments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 Management</w:t>
      </w:r>
    </w:p>
    <w:p>
      <w:pPr>
        <w:spacing w:after="0" w:line="17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net amount of existing gains or losses the Company expects to reclassify from accumulated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comprehensive income (loss) to earnings for cash flow and net investment hedges over the next 12 months is not material.</w:t>
      </w:r>
    </w:p>
    <w:p>
      <w:pPr>
        <w:spacing w:after="0" w:line="153" w:lineRule="exact"/>
        <w:rPr>
          <w:sz w:val="20"/>
          <w:szCs w:val="20"/>
          <w:color w:val="auto"/>
        </w:rPr>
      </w:pPr>
    </w:p>
    <w:p>
      <w:pPr>
        <w:jc w:val="both"/>
        <w:ind w:left="500" w:right="260"/>
        <w:spacing w:after="0" w:line="266"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estimates that $ 19 million of loss currently recorded in accumulated other comprehensive income (loss) will be recognized in earnings over the next 12 months.</w:t>
      </w:r>
    </w:p>
    <w:p>
      <w:pPr>
        <w:spacing w:after="0" w:line="122"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gasoline. These instruments were designated as freestanding derivatives and the changes in fair value are recorded in the Company’s consolidated results of operations.</w:t>
      </w:r>
    </w:p>
    <w:p>
      <w:pPr>
        <w:spacing w:after="0" w:line="122"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The Company is exposed to counterparty credit risks in the event of nonperformance by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agreements and sales transactions. The Company manages such risk by evaluating the financial position and creditworthiness of such counterparties and by requiring collateral in certain instances in which financing is provided. The Company mitigates counterparty credit risk associated with its derivative contracts by monitoring the amount for which it is at risk with each counterparty, periodically evaluating counterparty creditworthiness and financial position, and where possible, dispersing its risk among multiple counterparties.</w:t>
      </w:r>
    </w:p>
    <w:p>
      <w:pPr>
        <w:spacing w:after="0" w:line="151"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There were no significant concentrations of credit risk with any individual counterparty or groups of counterparties at December 31, 2020 or 2019, other than (i) risks related to the Company’s repurchase and guaranteed depreciation agreements with domestic and foreign car manufacturers, and primarily with respect to receivables for program cars that were disposed but for which the Company has not yet received payment from the manufacturers (see Note 2-Summary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the Company is a guarantor. Concentrations of credit risk associated with trade receivables are considered minimal due to the Company’s diverse customer base. The Company does not normally require collateral or other security to support credit sales.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sz w:val="20"/>
          <w:szCs w:val="20"/>
          <w:color w:val="auto"/>
        </w:rPr>
      </w:pPr>
    </w:p>
    <w:p>
      <w:pPr>
        <w:ind w:left="500" w:right="280"/>
        <w:spacing w:after="0" w:line="261"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The Company held derivative instruments with absolute notional values as follows:</w:t>
      </w:r>
    </w:p>
    <w:tbl>
      <w:tblPr>
        <w:tblLayout w:type="fixed"/>
        <w:tblInd w:w="80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10"/>
                <w:szCs w:val="10"/>
                <w:color w:val="auto"/>
              </w:rPr>
              <w:t>(a)</w:t>
            </w:r>
          </w:p>
        </w:tc>
        <w:tc>
          <w:tcPr>
            <w:tcW w:w="3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8,625</w:t>
            </w: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820" w:right="220" w:hanging="326"/>
        <w:spacing w:after="0" w:line="230" w:lineRule="auto"/>
        <w:tabs>
          <w:tab w:leader="none" w:pos="813"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Represents $6.0 billion of interest rate caps sold, partially offset by approximately $2.9 billion of interest rate caps purchased at December 31, 2020 and $5.9 billion of interest rate caps sold, partially offset by approximately $2.7 billion of interest rate caps purchased at December 31, 2019. These amounts exclude $3.1 billion and $3.2 billion of interest rate caps purchased by the Company’s Avis Budget Rental Car Funding subsidiary at December 31, 2020 and 2019, respectively.</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2020</w:t>
            </w:r>
          </w:p>
        </w:tc>
        <w:tc>
          <w:tcPr>
            <w:tcW w:w="160" w:type="dxa"/>
            <w:vAlign w:val="bottom"/>
          </w:tcPr>
          <w:p>
            <w:pPr>
              <w:spacing w:after="0"/>
              <w:rPr>
                <w:sz w:val="18"/>
                <w:szCs w:val="18"/>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As of December 31, 2019</w:t>
            </w:r>
          </w:p>
        </w:tc>
      </w:tr>
      <w:tr>
        <w:trPr>
          <w:trHeight w:val="158"/>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8"/>
              </w:rPr>
              <w:t>Fair Value,</w:t>
            </w: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Liability</w:t>
            </w: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Liability</w:t>
            </w:r>
          </w:p>
        </w:tc>
      </w:tr>
      <w:tr>
        <w:trPr>
          <w:trHeight w:val="215"/>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Derivatives</w:t>
            </w:r>
          </w:p>
        </w:tc>
      </w:tr>
      <w:tr>
        <w:trPr>
          <w:trHeight w:val="195"/>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4"/>
        </w:trPr>
        <w:tc>
          <w:tcPr>
            <w:tcW w:w="4680" w:type="dxa"/>
            <w:vAlign w:val="bottom"/>
          </w:tcPr>
          <w:p>
            <w:pPr>
              <w:ind w:left="200"/>
              <w:spacing w:after="0" w:line="214"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5"/>
        </w:trPr>
        <w:tc>
          <w:tcPr>
            <w:tcW w:w="4680" w:type="dxa"/>
            <w:vAlign w:val="bottom"/>
          </w:tcPr>
          <w:p>
            <w:pPr>
              <w:ind w:left="200"/>
              <w:spacing w:after="0" w:line="235"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468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4680" w:type="dxa"/>
            <w:vAlign w:val="bottom"/>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4"/>
        </w:trPr>
        <w:tc>
          <w:tcPr>
            <w:tcW w:w="4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spacing w:after="0" w:line="23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16-Stockholders’ Equity.</w:t>
      </w:r>
    </w:p>
    <w:p>
      <w:pPr>
        <w:ind w:left="820" w:hanging="326"/>
        <w:spacing w:after="0" w:line="187" w:lineRule="auto"/>
        <w:tabs>
          <w:tab w:leader="none" w:pos="8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00" w:hanging="306"/>
        <w:spacing w:after="0" w:line="189" w:lineRule="auto"/>
        <w:tabs>
          <w:tab w:leader="none" w:pos="80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Financial Statements are as follows: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6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1"/>
        </w:trPr>
        <w:tc>
          <w:tcPr>
            <w:tcW w:w="6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210"/>
        </w:trPr>
        <w:tc>
          <w:tcPr>
            <w:tcW w:w="6320" w:type="dxa"/>
            <w:vAlign w:val="bottom"/>
          </w:tcPr>
          <w:p>
            <w:pPr>
              <w:spacing w:after="0" w:line="210" w:lineRule="exact"/>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9"/>
        </w:trPr>
        <w:tc>
          <w:tcPr>
            <w:tcW w:w="6320" w:type="dxa"/>
            <w:vAlign w:val="bottom"/>
          </w:tcPr>
          <w:p>
            <w:pPr>
              <w:ind w:left="200"/>
              <w:spacing w:after="0" w:line="19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3"/>
        </w:trPr>
        <w:tc>
          <w:tcPr>
            <w:tcW w:w="6320" w:type="dxa"/>
            <w:vAlign w:val="bottom"/>
          </w:tcPr>
          <w:p>
            <w:pPr>
              <w:spacing w:after="0" w:line="233"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632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78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632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20" w:type="dxa"/>
            <w:vAlign w:val="bottom"/>
          </w:tcPr>
          <w:p>
            <w:pPr>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
        </w:trPr>
        <w:tc>
          <w:tcPr>
            <w:tcW w:w="63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194" w:lineRule="auto"/>
        <w:tabs>
          <w:tab w:leader="none" w:pos="8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right="420" w:hanging="326"/>
        <w:spacing w:after="0" w:line="204" w:lineRule="auto"/>
        <w:tabs>
          <w:tab w:leader="none" w:pos="813"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16-Stockholders’ Equity for amounts reclassified from accumulated other comprehensive income (loss) into earnings.</w:t>
      </w:r>
    </w:p>
    <w:p>
      <w:pPr>
        <w:spacing w:after="0" w:line="1" w:lineRule="exact"/>
        <w:rPr>
          <w:rFonts w:ascii="Arial" w:cs="Arial" w:eastAsia="Arial" w:hAnsi="Arial"/>
          <w:sz w:val="19"/>
          <w:szCs w:val="19"/>
          <w:color w:val="auto"/>
          <w:vertAlign w:val="superscript"/>
        </w:rPr>
      </w:pPr>
    </w:p>
    <w:p>
      <w:pPr>
        <w:ind w:left="800" w:hanging="306"/>
        <w:spacing w:after="0" w:line="187" w:lineRule="auto"/>
        <w:tabs>
          <w:tab w:leader="none" w:pos="80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220" w:hanging="326"/>
        <w:spacing w:after="0" w:line="215" w:lineRule="auto"/>
        <w:tabs>
          <w:tab w:leader="none" w:pos="813"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2020, included a $3 million loss in interest expense and a $2 million loss included in operating expenses. For the year ended December 31, 2019, included an $11 million loss included in interest expense and a $4 million gain included in operating expenses. For the year ended December 31, 2018, included a $19 million gain in interest expense and a $12 million gain included in operating expenses.</w:t>
      </w:r>
    </w:p>
    <w:p>
      <w:pPr>
        <w:spacing w:after="0" w:line="1" w:lineRule="exact"/>
        <w:rPr>
          <w:rFonts w:ascii="Arial" w:cs="Arial" w:eastAsia="Arial" w:hAnsi="Arial"/>
          <w:sz w:val="19"/>
          <w:szCs w:val="19"/>
          <w:color w:val="auto"/>
          <w:vertAlign w:val="superscript"/>
        </w:rPr>
      </w:pPr>
    </w:p>
    <w:p>
      <w:pPr>
        <w:ind w:left="820" w:hanging="326"/>
        <w:spacing w:after="0" w:line="187" w:lineRule="auto"/>
        <w:tabs>
          <w:tab w:leader="none" w:pos="8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Primarily included in vehicle interest, net.</w:t>
      </w:r>
    </w:p>
    <w:p>
      <w:pPr>
        <w:ind w:left="820" w:hanging="326"/>
        <w:spacing w:after="0" w:line="189" w:lineRule="auto"/>
        <w:tabs>
          <w:tab w:leader="none" w:pos="8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Included in operating expenses.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200"/>
              <w:spacing w:after="0"/>
              <w:rPr>
                <w:sz w:val="20"/>
                <w:szCs w:val="20"/>
                <w:color w:val="auto"/>
              </w:rPr>
            </w:pPr>
            <w:r>
              <w:rPr>
                <w:rFonts w:ascii="Arial" w:cs="Arial" w:eastAsia="Arial" w:hAnsi="Arial"/>
                <w:sz w:val="16"/>
                <w:szCs w:val="16"/>
                <w:b w:val="1"/>
                <w:bCs w:val="1"/>
                <w:color w:val="auto"/>
              </w:rPr>
              <w:t>As of December 31, 2020</w:t>
            </w:r>
          </w:p>
        </w:tc>
        <w:tc>
          <w:tcPr>
            <w:tcW w:w="22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As of December 31, 2019</w:t>
            </w:r>
          </w:p>
        </w:tc>
      </w:tr>
      <w:tr>
        <w:trPr>
          <w:trHeight w:val="158"/>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9"/>
              <w:spacing w:after="0" w:line="158" w:lineRule="exact"/>
              <w:rPr>
                <w:sz w:val="20"/>
                <w:szCs w:val="20"/>
                <w:color w:val="auto"/>
              </w:rPr>
            </w:pPr>
            <w:r>
              <w:rPr>
                <w:rFonts w:ascii="Arial" w:cs="Arial" w:eastAsia="Arial" w:hAnsi="Arial"/>
                <w:sz w:val="16"/>
                <w:szCs w:val="16"/>
                <w:b w:val="1"/>
                <w:bCs w:val="1"/>
                <w:color w:val="auto"/>
              </w:rPr>
              <w:t>Estimated</w:t>
            </w:r>
          </w:p>
        </w:tc>
      </w:tr>
      <w:tr>
        <w:trPr>
          <w:trHeight w:val="215"/>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195"/>
        </w:trPr>
        <w:tc>
          <w:tcPr>
            <w:tcW w:w="46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3,572</w:t>
            </w:r>
          </w:p>
        </w:tc>
      </w:tr>
      <w:tr>
        <w:trPr>
          <w:trHeight w:val="432"/>
        </w:trPr>
        <w:tc>
          <w:tcPr>
            <w:tcW w:w="46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 due to Avis Budget Rental Car Funding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7,936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8,077</w:t>
            </w: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3,142</w:t>
            </w:r>
          </w:p>
        </w:tc>
      </w:tr>
      <w:tr>
        <w:trPr>
          <w:trHeight w:val="287"/>
        </w:trPr>
        <w:tc>
          <w:tcPr>
            <w:tcW w:w="4620" w:type="dxa"/>
            <w:vAlign w:val="bottom"/>
          </w:tcPr>
          <w:p>
            <w:pPr>
              <w:ind w:left="16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ind w:left="820" w:hanging="326"/>
        <w:spacing w:after="0" w:line="198" w:lineRule="auto"/>
        <w:tabs>
          <w:tab w:leader="none" w:pos="820" w:val="left"/>
        </w:tabs>
        <w:numPr>
          <w:ilvl w:val="1"/>
          <w:numId w:val="65"/>
        </w:numPr>
        <w:rPr>
          <w:rFonts w:ascii="Arial" w:cs="Arial" w:eastAsia="Arial" w:hAnsi="Arial"/>
          <w:sz w:val="19"/>
          <w:szCs w:val="19"/>
          <w:color w:val="auto"/>
          <w:vertAlign w:val="superscript"/>
        </w:rPr>
      </w:pPr>
      <w:r>
        <w:rPr>
          <w:rFonts w:ascii="Arial" w:cs="Arial" w:eastAsia="Arial" w:hAnsi="Arial"/>
          <w:sz w:val="14"/>
          <w:szCs w:val="14"/>
          <w:color w:val="auto"/>
        </w:rPr>
        <w:t>Derivatives in liability position.</w:t>
      </w:r>
    </w:p>
    <w:p>
      <w:pPr>
        <w:spacing w:after="0" w:line="205" w:lineRule="exact"/>
        <w:rPr>
          <w:rFonts w:ascii="Arial" w:cs="Arial" w:eastAsia="Arial" w:hAnsi="Arial"/>
          <w:sz w:val="19"/>
          <w:szCs w:val="19"/>
          <w:color w:val="auto"/>
          <w:vertAlign w:val="superscript"/>
        </w:rPr>
      </w:pPr>
    </w:p>
    <w:p>
      <w:pPr>
        <w:ind w:left="300" w:hanging="292"/>
        <w:spacing w:after="0"/>
        <w:tabs>
          <w:tab w:leader="none" w:pos="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4" w:lineRule="exact"/>
        <w:rPr>
          <w:sz w:val="20"/>
          <w:szCs w:val="20"/>
          <w:color w:val="auto"/>
        </w:rPr>
      </w:pPr>
    </w:p>
    <w:p>
      <w:pPr>
        <w:ind w:left="500" w:right="360"/>
        <w:spacing w:after="0" w:line="254" w:lineRule="auto"/>
        <w:rPr>
          <w:sz w:val="20"/>
          <w:szCs w:val="20"/>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5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non-operational charges related to shareholder activist activity, gain on sale of equity method investment in China, COVID-19 charges and income taxes. Net charges for unprecedented personal-injury and other legal matters and gain on sale of equity method investment in China are recorded within operating expenses in the Company’s Consolidated Statement of Comprehensive Income. Non-operational charges related to shareholder activist activity include third party advisory, legal and other professional service fees and are recorded within selling, general and administrative expenses in the Company’s Consolidated Statement of Comprehensive Income.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the Company’s Consolidated Statement of Comprehensive Income. The Company has revised its definition of Adjusted EBITDA to exclude COVID-19 charges. The Company has not revised prior years' Adjusted EBITDA amounts because there were no other charges similar in nature to these. The Company’s presentation of Adjusted EBITDA may not be comparable to similarly-titled measures used by other companies.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6"/>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5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30"/>
        </w:trPr>
        <w:tc>
          <w:tcPr>
            <w:tcW w:w="4540" w:type="dxa"/>
            <w:vAlign w:val="bottom"/>
          </w:tcPr>
          <w:p>
            <w:pPr>
              <w:ind w:left="5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9"/>
        </w:trPr>
        <w:tc>
          <w:tcPr>
            <w:tcW w:w="4540" w:type="dxa"/>
            <w:vAlign w:val="bottom"/>
          </w:tcPr>
          <w:p>
            <w:pPr>
              <w:ind w:left="5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540" w:type="dxa"/>
            <w:vAlign w:val="bottom"/>
          </w:tcPr>
          <w:p>
            <w:pPr>
              <w:ind w:left="5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540" w:type="dxa"/>
            <w:vAlign w:val="bottom"/>
          </w:tcPr>
          <w:p>
            <w:pPr>
              <w:ind w:left="5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88"/>
        </w:trPr>
        <w:tc>
          <w:tcPr>
            <w:tcW w:w="4540" w:type="dxa"/>
            <w:vAlign w:val="bottom"/>
          </w:tcPr>
          <w:p>
            <w:pPr>
              <w:ind w:left="5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6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29"/>
        </w:trPr>
        <w:tc>
          <w:tcPr>
            <w:tcW w:w="4540" w:type="dxa"/>
            <w:vAlign w:val="bottom"/>
          </w:tcPr>
          <w:p>
            <w:pPr>
              <w:ind w:left="5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0"/>
        </w:trPr>
        <w:tc>
          <w:tcPr>
            <w:tcW w:w="4540" w:type="dxa"/>
            <w:vAlign w:val="bottom"/>
          </w:tcPr>
          <w:p>
            <w:pPr>
              <w:ind w:left="5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2" w:lineRule="exact"/>
        <w:rPr>
          <w:sz w:val="20"/>
          <w:szCs w:val="20"/>
          <w:color w:val="auto"/>
        </w:rPr>
      </w:pPr>
    </w:p>
    <w:p>
      <w:pPr>
        <w:ind w:left="500"/>
        <w:spacing w:after="0"/>
        <w:tabs>
          <w:tab w:leader="none" w:pos="780" w:val="left"/>
        </w:tabs>
        <w:rPr>
          <w:sz w:val="20"/>
          <w:szCs w:val="20"/>
          <w:color w:val="auto"/>
        </w:rPr>
      </w:pPr>
      <w:r>
        <w:rPr>
          <w:rFonts w:ascii="Arial" w:cs="Arial" w:eastAsia="Arial" w:hAnsi="Arial"/>
          <w:sz w:val="14"/>
          <w:szCs w:val="14"/>
          <w:color w:val="auto"/>
        </w:rPr>
        <w:t>(a)</w:t>
        <w:tab/>
        <w:t>Primarily represents unallocated corporate expenses and receivables from our former subsidiaries</w:t>
      </w:r>
      <w:r>
        <w:rPr>
          <w:rFonts w:ascii="Arial" w:cs="Arial" w:eastAsia="Arial" w:hAnsi="Arial"/>
          <w:sz w:val="16"/>
          <w:szCs w:val="16"/>
          <w:color w:val="auto"/>
        </w:rPr>
        <w:t>.</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5" w:lineRule="auto"/>
        <w:tabs>
          <w:tab w:leader="none" w:pos="82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12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International</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xml:space="preserve">and Other </w:t>
            </w:r>
            <w:r>
              <w:rPr>
                <w:rFonts w:ascii="Arial" w:cs="Arial" w:eastAsia="Arial" w:hAnsi="Arial"/>
                <w:sz w:val="9"/>
                <w:szCs w:val="9"/>
                <w:b w:val="1"/>
                <w:bCs w:val="1"/>
                <w:color w:val="auto"/>
              </w:rPr>
              <w:t>(a)</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line="189"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12,779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 (excluding vehicles)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5" w:lineRule="auto"/>
        <w:tabs>
          <w:tab w:leader="none" w:pos="8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200" w:lineRule="exact"/>
        <w:rPr>
          <w:sz w:val="20"/>
          <w:szCs w:val="20"/>
          <w:color w:val="auto"/>
        </w:rPr>
      </w:pPr>
    </w:p>
    <w:p>
      <w:pPr>
        <w:spacing w:after="0" w:line="37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p>
        </w:tc>
        <w:tc>
          <w:tcPr>
            <w:tcW w:w="4420" w:type="dxa"/>
            <w:vAlign w:val="bottom"/>
            <w:tcBorders>
              <w:bottom w:val="single" w:sz="8" w:color="auto"/>
            </w:tcBorders>
            <w:gridSpan w:val="8"/>
          </w:tcPr>
          <w:p>
            <w:pPr>
              <w:jc w:val="right"/>
              <w:ind w:right="69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57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9"/>
                <w:szCs w:val="9"/>
                <w:color w:val="auto"/>
              </w:rPr>
              <w:t>(a)</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Early extinguishment of corporate debt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9"/>
                <w:szCs w:val="9"/>
                <w:color w:val="auto"/>
              </w:rPr>
              <w:t>(b)</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9"/>
                <w:szCs w:val="9"/>
                <w:color w:val="auto"/>
              </w:rPr>
              <w:t>(c)</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9"/>
                <w:szCs w:val="9"/>
                <w:color w:val="auto"/>
              </w:rPr>
              <w:t>(d)</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 xml:space="preserve">Gain on sale of equity method investment in China </w:t>
            </w:r>
            <w:r>
              <w:rPr>
                <w:rFonts w:ascii="Arial" w:cs="Arial" w:eastAsia="Arial" w:hAnsi="Arial"/>
                <w:sz w:val="9"/>
                <w:szCs w:val="9"/>
                <w:color w:val="auto"/>
              </w:rPr>
              <w:t>(c)</w:t>
            </w:r>
          </w:p>
        </w:tc>
        <w:tc>
          <w:tcPr>
            <w:tcW w:w="9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5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720" w:hanging="226"/>
        <w:spacing w:after="0"/>
        <w:tabs>
          <w:tab w:leader="none" w:pos="72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intangible assets recognized in purchase accounting of $66 million in 2020, $56 million in 2019 and $61 million in 2018.</w:t>
      </w:r>
    </w:p>
    <w:p>
      <w:pPr>
        <w:spacing w:after="0" w:line="16" w:lineRule="exact"/>
        <w:rPr>
          <w:rFonts w:ascii="Arial" w:cs="Arial" w:eastAsia="Arial" w:hAnsi="Arial"/>
          <w:sz w:val="19"/>
          <w:szCs w:val="19"/>
          <w:color w:val="auto"/>
          <w:vertAlign w:val="superscript"/>
        </w:rPr>
      </w:pPr>
    </w:p>
    <w:p>
      <w:pPr>
        <w:ind w:left="820" w:hanging="326"/>
        <w:spacing w:after="0" w:line="197" w:lineRule="auto"/>
        <w:tabs>
          <w:tab w:leader="none" w:pos="77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Includes $116 million within operating expenses, $5 million within selling, general and administrative expenses and $1 million within vehicle depreciation and lease charges, net in our Consolidated Statements of Operations. Primarily consisting of $60 million of minimum annual guaranteed rent in excess of concession fees, $48 million of incremental cleaning supplies to sanitize vehicles and facilities, overflow parking for idle vehicles and related shuttling costs and other charges, and $14 million of losses associated with vehicles damaged in overflow parking lots, net of insurance proceeds.</w:t>
      </w:r>
    </w:p>
    <w:p>
      <w:pPr>
        <w:spacing w:after="0" w:line="1" w:lineRule="exact"/>
        <w:rPr>
          <w:rFonts w:ascii="Arial" w:cs="Arial" w:eastAsia="Arial" w:hAnsi="Arial"/>
          <w:sz w:val="19"/>
          <w:szCs w:val="19"/>
          <w:color w:val="auto"/>
          <w:vertAlign w:val="superscript"/>
        </w:rPr>
      </w:pPr>
    </w:p>
    <w:p>
      <w:pPr>
        <w:ind w:left="760" w:hanging="266"/>
        <w:spacing w:after="0" w:line="229" w:lineRule="auto"/>
        <w:tabs>
          <w:tab w:leader="none" w:pos="76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Statements of Operations</w:t>
      </w:r>
      <w:r>
        <w:rPr>
          <w:rFonts w:ascii="Arial" w:cs="Arial" w:eastAsia="Arial" w:hAnsi="Arial"/>
          <w:sz w:val="16"/>
          <w:szCs w:val="16"/>
          <w:color w:val="auto"/>
        </w:rPr>
        <w:t>.</w:t>
      </w:r>
    </w:p>
    <w:p>
      <w:pPr>
        <w:spacing w:after="0" w:line="37" w:lineRule="exact"/>
        <w:rPr>
          <w:rFonts w:ascii="Arial" w:cs="Arial" w:eastAsia="Arial" w:hAnsi="Arial"/>
          <w:sz w:val="19"/>
          <w:szCs w:val="19"/>
          <w:color w:val="auto"/>
          <w:vertAlign w:val="superscript"/>
        </w:rPr>
      </w:pPr>
    </w:p>
    <w:p>
      <w:pPr>
        <w:ind w:left="760" w:hanging="266"/>
        <w:spacing w:after="0" w:line="195" w:lineRule="auto"/>
        <w:tabs>
          <w:tab w:leader="none" w:pos="76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Reported within selling, general and administrative expenses in our Consolidated Statements of Operations</w:t>
      </w:r>
      <w:r>
        <w:rPr>
          <w:rFonts w:ascii="Arial" w:cs="Arial" w:eastAsia="Arial" w:hAnsi="Arial"/>
          <w:sz w:val="16"/>
          <w:szCs w:val="16"/>
          <w:color w:val="auto"/>
        </w:rPr>
        <w:t>.</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the Company’s subsidiaries.</w:t>
      </w:r>
    </w:p>
    <w:p>
      <w:pPr>
        <w:spacing w:after="0" w:line="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7"/>
                <w:szCs w:val="17"/>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8,365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9,172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9,311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445"/>
        </w:trPr>
        <w:tc>
          <w:tcPr>
            <w:tcW w:w="51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12,779</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ind w:left="130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Deductions</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19"/>
                <w:szCs w:val="19"/>
                <w:color w:val="auto"/>
              </w:rPr>
            </w:pPr>
          </w:p>
        </w:tc>
        <w:tc>
          <w:tcPr>
            <w:tcW w:w="1600" w:type="dxa"/>
            <w:vAlign w:val="bottom"/>
            <w:gridSpan w:val="2"/>
          </w:tcPr>
          <w:p>
            <w:pPr>
              <w:jc w:val="center"/>
              <w:ind w:right="280"/>
              <w:spacing w:after="0" w:line="230" w:lineRule="exact"/>
              <w:rPr>
                <w:sz w:val="20"/>
                <w:szCs w:val="20"/>
                <w:color w:val="auto"/>
              </w:rPr>
            </w:pPr>
            <w:r>
              <w:rPr>
                <w:rFonts w:ascii="Arial" w:cs="Arial" w:eastAsia="Arial" w:hAnsi="Arial"/>
                <w:sz w:val="18"/>
                <w:szCs w:val="18"/>
                <w:b w:val="1"/>
                <w:bCs w:val="1"/>
                <w:color w:val="auto"/>
                <w:w w:val="97"/>
              </w:rPr>
              <w:t>Adjustments</w:t>
            </w:r>
            <w:r>
              <w:rPr>
                <w:rFonts w:ascii="Arial" w:cs="Arial" w:eastAsia="Arial" w:hAnsi="Arial"/>
                <w:sz w:val="23"/>
                <w:szCs w:val="23"/>
                <w:b w:val="1"/>
                <w:bCs w:val="1"/>
                <w:color w:val="auto"/>
                <w:w w:val="97"/>
                <w:vertAlign w:val="superscript"/>
              </w:rPr>
              <w:t>(a)</w:t>
            </w: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of Period</w:t>
            </w:r>
          </w:p>
        </w:tc>
        <w:tc>
          <w:tcPr>
            <w:tcW w:w="0" w:type="dxa"/>
            <w:vAlign w:val="bottom"/>
          </w:tcPr>
          <w:p>
            <w:pPr>
              <w:spacing w:after="0"/>
              <w:rPr>
                <w:sz w:val="1"/>
                <w:szCs w:val="1"/>
                <w:color w:val="auto"/>
              </w:rPr>
            </w:pPr>
          </w:p>
        </w:tc>
      </w:tr>
      <w:tr>
        <w:trPr>
          <w:trHeight w:val="214"/>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82"/>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205" w:lineRule="auto"/>
        <w:tabs>
          <w:tab w:leader="none" w:pos="32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Other adjustments relate to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100" w:type="dxa"/>
            <w:vAlign w:val="bottom"/>
            <w:tcBorders>
              <w:top w:val="single" w:sz="8" w:color="auto"/>
              <w:bottom w:val="single" w:sz="8" w:color="auto"/>
              <w:right w:val="single" w:sz="8" w:color="auto"/>
            </w:tcBorders>
            <w:gridSpan w:val="44"/>
          </w:tcPr>
          <w:p>
            <w:pPr>
              <w:spacing w:after="0"/>
              <w:rPr>
                <w:sz w:val="20"/>
                <w:szCs w:val="20"/>
                <w:color w:val="auto"/>
              </w:rPr>
            </w:pPr>
            <w:r>
              <w:rPr>
                <w:rFonts w:ascii="Arial" w:cs="Arial" w:eastAsia="Arial" w:hAnsi="Arial"/>
                <w:sz w:val="16"/>
                <w:szCs w:val="16"/>
                <w:color w:val="auto"/>
              </w:rPr>
              <w:t>DESCRIPTION</w:t>
            </w: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72" w:lineRule="exact"/>
              <w:rPr>
                <w:rFonts w:ascii="Arial" w:cs="Arial" w:eastAsia="Arial" w:hAnsi="Arial"/>
                <w:sz w:val="16"/>
                <w:szCs w:val="16"/>
                <w:color w:val="0000FF"/>
              </w:rPr>
            </w:pPr>
            <w:hyperlink r:id="rId170">
              <w:r>
                <w:rPr>
                  <w:rFonts w:ascii="Arial" w:cs="Arial" w:eastAsia="Arial" w:hAnsi="Arial"/>
                  <w:sz w:val="16"/>
                  <w:szCs w:val="16"/>
                  <w:color w:val="0000FF"/>
                </w:rPr>
                <w:t>Separation and Distribution Agreement by and among Cendant Corporation*, Realogy Corporation, Wyndham Worldwide Corporation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Letter Agreement dated August 23, 2006 related to the Separation and Distribution Agreement by and among Realogy Corporation,</w:t>
              </w:r>
            </w:hyperlink>
          </w:p>
        </w:tc>
        <w:tc>
          <w:tcPr>
            <w:tcW w:w="680" w:type="dxa"/>
            <w:vAlign w:val="bottom"/>
            <w:tcBorders>
              <w:right w:val="single" w:sz="8" w:color="auto"/>
            </w:tcBorders>
            <w:gridSpan w:val="2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Cendant Corporation*, Wyndham Worldwide Corporation and Travelport Inc. dated as of July 27, 2006 (Incorporated by reference to</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40" w:type="dxa"/>
            <w:vAlign w:val="bottom"/>
            <w:tcBorders>
              <w:top w:val="single" w:sz="8" w:color="0000FF"/>
              <w:bottom w:val="single" w:sz="8" w:color="auto"/>
            </w:tcBorders>
            <w:gridSpan w:val="22"/>
          </w:tcPr>
          <w:p>
            <w:pPr>
              <w:spacing w:after="0" w:line="183" w:lineRule="exact"/>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Exhibit 2.2 to the Company’s Quarterly Report on Form 10-Q for the period ended June 30, 2007, dated August 8, 2007).</w:t>
              </w:r>
            </w:hyperlink>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Company’s Current Report on Form 8-K dated August 13, 2020).</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Indenture dated as of March 11, 2015 among Avis Budget Car Rental, LLC and Avis Budget Finance, Inc., as Issuers, the Guarantors from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time to time parties thereto and The Bank of Nova Scotia Trust Company of New York as Trustee (Incorporated by reference to Exhibit 4.1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to the Company’s Current Report on Form 8-K dated March 17,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Form of 5.25% Senior Notes Due 2025 (Incorporated by reference to Exhibit 4.2 to the Company’s Current Report on Form 8-K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March 17, 2015).</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Indenture dated as of March 29, 2016 for the 6.375% Senior Notes due 2024, among Avis Budget Car Rental LLC and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Finance, Inc. as Issuers the Guarantors from time to time parties thereto and Deutsche Bank Trust Company Americas as Trustee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4.1 to the Company’s Quarterly Report on Form 10-Q for the quarter ended March 31, 2016,</w:t>
              </w:r>
            </w:hyperlink>
          </w:p>
        </w:tc>
        <w:tc>
          <w:tcPr>
            <w:tcW w:w="800" w:type="dxa"/>
            <w:vAlign w:val="bottom"/>
            <w:tcBorders>
              <w:right w:val="single" w:sz="8" w:color="auto"/>
            </w:tcBorders>
            <w:gridSpan w:val="27"/>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May 4, 2016).</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Indenture dated as of September 26, 2016 among Avis Budget Finance Plc, as Issuer, the Guarantors from time to time parties hereto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Deutsche Bank Trust Company Americas as Trustee, Deutsche Bank AG, London Branch as Paying Agent and Deutsche Bank</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Luxembourg, S.A. as Registrar (Incorporated by reference to Exhibit 4.1 to the Company’s Quarterly Report on Form 10-Q for the quarter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ended September 30, 2016, dated November 3, 2016).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Form of 4.125% Senior Notes due 2024 (Incorporated by reference to Exhibit 4.2 to the Company’s Quarterly Report on Form 10-Q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quarter ended September 30, 2016, dated November 3, 2016).</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Indenture dated as of March 8, 2017 among Avis Budget Finance, plc, as Issuer, the Guarantors from time to time parties hereto, Deutsche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Bank Trust Company Americas, as Trustee, Deutsche Bank AG, London Branch, as Paying Agent and Deutsche Bank Luxembourg S.A.,</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as Registrar (Incorporated by reference to Exhibit 4.2 to the Company’s Quarterly Report on Form 10-Q for the quarter ended March 31,</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2017, dated May 4, 2017).</w:t>
              </w:r>
            </w:hyperlink>
          </w:p>
        </w:tc>
        <w:tc>
          <w:tcPr>
            <w:tcW w:w="8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Form of 4.50% Senior Notes Due 2025 (Incorporated by reference to Exhibit 4.3 to the Company’s Quarterly Report on Form 10-Q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quarter ended March 31, 2017, dated May 4, 2017).</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tcBorders>
              <w:right w:val="single" w:sz="8" w:color="auto"/>
            </w:tcBorders>
            <w:gridSpan w:val="44"/>
          </w:tcPr>
          <w:p>
            <w:pPr>
              <w:spacing w:after="0"/>
              <w:rPr>
                <w:rFonts w:ascii="Arial" w:cs="Arial" w:eastAsia="Arial" w:hAnsi="Arial"/>
                <w:sz w:val="16"/>
                <w:szCs w:val="16"/>
                <w:color w:val="0000FF"/>
              </w:rPr>
            </w:pPr>
            <w:hyperlink r:id="rId181">
              <w:r>
                <w:rPr>
                  <w:rFonts w:ascii="Arial" w:cs="Arial" w:eastAsia="Arial" w:hAnsi="Arial"/>
                  <w:sz w:val="16"/>
                  <w:szCs w:val="16"/>
                  <w:color w:val="0000FF"/>
                </w:rPr>
                <w:t>Indenture dated as of October 4, 2018 among Avis Budget Finance, plc, as Issuer, the Guarantors from time to time parties thereto,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Deutsche Bank Trust Company Americas, as Trustee, Deutsche Bank AG, London Branch, as Paying Agent and Deutsche Bank</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Luxembourg S.A., as Registrar (Incorporated by reference to Exhibit 4.1 to the Company’s Quarterly Report on Form 10-Q for the</w:t>
              </w:r>
            </w:hyperlink>
          </w:p>
        </w:tc>
        <w:tc>
          <w:tcPr>
            <w:tcW w:w="900" w:type="dxa"/>
            <w:vAlign w:val="bottom"/>
            <w:tcBorders>
              <w:right w:val="single" w:sz="8" w:color="auto"/>
            </w:tcBorders>
            <w:gridSpan w:val="28"/>
          </w:tcPr>
          <w:p>
            <w:pPr>
              <w:ind w:left="100"/>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quarterly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period ended September 30, 2018 dated November 6, 2018).</w:t>
              </w:r>
            </w:hyperlink>
          </w:p>
        </w:tc>
        <w:tc>
          <w:tcPr>
            <w:tcW w:w="60" w:type="dxa"/>
            <w:vAlign w:val="bottom"/>
            <w:tcBorders>
              <w:right w:val="single" w:sz="8" w:color="auto"/>
            </w:tcBorders>
            <w:gridSpan w:val="2"/>
          </w:tcPr>
          <w:p>
            <w:pPr>
              <w:spacing w:after="0"/>
              <w:rPr>
                <w:sz w:val="12"/>
                <w:szCs w:val="12"/>
                <w:color w:val="auto"/>
              </w:rPr>
            </w:pP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18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Form of 4.75% Senior Notes Due 2026 (Incorporated by reference to Exhibit 4.2 to the Company’s Quarterly Report on Form 10-Q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quarter ended September 30, 2018, dated November 6, 2018).</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Indenture dated as of July 3, 2019 among Avis Budget Car Rental, LLC and Avis Budget Finance, Inc., as Issuers, the Guarantors from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time to time parties thereto and Deutsche Bank Trust Company Americas, as Trustee. (Incorporated by reference to Exhibit 4.1 to the</w:t>
              </w:r>
            </w:hyperlink>
          </w:p>
        </w:tc>
        <w:tc>
          <w:tcPr>
            <w:tcW w:w="140" w:type="dxa"/>
            <w:vAlign w:val="bottom"/>
            <w:gridSpan w:val="4"/>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520" w:type="dxa"/>
            <w:vAlign w:val="bottom"/>
            <w:tcBorders>
              <w:top w:val="single" w:sz="8" w:color="0000FF"/>
              <w:bottom w:val="single" w:sz="8" w:color="auto"/>
            </w:tcBorders>
            <w:gridSpan w:val="23"/>
          </w:tcPr>
          <w:p>
            <w:pPr>
              <w:spacing w:after="0" w:line="183" w:lineRule="exact"/>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Company’s Quarterly Report on Form 10-Q for the quarterly period ended June 30, 2019 dated August 6, 2019).</w:t>
              </w:r>
            </w:hyperlink>
          </w:p>
        </w:tc>
        <w:tc>
          <w:tcPr>
            <w:tcW w:w="40" w:type="dxa"/>
            <w:vAlign w:val="bottom"/>
            <w:tcBorders>
              <w:bottom w:val="single" w:sz="8" w:color="auto"/>
            </w:tcBorders>
            <w:gridSpan w:val="2"/>
          </w:tcPr>
          <w:p>
            <w:pPr>
              <w:spacing w:after="0"/>
              <w:rPr>
                <w:sz w:val="15"/>
                <w:szCs w:val="15"/>
                <w:color w:val="auto"/>
              </w:rPr>
            </w:pPr>
          </w:p>
        </w:tc>
        <w:tc>
          <w:tcPr>
            <w:tcW w:w="240" w:type="dxa"/>
            <w:vAlign w:val="bottom"/>
            <w:tcBorders>
              <w:bottom w:val="single" w:sz="8" w:color="auto"/>
            </w:tcBorders>
            <w:gridSpan w:val="5"/>
          </w:tcPr>
          <w:p>
            <w:pPr>
              <w:spacing w:after="0"/>
              <w:rPr>
                <w:sz w:val="15"/>
                <w:szCs w:val="15"/>
                <w:color w:val="auto"/>
              </w:rPr>
            </w:pPr>
          </w:p>
        </w:tc>
        <w:tc>
          <w:tcPr>
            <w:tcW w:w="140" w:type="dxa"/>
            <w:vAlign w:val="bottom"/>
            <w:tcBorders>
              <w:bottom w:val="single" w:sz="8" w:color="auto"/>
            </w:tcBorders>
            <w:gridSpan w:val="7"/>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gridSpan w:val="6"/>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Form of 5.75% Senior Notes Due 2027. (Incorporated by reference to Exhibit 4.2 to the Company’s Quarterly Report on Form 10-Q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quarterly period ended June 30, 2019 dated August 6, 2019).</w:t>
              </w:r>
            </w:hyperlink>
          </w:p>
        </w:tc>
        <w:tc>
          <w:tcPr>
            <w:tcW w:w="20" w:type="dxa"/>
            <w:vAlign w:val="bottom"/>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Indenture, dated as of May 12, 2020, by and among Avis Budget Car Rental, LLC and Avis Budget Finance, Inc., as issuers,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guarantors party thereto and Deutsche Bank Trust Company Americas, as trustee and notes collateral agent (Incorporated by</w:t>
              </w:r>
            </w:hyperlink>
          </w:p>
        </w:tc>
        <w:tc>
          <w:tcPr>
            <w:tcW w:w="940" w:type="dxa"/>
            <w:vAlign w:val="bottom"/>
            <w:tcBorders>
              <w:right w:val="single" w:sz="8" w:color="auto"/>
            </w:tcBorders>
            <w:gridSpan w:val="29"/>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reference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Exhibit 4.1 to the Company's Current Report on Form 8-K dated May 12, 2020).</w:t>
              </w:r>
            </w:hyperlink>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First Supplemental Indenture, dated as of August 6, 2020, to the Indenture dated as of July 3, 2019, by and among Avis Budget Car</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7900" w:type="dxa"/>
            <w:vAlign w:val="bottom"/>
            <w:gridSpan w:val="17"/>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tcBorders>
              <w:right w:val="single" w:sz="8" w:color="auto"/>
            </w:tcBorders>
            <w:gridSpan w:val="14"/>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Rental, LLC and Avis Budget Finance, Inc., as issuers, the guarantors party thereto and Deutsche Bank Trust Company Americas, as</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560" w:type="dxa"/>
            <w:vAlign w:val="bottom"/>
            <w:tcBorders>
              <w:top w:val="single" w:sz="8" w:color="0000FF"/>
              <w:bottom w:val="single" w:sz="8" w:color="auto"/>
            </w:tcBorders>
            <w:gridSpan w:val="25"/>
          </w:tcPr>
          <w:p>
            <w:pPr>
              <w:spacing w:after="0" w:line="183" w:lineRule="exact"/>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trustee (Incorporated by reference to Exhibit 4.1 to the Company's Current Report on Form 8-K dated August 7, 2020).</w:t>
              </w:r>
            </w:hyperlink>
          </w:p>
        </w:tc>
        <w:tc>
          <w:tcPr>
            <w:tcW w:w="240" w:type="dxa"/>
            <w:vAlign w:val="bottom"/>
            <w:tcBorders>
              <w:bottom w:val="single" w:sz="8" w:color="auto"/>
            </w:tcBorders>
            <w:gridSpan w:val="5"/>
          </w:tcPr>
          <w:p>
            <w:pPr>
              <w:spacing w:after="0"/>
              <w:rPr>
                <w:sz w:val="15"/>
                <w:szCs w:val="15"/>
                <w:color w:val="auto"/>
              </w:rPr>
            </w:pPr>
          </w:p>
        </w:tc>
        <w:tc>
          <w:tcPr>
            <w:tcW w:w="300" w:type="dxa"/>
            <w:vAlign w:val="bottom"/>
            <w:tcBorders>
              <w:bottom w:val="single" w:sz="8" w:color="auto"/>
              <w:right w:val="single" w:sz="8" w:color="auto"/>
            </w:tcBorders>
            <w:gridSpan w:val="14"/>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00" w:type="dxa"/>
            <w:vAlign w:val="bottom"/>
            <w:tcBorders>
              <w:right w:val="single" w:sz="8" w:color="auto"/>
            </w:tcBorders>
            <w:gridSpan w:val="44"/>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Form of 10.500% Senior Secured Note due 2025 (Incorporated by reference to Exhibit 4.2 to the Company's Current Report on Form 8-K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dated May 12, 2020).</w:t>
              </w:r>
            </w:hyperlink>
          </w:p>
        </w:tc>
        <w:tc>
          <w:tcPr>
            <w:tcW w:w="300" w:type="dxa"/>
            <w:vAlign w:val="bottom"/>
            <w:tcBorders>
              <w:right w:val="single" w:sz="8" w:color="auto"/>
            </w:tcBorders>
            <w:gridSpan w:val="14"/>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100" w:type="dxa"/>
            <w:vAlign w:val="bottom"/>
            <w:tcBorders>
              <w:bottom w:val="single" w:sz="8" w:color="auto"/>
              <w:right w:val="single" w:sz="8" w:color="auto"/>
            </w:tcBorders>
            <w:gridSpan w:val="44"/>
          </w:tcPr>
          <w:p>
            <w:pPr>
              <w:spacing w:after="0"/>
              <w:rPr>
                <w:rFonts w:ascii="Arial" w:cs="Arial" w:eastAsia="Arial" w:hAnsi="Arial"/>
                <w:sz w:val="16"/>
                <w:szCs w:val="16"/>
                <w:color w:val="0000FF"/>
              </w:rPr>
            </w:pPr>
            <w:hyperlink w:anchor="page116">
              <w:r>
                <w:rPr>
                  <w:rFonts w:ascii="Arial" w:cs="Arial" w:eastAsia="Arial" w:hAnsi="Arial"/>
                  <w:sz w:val="16"/>
                  <w:szCs w:val="16"/>
                  <w:u w:val="single" w:color="auto"/>
                  <w:color w:val="0000FF"/>
                </w:rPr>
                <w:t>Description of the Company’s Securities Registered Pursuant to Section 12 of the Securities Exchange Act of 1934</w:t>
              </w:r>
              <w:r>
                <w:rPr>
                  <w:rFonts w:ascii="Arial" w:cs="Arial" w:eastAsia="Arial" w:hAnsi="Arial"/>
                  <w:sz w:val="16"/>
                  <w:szCs w:val="16"/>
                  <w:color w:val="0000FF"/>
                </w:rPr>
                <w:t>.</w:t>
              </w:r>
            </w:hyperlink>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20" w:type="dxa"/>
            <w:vAlign w:val="bottom"/>
            <w:tcBorders>
              <w:top w:val="single" w:sz="8" w:color="auto"/>
              <w:right w:val="single" w:sz="8" w:color="auto"/>
            </w:tcBorders>
            <w:gridSpan w:val="39"/>
          </w:tcPr>
          <w:p>
            <w:pPr>
              <w:spacing w:after="0"/>
              <w:rPr>
                <w:rFonts w:ascii="Arial" w:cs="Arial" w:eastAsia="Arial" w:hAnsi="Arial"/>
                <w:sz w:val="16"/>
                <w:szCs w:val="16"/>
                <w:color w:val="0000FF"/>
              </w:rPr>
            </w:pPr>
            <w:hyperlink r:id="rId188">
              <w:r>
                <w:rPr>
                  <w:rFonts w:ascii="Arial" w:cs="Arial" w:eastAsia="Arial" w:hAnsi="Arial"/>
                  <w:sz w:val="16"/>
                  <w:szCs w:val="16"/>
                  <w:color w:val="0000FF"/>
                </w:rPr>
                <w:t>Agreement between Avis Budget Group, Inc. and Joseph Ferraro (Incorporated by reference to Exhibit 10.5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Report on Form 10-K for the year ended December 31, 2015, dated February 24,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Agreement between Avis Budget Group, Inc. and Michael Tucker. (Incorporated by reference to Exhibit 10.6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Report on Form 10-K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10.2(a)</w:t>
            </w: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39"/>
          </w:tcPr>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Separation Agreement, dated March 20, 2020, between Michael K. Tucker and Avis Budget Group, Inc. †</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72" w:lineRule="exact"/>
              <w:rPr>
                <w:rFonts w:ascii="Arial" w:cs="Arial" w:eastAsia="Arial" w:hAnsi="Arial"/>
                <w:sz w:val="16"/>
                <w:szCs w:val="16"/>
                <w:color w:val="0000FF"/>
              </w:rPr>
            </w:pPr>
            <w:hyperlink r:id="rId190">
              <w:r>
                <w:rPr>
                  <w:rFonts w:ascii="Arial" w:cs="Arial" w:eastAsia="Arial" w:hAnsi="Arial"/>
                  <w:sz w:val="16"/>
                  <w:szCs w:val="16"/>
                  <w:color w:val="0000FF"/>
                </w:rPr>
                <w:t>Offer Letter, dated February 15, 2019, between John North and Avis Budget Group, Inc. (Incorporated by reference to Exhibit 10.1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Company’s Current Report on Form 8-K dated February 19, 2019). †</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Severance Agreement between John F. North, III and Avis Budget Group, Inc. dated August 15, 2019. (Incorporated by reference to Exhibit</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960" w:type="dxa"/>
            <w:vAlign w:val="bottom"/>
            <w:tcBorders>
              <w:top w:val="single" w:sz="8" w:color="0000FF"/>
              <w:bottom w:val="single" w:sz="8" w:color="auto"/>
            </w:tcBorders>
            <w:gridSpan w:val="37"/>
          </w:tcPr>
          <w:p>
            <w:pPr>
              <w:spacing w:after="0" w:line="183" w:lineRule="exact"/>
              <w:rPr>
                <w:rFonts w:ascii="Arial" w:cs="Arial" w:eastAsia="Arial" w:hAnsi="Arial"/>
                <w:sz w:val="16"/>
                <w:szCs w:val="16"/>
                <w:u w:val="single" w:color="auto"/>
                <w:color w:val="0000FF"/>
              </w:rPr>
            </w:pPr>
            <w:hyperlink r:id="rId191">
              <w:r>
                <w:rPr>
                  <w:rFonts w:ascii="Arial" w:cs="Arial" w:eastAsia="Arial" w:hAnsi="Arial"/>
                  <w:sz w:val="16"/>
                  <w:szCs w:val="16"/>
                  <w:u w:val="single" w:color="auto"/>
                  <w:color w:val="0000FF"/>
                </w:rPr>
                <w:t>10.2 to the Company’s Quarterly Report on Form 10-Q for the quarterly period ended September 30, 2019 dated November 1, 2019). †</w:t>
              </w:r>
            </w:hyperlink>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Separation Agreement, dated August 12, 2020, between John North and Avis Budget Group, Inc. (Incorporated by reference to 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10.3 to the Company's Current Report on Form 8-K dated August 13, 2020). †</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Amendment, dated September 28, 2020, to Separation Agreement, dated August 12, 2020, between John North and Avis Budget Group,</w:t>
              </w:r>
            </w:hyperlink>
          </w:p>
        </w:tc>
        <w:tc>
          <w:tcPr>
            <w:tcW w:w="180" w:type="dxa"/>
            <w:vAlign w:val="bottom"/>
            <w:tcBorders>
              <w:right w:val="single" w:sz="8" w:color="auto"/>
            </w:tcBorders>
            <w:gridSpan w:val="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39"/>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Inc. (Incorporated by reference to Exhibit 10.5 to the Company's Quarterly Report on Form 10-Q for the period ended September 30, 2020,</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dated October 30, 2020). †</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Service Agreement between Patrick Rankin and Avis Budget Services Limited, dated February 22, 2019 (Incorporated by reference to</w:t>
              </w:r>
            </w:hyperlink>
          </w:p>
        </w:tc>
        <w:tc>
          <w:tcPr>
            <w:tcW w:w="400" w:type="dxa"/>
            <w:vAlign w:val="bottom"/>
            <w:tcBorders>
              <w:right w:val="single" w:sz="8" w:color="auto"/>
            </w:tcBorders>
            <w:gridSpan w:val="16"/>
          </w:tcPr>
          <w:p>
            <w:pPr>
              <w:spacing w:after="0"/>
              <w:rPr>
                <w:sz w:val="14"/>
                <w:szCs w:val="14"/>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20" w:type="dxa"/>
            <w:vAlign w:val="bottom"/>
            <w:tcBorders>
              <w:bottom w:val="single" w:sz="8" w:color="auto"/>
              <w:right w:val="single" w:sz="8" w:color="auto"/>
            </w:tcBorders>
            <w:gridSpan w:val="39"/>
          </w:tcPr>
          <w:p>
            <w:pPr>
              <w:spacing w:after="0" w:line="183" w:lineRule="exact"/>
              <w:rPr>
                <w:rFonts w:ascii="Arial" w:cs="Arial" w:eastAsia="Arial" w:hAnsi="Arial"/>
                <w:sz w:val="16"/>
                <w:szCs w:val="16"/>
                <w:u w:val="single" w:color="auto"/>
                <w:color w:val="0000FF"/>
              </w:rPr>
            </w:pPr>
            <w:hyperlink r:id="rId194">
              <w:r>
                <w:rPr>
                  <w:rFonts w:ascii="Arial" w:cs="Arial" w:eastAsia="Arial" w:hAnsi="Arial"/>
                  <w:sz w:val="16"/>
                  <w:szCs w:val="16"/>
                  <w:u w:val="single" w:color="auto"/>
                  <w:color w:val="0000FF"/>
                </w:rPr>
                <w:t>Exhibit 10.8 to the Company's Annual Report on Form 10-K for the fiscal year ended December 31, 2019, dated February 20, 2020). †</w:t>
              </w:r>
            </w:hyperlink>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Agreement between Patrick Rankin and Avis Budget Services Limited, dated August 15, 2019 (Incorporated by reference to Exhibit 10.9 to</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920" w:type="dxa"/>
            <w:vAlign w:val="bottom"/>
            <w:tcBorders>
              <w:top w:val="single" w:sz="8" w:color="0000FF"/>
              <w:bottom w:val="single" w:sz="8" w:color="auto"/>
            </w:tcBorders>
            <w:gridSpan w:val="35"/>
          </w:tcPr>
          <w:p>
            <w:pPr>
              <w:spacing w:after="0" w:line="183" w:lineRule="exact"/>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the Company's Annual Report on Form 10-K for the fiscal year ended December 31, 2019, dated February 20, 2020). †</w:t>
              </w:r>
            </w:hyperlink>
          </w:p>
        </w:tc>
        <w:tc>
          <w:tcPr>
            <w:tcW w:w="6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Agreement between Avis Budget Group, Inc. and Edward Linnen, dated April 20, 2015 (Incorporated by reference to Exhibit 10.10 to the</w:t>
              </w:r>
            </w:hyperlink>
          </w:p>
        </w:tc>
      </w:tr>
      <w:tr>
        <w:trPr>
          <w:trHeight w:val="182"/>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760" w:type="dxa"/>
            <w:vAlign w:val="bottom"/>
            <w:tcBorders>
              <w:top w:val="single" w:sz="8" w:color="0000FF"/>
              <w:bottom w:val="single" w:sz="8" w:color="auto"/>
            </w:tcBorders>
            <w:gridSpan w:val="28"/>
          </w:tcPr>
          <w:p>
            <w:pPr>
              <w:spacing w:after="0" w:line="183" w:lineRule="exact"/>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Company's Annual Report on Form 10-K for the fiscal year ended December 31, 2019, dated February 20, 2020). †</w:t>
              </w:r>
            </w:hyperlink>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gridSpan w:val="4"/>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Offer Letter, dated August 12, 2020, between Brian Choi and Avis Budget Group, Inc. (incorporated by reference to Exhibit 10.2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Company's Current Report on Form 8-K dated August 13, 2020). †</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Avis Budget Group, Inc. Executive Severance Pay Plan for Grade A and B Employees and Summary Plan Description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reference to Exhibit 10.1 to the Company's Current Report on Form 8-K dated December 14, 2020). †</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Third Amended and Restated Cooperation Agreement, dated as of February 23, 2020, by and among Avis Budget Group, Inc., SRS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Investment Management, LLC and certain of its affiliates (Incorporated by reference to Exhibit 10.1 to the Company's Current Report</w:t>
              </w:r>
            </w:hyperlink>
          </w:p>
        </w:tc>
        <w:tc>
          <w:tcPr>
            <w:tcW w:w="60" w:type="dxa"/>
            <w:vAlign w:val="bottom"/>
          </w:tcPr>
          <w:p>
            <w:pPr>
              <w:spacing w:after="0"/>
              <w:rPr>
                <w:sz w:val="12"/>
                <w:szCs w:val="12"/>
                <w:color w:val="auto"/>
              </w:rPr>
            </w:pPr>
          </w:p>
        </w:tc>
        <w:tc>
          <w:tcPr>
            <w:tcW w:w="520" w:type="dxa"/>
            <w:vAlign w:val="bottom"/>
            <w:tcBorders>
              <w:right w:val="single" w:sz="8" w:color="auto"/>
            </w:tcBorders>
            <w:gridSpan w:val="21"/>
          </w:tcPr>
          <w:p>
            <w:pPr>
              <w:ind w:left="20"/>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Form 8-K dated February 23, 2020).</w:t>
              </w:r>
            </w:hyperlink>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Amendment, dated August 12, 2020, to Third Amended and Restated Cooperation Agreement, dated as of February 23, 2020, by and</w:t>
              </w:r>
            </w:hyperlink>
          </w:p>
        </w:tc>
        <w:tc>
          <w:tcPr>
            <w:tcW w:w="400" w:type="dxa"/>
            <w:vAlign w:val="bottom"/>
            <w:tcBorders>
              <w:right w:val="single" w:sz="8" w:color="auto"/>
            </w:tcBorders>
            <w:gridSpan w:val="16"/>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39"/>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among Avis Budget Group, Inc., SRS Investment Management, LLC and certain of its affiliates (Incorporated by reference to Exhibit 10.1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the Company's Current Report on Form 8-K dated August 13, 2020).</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Avis Budget Group, Inc. Amended and Restated Equity and Incentive Plan (Incorporated by reference to Annex A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Definitive Proxy Statement on Schedule 14A dated March 26, 2019). †</w:t>
              </w:r>
            </w:hyperlink>
          </w:p>
        </w:tc>
        <w:tc>
          <w:tcPr>
            <w:tcW w:w="8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4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1997 Stock Incentive Plan (Incorporated by reference to Appendix E to the Joint Proxy Statement/ Prospectus included as part of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Company’s Registration Statement on Form S-4, Registration No. 333-34517, dated August 28, 1997).†</w:t>
              </w:r>
            </w:hyperlink>
          </w:p>
        </w:tc>
        <w:tc>
          <w:tcPr>
            <w:tcW w:w="100" w:type="dxa"/>
            <w:vAlign w:val="bottom"/>
            <w:gridSpan w:val="4"/>
          </w:tcPr>
          <w:p>
            <w:pPr>
              <w:spacing w:after="0"/>
              <w:rPr>
                <w:sz w:val="12"/>
                <w:szCs w:val="12"/>
                <w:color w:val="auto"/>
              </w:rPr>
            </w:pPr>
          </w:p>
        </w:tc>
        <w:tc>
          <w:tcPr>
            <w:tcW w:w="14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Amendment to 1997 Stock Incentive Plan dated March 27, 2000 (Incorporated by reference to Exhibit 10.12(b)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Report on Form 10-K for the year ended December 31, 2000 dated March 29, 2001).†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Amendment to 1997 Stock Incentive Plan dated March 28, 2000 (Incorporated by reference to Exhibit 10.12(c)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Report on Form 10-K for the year ended December 31, 2000 dated March 29, 2001).†</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Amendment to 1997 Stock Incentive Plan dated January 3, 2001 (Incorporated by reference to Exhibit 10.12(d)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Report on Form 10-K for the year ended December 31, 2000 dated March 29, 2001).†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Amendment to Various Equity-Based Plans (Incorporated by reference to Exhibit 10.16 to the Company’s Annual Report on Form 10-K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the year ended December 31, 2005 dated March 1, 2006).†</w:t>
              </w:r>
            </w:hyperlink>
          </w:p>
        </w:tc>
        <w:tc>
          <w:tcPr>
            <w:tcW w:w="14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7">
              <w:r>
                <w:rPr>
                  <w:rFonts w:ascii="Arial" w:cs="Arial" w:eastAsia="Arial" w:hAnsi="Arial"/>
                  <w:sz w:val="16"/>
                  <w:szCs w:val="16"/>
                  <w:color w:val="0000FF"/>
                </w:rPr>
                <w:t>Form of Award Agreement - Restricted Stock Units. (Incorporated by reference to Exhibit 10.12 to the Company’s Annual Report on Form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10-K for the year ended December 31, 2018 dated February 21, 2019).†</w:t>
              </w:r>
            </w:hyperlink>
          </w:p>
        </w:tc>
        <w:tc>
          <w:tcPr>
            <w:tcW w:w="16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8">
              <w:r>
                <w:rPr>
                  <w:rFonts w:ascii="Arial" w:cs="Arial" w:eastAsia="Arial" w:hAnsi="Arial"/>
                  <w:sz w:val="16"/>
                  <w:szCs w:val="16"/>
                  <w:color w:val="0000FF"/>
                </w:rPr>
                <w:t>Form of Award Agreement - Performance Based Restricted Stock Units. (Incorporated by reference to Exhibit 10.13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Annual Report on Form 10-K for the year ended December 31, 2018 dated February 21, 2019).†</w:t>
              </w:r>
            </w:hyperlink>
          </w:p>
        </w:tc>
        <w:tc>
          <w:tcPr>
            <w:tcW w:w="240" w:type="dxa"/>
            <w:vAlign w:val="bottom"/>
            <w:gridSpan w:val="10"/>
          </w:tcPr>
          <w:p>
            <w:pPr>
              <w:spacing w:after="0"/>
              <w:rPr>
                <w:sz w:val="12"/>
                <w:szCs w:val="12"/>
                <w:color w:val="auto"/>
              </w:rPr>
            </w:pPr>
          </w:p>
        </w:tc>
        <w:tc>
          <w:tcPr>
            <w:tcW w:w="180" w:type="dxa"/>
            <w:vAlign w:val="bottom"/>
            <w:tcBorders>
              <w:right w:val="single" w:sz="8" w:color="auto"/>
            </w:tcBorders>
            <w:gridSpan w:val="7"/>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39"/>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Form of Non-Employee Director Award Agreement - Restricted Stock Units. (Incorporated by reference to Exhibit 10.14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Annual Report on Form 10-K for the year ended December 31, 2018 dated February 21, 2019).†</w:t>
              </w:r>
            </w:hyperlink>
          </w:p>
        </w:tc>
        <w:tc>
          <w:tcPr>
            <w:tcW w:w="180" w:type="dxa"/>
            <w:vAlign w:val="bottom"/>
            <w:tcBorders>
              <w:right w:val="single" w:sz="8" w:color="auto"/>
            </w:tcBorders>
            <w:gridSpan w:val="7"/>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10.16</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40" w:type="dxa"/>
            <w:vAlign w:val="bottom"/>
            <w:tcBorders>
              <w:top w:val="single" w:sz="8" w:color="auto"/>
              <w:right w:val="single" w:sz="8" w:color="auto"/>
            </w:tcBorders>
            <w:gridSpan w:val="49"/>
          </w:tcPr>
          <w:p>
            <w:pPr>
              <w:spacing w:after="0"/>
              <w:rPr>
                <w:rFonts w:ascii="Arial" w:cs="Arial" w:eastAsia="Arial" w:hAnsi="Arial"/>
                <w:sz w:val="16"/>
                <w:szCs w:val="16"/>
                <w:color w:val="0000FF"/>
              </w:rPr>
            </w:pPr>
            <w:hyperlink r:id="rId211">
              <w:r>
                <w:rPr>
                  <w:rFonts w:ascii="Arial" w:cs="Arial" w:eastAsia="Arial" w:hAnsi="Arial"/>
                  <w:sz w:val="16"/>
                  <w:szCs w:val="16"/>
                  <w:color w:val="0000FF"/>
                </w:rPr>
                <w:t>Form of Avis Budget Group, Inc. Severance Agreement. (Incorporated by reference to Exhibit 10.15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Form 10-K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Avis Budget Group, Inc. Non-Employee Directors Deferred Compensation Plan, amended and restated as of January 1, 2019.</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(Incorporated by reference to Exhibit 10.16 to the Company’s Annual Report on Form 10-K for the year ended December 31,</w:t>
              </w:r>
            </w:hyperlink>
          </w:p>
        </w:tc>
        <w:tc>
          <w:tcPr>
            <w:tcW w:w="1040" w:type="dxa"/>
            <w:vAlign w:val="bottom"/>
            <w:tcBorders>
              <w:right w:val="single" w:sz="8" w:color="auto"/>
            </w:tcBorders>
            <w:gridSpan w:val="33"/>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2018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February 21, 2019).†</w:t>
              </w:r>
            </w:hyperlink>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Avis Budget Group, Inc. Deferred Compensation Plan, amended and restated as of November 1, 2008 (Incorporated by reference to</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60" w:type="dxa"/>
            <w:vAlign w:val="bottom"/>
            <w:tcBorders>
              <w:top w:val="single" w:sz="8" w:color="0000FF"/>
              <w:bottom w:val="single" w:sz="8" w:color="auto"/>
            </w:tcBorders>
            <w:gridSpan w:val="20"/>
          </w:tcPr>
          <w:p>
            <w:pPr>
              <w:spacing w:after="0" w:line="183" w:lineRule="exact"/>
              <w:rPr>
                <w:rFonts w:ascii="Arial" w:cs="Arial" w:eastAsia="Arial" w:hAnsi="Arial"/>
                <w:sz w:val="16"/>
                <w:szCs w:val="16"/>
                <w:u w:val="single" w:color="auto"/>
                <w:color w:val="0000FF"/>
              </w:rPr>
            </w:pPr>
            <w:hyperlink r:id="rId213">
              <w:r>
                <w:rPr>
                  <w:rFonts w:ascii="Arial" w:cs="Arial" w:eastAsia="Arial" w:hAnsi="Arial"/>
                  <w:sz w:val="16"/>
                  <w:szCs w:val="16"/>
                  <w:u w:val="single" w:color="auto"/>
                  <w:color w:val="0000FF"/>
                </w:rPr>
                <w:t>Exhibit 10.17 to the Company’s Annual Report on Form 10-K for the year ended December 31, 2008, dated February 26, 2009).†</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294967277"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Avis Budget Group, Inc. Savings Restoration Plan, amended and restated as of November 1, 2008 (Incorporated by reference to Exhibit</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760" w:type="dxa"/>
            <w:vAlign w:val="bottom"/>
            <w:tcBorders>
              <w:top w:val="single" w:sz="8" w:color="0000FF"/>
              <w:bottom w:val="single" w:sz="8" w:color="auto"/>
            </w:tcBorders>
            <w:gridSpan w:val="33"/>
          </w:tcPr>
          <w:p>
            <w:pPr>
              <w:spacing w:after="0" w:line="183" w:lineRule="exact"/>
              <w:rPr>
                <w:rFonts w:ascii="Arial" w:cs="Arial" w:eastAsia="Arial" w:hAnsi="Arial"/>
                <w:sz w:val="16"/>
                <w:szCs w:val="16"/>
                <w:u w:val="single" w:color="auto"/>
                <w:color w:val="0000FF"/>
              </w:rPr>
            </w:pPr>
            <w:hyperlink r:id="rId214">
              <w:r>
                <w:rPr>
                  <w:rFonts w:ascii="Arial" w:cs="Arial" w:eastAsia="Arial" w:hAnsi="Arial"/>
                  <w:sz w:val="16"/>
                  <w:szCs w:val="16"/>
                  <w:u w:val="single" w:color="auto"/>
                  <w:color w:val="0000FF"/>
                </w:rPr>
                <w:t>10.18 to the Company’s Annual Report on Form 10-K for the year ended December 31, 2008, dated February 26, 2009).†</w:t>
              </w:r>
            </w:hyperlink>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294967277"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Amended Retirement Equalization Benefit Plan (Incorporated by reference to Exhibit 10.59 to the Company’s Annual Report on Form 10-K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for the year ended December 31, 2007, dated February 29,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Avis Rent A Car System, LLC Pension Plan. (Incorporated by reference to Exhibit 10.20 to the Company’s Annual Report on Form 10-K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the year ended December 31, 2018 dated February 21, 2019).†</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Cendant Corporation* Officer Personal Financial Services Policy (Incorporated by reference to Exhibit 10.3 to the Company’s Current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Report on Form 8-K dated January 26, 2005).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Tax Sharing Agreement among Cendant Corporation*, Realogy Corporation, Wyndham Worldwide Corporation and Travelport Inc., dated</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20" w:type="dxa"/>
            <w:vAlign w:val="bottom"/>
            <w:tcBorders>
              <w:top w:val="single" w:sz="8" w:color="0000FF"/>
              <w:bottom w:val="single" w:sz="8" w:color="auto"/>
            </w:tcBorders>
            <w:gridSpan w:val="39"/>
          </w:tcPr>
          <w:p>
            <w:pPr>
              <w:spacing w:after="0" w:line="183" w:lineRule="exact"/>
              <w:rPr>
                <w:rFonts w:ascii="Arial" w:cs="Arial" w:eastAsia="Arial" w:hAnsi="Arial"/>
                <w:sz w:val="16"/>
                <w:szCs w:val="16"/>
                <w:u w:val="single" w:color="auto"/>
                <w:color w:val="0000FF"/>
              </w:rPr>
            </w:pPr>
            <w:hyperlink r:id="rId218">
              <w:r>
                <w:rPr>
                  <w:rFonts w:ascii="Arial" w:cs="Arial" w:eastAsia="Arial" w:hAnsi="Arial"/>
                  <w:sz w:val="16"/>
                  <w:szCs w:val="16"/>
                  <w:u w:val="single" w:color="auto"/>
                  <w:color w:val="0000FF"/>
                </w:rPr>
                <w:t>as of July 28, 2006 (Incorporated by reference to Exhibit 10.2 to the Company’s Current Report on Form 8-K dated August 1, 2006).</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Amendment to the Tax Sharing Agreement, dated July 28, 2006, among Avis Budget Group, Inc., Realogy Corporation, Wyndham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Worldwide Corporation and Travelport Inc. (Incorporated by reference to Exhibit 10.4 to the Company’s Quarterly Report on Form</w:t>
              </w:r>
            </w:hyperlink>
          </w:p>
        </w:tc>
        <w:tc>
          <w:tcPr>
            <w:tcW w:w="740" w:type="dxa"/>
            <w:vAlign w:val="bottom"/>
            <w:tcBorders>
              <w:right w:val="single" w:sz="8" w:color="auto"/>
            </w:tcBorders>
            <w:gridSpan w:val="32"/>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the quarterly period ended June 30, 2008 dated August 7, 2008).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Second Amended and Restated Base Indenture, dated as of June 3, 2004, among Cendant Rental Car Funding (AESOP) LLC***,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Issuer, and The Bank of New York, as Trustee (Incorporated by reference to Exhibit 10.7 to the Company’s Quarterly Report on Form</w:t>
              </w:r>
            </w:hyperlink>
          </w:p>
        </w:tc>
        <w:tc>
          <w:tcPr>
            <w:tcW w:w="500" w:type="dxa"/>
            <w:vAlign w:val="bottom"/>
            <w:tcBorders>
              <w:right w:val="single" w:sz="8" w:color="auto"/>
            </w:tcBorders>
            <w:gridSpan w:val="25"/>
          </w:tcPr>
          <w:p>
            <w:pPr>
              <w:ind w:left="20"/>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10-Q</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for the quarterly period ended June 30, 2004, dated August 2, 2004).</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Supplemental Indenture No. 1, dated as of December 23, 2005, among Cendant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42"/>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Bank of New York, as Trustee, to the Second Amended and Restated Base Indenture, dated as of June 3, 2004 (Incorporated by reference</w:t>
              </w:r>
            </w:hyperlink>
          </w:p>
        </w:tc>
        <w:tc>
          <w:tcPr>
            <w:tcW w:w="20" w:type="dxa"/>
            <w:vAlign w:val="bottom"/>
            <w:tcBorders>
              <w:bottom w:val="single" w:sz="8" w:color="0000FF"/>
            </w:tcBorders>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48"/>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to Exhibit 10.1 to the Company’s Current Report on Form 8-K dated January 20, 2006).</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Supplemental Indenture No. 2, dated as of May 9, 2007, among Avis Budget Rental Car Funding (AESOP) LLC, as Issuer, and The Bank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38"/>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of New York Trust Company, N.A. (as successor in interest to The Bank of New York), as Trustee, to the Second Amended and Restated</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Base Indenture, dated as of June 3, 2004 (Incorporated by reference to Exhibit 10.6 to the Company’s Quarterly Report on Form 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the quarterly period ended June 30, 2007, dated August 8, 2007).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3">
              <w:r>
                <w:rPr>
                  <w:rFonts w:ascii="Arial" w:cs="Arial" w:eastAsia="Arial" w:hAnsi="Arial"/>
                  <w:sz w:val="16"/>
                  <w:szCs w:val="16"/>
                  <w:color w:val="0000FF"/>
                </w:rPr>
                <w:t>Supplemental Indenture No. 3, dated as of August 16, 2013, among Avis Budget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Bank of New York Trust Company, N.A. (as successor in interest to The Bank of New York), as Trustee, to the Second Amended and</w:t>
              </w:r>
            </w:hyperlink>
          </w:p>
        </w:tc>
        <w:tc>
          <w:tcPr>
            <w:tcW w:w="18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Restated Base Indenture, dated as of June 3, 2004 (Incorporated by reference to Exhibit 10.35(c)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Form 10-K for the year ended December 31, 2013, dated February 20, 2014).</w:t>
              </w:r>
            </w:hyperlink>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Second Amended and Restated Loan Agreement, dated as of June 3, 2004, among AESOP Leasing L.P., as Borrower, Quartx Fleet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Management, Inc., as a Permitted Nominee, PV Holding Corp., as a Permitted Nominee, and Cendant Rental Car Funding (AESOP)</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gridSpan w:val="22"/>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LLC***, as Lender (Incorporated by reference to Exhibit</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960" w:type="dxa"/>
            <w:vAlign w:val="bottom"/>
            <w:tcBorders>
              <w:top w:val="single" w:sz="8" w:color="0000FF"/>
              <w:bottom w:val="single" w:sz="8" w:color="auto"/>
            </w:tcBorders>
            <w:gridSpan w:val="5"/>
          </w:tcPr>
          <w:p>
            <w:pPr>
              <w:spacing w:after="0" w:line="183" w:lineRule="exact"/>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10.8 to the Company’s Quarterly Report on Form 10-Q</w:t>
              </w:r>
            </w:hyperlink>
          </w:p>
        </w:tc>
        <w:tc>
          <w:tcPr>
            <w:tcW w:w="6080" w:type="dxa"/>
            <w:vAlign w:val="bottom"/>
            <w:tcBorders>
              <w:bottom w:val="single" w:sz="8" w:color="auto"/>
              <w:right w:val="single" w:sz="8" w:color="auto"/>
            </w:tcBorders>
            <w:gridSpan w:val="44"/>
          </w:tcPr>
          <w:p>
            <w:pPr>
              <w:spacing w:after="0" w:line="177" w:lineRule="exact"/>
              <w:rPr>
                <w:rFonts w:ascii="Arial" w:cs="Arial" w:eastAsia="Arial" w:hAnsi="Arial"/>
                <w:sz w:val="16"/>
                <w:szCs w:val="16"/>
                <w:u w:val="single" w:color="auto"/>
                <w:color w:val="0000FF"/>
              </w:rPr>
            </w:pPr>
            <w:hyperlink r:id="rId224">
              <w:r>
                <w:rPr>
                  <w:rFonts w:ascii="Arial" w:cs="Arial" w:eastAsia="Arial" w:hAnsi="Arial"/>
                  <w:sz w:val="16"/>
                  <w:szCs w:val="16"/>
                  <w:u w:val="single" w:color="auto"/>
                  <w:color w:val="0000FF"/>
                </w:rPr>
                <w:t>for the quarterly period ended June 30, 2004, dated August 2, 2004).</w:t>
              </w:r>
            </w:hyperlink>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First Amendment, dated as of December 23, 2005, among AESOP Leasing L.P., as Borrower, Quartx Fleet Management, Inc., as a</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Permitted Nominee, PV Holding Corp., as a Permitted Nominee, and Cendant Rental Car Funding (AESOP) LLC***, as Lender, to</w:t>
              </w:r>
            </w:hyperlink>
          </w:p>
        </w:tc>
        <w:tc>
          <w:tcPr>
            <w:tcW w:w="660" w:type="dxa"/>
            <w:vAlign w:val="bottom"/>
            <w:tcBorders>
              <w:right w:val="single" w:sz="8" w:color="auto"/>
            </w:tcBorders>
            <w:gridSpan w:val="31"/>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w w:val="99"/>
              </w:rPr>
            </w:pPr>
            <w:hyperlink r:id="rId225">
              <w:r>
                <w:rPr>
                  <w:rFonts w:ascii="Arial" w:cs="Arial" w:eastAsia="Arial" w:hAnsi="Arial"/>
                  <w:sz w:val="16"/>
                  <w:szCs w:val="16"/>
                  <w:color w:val="0000FF"/>
                  <w:w w:val="99"/>
                </w:rPr>
                <w:t>Second Amended and Restated Loan Agreement, dated as of June 3, 2004 (Incorporated by reference to Exhibit 10.2 to the Company’s</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3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Current Report on Form 8-K dated January 20, 2006).</w:t>
              </w:r>
            </w:hyperlink>
          </w:p>
        </w:tc>
        <w:tc>
          <w:tcPr>
            <w:tcW w:w="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7"/>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Second Amendment, dated as of May 9, 2007, among AESOP Leasing L.P., as Borrower, PV Holding Corp., as a Permitted Nominee,</w:t>
              </w:r>
            </w:hyperlink>
          </w:p>
        </w:tc>
        <w:tc>
          <w:tcPr>
            <w:tcW w:w="440" w:type="dxa"/>
            <w:vAlign w:val="bottom"/>
            <w:tcBorders>
              <w:right w:val="single" w:sz="8" w:color="auto"/>
            </w:tcBorders>
            <w:gridSpan w:val="22"/>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w w:val="99"/>
              </w:rPr>
            </w:pPr>
            <w:hyperlink r:id="rId226">
              <w:r>
                <w:rPr>
                  <w:rFonts w:ascii="Arial" w:cs="Arial" w:eastAsia="Arial" w:hAnsi="Arial"/>
                  <w:sz w:val="16"/>
                  <w:szCs w:val="16"/>
                  <w:color w:val="0000FF"/>
                  <w:w w:val="99"/>
                </w:rPr>
                <w:t>Amended and Restated Loan Agreement, dated as of June 3, 2004 (Incorporated by reference to Exhibit 10.8 to the Company’s Quarterly</w:t>
              </w:r>
            </w:hyperlink>
          </w:p>
        </w:tc>
        <w:tc>
          <w:tcPr>
            <w:tcW w:w="40" w:type="dxa"/>
            <w:vAlign w:val="bottom"/>
            <w:tcBorders>
              <w:bottom w:val="single" w:sz="8" w:color="0000FF"/>
            </w:tcBorders>
            <w:gridSpan w:val="2"/>
          </w:tcPr>
          <w:p>
            <w:pPr>
              <w:spacing w:after="0"/>
              <w:rPr>
                <w:sz w:val="12"/>
                <w:szCs w:val="12"/>
                <w:color w:val="auto"/>
              </w:rPr>
            </w:pPr>
          </w:p>
        </w:tc>
        <w:tc>
          <w:tcPr>
            <w:tcW w:w="80" w:type="dxa"/>
            <w:vAlign w:val="bottom"/>
            <w:tcBorders>
              <w:bottom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gridSpan w:val="41"/>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Report on Form 10-Q for the quarterly period ended June 30, 2007, dated August 8, 2007).</w:t>
              </w:r>
            </w:hyperlink>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Third Amendment, dated as of August 16, 2013, among AESOP Leasing L.P., as Borrower, PV Holding Corp., as a Permitted Nominee,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Quartx Fleet Management, Inc., as a Permitted Nominee, and Avis Budget Rental Car Funding (AESOP) LLC, as Lender, to the Second</w:t>
              </w:r>
            </w:hyperlink>
          </w:p>
        </w:tc>
        <w:tc>
          <w:tcPr>
            <w:tcW w:w="40" w:type="dxa"/>
            <w:vAlign w:val="bottom"/>
            <w:tcBorders>
              <w:bottom w:val="single" w:sz="8" w:color="0000FF"/>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gridSpan w:val="31"/>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Amended and Restated Loan Agreement, dated as of June 3, 2004 (Incorporated by reference to Exhibit 10.36(c) to the Company’s</w:t>
              </w:r>
            </w:hyperlink>
          </w:p>
        </w:tc>
        <w:tc>
          <w:tcPr>
            <w:tcW w:w="60" w:type="dxa"/>
            <w:vAlign w:val="bottom"/>
            <w:gridSpan w:val="3"/>
          </w:tcPr>
          <w:p>
            <w:pPr>
              <w:spacing w:after="0"/>
              <w:rPr>
                <w:sz w:val="12"/>
                <w:szCs w:val="12"/>
                <w:color w:val="auto"/>
              </w:rPr>
            </w:pPr>
          </w:p>
        </w:tc>
        <w:tc>
          <w:tcPr>
            <w:tcW w:w="12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Annual Report on Form 10-K for the year ended December 31, 2013, dated February 20, 2014).</w:t>
              </w:r>
            </w:hyperlink>
          </w:p>
        </w:tc>
        <w:tc>
          <w:tcPr>
            <w:tcW w:w="360" w:type="dxa"/>
            <w:vAlign w:val="bottom"/>
            <w:gridSpan w:val="15"/>
          </w:tcPr>
          <w:p>
            <w:pPr>
              <w:spacing w:after="0"/>
              <w:rPr>
                <w:sz w:val="12"/>
                <w:szCs w:val="12"/>
                <w:color w:val="auto"/>
              </w:rPr>
            </w:pPr>
          </w:p>
        </w:tc>
        <w:tc>
          <w:tcPr>
            <w:tcW w:w="12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Amended and Restated Loan Agreement, dated as of June 3, 2004, among AESOP Leasing L.P., as Borrower, and Cendant Rental Car</w:t>
              </w:r>
            </w:hyperlink>
          </w:p>
        </w:tc>
        <w:tc>
          <w:tcPr>
            <w:tcW w:w="260" w:type="dxa"/>
            <w:vAlign w:val="bottom"/>
            <w:tcBorders>
              <w:right w:val="single" w:sz="8" w:color="auto"/>
            </w:tcBorders>
            <w:gridSpan w:val="1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Funding (AESOP) LLC***, as Lender (Incorporated by reference to Exhibit 10.29(a) to the Company’s Annual Report on Form 10-K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year ended December 31, 2006, dated March 1, 2007).</w:t>
              </w:r>
            </w:hyperlink>
          </w:p>
        </w:tc>
        <w:tc>
          <w:tcPr>
            <w:tcW w:w="140" w:type="dxa"/>
            <w:vAlign w:val="bottom"/>
            <w:tcBorders>
              <w:right w:val="single" w:sz="8" w:color="auto"/>
            </w:tcBorders>
            <w:gridSpan w:val="6"/>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10.26(a)</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120" w:type="dxa"/>
            <w:vAlign w:val="bottom"/>
            <w:tcBorders>
              <w:top w:val="single" w:sz="8" w:color="auto"/>
              <w:right w:val="single" w:sz="8" w:color="auto"/>
            </w:tcBorders>
            <w:gridSpan w:val="41"/>
          </w:tcPr>
          <w:p>
            <w:pPr>
              <w:spacing w:after="0"/>
              <w:rPr>
                <w:rFonts w:ascii="Arial" w:cs="Arial" w:eastAsia="Arial" w:hAnsi="Arial"/>
                <w:sz w:val="16"/>
                <w:szCs w:val="16"/>
                <w:color w:val="0000FF"/>
              </w:rPr>
            </w:pPr>
            <w:hyperlink r:id="rId230">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w w:val="99"/>
              </w:rPr>
            </w:pPr>
            <w:hyperlink r:id="rId230">
              <w:r>
                <w:rPr>
                  <w:rFonts w:ascii="Arial" w:cs="Arial" w:eastAsia="Arial" w:hAnsi="Arial"/>
                  <w:sz w:val="16"/>
                  <w:szCs w:val="16"/>
                  <w:color w:val="0000FF"/>
                  <w:w w:val="99"/>
                </w:rPr>
                <w:t>LLC***, as Lender, to the Amended and Restated Loan Agreement, dated as of June 3, 2004 (Incorporated by reference to Exhibit 10.29(b)</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39"/>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to the Company’s Annual Report on Form 10-K for the year ended December 31, 2006, dated March 1, 2007).</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Second Amendment, dated as of the May 9, 2007, among AESOP Leasing L.P., as Borrower, and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(AESOP) LLC, as Lender, to the Amended and Restated Loan Agreement, dated as of June 3, 2004 (Incorporated by reference to</w:t>
              </w:r>
            </w:hyperlink>
          </w:p>
        </w:tc>
        <w:tc>
          <w:tcPr>
            <w:tcW w:w="780" w:type="dxa"/>
            <w:vAlign w:val="bottom"/>
            <w:tcBorders>
              <w:right w:val="single" w:sz="8" w:color="auto"/>
            </w:tcBorders>
            <w:gridSpan w:val="31"/>
          </w:tcPr>
          <w:p>
            <w:pPr>
              <w:jc w:val="center"/>
              <w:ind w:right="300"/>
              <w:spacing w:after="0" w:line="142" w:lineRule="exact"/>
              <w:rPr>
                <w:rFonts w:ascii="Arial" w:cs="Arial" w:eastAsia="Arial" w:hAnsi="Arial"/>
                <w:sz w:val="16"/>
                <w:szCs w:val="16"/>
                <w:color w:val="0000FF"/>
                <w:w w:val="99"/>
              </w:rPr>
            </w:pPr>
            <w:hyperlink r:id="rId231">
              <w:r>
                <w:rPr>
                  <w:rFonts w:ascii="Arial" w:cs="Arial" w:eastAsia="Arial" w:hAnsi="Arial"/>
                  <w:sz w:val="16"/>
                  <w:szCs w:val="16"/>
                  <w:color w:val="0000FF"/>
                  <w:w w:val="99"/>
                </w:rPr>
                <w:t>Exhibit</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40" w:type="dxa"/>
            <w:vAlign w:val="bottom"/>
            <w:tcBorders>
              <w:top w:val="single" w:sz="8" w:color="0000FF"/>
              <w:bottom w:val="single" w:sz="8" w:color="auto"/>
            </w:tcBorders>
            <w:gridSpan w:val="28"/>
          </w:tcPr>
          <w:p>
            <w:pPr>
              <w:spacing w:after="0" w:line="183" w:lineRule="exact"/>
              <w:rPr>
                <w:rFonts w:ascii="Arial" w:cs="Arial" w:eastAsia="Arial" w:hAnsi="Arial"/>
                <w:sz w:val="16"/>
                <w:szCs w:val="16"/>
                <w:u w:val="single" w:color="auto"/>
                <w:color w:val="0000FF"/>
              </w:rPr>
            </w:pPr>
            <w:hyperlink r:id="rId231">
              <w:r>
                <w:rPr>
                  <w:rFonts w:ascii="Arial" w:cs="Arial" w:eastAsia="Arial" w:hAnsi="Arial"/>
                  <w:sz w:val="16"/>
                  <w:szCs w:val="16"/>
                  <w:u w:val="single" w:color="auto"/>
                  <w:color w:val="0000FF"/>
                </w:rPr>
                <w:t>10.7 to the Company’s Quarterly Report on Form 10-Q for the quarterly period ended June 30, 2007, dated August 8, 2007).</w:t>
              </w:r>
            </w:hyperlink>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0000FF"/>
            </w:tcBorders>
            <w:gridSpan w:val="32"/>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Third Amendment, dated as of August 16, 2013, among AESOP Leasing L.P., as Borrower, and Avis Budget Rental Car Funding (AESOP)</w:t>
              </w:r>
            </w:hyperlink>
          </w:p>
        </w:tc>
        <w:tc>
          <w:tcPr>
            <w:tcW w:w="200" w:type="dxa"/>
            <w:vAlign w:val="bottom"/>
            <w:tcBorders>
              <w:right w:val="single" w:sz="8" w:color="auto"/>
            </w:tcBorders>
            <w:gridSpan w:val="9"/>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LLC, as Lender, to the Amended and Restated Loan Agreement, dated as of June 3, 2004 (Incorporated by reference to Exhibit 10.37(c)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the Company’s Annual Report on Form 10-K for the year ended December 31, 2013, dated February 20,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Second Amended and Restated Master Motor Vehicle Operating Lease Agreement, dated as of June 3, 2004, among AESOP Leasing</w:t>
              </w:r>
            </w:hyperlink>
          </w:p>
        </w:tc>
        <w:tc>
          <w:tcPr>
            <w:tcW w:w="500" w:type="dxa"/>
            <w:vAlign w:val="bottom"/>
            <w:tcBorders>
              <w:right w:val="single" w:sz="8" w:color="auto"/>
            </w:tcBorders>
            <w:gridSpan w:val="2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L.P., as Lessor, and Cendant Car Rental Group, Inc.**, as Lessee and as Administrator (Incorporated by reference to Exhibit 10.9 to the</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700" w:type="dxa"/>
            <w:vAlign w:val="bottom"/>
            <w:tcBorders>
              <w:top w:val="single" w:sz="8" w:color="0000FF"/>
              <w:bottom w:val="single" w:sz="8" w:color="auto"/>
            </w:tcBorders>
            <w:gridSpan w:val="21"/>
          </w:tcPr>
          <w:p>
            <w:pPr>
              <w:spacing w:after="0" w:line="183" w:lineRule="exact"/>
              <w:rPr>
                <w:rFonts w:ascii="Arial" w:cs="Arial" w:eastAsia="Arial" w:hAnsi="Arial"/>
                <w:sz w:val="16"/>
                <w:szCs w:val="16"/>
                <w:u w:val="single" w:color="auto"/>
                <w:color w:val="0000FF"/>
              </w:rPr>
            </w:pPr>
            <w:hyperlink r:id="rId233">
              <w:r>
                <w:rPr>
                  <w:rFonts w:ascii="Arial" w:cs="Arial" w:eastAsia="Arial" w:hAnsi="Arial"/>
                  <w:sz w:val="16"/>
                  <w:szCs w:val="16"/>
                  <w:u w:val="single" w:color="auto"/>
                  <w:color w:val="0000FF"/>
                </w:rPr>
                <w:t>Company’s Quarterly Report on Form 10-Q for the quarterly period ended June 30, 2004, dated August 2, 2004).</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First Amendment, dated December 23, 2005, among AESOP Leasing L.P., as Lessor, and Cendant Car Rental Group, Inc.**,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and as Administrator, to the Second Amended and Restated Master Motor Vehicle Operating Lease Agreement, dated as of December</w:t>
              </w:r>
            </w:hyperlink>
          </w:p>
        </w:tc>
        <w:tc>
          <w:tcPr>
            <w:tcW w:w="200" w:type="dxa"/>
            <w:vAlign w:val="bottom"/>
            <w:tcBorders>
              <w:bottom w:val="single" w:sz="8" w:color="0000FF"/>
            </w:tcBorders>
            <w:gridSpan w:val="10"/>
          </w:tcPr>
          <w:p>
            <w:pPr>
              <w:jc w:val="right"/>
              <w:ind w:right="40"/>
              <w:spacing w:after="0" w:line="142" w:lineRule="exact"/>
              <w:rPr>
                <w:rFonts w:ascii="Arial" w:cs="Arial" w:eastAsia="Arial" w:hAnsi="Arial"/>
                <w:sz w:val="14"/>
                <w:szCs w:val="14"/>
                <w:color w:val="0000FF"/>
                <w:w w:val="71"/>
              </w:rPr>
            </w:pPr>
            <w:hyperlink r:id="rId234">
              <w:r>
                <w:rPr>
                  <w:rFonts w:ascii="Arial" w:cs="Arial" w:eastAsia="Arial" w:hAnsi="Arial"/>
                  <w:sz w:val="14"/>
                  <w:szCs w:val="14"/>
                  <w:color w:val="0000FF"/>
                  <w:w w:val="71"/>
                </w:rPr>
                <w:t>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940" w:type="dxa"/>
            <w:vAlign w:val="bottom"/>
            <w:tcBorders>
              <w:bottom w:val="single" w:sz="8" w:color="auto"/>
            </w:tcBorders>
            <w:gridSpan w:val="33"/>
          </w:tcPr>
          <w:p>
            <w:pPr>
              <w:spacing w:after="0" w:line="183" w:lineRule="exact"/>
              <w:rPr>
                <w:rFonts w:ascii="Arial" w:cs="Arial" w:eastAsia="Arial" w:hAnsi="Arial"/>
                <w:sz w:val="16"/>
                <w:szCs w:val="16"/>
                <w:u w:val="single" w:color="auto"/>
                <w:color w:val="0000FF"/>
              </w:rPr>
            </w:pPr>
            <w:hyperlink r:id="rId234">
              <w:r>
                <w:rPr>
                  <w:rFonts w:ascii="Arial" w:cs="Arial" w:eastAsia="Arial" w:hAnsi="Arial"/>
                  <w:sz w:val="16"/>
                  <w:szCs w:val="16"/>
                  <w:u w:val="single" w:color="auto"/>
                  <w:color w:val="0000FF"/>
                </w:rPr>
                <w:t>2005 (Incorporated by reference to Exhibit 10.3 to the Company’s Current Report on Form 8-K dated January 20, 2006).</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Third Amendment, dated as of May 9, 2007,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the Administrator, to the Second Amended and Restated Master Motor Vehicle Operating Lease Agreement, dated as of June 3, 2004</w:t>
              </w:r>
            </w:hyperlink>
          </w:p>
        </w:tc>
        <w:tc>
          <w:tcPr>
            <w:tcW w:w="24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(Incorporated by reference to Exhibit 10.9 to the Company’s Quarterly Report on Form 10-Q for the quarterly period ended June 30, 2007,</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dated August 8, 2007).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36">
              <w:r>
                <w:rPr>
                  <w:rFonts w:ascii="Arial" w:cs="Arial" w:eastAsia="Arial" w:hAnsi="Arial"/>
                  <w:sz w:val="16"/>
                  <w:szCs w:val="16"/>
                  <w:color w:val="0000FF"/>
                </w:rPr>
                <w:t>Fourth Amendment, dated as of August 16, 2013, among AESOP Leasing L.P., as Lessor and Avis Budget Car Rental, LLC,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and as the Administrator, to the Second Amended and Restated Master Motor Vehicle Operating Lease Agreement, dated as of June 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2004 (Incorporated by reference to Exhibit 10.38(c) to the Company’s Annual Report on Form 10-K for the year ended December 31, 2013,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dated February 20, 2014).</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13"/>
          </w:tcPr>
          <w:p>
            <w:pPr>
              <w:spacing w:after="0" w:line="169" w:lineRule="exact"/>
              <w:rPr>
                <w:rFonts w:ascii="Arial" w:cs="Arial" w:eastAsia="Arial" w:hAnsi="Arial"/>
                <w:sz w:val="16"/>
                <w:szCs w:val="16"/>
                <w:color w:val="0000FF"/>
              </w:rPr>
            </w:pPr>
            <w:hyperlink r:id="rId237">
              <w:r>
                <w:rPr>
                  <w:rFonts w:ascii="Arial" w:cs="Arial" w:eastAsia="Arial" w:hAnsi="Arial"/>
                  <w:sz w:val="16"/>
                  <w:szCs w:val="16"/>
                  <w:color w:val="0000FF"/>
                </w:rPr>
                <w:t>Amended and Restated Master Motor Vehicle Finance Lease Agreement, dated as of June 3, 2004, among AESOP Leasing L.P., as</w:t>
              </w:r>
            </w:hyperlink>
          </w:p>
        </w:tc>
        <w:tc>
          <w:tcPr>
            <w:tcW w:w="660" w:type="dxa"/>
            <w:vAlign w:val="bottom"/>
            <w:tcBorders>
              <w:right w:val="single" w:sz="8" w:color="auto"/>
            </w:tcBorders>
            <w:gridSpan w:val="28"/>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Lessor, Cendant Car Rental Group, Inc.**, as Lessee, as Administrator and as Finance Lease Guarantor, Avis Rent A Car System, Inc.****,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35"/>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as Lessee, and Budget Rent A Car System, Inc., as Lessee (Incorporated by reference to Exhibit 10.30(a) to the Company’s Annual Report</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40"/>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on Form 10-K for the year ended December 31, 2006, dated March 1, 2007).</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10.28(a)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First Amendment, dated as of December 23, 2005, among AESOP Leasing L.P., as Lessor, Cendant Car Rental Group, Inc.**,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as Administrator and as Finance Lease Guarantor, Avis Rent A Car System, Inc.****,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Lessee, to the Amended and Restated Master Motor Vehicle Finance Lease Agreement, dated as of June 3, 2004 (Incorporated by</w:t>
              </w:r>
            </w:hyperlink>
          </w:p>
        </w:tc>
        <w:tc>
          <w:tcPr>
            <w:tcW w:w="4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120" w:type="dxa"/>
            <w:vAlign w:val="bottom"/>
            <w:tcBorders>
              <w:bottom w:val="single" w:sz="8" w:color="auto"/>
              <w:right w:val="single" w:sz="8" w:color="auto"/>
            </w:tcBorders>
            <w:gridSpan w:val="41"/>
          </w:tcPr>
          <w:p>
            <w:pPr>
              <w:spacing w:after="0" w:line="183" w:lineRule="exact"/>
              <w:rPr>
                <w:rFonts w:ascii="Arial" w:cs="Arial" w:eastAsia="Arial" w:hAnsi="Arial"/>
                <w:sz w:val="16"/>
                <w:szCs w:val="16"/>
                <w:u w:val="single" w:color="auto"/>
                <w:color w:val="0000FF"/>
              </w:rPr>
            </w:pPr>
            <w:hyperlink r:id="rId238">
              <w:r>
                <w:rPr>
                  <w:rFonts w:ascii="Arial" w:cs="Arial" w:eastAsia="Arial" w:hAnsi="Arial"/>
                  <w:sz w:val="16"/>
                  <w:szCs w:val="16"/>
                  <w:u w:val="single" w:color="auto"/>
                  <w:color w:val="0000FF"/>
                </w:rPr>
                <w:t>reference to Exhibit 10.30(b) to the Company’s Annual Report on Form 10-K for the year ended December 31, 2006, dated March 1, 2007).</w:t>
              </w:r>
            </w:hyperlink>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10.28(b)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Third Amendment, dated as of May 9, 2007, among AESOP Leasing L.P., as Lessor, Avis Budget Car Rental, LLC, as Lessee, as</w:t>
              </w:r>
            </w:hyperlink>
          </w:p>
        </w:tc>
        <w:tc>
          <w:tcPr>
            <w:tcW w:w="860" w:type="dxa"/>
            <w:vAlign w:val="bottom"/>
            <w:tcBorders>
              <w:right w:val="single" w:sz="8" w:color="auto"/>
            </w:tcBorders>
            <w:gridSpan w:val="33"/>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4" w:lineRule="exact"/>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reference to Exhibit 10.11 to the Company’s Quarterly Report on Form 10-Q for the quarterly period ended June 30, 2007, dated August 8,</w:t>
              </w:r>
            </w:hyperlink>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gridSpan w:val="2"/>
          </w:tcPr>
          <w:p>
            <w:pPr>
              <w:ind w:left="20"/>
              <w:spacing w:after="0"/>
              <w:rPr>
                <w:rFonts w:ascii="Arial" w:cs="Arial" w:eastAsia="Arial" w:hAnsi="Arial"/>
                <w:sz w:val="16"/>
                <w:szCs w:val="16"/>
                <w:u w:val="single" w:color="auto"/>
                <w:color w:val="0000FF"/>
                <w:w w:val="96"/>
              </w:rPr>
            </w:pPr>
            <w:hyperlink r:id="rId239">
              <w:r>
                <w:rPr>
                  <w:rFonts w:ascii="Arial" w:cs="Arial" w:eastAsia="Arial" w:hAnsi="Arial"/>
                  <w:sz w:val="16"/>
                  <w:szCs w:val="16"/>
                  <w:u w:val="single" w:color="auto"/>
                  <w:color w:val="0000FF"/>
                  <w:w w:val="96"/>
                </w:rPr>
                <w:t>2007).</w:t>
              </w:r>
            </w:hyperlink>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10.28(c)</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72" w:lineRule="exact"/>
              <w:rPr>
                <w:rFonts w:ascii="Arial" w:cs="Arial" w:eastAsia="Arial" w:hAnsi="Arial"/>
                <w:sz w:val="16"/>
                <w:szCs w:val="16"/>
                <w:color w:val="0000FF"/>
              </w:rPr>
            </w:pPr>
            <w:hyperlink r:id="rId240">
              <w:r>
                <w:rPr>
                  <w:rFonts w:ascii="Arial" w:cs="Arial" w:eastAsia="Arial" w:hAnsi="Arial"/>
                  <w:sz w:val="16"/>
                  <w:szCs w:val="16"/>
                  <w:color w:val="0000FF"/>
                </w:rPr>
                <w:t>Fourth Amendment, dated as of August 16, 2013, among AESOP Leasing L.P., as Lessor, Avis Budget Car Rental, LLC, as Lessee,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Administrator and as Finance Lease Guarantor, Avis Rent A Car System, LLC, as Lessee, and Budget Rent A Car System, Inc., as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Lessee, to the Amended and Restated Master Motor Vehicle Finance Lease Agreement, dated as of June 3, 2004 (Incorporated by</w:t>
              </w:r>
            </w:hyperlink>
          </w:p>
        </w:tc>
        <w:tc>
          <w:tcPr>
            <w:tcW w:w="12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2"/>
          </w:tcPr>
          <w:p>
            <w:pPr>
              <w:spacing w:after="0" w:line="144" w:lineRule="exact"/>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reference to Exhibit 10.39(c) to the Company’s Annual Report on Form 10-K for the year ended December 31, 2013, dated February</w:t>
              </w:r>
            </w:hyperlink>
          </w:p>
        </w:tc>
        <w:tc>
          <w:tcPr>
            <w:tcW w:w="380" w:type="dxa"/>
            <w:vAlign w:val="bottom"/>
            <w:gridSpan w:val="12"/>
          </w:tcPr>
          <w:p>
            <w:pPr>
              <w:jc w:val="right"/>
              <w:spacing w:after="0" w:line="144" w:lineRule="exact"/>
              <w:rPr>
                <w:rFonts w:ascii="Arial" w:cs="Arial" w:eastAsia="Arial" w:hAnsi="Arial"/>
                <w:sz w:val="16"/>
                <w:szCs w:val="16"/>
                <w:u w:val="single" w:color="auto"/>
                <w:color w:val="0000FF"/>
              </w:rPr>
            </w:pPr>
            <w:hyperlink r:id="rId240">
              <w:r>
                <w:rPr>
                  <w:rFonts w:ascii="Arial" w:cs="Arial" w:eastAsia="Arial" w:hAnsi="Arial"/>
                  <w:sz w:val="16"/>
                  <w:szCs w:val="16"/>
                  <w:u w:val="single" w:color="auto"/>
                  <w:color w:val="0000FF"/>
                </w:rPr>
                <w:t>20,</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gridSpan w:val="2"/>
          </w:tcPr>
          <w:p>
            <w:pPr>
              <w:ind w:left="20"/>
              <w:spacing w:after="0"/>
              <w:rPr>
                <w:rFonts w:ascii="Arial" w:cs="Arial" w:eastAsia="Arial" w:hAnsi="Arial"/>
                <w:sz w:val="16"/>
                <w:szCs w:val="16"/>
                <w:u w:val="single" w:color="auto"/>
                <w:color w:val="0000FF"/>
                <w:w w:val="96"/>
              </w:rPr>
            </w:pPr>
            <w:hyperlink r:id="rId240">
              <w:r>
                <w:rPr>
                  <w:rFonts w:ascii="Arial" w:cs="Arial" w:eastAsia="Arial" w:hAnsi="Arial"/>
                  <w:sz w:val="16"/>
                  <w:szCs w:val="16"/>
                  <w:u w:val="single" w:color="auto"/>
                  <w:color w:val="0000FF"/>
                  <w:w w:val="96"/>
                </w:rPr>
                <w:t>2014).</w:t>
              </w:r>
            </w:hyperlink>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10.29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72" w:lineRule="exact"/>
              <w:rPr>
                <w:rFonts w:ascii="Arial" w:cs="Arial" w:eastAsia="Arial" w:hAnsi="Arial"/>
                <w:sz w:val="16"/>
                <w:szCs w:val="16"/>
                <w:color w:val="0000FF"/>
              </w:rPr>
            </w:pPr>
            <w:hyperlink r:id="rId241">
              <w:r>
                <w:rPr>
                  <w:rFonts w:ascii="Arial" w:cs="Arial" w:eastAsia="Arial" w:hAnsi="Arial"/>
                  <w:sz w:val="16"/>
                  <w:szCs w:val="16"/>
                  <w:color w:val="0000FF"/>
                </w:rPr>
                <w:t>AESOP I Operating Sublease Agreement dated as of March 26, 2013 between Zipcar, Inc. and Avis Budget Car Rental, LLC (Incorporated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by reference to Exhibit 10.1 to the Company’s Quarterly Report on Form 10-Q for the quarterly period ended March 31, 2013 dated May 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241">
              <w:r>
                <w:rPr>
                  <w:rFonts w:ascii="Arial" w:cs="Arial" w:eastAsia="Arial" w:hAnsi="Arial"/>
                  <w:sz w:val="16"/>
                  <w:szCs w:val="16"/>
                  <w:color w:val="0000FF"/>
                  <w:w w:val="96"/>
                </w:rPr>
                <w:t>2013).</w:t>
              </w:r>
            </w:hyperlink>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Second Amended and Restated Administration Agreement, dated as of June 3, 2004, among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LLC***, AESOP Leasing L.P., AESOP Leasing Corp. II, Avis Rent A Car System, Inc.****, Budget Rent A Car System, Inc., Cendant</w:t>
              </w:r>
            </w:hyperlink>
          </w:p>
        </w:tc>
        <w:tc>
          <w:tcPr>
            <w:tcW w:w="640" w:type="dxa"/>
            <w:vAlign w:val="bottom"/>
            <w:tcBorders>
              <w:right w:val="single" w:sz="8" w:color="auto"/>
            </w:tcBorders>
            <w:gridSpan w:val="27"/>
          </w:tcPr>
          <w:p>
            <w:pPr>
              <w:jc w:val="center"/>
              <w:ind w:right="400"/>
              <w:spacing w:after="0" w:line="142" w:lineRule="exact"/>
              <w:rPr>
                <w:rFonts w:ascii="Arial" w:cs="Arial" w:eastAsia="Arial" w:hAnsi="Arial"/>
                <w:sz w:val="16"/>
                <w:szCs w:val="16"/>
                <w:color w:val="0000FF"/>
                <w:w w:val="92"/>
              </w:rPr>
            </w:pPr>
            <w:hyperlink r:id="rId242">
              <w:r>
                <w:rPr>
                  <w:rFonts w:ascii="Arial" w:cs="Arial" w:eastAsia="Arial" w:hAnsi="Arial"/>
                  <w:sz w:val="16"/>
                  <w:szCs w:val="16"/>
                  <w:color w:val="0000FF"/>
                  <w:w w:val="92"/>
                </w:rPr>
                <w:t>Car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Rental Group, Inc.** and The Bank of New York, as Trustee (Incorporated by reference to Exhibit 10.34 to the Company’s Annual Report</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gridSpan w:val="24"/>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on Form 10-K for the year ended December 31, 2005, dated March 1, 2006).</w:t>
              </w:r>
            </w:hyperlink>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10.30(a)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First Amendment, dated as of August 16, 2013, among Avis Budget Rental Car Funding (AESOP) LLC, AESOP Leasing L.P., AESOP</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00" w:type="dxa"/>
            <w:vAlign w:val="bottom"/>
            <w:gridSpan w:val="5"/>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right w:val="single" w:sz="8" w:color="auto"/>
            </w:tcBorders>
            <w:gridSpan w:val="5"/>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Leasing Corp. II, Avis Rent A Car System, LLC, Budget Rent A Car System, Inc. and Avis Budget Car Rental, LLC, as Administrator,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Company’s Annual Report on Form 10-K for the year ended December 31, 2013, dated February 20, 2014).</w:t>
              </w:r>
            </w:hyperlink>
          </w:p>
        </w:tc>
        <w:tc>
          <w:tcPr>
            <w:tcW w:w="200" w:type="dxa"/>
            <w:vAlign w:val="bottom"/>
            <w:gridSpan w:val="10"/>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62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right w:val="single" w:sz="8" w:color="auto"/>
            </w:tcBorders>
            <w:gridSpan w:val="41"/>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Amended and Restated Series 2015-3 Supplement, dated as of August 16, 2018, between Avis Budget Rental Car Funding (AESOP)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as Issuer, Avis Budget Car Rental, LLC, as Administrator, JPMorgan Chase Bank, N.A., as Administrative Agent, the Non-Conduit</w:t>
              </w:r>
            </w:hyperlink>
          </w:p>
        </w:tc>
        <w:tc>
          <w:tcPr>
            <w:tcW w:w="720" w:type="dxa"/>
            <w:vAlign w:val="bottom"/>
            <w:tcBorders>
              <w:top w:val="single" w:sz="8" w:color="0000FF"/>
            </w:tcBorders>
            <w:gridSpan w:val="27"/>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Purchasers, the CP Conduit Purchasers, the Committed Note Purchasers, the Funding Agents and APA Banks named therein, and The</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80" w:type="dxa"/>
            <w:vAlign w:val="bottom"/>
            <w:gridSpan w:val="20"/>
            <w:shd w:val="clear" w:color="auto" w:fill="0000FF"/>
          </w:tcPr>
          <w:p>
            <w:pPr>
              <w:spacing w:after="0" w:line="20" w:lineRule="exact"/>
              <w:rPr>
                <w:sz w:val="1"/>
                <w:szCs w:val="1"/>
                <w:color w:val="auto"/>
              </w:rPr>
            </w:pPr>
          </w:p>
        </w:tc>
        <w:tc>
          <w:tcPr>
            <w:tcW w:w="440" w:type="dxa"/>
            <w:vAlign w:val="bottom"/>
            <w:tcBorders>
              <w:right w:val="single" w:sz="8" w:color="auto"/>
            </w:tcBorders>
            <w:gridSpan w:val="21"/>
          </w:tcPr>
          <w:p>
            <w:pPr>
              <w:spacing w:after="0" w:line="20" w:lineRule="exact"/>
              <w:rPr>
                <w:sz w:val="1"/>
                <w:szCs w:val="1"/>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right w:val="single" w:sz="8" w:color="auto"/>
            </w:tcBorders>
            <w:gridSpan w:val="41"/>
          </w:tcPr>
          <w:p>
            <w:pPr>
              <w:spacing w:after="0" w:line="144" w:lineRule="exact"/>
              <w:rPr>
                <w:rFonts w:ascii="Arial" w:cs="Arial" w:eastAsia="Arial" w:hAnsi="Arial"/>
                <w:sz w:val="16"/>
                <w:szCs w:val="16"/>
                <w:u w:val="single" w:color="auto"/>
                <w:color w:val="0000FF"/>
              </w:rPr>
            </w:pPr>
            <w:hyperlink r:id="rId244">
              <w:r>
                <w:rPr>
                  <w:rFonts w:ascii="Arial" w:cs="Arial" w:eastAsia="Arial" w:hAnsi="Arial"/>
                  <w:sz w:val="16"/>
                  <w:szCs w:val="16"/>
                  <w:u w:val="single" w:color="auto"/>
                  <w:color w:val="0000FF"/>
                </w:rPr>
                <w:t>Bank of New York Mellon Trust Company, N.A., as trustee and as Series 2015-3 Agent (Incorporated by reference to Exhibit 10.43 to the</w:t>
              </w:r>
            </w:hyperlink>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120" w:type="dxa"/>
            <w:vAlign w:val="bottom"/>
            <w:tcBorders>
              <w:bottom w:val="single" w:sz="8" w:color="auto"/>
              <w:right w:val="single" w:sz="8" w:color="auto"/>
            </w:tcBorders>
            <w:gridSpan w:val="41"/>
          </w:tcPr>
          <w:p>
            <w:pPr>
              <w:spacing w:after="0"/>
              <w:rPr>
                <w:rFonts w:ascii="Arial" w:cs="Arial" w:eastAsia="Arial" w:hAnsi="Arial"/>
                <w:sz w:val="16"/>
                <w:szCs w:val="16"/>
                <w:u w:val="single" w:color="auto"/>
                <w:color w:val="0000FF"/>
              </w:rPr>
            </w:pPr>
            <w:hyperlink r:id="rId244">
              <w:r>
                <w:rPr>
                  <w:rFonts w:ascii="Arial" w:cs="Arial" w:eastAsia="Arial" w:hAnsi="Arial"/>
                  <w:sz w:val="16"/>
                  <w:szCs w:val="16"/>
                  <w:u w:val="single" w:color="auto"/>
                  <w:color w:val="0000FF"/>
                </w:rPr>
                <w:t>Company’s Annual Report on Form 10-K for the year ended December 31, 2018 dated February 21, 2019).</w:t>
              </w:r>
            </w:hyperlink>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10.32</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20" w:type="dxa"/>
            <w:vAlign w:val="bottom"/>
            <w:tcBorders>
              <w:top w:val="single" w:sz="8" w:color="auto"/>
              <w:bottom w:val="single" w:sz="8" w:color="0000FF"/>
            </w:tcBorders>
            <w:gridSpan w:val="22"/>
          </w:tcPr>
          <w:p>
            <w:pPr>
              <w:spacing w:after="0"/>
              <w:rPr>
                <w:rFonts w:ascii="Arial" w:cs="Arial" w:eastAsia="Arial" w:hAnsi="Arial"/>
                <w:sz w:val="16"/>
                <w:szCs w:val="16"/>
                <w:color w:val="0000FF"/>
              </w:rPr>
            </w:pPr>
            <w:hyperlink r:id="rId246">
              <w:r>
                <w:rPr>
                  <w:rFonts w:ascii="Arial" w:cs="Arial" w:eastAsia="Arial" w:hAnsi="Arial"/>
                  <w:sz w:val="16"/>
                  <w:szCs w:val="16"/>
                  <w:color w:val="0000FF"/>
                </w:rPr>
                <w:t>Third Amended and Restated Series 2010-6 Supplement, dated as of August 16, 2018, by and among Avis Budget Rental Car Funding</w:t>
              </w:r>
            </w:hyperlink>
          </w:p>
        </w:tc>
        <w:tc>
          <w:tcPr>
            <w:tcW w:w="360" w:type="dxa"/>
            <w:vAlign w:val="bottom"/>
            <w:tcBorders>
              <w:top w:val="single" w:sz="8" w:color="auto"/>
              <w:right w:val="single" w:sz="8" w:color="auto"/>
            </w:tcBorders>
            <w:gridSpan w:val="16"/>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bottom w:val="single" w:sz="8" w:color="0000FF"/>
            </w:tcBorders>
            <w:gridSpan w:val="27"/>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(AESOP) LLC, as Issuer, Avis Budget Car Rental, LLC, as Administrator, JPMorgan Chase Bank, N.A., as Administrative Agent, the Non-</w:t>
              </w:r>
            </w:hyperlink>
          </w:p>
        </w:tc>
        <w:tc>
          <w:tcPr>
            <w:tcW w:w="240" w:type="dxa"/>
            <w:vAlign w:val="bottom"/>
            <w:tcBorders>
              <w:right w:val="single" w:sz="8" w:color="auto"/>
            </w:tcBorders>
            <w:gridSpan w:val="1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8"/>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Conduit Purchasers, the CP Conduit Purchasers, the Committed Note Purchasers, the Funding Agents and APA Banks named therein and</w:t>
              </w:r>
            </w:hyperlink>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4"/>
          </w:tcPr>
          <w:p>
            <w:pPr>
              <w:spacing w:after="0" w:line="144" w:lineRule="exact"/>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The Bank of New York Mellon Trust Company, N.A., as Trustee and as Series 2010-6 Agent (Incorporated by reference to Exhibit 10.42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80" w:type="dxa"/>
            <w:vAlign w:val="bottom"/>
            <w:tcBorders>
              <w:bottom w:val="single" w:sz="8" w:color="auto"/>
              <w:right w:val="single" w:sz="8" w:color="auto"/>
            </w:tcBorders>
            <w:gridSpan w:val="38"/>
          </w:tcPr>
          <w:p>
            <w:pPr>
              <w:spacing w:after="0"/>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the Company’s Annual Report on Form 10-K for the year ended December 31, 2018 dated February 21, 2019).</w:t>
              </w:r>
            </w:hyperlink>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10.33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72" w:lineRule="exact"/>
              <w:rPr>
                <w:rFonts w:ascii="Arial" w:cs="Arial" w:eastAsia="Arial" w:hAnsi="Arial"/>
                <w:sz w:val="16"/>
                <w:szCs w:val="16"/>
                <w:color w:val="0000FF"/>
              </w:rPr>
            </w:pPr>
            <w:hyperlink r:id="rId247">
              <w:r>
                <w:rPr>
                  <w:rFonts w:ascii="Arial" w:cs="Arial" w:eastAsia="Arial" w:hAnsi="Arial"/>
                  <w:sz w:val="16"/>
                  <w:szCs w:val="16"/>
                  <w:color w:val="0000FF"/>
                </w:rPr>
                <w:t>Series 2016-1 Supplement, dated as of March 30, 2016,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York Mellon Trust Company, N.A., as trustee and as Series 2016-1 Agent (Incorporated by reference to Exhibit 10.1 to the Company’s</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Current Report on Form 8-K dated April 5,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Series 2016-2 Supplement, dated as of June 1, 2016, between Avis Budget Rental Car Funding (AESOP) LLC and the Bank of New York</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Mellon Trust Company, N.A., as trustee and as Series 2016-2 Agent (Incorporated by reference to Exhibit 10.1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Report on Form 8-K dated June 7, 2016).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49">
              <w:r>
                <w:rPr>
                  <w:rFonts w:ascii="Arial" w:cs="Arial" w:eastAsia="Arial" w:hAnsi="Arial"/>
                  <w:sz w:val="16"/>
                  <w:szCs w:val="16"/>
                  <w:color w:val="0000FF"/>
                </w:rPr>
                <w:t>Series 2017-1 Supplement, dated as of March 15, 2017,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York Mellon Trust Company, N.A., as trustee and as Series 2017-1 Agent (Incorporated by reference to Exhibit 10.1 to the Company’s</w:t>
              </w:r>
            </w:hyperlink>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Current Report on Form 8-K dated March 21,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Series 2017-2 Supplement, dated as of December 13, 2017,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York Mellon Trust Company, N.A., as trustee and as Series 2017-2 Agent (Incorporated by reference to Exhibit 10.1 to the Company’s</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Current Report on Form 8-K dated December 19,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Series 2018-1 Supplement, dated as of April 30, 2018, between Avis Budget Rental Car Funding (AESOP) LLC and The Bank of New York</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Mellon Trust Company, N.A., as trustee and as Series 2018-1 Agent (Incorporated by reference to Exhibit 10.1 to the Company’s Current</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Report on Form 8-K dated May 4, 2018).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2">
              <w:r>
                <w:rPr>
                  <w:rFonts w:ascii="Arial" w:cs="Arial" w:eastAsia="Arial" w:hAnsi="Arial"/>
                  <w:sz w:val="16"/>
                  <w:szCs w:val="16"/>
                  <w:color w:val="0000FF"/>
                </w:rPr>
                <w:t>Series 2018-2 Supplement, dated as of October 25, 2018,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York Mellon Trust Company, N.A., as trustee and as Series 2018-2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Current Report on Form 8-K dated October 30,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3">
              <w:r>
                <w:rPr>
                  <w:rFonts w:ascii="Arial" w:cs="Arial" w:eastAsia="Arial" w:hAnsi="Arial"/>
                  <w:sz w:val="16"/>
                  <w:szCs w:val="16"/>
                  <w:color w:val="0000FF"/>
                </w:rPr>
                <w:t>Series 2019-1 Supplement, dated as of February 13, 2019,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York Mellon Trust Company, N.A., as trustee and as Series 2019-1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Current Report on Form 8-K dated February 20,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Series 2019-2 Supplement, dated as of April 23, 2019, between Avis Budget Rental Car Funding (AESOP) LLC and The Bank of New York</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Mellon Trust Company, N.A., as trustee and as Series 2019-2 Agent (Incorporated by reference to Exhibit 10.1 to the Company’s Current</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Report on Form 8-K dated April 29,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Series 2019-3 Supplement, dated as of August 27, 2019,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York Mellon Trust Company, N.A., as trustee and as Series 2019-3 Agent. (Incorporated by reference to Exhibit 10.1 to the Company’s</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Current Report on Form 8-K dated August 29, 2019).</w:t>
              </w:r>
            </w:hyperlink>
          </w:p>
        </w:tc>
        <w:tc>
          <w:tcPr>
            <w:tcW w:w="2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Series 2020-1 Supplement, dated as of January 29, 2020,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York Mellon Trust Company, N.A., as trustee and as Series 2020-1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Current Report on Form 8-K dated January 20, 2020).</w:t>
              </w:r>
            </w:hyperlink>
          </w:p>
        </w:tc>
        <w:tc>
          <w:tcPr>
            <w:tcW w:w="2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Series 2020-2 Supplement, dated as of August 12, 2020, between Avis Budget Rental Car Funding (AESOP) LLC and The Bank of New</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York Mellon Trust Company, N.A., as trustee and as Series 2020-2 Agent (Incorporated by reference to Exhibit 10.1 to the Company's</w:t>
              </w:r>
            </w:hyperlink>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Current Report on Form 8-K dated August 14,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58">
              <w:r>
                <w:rPr>
                  <w:rFonts w:ascii="Arial" w:cs="Arial" w:eastAsia="Arial" w:hAnsi="Arial"/>
                  <w:sz w:val="16"/>
                  <w:szCs w:val="16"/>
                  <w:color w:val="0000FF"/>
                </w:rPr>
                <w:t>Fifth Amended and Restated Credit Agreement dated as of February 13, 2018, among Avis Budget Holdings, LLC, Avis Budget Car Rental,</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LLC, Avis Budget Group, Inc., the Subsidiary Borrowers from time to time parties thereto, the several banks and other financial institutions</w:t>
              </w:r>
            </w:hyperlink>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or entities from time to time parties thereto, JPMorgan Chase Bank, N.A., as Administrative Agent, Deutsche Bank Securities Inc., as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13"/>
          </w:tcPr>
          <w:p>
            <w:pPr>
              <w:spacing w:after="0" w:line="144" w:lineRule="exact"/>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Syndication Agent, Citibank, N.A., Bank of America, N.A., Barclays Bank plc and Credit Agricole Corporate and Investment Bank, as</w:t>
              </w:r>
            </w:hyperlink>
          </w:p>
        </w:tc>
        <w:tc>
          <w:tcPr>
            <w:tcW w:w="580" w:type="dxa"/>
            <w:vAlign w:val="bottom"/>
            <w:tcBorders>
              <w:right w:val="single" w:sz="8" w:color="auto"/>
            </w:tcBorders>
            <w:gridSpan w:val="25"/>
          </w:tcPr>
          <w:p>
            <w:pPr>
              <w:spacing w:after="0" w:line="144" w:lineRule="exact"/>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Co-</w:t>
              </w:r>
            </w:hyperlink>
          </w:p>
        </w:tc>
        <w:tc>
          <w:tcPr>
            <w:tcW w:w="0" w:type="dxa"/>
            <w:vAlign w:val="bottom"/>
          </w:tcPr>
          <w:p>
            <w:pPr>
              <w:spacing w:after="0"/>
              <w:rPr>
                <w:sz w:val="1"/>
                <w:szCs w:val="1"/>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80" w:type="dxa"/>
            <w:vAlign w:val="bottom"/>
            <w:tcBorders>
              <w:bottom w:val="single" w:sz="8" w:color="auto"/>
              <w:right w:val="single" w:sz="8" w:color="auto"/>
            </w:tcBorders>
            <w:gridSpan w:val="38"/>
          </w:tcPr>
          <w:p>
            <w:pPr>
              <w:spacing w:after="0"/>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Documentation Agents (Incorporated by reference to Exhibit 10.1 to the Company’s Current Report on Form 8-K dated February 16, 2018).</w:t>
              </w:r>
            </w:hyperlink>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10.44(a)</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72" w:lineRule="exact"/>
              <w:rPr>
                <w:rFonts w:ascii="Arial" w:cs="Arial" w:eastAsia="Arial" w:hAnsi="Arial"/>
                <w:sz w:val="16"/>
                <w:szCs w:val="16"/>
                <w:color w:val="0000FF"/>
              </w:rPr>
            </w:pPr>
            <w:hyperlink r:id="rId259">
              <w:r>
                <w:rPr>
                  <w:rFonts w:ascii="Arial" w:cs="Arial" w:eastAsia="Arial" w:hAnsi="Arial"/>
                  <w:sz w:val="16"/>
                  <w:szCs w:val="16"/>
                  <w:color w:val="0000FF"/>
                </w:rPr>
                <w:t>First Amendment to the Fifth Amended and Restated Credit Agreement dated as of February 13, 2018, among Avis Budget Holdings, LLC,</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Avis Budget Car Rental, LLC, Avis Budget Group, Inc., the Subsidiary Borrowers from time to time parties thereto, JPMorgan Chase Bank,</w:t>
              </w:r>
            </w:hyperlink>
          </w:p>
        </w:tc>
        <w:tc>
          <w:tcPr>
            <w:tcW w:w="120" w:type="dxa"/>
            <w:vAlign w:val="bottom"/>
            <w:tcBorders>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N.A., as Administrative Agent, and the other lenders party thereto (Incorporated by reference to Exhibit 10.1 to the Company's Current</w:t>
              </w:r>
            </w:hyperlink>
          </w:p>
        </w:tc>
        <w:tc>
          <w:tcPr>
            <w:tcW w:w="140" w:type="dxa"/>
            <w:vAlign w:val="bottom"/>
            <w:tcBorders>
              <w:right w:val="single" w:sz="8" w:color="auto"/>
            </w:tcBorders>
            <w:gridSpan w:val="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Report on Form 8-K dated February 6, 2020).</w:t>
              </w:r>
            </w:hyperlink>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10.44(b)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60">
              <w:r>
                <w:rPr>
                  <w:rFonts w:ascii="Arial" w:cs="Arial" w:eastAsia="Arial" w:hAnsi="Arial"/>
                  <w:sz w:val="16"/>
                  <w:szCs w:val="16"/>
                  <w:color w:val="0000FF"/>
                </w:rPr>
                <w:t>Second Amendment, dated as of April 27, 2020, to the Fifth Amended and Restated Credit Agreement, dated as of February 13, 2018,</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among Avis Budget Car Rental, LLC, Avis Budget Holdings, LLC, Avis Budget Group, Inc., the Subsidiary Borrowers from time to time</w:t>
              </w:r>
            </w:hyperlink>
          </w:p>
        </w:tc>
        <w:tc>
          <w:tcPr>
            <w:tcW w:w="12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party thereto, JPMorgan Chase Bank, N.A., as Administrative Agent, and the other lenders party thereto (Incorporated by reference to</w:t>
              </w:r>
            </w:hyperlink>
          </w:p>
        </w:tc>
        <w:tc>
          <w:tcPr>
            <w:tcW w:w="20" w:type="dxa"/>
            <w:vAlign w:val="bottom"/>
            <w:tcBorders>
              <w:bottom w:val="single" w:sz="8" w:color="0000FF"/>
            </w:tcBorders>
          </w:tcPr>
          <w:p>
            <w:pPr>
              <w:spacing w:after="0"/>
              <w:rPr>
                <w:sz w:val="12"/>
                <w:szCs w:val="12"/>
                <w:color w:val="auto"/>
              </w:rPr>
            </w:pPr>
          </w:p>
        </w:tc>
        <w:tc>
          <w:tcPr>
            <w:tcW w:w="18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17"/>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Exhibit 10.1 to the Company's Current Report on Form 8-K dated April 27, 2020).</w:t>
              </w:r>
            </w:hyperlink>
          </w:p>
        </w:tc>
        <w:tc>
          <w:tcPr>
            <w:tcW w:w="18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8"/>
          </w:tcPr>
          <w:p>
            <w:pPr>
              <w:spacing w:after="0" w:line="169" w:lineRule="exact"/>
              <w:rPr>
                <w:rFonts w:ascii="Arial" w:cs="Arial" w:eastAsia="Arial" w:hAnsi="Arial"/>
                <w:sz w:val="16"/>
                <w:szCs w:val="16"/>
                <w:color w:val="0000FF"/>
              </w:rPr>
            </w:pPr>
            <w:hyperlink r:id="rId261">
              <w:r>
                <w:rPr>
                  <w:rFonts w:ascii="Arial" w:cs="Arial" w:eastAsia="Arial" w:hAnsi="Arial"/>
                  <w:sz w:val="16"/>
                  <w:szCs w:val="16"/>
                  <w:color w:val="0000FF"/>
                </w:rPr>
                <w:t>Amended and Restated Guarantee &amp; Collateral Agreement, dated as of May 3, 2011, among Avis Budget Holdings, LLC, Avis Budget Car</w:t>
              </w:r>
            </w:hyperlink>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Rental, LLC and certain of its Subsidiaries in favor of JPMorgan Chase Bank, N.A., as Administrative Agent (Incorporated by reference to</w:t>
              </w:r>
            </w:hyperlink>
          </w:p>
        </w:tc>
        <w:tc>
          <w:tcPr>
            <w:tcW w:w="180" w:type="dxa"/>
            <w:vAlign w:val="bottom"/>
            <w:tcBorders>
              <w:right w:val="single" w:sz="8" w:color="auto"/>
            </w:tcBorders>
            <w:gridSpan w:val="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Exhibit 10.2 to the Company’s Current Report on Form 8-K dated May 6, 2011).</w:t>
              </w:r>
            </w:hyperlink>
          </w:p>
        </w:tc>
        <w:tc>
          <w:tcPr>
            <w:tcW w:w="280" w:type="dxa"/>
            <w:vAlign w:val="bottom"/>
            <w:tcBorders>
              <w:right w:val="single" w:sz="8" w:color="auto"/>
            </w:tcBorders>
            <w:gridSpan w:val="1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9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10.45(a)</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20" w:type="dxa"/>
            <w:vAlign w:val="bottom"/>
            <w:tcBorders>
              <w:top w:val="single" w:sz="8" w:color="auto"/>
              <w:right w:val="single" w:sz="8" w:color="auto"/>
            </w:tcBorders>
            <w:gridSpan w:val="26"/>
          </w:tcPr>
          <w:p>
            <w:pPr>
              <w:spacing w:after="0"/>
              <w:rPr>
                <w:rFonts w:ascii="Arial" w:cs="Arial" w:eastAsia="Arial" w:hAnsi="Arial"/>
                <w:sz w:val="16"/>
                <w:szCs w:val="16"/>
                <w:color w:val="0000FF"/>
              </w:rPr>
            </w:pPr>
            <w:hyperlink r:id="rId263">
              <w:r>
                <w:rPr>
                  <w:rFonts w:ascii="Arial" w:cs="Arial" w:eastAsia="Arial" w:hAnsi="Arial"/>
                  <w:sz w:val="16"/>
                  <w:szCs w:val="16"/>
                  <w:color w:val="0000FF"/>
                </w:rPr>
                <w:t>Amendment dated as of March 4, 2013, to the Amended and Restated Credit Agreement and the Amended and Restated Guarantee &amp;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Collateral Agreement, each dated as of May 3, 2011, among Avis Budget Holdings, LLC, Avis Budget Car Rental, LLC and certain of its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16"/>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Subsidiaries, JPMorgan Chase Bank, N.A., as Administrative Agent and certain other signatories thereto (Incorporated by reference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Exhibit 10.2 to the Company’s Current Report on Form 8-K dated March 5, 2013).</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top w:val="single" w:sz="8" w:color="0000FF"/>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10.45(b)</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264">
              <w:r>
                <w:rPr>
                  <w:rFonts w:ascii="Arial" w:cs="Arial" w:eastAsia="Arial" w:hAnsi="Arial"/>
                  <w:sz w:val="16"/>
                  <w:szCs w:val="16"/>
                  <w:color w:val="0000FF"/>
                </w:rPr>
                <w:t>Second Amendment to the Amended and Restated Guarantee &amp; Collateral Agreement, dated as of October 3, 2014,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Holdings, LLC, Avis Budget Car Rental, LLC and certain of its Subsidiaries, in favor of JPMorgan Chase Bank, N.A., as Administrative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580" w:type="dxa"/>
            <w:vAlign w:val="bottom"/>
            <w:tcBorders>
              <w:top w:val="single" w:sz="8" w:color="0000FF"/>
              <w:bottom w:val="single" w:sz="8" w:color="auto"/>
            </w:tcBorders>
            <w:gridSpan w:val="9"/>
          </w:tcPr>
          <w:p>
            <w:pPr>
              <w:spacing w:after="0" w:line="183" w:lineRule="exact"/>
              <w:rPr>
                <w:rFonts w:ascii="Arial" w:cs="Arial" w:eastAsia="Arial" w:hAnsi="Arial"/>
                <w:sz w:val="16"/>
                <w:szCs w:val="16"/>
                <w:u w:val="single" w:color="auto"/>
                <w:color w:val="0000FF"/>
              </w:rPr>
            </w:pPr>
            <w:hyperlink r:id="rId264">
              <w:r>
                <w:rPr>
                  <w:rFonts w:ascii="Arial" w:cs="Arial" w:eastAsia="Arial" w:hAnsi="Arial"/>
                  <w:sz w:val="16"/>
                  <w:szCs w:val="16"/>
                  <w:u w:val="single" w:color="auto"/>
                  <w:color w:val="0000FF"/>
                </w:rPr>
                <w:t>Agent (Incorporated by reference to Exhibit 10.2 to the Company’s Current Report on Form 8-K dated October 6, 2014).</w:t>
              </w:r>
            </w:hyperlink>
          </w:p>
        </w:tc>
        <w:tc>
          <w:tcPr>
            <w:tcW w:w="6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265">
              <w:r>
                <w:rPr>
                  <w:rFonts w:ascii="Arial" w:cs="Arial" w:eastAsia="Arial" w:hAnsi="Arial"/>
                  <w:sz w:val="16"/>
                  <w:szCs w:val="16"/>
                  <w:color w:val="0000FF"/>
                </w:rPr>
                <w:t>Agreement of Resignation, Appointment And Acceptance, dated as of September 5, 2013, by and among Avis Budget Car Rental,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Avis Budget Finance, Inc., The Bank of Nova Scotia Trust Company of New York, as the retiring trustee, and Deutsche Bank Trust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Company Americas, as the successor trustee under the indentures described therein (Incorporated by reference to Exhibit 10.4 to</w:t>
              </w:r>
            </w:hyperlink>
          </w:p>
        </w:tc>
        <w:tc>
          <w:tcPr>
            <w:tcW w:w="720" w:type="dxa"/>
            <w:vAlign w:val="bottom"/>
            <w:tcBorders>
              <w:right w:val="single" w:sz="8" w:color="auto"/>
            </w:tcBorders>
            <w:gridSpan w:val="23"/>
          </w:tcPr>
          <w:p>
            <w:pPr>
              <w:ind w:left="20"/>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the</w:t>
              </w:r>
            </w:hyperlink>
          </w:p>
        </w:tc>
      </w:tr>
      <w:tr>
        <w:trPr>
          <w:trHeight w:val="183"/>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540" w:type="dxa"/>
            <w:vAlign w:val="bottom"/>
            <w:tcBorders>
              <w:top w:val="single" w:sz="8" w:color="0000FF"/>
              <w:bottom w:val="single" w:sz="8" w:color="auto"/>
            </w:tcBorders>
            <w:gridSpan w:val="7"/>
          </w:tcPr>
          <w:p>
            <w:pPr>
              <w:spacing w:after="0" w:line="183" w:lineRule="exact"/>
              <w:rPr>
                <w:rFonts w:ascii="Arial" w:cs="Arial" w:eastAsia="Arial" w:hAnsi="Arial"/>
                <w:sz w:val="16"/>
                <w:szCs w:val="16"/>
                <w:u w:val="single" w:color="auto"/>
                <w:color w:val="0000FF"/>
              </w:rPr>
            </w:pPr>
            <w:hyperlink r:id="rId265">
              <w:r>
                <w:rPr>
                  <w:rFonts w:ascii="Arial" w:cs="Arial" w:eastAsia="Arial" w:hAnsi="Arial"/>
                  <w:sz w:val="16"/>
                  <w:szCs w:val="16"/>
                  <w:u w:val="single" w:color="auto"/>
                  <w:color w:val="0000FF"/>
                </w:rPr>
                <w:t>Company’s Quarterly Report on Form 10-Q for the period ended September 30, 2013, dated November 1, 2013).</w:t>
              </w:r>
            </w:hyperlink>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266">
              <w:r>
                <w:rPr>
                  <w:rFonts w:ascii="Arial" w:cs="Arial" w:eastAsia="Arial" w:hAnsi="Arial"/>
                  <w:sz w:val="16"/>
                  <w:szCs w:val="16"/>
                  <w:color w:val="0000FF"/>
                </w:rPr>
                <w:t>Fourth Master Amendment and Restatement Deed, by and among CarFin Finance International Limited, Credit Agricole Corporate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Investment Bank, Deutsche Trustee Company Limited, Credit Agricole Corporate And Investment Bank, the Opcos, Servicers, Lessees</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26"/>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and Fleetcos listed therein, Avis Budget Car Rental, LLC, Avis Finance Company Limited, Avis Budget EMEA Limited, the Account Banks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9"/>
              </w:rPr>
            </w:pPr>
            <w:hyperlink r:id="rId266">
              <w:r>
                <w:rPr>
                  <w:rFonts w:ascii="Arial" w:cs="Arial" w:eastAsia="Arial" w:hAnsi="Arial"/>
                  <w:sz w:val="16"/>
                  <w:szCs w:val="16"/>
                  <w:color w:val="0000FF"/>
                  <w:w w:val="99"/>
                </w:rPr>
                <w:t>listed therein, Deutsche Bank Ag, London Branch, the Senior Noteholders listed therein, Structured Finance Management (Ireland) Limited,</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gridSpan w:val="24"/>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CarFin Finance Holdings Limited, Intertrust (Netherlands) B.V. And Vistra B.V., Credit Agricole Corporate And Investment Bank, FCT</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CarFin, Caceis Bank France, Caceis Corporate Trust, Deutsche Bank Luxembourg S.A. and Fiserv Automotive Solutions, Inc., dated</w:t>
              </w:r>
            </w:hyperlink>
          </w:p>
        </w:tc>
        <w:tc>
          <w:tcPr>
            <w:tcW w:w="20" w:type="dxa"/>
            <w:vAlign w:val="bottom"/>
            <w:tcBorders>
              <w:bottom w:val="single" w:sz="8" w:color="0000FF"/>
            </w:tcBorders>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6"/>
          </w:tcPr>
          <w:p>
            <w:pPr>
              <w:spacing w:after="0" w:line="144" w:lineRule="exact"/>
              <w:rPr>
                <w:rFonts w:ascii="Arial" w:cs="Arial" w:eastAsia="Arial" w:hAnsi="Arial"/>
                <w:sz w:val="16"/>
                <w:szCs w:val="16"/>
                <w:u w:val="single" w:color="auto"/>
                <w:color w:val="0000FF"/>
              </w:rPr>
            </w:pPr>
            <w:hyperlink r:id="rId266">
              <w:r>
                <w:rPr>
                  <w:rFonts w:ascii="Arial" w:cs="Arial" w:eastAsia="Arial" w:hAnsi="Arial"/>
                  <w:sz w:val="16"/>
                  <w:szCs w:val="16"/>
                  <w:u w:val="single" w:color="auto"/>
                  <w:color w:val="0000FF"/>
                </w:rPr>
                <w:t>December 15, 2014 (Incorporated by reference to Exhibit 10.1 to the Company’s Current Report on Form 8-K dated December 19,</w:t>
              </w:r>
            </w:hyperlink>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r:id="rId266">
              <w:r>
                <w:rPr>
                  <w:rFonts w:ascii="Arial" w:cs="Arial" w:eastAsia="Arial" w:hAnsi="Arial"/>
                  <w:sz w:val="16"/>
                  <w:szCs w:val="16"/>
                  <w:u w:val="single" w:color="auto"/>
                  <w:color w:val="0000FF"/>
                </w:rPr>
                <w:t>2014).††</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72" w:lineRule="exact"/>
              <w:rPr>
                <w:rFonts w:ascii="Arial" w:cs="Arial" w:eastAsia="Arial" w:hAnsi="Arial"/>
                <w:sz w:val="16"/>
                <w:szCs w:val="16"/>
                <w:color w:val="0000FF"/>
              </w:rPr>
            </w:pPr>
            <w:hyperlink r:id="rId267">
              <w:r>
                <w:rPr>
                  <w:rFonts w:ascii="Arial" w:cs="Arial" w:eastAsia="Arial" w:hAnsi="Arial"/>
                  <w:sz w:val="16"/>
                  <w:szCs w:val="16"/>
                  <w:color w:val="0000FF"/>
                </w:rPr>
                <w:t>Seventh Master Amendment and Restatement Deed, by and among CarFin Finance International Limited, Credit Agricole Corporate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Investment Bank, Deutsche Trustee Company Limited, Credit Agricole Corporate And Investment Bank, the Opcos, Servicers, Lessees</w:t>
              </w:r>
            </w:hyperlink>
          </w:p>
        </w:tc>
        <w:tc>
          <w:tcPr>
            <w:tcW w:w="1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26"/>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and Fleetcos listed therein, Avis Budget Car Rental, LLC, Avis Finance Company Limited, Avis Budget EMEA Limited, the Account Banks</w:t>
              </w:r>
            </w:hyperlink>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0"/>
          </w:tcPr>
          <w:p>
            <w:pPr>
              <w:spacing w:after="0" w:line="144" w:lineRule="exact"/>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listed therein, Deutsche Bank Ag, London Branch, the Senior Noteholders and certain other entities named therein, dated January 22,</w:t>
              </w:r>
            </w:hyperlink>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2016 (Incorporated by reference to Exhibit 10.6 to the Company’s Current Report on Form 8-K dated April 21, 2016).††</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72" w:lineRule="exact"/>
              <w:rPr>
                <w:rFonts w:ascii="Arial" w:cs="Arial" w:eastAsia="Arial" w:hAnsi="Arial"/>
                <w:sz w:val="16"/>
                <w:szCs w:val="16"/>
                <w:color w:val="0000FF"/>
              </w:rPr>
            </w:pPr>
            <w:hyperlink r:id="rId268">
              <w:r>
                <w:rPr>
                  <w:rFonts w:ascii="Arial" w:cs="Arial" w:eastAsia="Arial" w:hAnsi="Arial"/>
                  <w:sz w:val="16"/>
                  <w:szCs w:val="16"/>
                  <w:color w:val="0000FF"/>
                </w:rPr>
                <w:t>Ninth Master Amendment and Restatement Deed, by and among CarFin Finance International Limited, Credit Agricole Corporate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9"/>
              </w:rPr>
            </w:pPr>
            <w:hyperlink r:id="rId268">
              <w:r>
                <w:rPr>
                  <w:rFonts w:ascii="Arial" w:cs="Arial" w:eastAsia="Arial" w:hAnsi="Arial"/>
                  <w:sz w:val="16"/>
                  <w:szCs w:val="16"/>
                  <w:color w:val="0000FF"/>
                  <w:w w:val="99"/>
                </w:rPr>
                <w:t>Investment Bank, Deutsche Trustee Company Limited, Credit Agricole Corporate And Investment Bank, the Opcos, Servicers, Lessees</w:t>
              </w:r>
            </w:hyperlink>
          </w:p>
        </w:tc>
        <w:tc>
          <w:tcPr>
            <w:tcW w:w="8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26"/>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and Fleetcos listed therein, Avis Budget Car Rental, LLC, Avis Finance Company Limited, Avis Budget EMEA Limited, the Account Banks</w:t>
              </w:r>
            </w:hyperlink>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0"/>
          </w:tcPr>
          <w:p>
            <w:pPr>
              <w:spacing w:after="0" w:line="144" w:lineRule="exact"/>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listed therein, Deutsche Bank Ag, London Branch, the Senior Noteholders and certain other entities named therein, dated May 16, 2017</w:t>
              </w:r>
            </w:hyperlink>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r:id="rId268">
              <w:r>
                <w:rPr>
                  <w:rFonts w:ascii="Arial" w:cs="Arial" w:eastAsia="Arial" w:hAnsi="Arial"/>
                  <w:sz w:val="16"/>
                  <w:szCs w:val="16"/>
                  <w:u w:val="single" w:color="auto"/>
                  <w:color w:val="0000FF"/>
                </w:rPr>
                <w:t>(Incorporated by reference to Exhibit 10.1 to the Company’s Current Report on Form 8-K dated May 22, 2017).††</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bottom w:val="single" w:sz="8" w:color="0000FF"/>
            </w:tcBorders>
            <w:gridSpan w:val="4"/>
          </w:tcPr>
          <w:p>
            <w:pPr>
              <w:spacing w:after="0" w:line="172" w:lineRule="exact"/>
              <w:rPr>
                <w:rFonts w:ascii="Arial" w:cs="Arial" w:eastAsia="Arial" w:hAnsi="Arial"/>
                <w:sz w:val="16"/>
                <w:szCs w:val="16"/>
                <w:color w:val="0000FF"/>
              </w:rPr>
            </w:pPr>
            <w:hyperlink r:id="rId269">
              <w:r>
                <w:rPr>
                  <w:rFonts w:ascii="Arial" w:cs="Arial" w:eastAsia="Arial" w:hAnsi="Arial"/>
                  <w:sz w:val="16"/>
                  <w:szCs w:val="16"/>
                  <w:color w:val="0000FF"/>
                </w:rPr>
                <w:t>Tenth Master Amendment and Restatement Deed, by and among CarFin Finance International, DAC, Credit Agricole Corporate and</w:t>
              </w:r>
            </w:hyperlink>
          </w:p>
        </w:tc>
        <w:tc>
          <w:tcPr>
            <w:tcW w:w="580" w:type="dxa"/>
            <w:vAlign w:val="bottom"/>
            <w:tcBorders>
              <w:right w:val="single" w:sz="8" w:color="auto"/>
            </w:tcBorders>
            <w:gridSpan w:val="22"/>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26"/>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Investment Bank, Deutsche Trustee Company Limited, Credit Agricole Corporate and Investment Bank, the Opcos, Servicers, Lessees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FleetCos listed herein. Avis Budget Car Rental, LLC, Avis Finance Company Limited, Avis Budget EMEA Limited, the Account Banks listed</w:t>
              </w:r>
            </w:hyperlink>
          </w:p>
        </w:tc>
        <w:tc>
          <w:tcPr>
            <w:tcW w:w="40" w:type="dxa"/>
            <w:vAlign w:val="bottom"/>
            <w:tcBorders>
              <w:right w:val="single" w:sz="8" w:color="auto"/>
            </w:tcBorders>
          </w:tcPr>
          <w:p>
            <w:pPr>
              <w:spacing w:after="0"/>
              <w:rPr>
                <w:sz w:val="12"/>
                <w:szCs w:val="12"/>
                <w:color w:val="auto"/>
              </w:rPr>
            </w:pPr>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3"/>
          </w:tcPr>
          <w:p>
            <w:pPr>
              <w:spacing w:after="0" w:line="144" w:lineRule="exact"/>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therein, Deutsche Bank Ag. London Branch, the Senior Noteholders and certain other entities named therein, dated May 30, 2018</w:t>
              </w:r>
            </w:hyperlink>
          </w:p>
        </w:tc>
        <w:tc>
          <w:tcPr>
            <w:tcW w:w="100" w:type="dxa"/>
            <w:vAlign w:val="bottom"/>
            <w:tcBorders>
              <w:right w:val="single" w:sz="8" w:color="auto"/>
            </w:tcBorders>
            <w:gridSpan w:val="3"/>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r:id="rId269">
              <w:r>
                <w:rPr>
                  <w:rFonts w:ascii="Arial" w:cs="Arial" w:eastAsia="Arial" w:hAnsi="Arial"/>
                  <w:sz w:val="16"/>
                  <w:szCs w:val="16"/>
                  <w:u w:val="single" w:color="auto"/>
                  <w:color w:val="0000FF"/>
                </w:rPr>
                <w:t>(Incorporated by reference to Exhibit 10.1 to the Company’s Current Report on Form 8-K dated June 5, 2018).††</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10.51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72" w:lineRule="exact"/>
              <w:rPr>
                <w:rFonts w:ascii="Arial" w:cs="Arial" w:eastAsia="Arial" w:hAnsi="Arial"/>
                <w:sz w:val="16"/>
                <w:szCs w:val="16"/>
                <w:color w:val="0000FF"/>
              </w:rPr>
            </w:pPr>
            <w:hyperlink r:id="rId270">
              <w:r>
                <w:rPr>
                  <w:rFonts w:ascii="Arial" w:cs="Arial" w:eastAsia="Arial" w:hAnsi="Arial"/>
                  <w:sz w:val="16"/>
                  <w:szCs w:val="16"/>
                  <w:color w:val="0000FF"/>
                </w:rPr>
                <w:t>Eleventh Master Amendment and Restatement Deed, by and among CarFin Finance International DAC, Credit Agricole Corporate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Investment Bank, Deutsche Trustee Company Limited, Credit Agricole Corporate And Investment Bank, the Opcos, Servicers, Lessees</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160" w:type="dxa"/>
            <w:vAlign w:val="bottom"/>
            <w:tcBorders>
              <w:right w:val="single" w:sz="8" w:color="auto"/>
            </w:tcBorders>
            <w:gridSpan w:val="4"/>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right w:val="single" w:sz="8" w:color="auto"/>
            </w:tcBorders>
            <w:gridSpan w:val="26"/>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and FleetCos listed therein, Avis Budget Car Rental, LLC, Avis Finance Company Limited, Avis Budget EMEA Limited, the Account Banks</w:t>
              </w:r>
            </w:hyperlink>
          </w:p>
        </w:tc>
      </w:tr>
      <w:tr>
        <w:trPr>
          <w:trHeight w:val="144"/>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2"/>
          </w:tcPr>
          <w:p>
            <w:pPr>
              <w:spacing w:after="0" w:line="144" w:lineRule="exact"/>
              <w:rPr>
                <w:rFonts w:ascii="Arial" w:cs="Arial" w:eastAsia="Arial" w:hAnsi="Arial"/>
                <w:sz w:val="16"/>
                <w:szCs w:val="16"/>
                <w:u w:val="single" w:color="auto"/>
                <w:color w:val="0000FF"/>
              </w:rPr>
            </w:pPr>
            <w:hyperlink r:id="rId270">
              <w:r>
                <w:rPr>
                  <w:rFonts w:ascii="Arial" w:cs="Arial" w:eastAsia="Arial" w:hAnsi="Arial"/>
                  <w:sz w:val="16"/>
                  <w:szCs w:val="16"/>
                  <w:u w:val="single" w:color="auto"/>
                  <w:color w:val="0000FF"/>
                </w:rPr>
                <w:t>listed therein, Deutsche Bank Ag, London Branch, the Senior Noteholders and certain other entities named therein, dated November 3,</w:t>
              </w:r>
            </w:hyperlink>
          </w:p>
        </w:tc>
        <w:tc>
          <w:tcPr>
            <w:tcW w:w="160" w:type="dxa"/>
            <w:vAlign w:val="bottom"/>
            <w:tcBorders>
              <w:right w:val="single" w:sz="8" w:color="auto"/>
            </w:tcBorders>
            <w:gridSpan w:val="4"/>
          </w:tcPr>
          <w:p>
            <w:pPr>
              <w:spacing w:after="0"/>
              <w:rPr>
                <w:sz w:val="12"/>
                <w:szCs w:val="12"/>
                <w:color w:val="auto"/>
              </w:rPr>
            </w:pP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r:id="rId270">
              <w:r>
                <w:rPr>
                  <w:rFonts w:ascii="Arial" w:cs="Arial" w:eastAsia="Arial" w:hAnsi="Arial"/>
                  <w:sz w:val="16"/>
                  <w:szCs w:val="16"/>
                  <w:u w:val="single" w:color="auto"/>
                  <w:color w:val="0000FF"/>
                </w:rPr>
                <w:t>2020 (Incorporated by reference to Exhibit 10.1 to the Company's Current Report on Form 8-K dated November 9, 2020).††</w:t>
              </w:r>
            </w:hyperlink>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color w:val="0000FF"/>
              </w:rPr>
            </w:pPr>
            <w:hyperlink w:anchor="page128">
              <w:r>
                <w:rPr>
                  <w:rFonts w:ascii="Arial" w:cs="Arial" w:eastAsia="Arial" w:hAnsi="Arial"/>
                  <w:sz w:val="16"/>
                  <w:szCs w:val="16"/>
                  <w:u w:val="single" w:color="auto"/>
                  <w:color w:val="0000FF"/>
                </w:rPr>
                <w:t>Subsidiaries of Registrant</w:t>
              </w:r>
              <w:r>
                <w:rPr>
                  <w:rFonts w:ascii="Arial" w:cs="Arial" w:eastAsia="Arial" w:hAnsi="Arial"/>
                  <w:sz w:val="16"/>
                  <w:szCs w:val="16"/>
                  <w:color w:val="0000FF"/>
                </w:rPr>
                <w:t>.</w:t>
              </w:r>
            </w:hyperlink>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w:anchor="page132">
              <w:r>
                <w:rPr>
                  <w:rFonts w:ascii="Arial" w:cs="Arial" w:eastAsia="Arial" w:hAnsi="Arial"/>
                  <w:sz w:val="16"/>
                  <w:szCs w:val="16"/>
                  <w:u w:val="single" w:color="auto"/>
                  <w:color w:val="0000FF"/>
                </w:rPr>
                <w:t>Consent of Deloitte &amp; Touche LLP.</w:t>
              </w:r>
            </w:hyperlink>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72" w:lineRule="exact"/>
              <w:rPr>
                <w:rFonts w:ascii="Arial" w:cs="Arial" w:eastAsia="Arial" w:hAnsi="Arial"/>
                <w:sz w:val="16"/>
                <w:szCs w:val="16"/>
                <w:color w:val="0000FF"/>
              </w:rPr>
            </w:pPr>
            <w:hyperlink w:anchor="page133">
              <w:r>
                <w:rPr>
                  <w:rFonts w:ascii="Arial" w:cs="Arial" w:eastAsia="Arial" w:hAnsi="Arial"/>
                  <w:sz w:val="16"/>
                  <w:szCs w:val="16"/>
                  <w:color w:val="0000FF"/>
                </w:rPr>
                <w:t>Certification of Chief Executive Officer pursuant to Rules 13(a)-14(a) and 15(d)-14(a) promulgated under the Securities Exchange Act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133">
              <w:r>
                <w:rPr>
                  <w:rFonts w:ascii="Arial" w:cs="Arial" w:eastAsia="Arial" w:hAnsi="Arial"/>
                  <w:sz w:val="16"/>
                  <w:szCs w:val="16"/>
                  <w:color w:val="0000FF"/>
                </w:rPr>
                <w:t>1934, as amended.</w:t>
              </w:r>
            </w:hyperlink>
          </w:p>
        </w:tc>
        <w:tc>
          <w:tcPr>
            <w:tcW w:w="260" w:type="dxa"/>
            <w:vAlign w:val="bottom"/>
            <w:tcBorders>
              <w:right w:val="single" w:sz="8" w:color="auto"/>
            </w:tcBorders>
            <w:gridSpan w:val="9"/>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w:anchor="page134">
              <w:r>
                <w:rPr>
                  <w:rFonts w:ascii="Arial" w:cs="Arial" w:eastAsia="Arial" w:hAnsi="Arial"/>
                  <w:sz w:val="16"/>
                  <w:szCs w:val="16"/>
                  <w:color w:val="0000FF"/>
                </w:rPr>
                <w:t>Certification of Chief Financial Officer pursuant to Rules 13(a)-14(a) and 15(d)-14(a) promulgated under the Securities Exchange Act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w:anchor="page134">
              <w:r>
                <w:rPr>
                  <w:rFonts w:ascii="Arial" w:cs="Arial" w:eastAsia="Arial" w:hAnsi="Arial"/>
                  <w:sz w:val="16"/>
                  <w:szCs w:val="16"/>
                  <w:color w:val="0000FF"/>
                </w:rPr>
                <w:t>1934, as amended.</w:t>
              </w:r>
            </w:hyperlink>
          </w:p>
        </w:tc>
        <w:tc>
          <w:tcPr>
            <w:tcW w:w="320" w:type="dxa"/>
            <w:vAlign w:val="bottom"/>
            <w:tcBorders>
              <w:right w:val="single" w:sz="8" w:color="auto"/>
            </w:tcBorders>
            <w:gridSpan w:val="1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Certifications Pursuant to 18 U.S.C. Section 1350, as Adopted Pursuant to Section 906 of the Sarbanes-Oxley Act of 2002.</w:t>
              </w:r>
            </w:hyperlink>
          </w:p>
        </w:tc>
      </w:tr>
      <w:tr>
        <w:trPr>
          <w:trHeight w:val="174"/>
        </w:trPr>
        <w:tc>
          <w:tcPr>
            <w:tcW w:w="1140" w:type="dxa"/>
            <w:vAlign w:val="bottom"/>
            <w:tcBorders>
              <w:left w:val="single" w:sz="8" w:color="auto"/>
              <w:right w:val="single" w:sz="8" w:color="auto"/>
            </w:tcBorders>
          </w:tcPr>
          <w:p>
            <w:pPr>
              <w:ind w:left="40"/>
              <w:spacing w:after="0" w:line="174" w:lineRule="exact"/>
              <w:rPr>
                <w:sz w:val="20"/>
                <w:szCs w:val="20"/>
                <w:color w:val="auto"/>
              </w:rPr>
            </w:pPr>
            <w:r>
              <w:rPr>
                <w:rFonts w:ascii="Arial" w:cs="Arial" w:eastAsia="Arial" w:hAnsi="Arial"/>
                <w:sz w:val="16"/>
                <w:szCs w:val="16"/>
                <w:color w:val="auto"/>
              </w:rPr>
              <w:t>101.INS</w:t>
            </w: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tcBorders>
              <w:right w:val="single" w:sz="8" w:color="auto"/>
            </w:tcBorders>
            <w:gridSpan w:val="26"/>
          </w:tcPr>
          <w:p>
            <w:pPr>
              <w:spacing w:after="0" w:line="17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8"/>
        </w:trPr>
        <w:tc>
          <w:tcPr>
            <w:tcW w:w="11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Label Linkbase.</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2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2" w:lineRule="exact"/>
        <w:rPr>
          <w:sz w:val="20"/>
          <w:szCs w:val="20"/>
          <w:color w:val="auto"/>
        </w:rPr>
      </w:pPr>
    </w:p>
    <w:p>
      <w:pPr>
        <w:ind w:left="1020" w:hanging="994"/>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32" w:lineRule="exact"/>
        <w:rPr>
          <w:sz w:val="20"/>
          <w:szCs w:val="20"/>
          <w:color w:val="auto"/>
        </w:rPr>
      </w:pPr>
    </w:p>
    <w:p>
      <w:pPr>
        <w:ind w:left="1020" w:hanging="994"/>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32" w:lineRule="exact"/>
        <w:rPr>
          <w:rFonts w:ascii="Arial" w:cs="Arial" w:eastAsia="Arial" w:hAnsi="Arial"/>
          <w:sz w:val="16"/>
          <w:szCs w:val="16"/>
          <w:color w:val="auto"/>
        </w:rPr>
      </w:pPr>
    </w:p>
    <w:p>
      <w:pPr>
        <w:ind w:left="1020" w:right="80" w:hanging="994"/>
        <w:spacing w:after="0" w:line="232"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spacing w:after="0" w:line="22" w:lineRule="exact"/>
        <w:rPr>
          <w:rFonts w:ascii="Arial" w:cs="Arial" w:eastAsia="Arial" w:hAnsi="Arial"/>
          <w:sz w:val="16"/>
          <w:szCs w:val="16"/>
          <w:color w:val="auto"/>
        </w:rPr>
      </w:pPr>
    </w:p>
    <w:p>
      <w:pPr>
        <w:ind w:left="1020" w:hanging="994"/>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32" w:lineRule="exact"/>
        <w:rPr>
          <w:sz w:val="20"/>
          <w:szCs w:val="20"/>
          <w:color w:val="auto"/>
        </w:rPr>
      </w:pPr>
    </w:p>
    <w:p>
      <w:pPr>
        <w:ind w:left="1020" w:hanging="994"/>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32" w:lineRule="exact"/>
        <w:rPr>
          <w:sz w:val="20"/>
          <w:szCs w:val="20"/>
          <w:color w:val="auto"/>
        </w:rPr>
      </w:pPr>
    </w:p>
    <w:p>
      <w:pPr>
        <w:ind w:left="1020" w:hanging="994"/>
        <w:spacing w:after="0" w:line="232" w:lineRule="auto"/>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060"/>
          </w:cols>
          <w:pgMar w:left="320" w:top="140" w:right="519" w:bottom="1440" w:gutter="0" w:footer="0" w:header="0"/>
        </w:sectPr>
      </w:pPr>
    </w:p>
    <w:bookmarkStart w:id="115" w:name="page116"/>
    <w:bookmarkEnd w:id="115"/>
    <w:p>
      <w:pPr>
        <w:ind w:left="10320"/>
        <w:spacing w:after="0"/>
        <w:rPr>
          <w:sz w:val="20"/>
          <w:szCs w:val="20"/>
          <w:color w:val="auto"/>
        </w:rPr>
      </w:pPr>
      <w:r>
        <w:rPr>
          <w:rFonts w:ascii="Arial" w:cs="Arial" w:eastAsia="Arial" w:hAnsi="Arial"/>
          <w:sz w:val="16"/>
          <w:szCs w:val="16"/>
          <w:b w:val="1"/>
          <w:bCs w:val="1"/>
          <w:color w:val="auto"/>
        </w:rPr>
        <w:t>Exhibit 4.15</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right="560" w:firstLine="170"/>
        <w:spacing w:after="0" w:line="277" w:lineRule="auto"/>
        <w:rPr>
          <w:sz w:val="20"/>
          <w:szCs w:val="20"/>
          <w:color w:val="auto"/>
        </w:rPr>
      </w:pPr>
      <w:r>
        <w:rPr>
          <w:rFonts w:ascii="Arial" w:cs="Arial" w:eastAsia="Arial" w:hAnsi="Arial"/>
          <w:sz w:val="18"/>
          <w:szCs w:val="18"/>
          <w:color w:val="auto"/>
        </w:rPr>
        <w:t>Avis Budget Group, Inc., a Delaware corporation (the “Company”), has the following classes of securities registered pursuant to Section 12 of the Securities Exchange Act of 1934,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description of the Company’s common stock, par value $0.01 per share (the “Common Stock”), is a summary and does not purport to be complete. It is subject to and qualified in its entirety by reference to the Company’s amended and restated certificate of incorporation (the “Certificate of Incorporation”) and amended and restated bylaws (the “Bylaws”), which are incorporated by reference as exhibits to the Annual Report on Form 10-K of which this exhibit is a part, and which we encourage you to refer to. In addition, you should refer to the General Corporation Law of Delaware, as amended (the “DGCL”), which may also affect the terms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authorizes the Company to issue 260,000,000 shares, consisting of 250,000,000 shares of Common Stock and 10,000,000 shares of preferred stock, par value $0.01 per share (the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holder of each share of Common Stock is entitled to cast one vote on all matters submitted to a vote of stockholders. Holders of Common Stock do not have cumulative voting rights. Each share will continue to have one vote following a stock split, stock dividend or similar reclassification.</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affirmative vote of the holders of at least 80% of the voting power of all shares of Common Stock shall be required to alter, amend, adopt any provision inconsistent with, or repeal certain provisions in the Company’s Certificate of Incorporation related to the election of directors, stockholder nomination of directors, newly created directorships and vacancies, stockholder action, by-law amendments or charter amendments, and certain provisions in the Bylaws related to annual or special meetings of stockholders or stockholder action.</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as further described below, the affirmative vote of the holders of at least 80% of the voting power of all shares of Common Stock shall be required to approve certain transactions with an interested stockholder or affiliate thereof, unless such transaction meets certain pricing requirements and is approved by a majority of disinterested directors. This voting requirement is notwithstanding the requirements of any law, agreement with any national securities exchange or otherwise. An “interested stockholder” is any person that (i) is the beneficial owner of 5% or more of the Common Stock, (ii) is an affiliate of the Company and within the last two years was the beneficial owner of 5% or more of the Common Stock or (iii) is an assignee of or successor to shares of Common Stock which were owned by such persons within the last two years. The Board of Directors of the Company (the “Board”), by majority vote, has the power and authority to determine whether a person is an “interested stockholder” or an affiliate thereof, the beneficial ownership of such person, and whether any transaction meets the pricing requirements referred to above.</w:t>
      </w:r>
    </w:p>
    <w:p>
      <w:pPr>
        <w:sectPr>
          <w:pgSz w:w="11900" w:h="16838" w:orient="portrait"/>
          <w:cols w:equalWidth="0" w:num="1">
            <w:col w:w="11240"/>
          </w:cols>
          <w:pgMar w:left="320" w:top="143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Subject to the rights of the holders of Preferred Stock, the Company is permitted to pay dividends from time to time on Common Stock out of the assets or funds of the Company legally available for the payment of dividends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After payment of or provision for all liabilities, including contingent liabilities, of the Company and payment of the liquidation preference payable to any holders of Preferred Stock, if any, holders of Common Stock are entitled, upon voluntary or involuntary liquidation, dissolution or winding-up of the Company, to receive their proportionate interest in the net assets of the Company, if any, remaining for distribution to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holders of Common Stock have no preemptive or conversion rights and are not subject to further calls or assessments. There are no redemption or sinking fund provisions or restrictions on alienability applicable to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 Defense</w:t>
      </w:r>
    </w:p>
    <w:p>
      <w:pPr>
        <w:spacing w:after="0" w:line="22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Certain provisions of the Certificate of Incorporation, the By-laws and the DGCL have anti-takeover effects and could delay, discourage, defer or prevent a tender offer or takeover attempt that a shareholder might consider to be in the shareholder’s best interests, including attempts that might result in a premium over the market price for the shares held by shareholders, and may make removal of the incumbent management and directors more difficult.</w:t>
      </w:r>
    </w:p>
    <w:p>
      <w:pPr>
        <w:spacing w:after="0" w:line="149"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authorized but unissued shares of Common Stock and Preferred Stock will be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1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Board will have the sole authority to determine the terms of any one or more series of Preferred Stock, including voting rights, dividend rates, conversion and redemption rights and liquidation preferences. As a result of the ability to fix voting rights for a series of Preferred Stock, the Board will have the power to the extent consistent with its legal duties to issue a series of Preferred Stock to persons friendly to management in order to attempt to block a tender offer, merger or other transaction by which a third-party seeks control of the Company, and thereby assist members of management to retain their positions.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i w:val="1"/>
          <w:iCs w:val="1"/>
          <w:color w:val="auto"/>
        </w:rPr>
        <w:t>No Stockholder Action by Written Consent; Special Meetings</w:t>
      </w:r>
      <w:r>
        <w:rPr>
          <w:rFonts w:ascii="Arial" w:cs="Arial" w:eastAsia="Arial" w:hAnsi="Arial"/>
          <w:sz w:val="16"/>
          <w:szCs w:val="16"/>
          <w:color w:val="auto"/>
        </w:rPr>
        <w:t>. Any action required or permitted to be taken by the stockholders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duly effected at an annual or special meeting of such holders and may not be taken by any consent in writing by such holders. Special meetings of stockholders of the Company may be called only by the Chairman of the Board, the President or a majority of the full Board pursuant to a resolution stating the purpose or purposes of the special meeting. No business other than that stated in the notice shall be transacted at any special meeting.</w:t>
      </w:r>
    </w:p>
    <w:p>
      <w:pPr>
        <w:spacing w:after="0" w:line="157"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i w:val="1"/>
          <w:iCs w:val="1"/>
          <w:color w:val="auto"/>
        </w:rPr>
        <w:t>Advance Notice for Stockholder Nominations and Proposals of New Business</w:t>
      </w:r>
      <w:r>
        <w:rPr>
          <w:rFonts w:ascii="Arial" w:cs="Arial" w:eastAsia="Arial" w:hAnsi="Arial"/>
          <w:sz w:val="17"/>
          <w:szCs w:val="17"/>
          <w:color w:val="auto"/>
        </w:rPr>
        <w:t>. The Bylaws establish an advance notice procedure. This procedure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stockholders to deliver to the Company notice of any proposal to be presented at an annual meeting of stockholders not less than 60 nor more than 90 days prior to the anniversary of the preceding annual meeting of stockholders, and notice of a candidate to be nominated for election as a director of the Company at an annual meeting of stockholders not less than 90 days prior to such anniversary. However, in both instances, if the date of the meeting is not within 25 days of such anniversary or with respect to director nominations</w:t>
      </w:r>
    </w:p>
    <w:p>
      <w:pPr>
        <w:sectPr>
          <w:pgSz w:w="11900" w:h="16838" w:orient="portrait"/>
          <w:cols w:equalWidth="0" w:num="1">
            <w:col w:w="11220"/>
          </w:cols>
          <w:pgMar w:left="320" w:top="1417" w:right="359" w:bottom="1440" w:gutter="0" w:footer="0" w:header="0"/>
        </w:sectPr>
      </w:pPr>
    </w:p>
    <w:bookmarkStart w:id="117" w:name="page118"/>
    <w:bookmarkEnd w:id="117"/>
    <w:p>
      <w:pPr>
        <w:ind w:right="220"/>
        <w:spacing w:after="0" w:line="277" w:lineRule="auto"/>
        <w:rPr>
          <w:sz w:val="20"/>
          <w:szCs w:val="20"/>
          <w:color w:val="auto"/>
        </w:rPr>
      </w:pPr>
      <w:r>
        <w:rPr>
          <w:rFonts w:ascii="Arial" w:cs="Arial" w:eastAsia="Arial" w:hAnsi="Arial"/>
          <w:sz w:val="18"/>
          <w:szCs w:val="18"/>
          <w:color w:val="auto"/>
        </w:rPr>
        <w:t>for an election to be held at a special meeting of stockholders, advance notice shall be given not later than 10 days after the actual meeting date is first so announced or notice thereof was mailed, whichever first occurs.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i w:val="1"/>
          <w:iCs w:val="1"/>
          <w:color w:val="auto"/>
        </w:rPr>
        <w:t>Delaware Business Combination Statute</w:t>
      </w:r>
      <w:r>
        <w:rPr>
          <w:rFonts w:ascii="Arial" w:cs="Arial" w:eastAsia="Arial" w:hAnsi="Arial"/>
          <w:sz w:val="16"/>
          <w:szCs w:val="16"/>
          <w:color w:val="auto"/>
        </w:rPr>
        <w:t>. The Company is subject to Section 203 of the DGCL, an anti-takeover law. In general, 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publicly held Delaware corporation from engaging in a business combination with an interested stockholder for a period of three years following the date such person becomes an interested stockholder, unless the business combination or the transaction in which such person becomes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and the anti-takeover effect includes discouraging attempts that might result in a premium over the market price for the shares of Common Stock.</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approval requirements under Delaware law, the Certificate of Incorporation includes additional requirements concerning certain “business combinations” which is defined in the Certificate of Incorporation to include any of the following:</w:t>
      </w:r>
    </w:p>
    <w:p>
      <w:pPr>
        <w:spacing w:after="0" w:line="184" w:lineRule="exact"/>
        <w:rPr>
          <w:sz w:val="20"/>
          <w:szCs w:val="20"/>
          <w:color w:val="auto"/>
        </w:rPr>
      </w:pPr>
    </w:p>
    <w:p>
      <w:pPr>
        <w:ind w:left="980" w:hanging="324"/>
        <w:spacing w:after="0" w:line="266"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of the Company or any majority-owned subsidiary with (a) any interested stockholder or (b) any other corporation (whether or not itself an interested stockholder) that is, or after such merger or consolidation would be, an affiliate of an interested stockholder;</w:t>
      </w:r>
    </w:p>
    <w:p>
      <w:pPr>
        <w:spacing w:after="0" w:line="13" w:lineRule="exact"/>
        <w:rPr>
          <w:rFonts w:ascii="Arial" w:cs="Arial" w:eastAsia="Arial" w:hAnsi="Arial"/>
          <w:sz w:val="18"/>
          <w:szCs w:val="18"/>
          <w:color w:val="auto"/>
        </w:rPr>
      </w:pPr>
    </w:p>
    <w:p>
      <w:pPr>
        <w:ind w:left="980" w:right="160" w:hanging="324"/>
        <w:spacing w:after="0" w:line="261" w:lineRule="auto"/>
        <w:tabs>
          <w:tab w:leader="none" w:pos="905" w:val="left"/>
        </w:tabs>
        <w:numPr>
          <w:ilvl w:val="0"/>
          <w:numId w:val="77"/>
        </w:numPr>
        <w:rPr>
          <w:rFonts w:ascii="Arial" w:cs="Arial" w:eastAsia="Arial" w:hAnsi="Arial"/>
          <w:sz w:val="20"/>
          <w:szCs w:val="20"/>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stockholder of any assets of the Company or any majority-owned subsidiary having an aggregate fair market value of $10 million or more;</w:t>
      </w:r>
    </w:p>
    <w:p>
      <w:pPr>
        <w:spacing w:after="0" w:line="15" w:lineRule="exact"/>
        <w:rPr>
          <w:rFonts w:ascii="Arial" w:cs="Arial" w:eastAsia="Arial" w:hAnsi="Arial"/>
          <w:sz w:val="20"/>
          <w:szCs w:val="20"/>
          <w:color w:val="auto"/>
        </w:rPr>
      </w:pPr>
    </w:p>
    <w:p>
      <w:pPr>
        <w:ind w:left="980" w:right="60" w:hanging="324"/>
        <w:spacing w:after="0" w:line="261" w:lineRule="auto"/>
        <w:tabs>
          <w:tab w:leader="none" w:pos="905" w:val="left"/>
        </w:tabs>
        <w:numPr>
          <w:ilvl w:val="0"/>
          <w:numId w:val="77"/>
        </w:numPr>
        <w:rPr>
          <w:rFonts w:ascii="Arial" w:cs="Arial" w:eastAsia="Arial" w:hAnsi="Arial"/>
          <w:sz w:val="20"/>
          <w:szCs w:val="20"/>
          <w:color w:val="auto"/>
        </w:rPr>
      </w:pPr>
      <w:r>
        <w:rPr>
          <w:rFonts w:ascii="Arial" w:cs="Arial" w:eastAsia="Arial" w:hAnsi="Arial"/>
          <w:sz w:val="18"/>
          <w:szCs w:val="18"/>
          <w:color w:val="auto"/>
        </w:rPr>
        <w:t>the issuance or transfer by the Company or any majority-owned subsidiary (in one transaction or series of transactions) of any securities of the Company or any majority-owned subsidiary to any interested stockholder in exchange for cash, securities or other property (or a combination thereof) having an aggregate fair market value of $10 million or more;</w:t>
      </w:r>
    </w:p>
    <w:p>
      <w:pPr>
        <w:spacing w:after="0" w:line="15" w:lineRule="exact"/>
        <w:rPr>
          <w:rFonts w:ascii="Arial" w:cs="Arial" w:eastAsia="Arial" w:hAnsi="Arial"/>
          <w:sz w:val="20"/>
          <w:szCs w:val="20"/>
          <w:color w:val="auto"/>
        </w:rPr>
      </w:pPr>
    </w:p>
    <w:p>
      <w:pPr>
        <w:ind w:left="980" w:right="160" w:hanging="324"/>
        <w:spacing w:after="0" w:line="259" w:lineRule="auto"/>
        <w:tabs>
          <w:tab w:leader="none" w:pos="905" w:val="left"/>
        </w:tabs>
        <w:numPr>
          <w:ilvl w:val="0"/>
          <w:numId w:val="77"/>
        </w:numPr>
        <w:rPr>
          <w:rFonts w:ascii="Arial" w:cs="Arial" w:eastAsia="Arial" w:hAnsi="Arial"/>
          <w:sz w:val="20"/>
          <w:szCs w:val="20"/>
          <w:color w:val="auto"/>
        </w:rPr>
      </w:pPr>
      <w:r>
        <w:rPr>
          <w:rFonts w:ascii="Arial" w:cs="Arial" w:eastAsia="Arial" w:hAnsi="Arial"/>
          <w:sz w:val="18"/>
          <w:szCs w:val="18"/>
          <w:color w:val="auto"/>
        </w:rPr>
        <w:t>the adoption of any plan or proposal for the liquidation or dissolution of the Company proposed by or on behalf of any interested stockholder or any affiliate of any interested stockholder; or</w:t>
      </w:r>
    </w:p>
    <w:p>
      <w:pPr>
        <w:spacing w:after="0" w:line="14" w:lineRule="exact"/>
        <w:rPr>
          <w:rFonts w:ascii="Arial" w:cs="Arial" w:eastAsia="Arial" w:hAnsi="Arial"/>
          <w:sz w:val="20"/>
          <w:szCs w:val="20"/>
          <w:color w:val="auto"/>
        </w:rPr>
      </w:pPr>
    </w:p>
    <w:p>
      <w:pPr>
        <w:ind w:left="980" w:right="100" w:hanging="324"/>
        <w:spacing w:after="0" w:line="294" w:lineRule="auto"/>
        <w:tabs>
          <w:tab w:leader="none" w:pos="905" w:val="left"/>
        </w:tabs>
        <w:numPr>
          <w:ilvl w:val="0"/>
          <w:numId w:val="77"/>
        </w:numPr>
        <w:rPr>
          <w:rFonts w:ascii="Arial" w:cs="Arial" w:eastAsia="Arial" w:hAnsi="Arial"/>
          <w:sz w:val="18"/>
          <w:szCs w:val="18"/>
          <w:color w:val="auto"/>
        </w:rPr>
      </w:pPr>
      <w:r>
        <w:rPr>
          <w:rFonts w:ascii="Arial" w:cs="Arial" w:eastAsia="Arial" w:hAnsi="Arial"/>
          <w:sz w:val="16"/>
          <w:szCs w:val="16"/>
          <w:color w:val="auto"/>
        </w:rPr>
        <w:t>any reclassification of securities (including any reverse stock split) or recapitalization of the Company or any merger or consolidation of the Company with any of its majority-owned subsidiaries or any other transaction (whether or not with or into or otherwise involving an interested stockholder) which has the effect, directly or indirectly, of increasing the proportionate share of the outstanding shares of any class of equity security of the Company or any majority-owned subsidiary that is directly or indirectly owned by any interested stockholder or any</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affiliate of any interested stockholder.</w:t>
      </w:r>
    </w:p>
    <w:p>
      <w:pPr>
        <w:spacing w:after="0" w:line="23" w:lineRule="exact"/>
        <w:rPr>
          <w:sz w:val="20"/>
          <w:szCs w:val="20"/>
          <w:color w:val="auto"/>
        </w:rPr>
      </w:pPr>
    </w:p>
    <w:p>
      <w:pPr>
        <w:ind w:right="40" w:firstLine="445"/>
        <w:spacing w:after="0" w:line="290" w:lineRule="auto"/>
        <w:rPr>
          <w:sz w:val="20"/>
          <w:szCs w:val="20"/>
          <w:color w:val="auto"/>
        </w:rPr>
      </w:pPr>
      <w:r>
        <w:rPr>
          <w:rFonts w:ascii="Arial" w:cs="Arial" w:eastAsia="Arial" w:hAnsi="Arial"/>
          <w:sz w:val="17"/>
          <w:szCs w:val="17"/>
          <w:color w:val="auto"/>
        </w:rPr>
        <w:t>Any business combination defined above requires approval by the affirmative vote of at least 80% of the voting power of the then outstanding shares of the Company’s capital stock entitled to vote generally in the election of directors, voting together as a single class, unless:</w:t>
      </w:r>
    </w:p>
    <w:p>
      <w:pPr>
        <w:spacing w:after="0" w:line="161" w:lineRule="exact"/>
        <w:rPr>
          <w:sz w:val="20"/>
          <w:szCs w:val="20"/>
          <w:color w:val="auto"/>
        </w:rPr>
      </w:pPr>
    </w:p>
    <w:p>
      <w:pPr>
        <w:ind w:left="1100" w:hanging="323"/>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business combination is approved by a majority of the disinterested directors; or</w:t>
      </w:r>
    </w:p>
    <w:p>
      <w:pPr>
        <w:spacing w:after="0" w:line="23" w:lineRule="exact"/>
        <w:rPr>
          <w:rFonts w:ascii="Arial" w:cs="Arial" w:eastAsia="Arial" w:hAnsi="Arial"/>
          <w:sz w:val="18"/>
          <w:szCs w:val="18"/>
          <w:color w:val="auto"/>
        </w:rPr>
      </w:pPr>
    </w:p>
    <w:p>
      <w:pPr>
        <w:ind w:left="1100" w:hanging="323"/>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minimum price criteria and procedural requirements are satisfied.</w:t>
      </w:r>
    </w:p>
    <w:p>
      <w:pPr>
        <w:spacing w:after="0" w:line="9" w:lineRule="exact"/>
        <w:rPr>
          <w:sz w:val="20"/>
          <w:szCs w:val="20"/>
          <w:color w:val="auto"/>
        </w:rPr>
      </w:pPr>
    </w:p>
    <w:p>
      <w:pPr>
        <w:ind w:right="40" w:firstLine="445"/>
        <w:spacing w:after="0" w:line="260" w:lineRule="auto"/>
        <w:rPr>
          <w:sz w:val="20"/>
          <w:szCs w:val="20"/>
          <w:color w:val="auto"/>
        </w:rPr>
      </w:pPr>
      <w:r>
        <w:rPr>
          <w:rFonts w:ascii="Arial" w:cs="Arial" w:eastAsia="Arial" w:hAnsi="Arial"/>
          <w:sz w:val="18"/>
          <w:szCs w:val="18"/>
          <w:color w:val="auto"/>
        </w:rPr>
        <w:t>In general, a “disinterested director” means a director that is not affiliated with the interested stockholder and was a member of the board of directors prior to the time that the interested stockholder became an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has been listed on the NASDAQ Global Select Market under the ticker symbol “CAR”.</w:t>
      </w:r>
    </w:p>
    <w:p>
      <w:pPr>
        <w:sectPr>
          <w:pgSz w:w="11900" w:h="16838" w:orient="portrait"/>
          <w:cols w:equalWidth="0" w:num="1">
            <w:col w:w="11220"/>
          </w:cols>
          <w:pgMar w:left="320" w:top="1421"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jc w:val="right"/>
        <w:ind w:right="5139"/>
        <w:spacing w:after="0"/>
        <w:rPr>
          <w:sz w:val="20"/>
          <w:szCs w:val="20"/>
          <w:color w:val="auto"/>
        </w:rPr>
      </w:pPr>
      <w:r>
        <w:rPr>
          <w:rFonts w:ascii="Arial" w:cs="Arial" w:eastAsia="Arial" w:hAnsi="Arial"/>
          <w:sz w:val="18"/>
          <w:szCs w:val="18"/>
          <w:color w:val="auto"/>
        </w:rPr>
        <w:t>The transfer agent for the Common Stock is Computershare.</w:t>
      </w:r>
    </w:p>
    <w:p>
      <w:pPr>
        <w:sectPr>
          <w:pgSz w:w="11900" w:h="16838" w:orient="portrait"/>
          <w:cols w:equalWidth="0" w:num="1">
            <w:col w:w="10139"/>
          </w:cols>
          <w:pgMar w:left="320" w:top="1417"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20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8"/>
          <w:szCs w:val="18"/>
          <w:color w:val="auto"/>
        </w:rPr>
        <w:t>This Separation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Michael K. Tucker (the “Executive”) and Avis Budget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 the Executive was appointed as the Company’s Executive Vice President and General Counsel in 2010;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and the Company are party to that certain letter agreement dated March 25, 2010 (the “</w:t>
      </w:r>
      <w:r>
        <w:rPr>
          <w:rFonts w:ascii="Arial" w:cs="Arial" w:eastAsia="Arial" w:hAnsi="Arial"/>
          <w:sz w:val="18"/>
          <w:szCs w:val="18"/>
          <w:u w:val="single" w:color="auto"/>
          <w:color w:val="auto"/>
        </w:rPr>
        <w:t>Offer Letter</w:t>
      </w:r>
      <w:r>
        <w:rPr>
          <w:rFonts w:ascii="Arial" w:cs="Arial" w:eastAsia="Arial" w:hAnsi="Arial"/>
          <w:sz w:val="18"/>
          <w:szCs w:val="18"/>
          <w:color w:val="auto"/>
        </w:rPr>
        <w:t>”); and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WHEREAS, the Executive’s employment with the Company will terminate effective March 27, 2020 (the “</w:t>
      </w:r>
      <w:r>
        <w:rPr>
          <w:rFonts w:ascii="Arial" w:cs="Arial" w:eastAsia="Arial" w:hAnsi="Arial"/>
          <w:sz w:val="18"/>
          <w:szCs w:val="18"/>
          <w:u w:val="single" w:color="auto"/>
          <w:color w:val="auto"/>
        </w:rPr>
        <w:t>Separation Date</w:t>
      </w:r>
      <w:r>
        <w:rPr>
          <w:rFonts w:ascii="Arial" w:cs="Arial" w:eastAsia="Arial" w:hAnsi="Arial"/>
          <w:sz w:val="18"/>
          <w:szCs w:val="18"/>
          <w:color w:val="auto"/>
        </w:rPr>
        <w:t>”).</w:t>
      </w:r>
    </w:p>
    <w:p>
      <w:pPr>
        <w:spacing w:after="0" w:line="212" w:lineRule="exact"/>
        <w:rPr>
          <w:sz w:val="20"/>
          <w:szCs w:val="20"/>
          <w:color w:val="auto"/>
        </w:rPr>
      </w:pPr>
    </w:p>
    <w:p>
      <w:pPr>
        <w:ind w:right="100" w:firstLine="180"/>
        <w:spacing w:after="0" w:line="293" w:lineRule="auto"/>
        <w:rPr>
          <w:sz w:val="20"/>
          <w:szCs w:val="20"/>
          <w:color w:val="auto"/>
        </w:rPr>
      </w:pPr>
      <w:r>
        <w:rPr>
          <w:rFonts w:ascii="Arial" w:cs="Arial" w:eastAsia="Arial" w:hAnsi="Arial"/>
          <w:sz w:val="18"/>
          <w:szCs w:val="18"/>
          <w:color w:val="auto"/>
        </w:rPr>
        <w:t>NOW, THEREFORE, for the promises and covenants set forth herein and for such other good and valuable consideration, the receipt of which is hereby acknowledged, the Executive and the Company enter into this Agreement on the following terms and conditions:</w:t>
      </w:r>
    </w:p>
    <w:p>
      <w:pPr>
        <w:spacing w:after="0" w:line="129" w:lineRule="exact"/>
        <w:rPr>
          <w:sz w:val="20"/>
          <w:szCs w:val="20"/>
          <w:color w:val="auto"/>
        </w:rPr>
      </w:pPr>
    </w:p>
    <w:p>
      <w:pPr>
        <w:ind w:firstLine="656"/>
        <w:spacing w:after="0" w:line="272" w:lineRule="auto"/>
        <w:tabs>
          <w:tab w:leader="none" w:pos="129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Separation</w:t>
      </w:r>
      <w:r>
        <w:rPr>
          <w:rFonts w:ascii="Arial" w:cs="Arial" w:eastAsia="Arial" w:hAnsi="Arial"/>
          <w:sz w:val="18"/>
          <w:szCs w:val="18"/>
          <w:color w:val="auto"/>
        </w:rPr>
        <w:t>. Effective as of the Separation Date, the Executive’s employment with the Company will terminate (and will be deemed to have terminated without any further action by the Executive), and effective as of the Separation Date, the Executive will resign (and will be deemed to have resigned without any further action by the Executive) from all of the Executive’s positions with the Company and its affiliates (and as a fiduciary of any benefit plan of the Company and its affiliates). The Executive shall execute such additional documents as requested by the Company to evidence the foregoing.</w:t>
      </w:r>
    </w:p>
    <w:p>
      <w:pPr>
        <w:spacing w:after="0" w:line="217"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Accrued obligations; Survival of Rights and Obligations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60" w:right="240" w:firstLine="644"/>
        <w:spacing w:after="0" w:line="279" w:lineRule="auto"/>
        <w:tabs>
          <w:tab w:leader="none" w:pos="1953"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Accrued Obligations</w:t>
      </w:r>
      <w:r>
        <w:rPr>
          <w:rFonts w:ascii="Arial" w:cs="Arial" w:eastAsia="Arial" w:hAnsi="Arial"/>
          <w:sz w:val="18"/>
          <w:szCs w:val="18"/>
          <w:color w:val="auto"/>
        </w:rPr>
        <w:t>. Within ten (10) business days following the Separation Date (or such earlier time as may be required by applicable law), the Company shall pay the Executive any base salary earned but unpaid through the Separation Date, plus any unreimbursed business expenses entitled to reimbursement, all in accordance with the Company’s policies.</w:t>
      </w:r>
    </w:p>
    <w:p>
      <w:pPr>
        <w:spacing w:after="0" w:line="209" w:lineRule="exact"/>
        <w:rPr>
          <w:rFonts w:ascii="Arial" w:cs="Arial" w:eastAsia="Arial" w:hAnsi="Arial"/>
          <w:sz w:val="18"/>
          <w:szCs w:val="18"/>
          <w:color w:val="auto"/>
        </w:rPr>
      </w:pPr>
    </w:p>
    <w:p>
      <w:pPr>
        <w:ind w:left="660" w:right="260" w:firstLine="644"/>
        <w:spacing w:after="0" w:line="275" w:lineRule="auto"/>
        <w:tabs>
          <w:tab w:leader="none" w:pos="195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Provided that the Second Release Effective Date occurs, and subject to the Executive’s compliance with the terms and conditions of this Agreement (including, for the avoidance of doubt, the Restrictive Covenant Obligations, as incorporated herein), the Company agrees to pay to Executive, within fifteen (15) days following the Second Release Effective Date, a lump-sum amount equal to $1,802,500.</w:t>
      </w:r>
    </w:p>
    <w:p>
      <w:pPr>
        <w:spacing w:after="0" w:line="212" w:lineRule="exact"/>
        <w:rPr>
          <w:rFonts w:ascii="Arial" w:cs="Arial" w:eastAsia="Arial" w:hAnsi="Arial"/>
          <w:sz w:val="18"/>
          <w:szCs w:val="18"/>
          <w:color w:val="auto"/>
        </w:rPr>
      </w:pPr>
    </w:p>
    <w:p>
      <w:pPr>
        <w:ind w:left="660" w:right="420" w:firstLine="644"/>
        <w:spacing w:after="0" w:line="293" w:lineRule="auto"/>
        <w:tabs>
          <w:tab w:leader="none" w:pos="19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Payments due to the Executive under this Section 2 shall be in lieu of any other severance benefits otherwise payable to the Executive under the Offer Letter or any severance plan or policy of the Company or its affiliates.</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Continuation of Health Benefits and Perquisites</w:t>
      </w:r>
      <w:r>
        <w:rPr>
          <w:rFonts w:ascii="Arial" w:cs="Arial" w:eastAsia="Arial" w:hAnsi="Arial"/>
          <w:sz w:val="18"/>
          <w:szCs w:val="18"/>
          <w:color w:val="auto"/>
        </w:rPr>
        <w:t>.</w:t>
      </w:r>
    </w:p>
    <w:p>
      <w:pPr>
        <w:spacing w:after="0" w:line="198" w:lineRule="exact"/>
        <w:rPr>
          <w:sz w:val="20"/>
          <w:szCs w:val="20"/>
          <w:color w:val="auto"/>
        </w:rPr>
      </w:pPr>
    </w:p>
    <w:p>
      <w:pPr>
        <w:ind w:left="660" w:right="60" w:hanging="4"/>
        <w:spacing w:after="0" w:line="275"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that the Second Release Effective Date occurs, and subject to the Executive’s compliance with the terms and conditions of this Agreement (including, for the avoidance of doubt, the Restrictive Covenant Obligations, as incorporated herein), the Executive shall be entitled to for a period of two years following the Separation Date (the “</w:t>
      </w:r>
      <w:r>
        <w:rPr>
          <w:rFonts w:ascii="Arial" w:cs="Arial" w:eastAsia="Arial" w:hAnsi="Arial"/>
          <w:sz w:val="18"/>
          <w:szCs w:val="18"/>
          <w:u w:val="single" w:color="auto"/>
          <w:color w:val="auto"/>
        </w:rPr>
        <w:t>Continuation Period</w:t>
      </w:r>
      <w:r>
        <w:rPr>
          <w:rFonts w:ascii="Arial" w:cs="Arial" w:eastAsia="Arial" w:hAnsi="Arial"/>
          <w:sz w:val="18"/>
          <w:szCs w:val="18"/>
          <w:color w:val="auto"/>
        </w:rPr>
        <w:t>”), participation in the Company’s executive car allowance and financial planning programs. For the executive car allowance program,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Executive will be paid within fifteen (15) days following the Second Release Effective Date, a one-time lump-sum amount equal to $32,000.</w:t>
      </w:r>
    </w:p>
    <w:p>
      <w:pPr>
        <w:spacing w:after="0" w:line="210" w:lineRule="exact"/>
        <w:rPr>
          <w:sz w:val="20"/>
          <w:szCs w:val="20"/>
          <w:color w:val="auto"/>
        </w:rPr>
      </w:pPr>
    </w:p>
    <w:p>
      <w:pPr>
        <w:ind w:left="660" w:right="20" w:hanging="4"/>
        <w:spacing w:after="0" w:line="269" w:lineRule="auto"/>
        <w:tabs>
          <w:tab w:leader="none" w:pos="10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Provided that the Second Release Effective Date occurs, and subject to the Executive’s compliance with the terms and conditions of this Agreement (including, for the avoidance of doubt, the Restrictive Covenant Obligations, as incorporated herein), the Executive shall remain eligible to continue to participate in Company-sponsored health, vision and dental plans (as they may be modified from time to time with respect to all senior executive officers) for the Continuation Period or until the Executive becomes eligible for comparable coverage under the medical plans of a subsequent employer, if earlier (the “</w:t>
      </w:r>
      <w:r>
        <w:rPr>
          <w:rFonts w:ascii="Arial" w:cs="Arial" w:eastAsia="Arial" w:hAnsi="Arial"/>
          <w:sz w:val="18"/>
          <w:szCs w:val="18"/>
          <w:u w:val="single" w:color="auto"/>
          <w:color w:val="auto"/>
        </w:rPr>
        <w:t>Continuation of Health Benefits Period</w:t>
      </w:r>
      <w:r>
        <w:rPr>
          <w:rFonts w:ascii="Arial" w:cs="Arial" w:eastAsia="Arial" w:hAnsi="Arial"/>
          <w:sz w:val="18"/>
          <w:szCs w:val="18"/>
          <w:color w:val="auto"/>
        </w:rPr>
        <w:t>”). The Executive shall be required to make contributions for health plan participation during the Continuation of Health Benefits Period that are substantially equal to the contributions required of active employed executives of the Company. If Executive is not permitted to be covered under the Company’s plans for the entire Continuation of Health Benefits Period, the Company will be permitted to alter the manner in which health benefits are provided to the Executive pursuant to this Section 3; provided the after-tax cost to the Executive of such benefits shall not be greater than the cost applicable to active employed executives of the Company.</w:t>
      </w:r>
    </w:p>
    <w:p>
      <w:pPr>
        <w:spacing w:after="0" w:line="164" w:lineRule="exact"/>
        <w:rPr>
          <w:sz w:val="20"/>
          <w:szCs w:val="20"/>
          <w:color w:val="auto"/>
        </w:rPr>
      </w:pPr>
    </w:p>
    <w:p>
      <w:pPr>
        <w:ind w:right="260" w:firstLine="656"/>
        <w:spacing w:after="0" w:line="319" w:lineRule="auto"/>
        <w:tabs>
          <w:tab w:leader="none" w:pos="1296"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No Other Compensation.</w:t>
      </w:r>
      <w:r>
        <w:rPr>
          <w:rFonts w:ascii="Arial" w:cs="Arial" w:eastAsia="Arial" w:hAnsi="Arial"/>
          <w:sz w:val="16"/>
          <w:szCs w:val="16"/>
          <w:color w:val="auto"/>
        </w:rPr>
        <w:t xml:space="preserve"> The Executive acknowledges and agrees that the payments provided pursuant to this Agreement are in full discharge of any and all liabilities and obligations of the Company and its affiliates to the Executive, monetarily or with respect to employee benefits or otherwise, including, but not limited to, any and all obligations arising under the Offer Letter, any alleged written or oral employment agreement, policy, plan or procedure of the Company and its affiliates and/or any alleged understanding or arrangement between the Executive and the Company.</w:t>
      </w:r>
    </w:p>
    <w:p>
      <w:pPr>
        <w:spacing w:after="0" w:line="182" w:lineRule="exact"/>
        <w:rPr>
          <w:rFonts w:ascii="Arial" w:cs="Arial" w:eastAsia="Arial" w:hAnsi="Arial"/>
          <w:sz w:val="16"/>
          <w:szCs w:val="16"/>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660" w:right="80" w:firstLine="644"/>
        <w:spacing w:after="0" w:line="290" w:lineRule="auto"/>
        <w:tabs>
          <w:tab w:leader="none" w:pos="1953"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consideration for the payment and benefits to be provided to the Executive pursuant to this Agreement, the Executive, for the Executive and for the Executive’s heirs, executors, administrators, trustees, legal representatives and assigns, forever release and discharge the Company and its past, present and future parent entities, subsidiaries, divisions, affiliates and related entities, successors and assigns, assets, employee benefit plans or funds, and any of its or their respective past, present and/or future directors, managers, officers, fiduciaries, attorneys, agents, trustees, administrators, employees, contractors, and assigns, whether acting on behalf of the Company and its affiliates or in their individual capacities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to the extent provided below.</w:t>
      </w:r>
    </w:p>
    <w:p>
      <w:pPr>
        <w:spacing w:after="0" w:line="202" w:lineRule="exact"/>
        <w:rPr>
          <w:rFonts w:ascii="Arial" w:cs="Arial" w:eastAsia="Arial" w:hAnsi="Arial"/>
          <w:sz w:val="17"/>
          <w:szCs w:val="17"/>
          <w:color w:val="auto"/>
        </w:rPr>
      </w:pPr>
    </w:p>
    <w:p>
      <w:pPr>
        <w:ind w:left="660" w:firstLine="644"/>
        <w:spacing w:after="0" w:line="286" w:lineRule="auto"/>
        <w:tabs>
          <w:tab w:leader="none" w:pos="1950" w:val="left"/>
        </w:tabs>
        <w:numPr>
          <w:ilvl w:val="1"/>
          <w:numId w:val="82"/>
        </w:numPr>
        <w:rPr>
          <w:rFonts w:ascii="Arial" w:cs="Arial" w:eastAsia="Arial" w:hAnsi="Arial"/>
          <w:sz w:val="17"/>
          <w:szCs w:val="17"/>
          <w:color w:val="auto"/>
        </w:rPr>
      </w:pPr>
      <w:r>
        <w:rPr>
          <w:rFonts w:ascii="Arial" w:cs="Arial" w:eastAsia="Arial" w:hAnsi="Arial"/>
          <w:sz w:val="17"/>
          <w:szCs w:val="17"/>
          <w:color w:val="auto"/>
        </w:rPr>
        <w:t>Except as provided in Sections 5(d) and 5(e) below, the Executive knowingly and voluntarily (for himself, his heirs, executors, administrators, trustees, legal representatives and assigns) releases and forever discharges the Company and the other Released Parties from any and all claims, suits, controversies, actions, causes of action, cross-claims, counter-claims, demands, promises, agreements, debts, compensatory damages, liquidated damages, punitive or exemplary damages, other damages, claims for costs and attorneys’ fees, or liabilities of any nature whatsoever in law and in equity, both past and present (through the date that this Agreement becomes effective and enforceable) and whether known or unknown, suspected, or claimed against the Company or any of the Released Parties which the Executive, his spouse, or any of his heirs, executors, administrators, trustees, legal representatives or assigns, may have, (i) from the beginning of time through the date upon which the Executive signs this Agreement and/or re-executes this Agreement (as applicable), (ii) which arise out of or are connected with his employment with the Company through the date upon which the Executive signs this Agreement and/or re-executes this Agreement (as applicable), (iii) which arise out of or are connected with his separation or termination from the Company no later than the Separation Date; and/or (iv) which arise out of or connected with any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agreement with any Released Parties and/or any other awards, policies, plans, programs or practices of the Released Parties that may apply to Executive or in which Executive may participate, other than as set forth in this Agreement, and, in each case, through the date upon which the Executive signs this Agreement and/or re-executes this Agreement (as applicable),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196" w:lineRule="exact"/>
        <w:rPr>
          <w:sz w:val="20"/>
          <w:szCs w:val="20"/>
          <w:color w:val="auto"/>
        </w:rPr>
      </w:pPr>
    </w:p>
    <w:p>
      <w:pPr>
        <w:ind w:right="180" w:firstLine="644"/>
        <w:spacing w:after="0" w:line="293" w:lineRule="auto"/>
        <w:tabs>
          <w:tab w:leader="none" w:pos="12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Executive represents that the Executive has made no assignment or transfer of any right, Claims, demand, cause of action, or other matter covered by Section 5(b) above.</w:t>
      </w:r>
    </w:p>
    <w:p>
      <w:pPr>
        <w:spacing w:after="0" w:line="196" w:lineRule="exact"/>
        <w:rPr>
          <w:rFonts w:ascii="Arial" w:cs="Arial" w:eastAsia="Arial" w:hAnsi="Arial"/>
          <w:sz w:val="18"/>
          <w:szCs w:val="18"/>
          <w:color w:val="auto"/>
        </w:rPr>
      </w:pPr>
    </w:p>
    <w:p>
      <w:pPr>
        <w:ind w:right="40" w:firstLine="644"/>
        <w:spacing w:after="0" w:line="271" w:lineRule="auto"/>
        <w:tabs>
          <w:tab w:leader="none" w:pos="12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Executive agrees that this Agreement does not waive or release any rights or Claims that the Executive may have under the Age Discrimination in Employment Act of 1967 which arise after the date the Executive executes this Agreement or re-executes it (as applicable); provided, however, that the parties have agreed that the Executive’s employment with the Company is terminating no later than the Separation Date. The Executive acknowledges and agrees that the Executive’s separation from employment with the Company is in compliance with the terms of the Offer Letter shall not serve as the basis for any claim or action (including, without limitation, any claim under the Age Discrimination in Employment Act of 1967).</w:t>
      </w:r>
    </w:p>
    <w:p>
      <w:pPr>
        <w:spacing w:after="0" w:line="217" w:lineRule="exact"/>
        <w:rPr>
          <w:rFonts w:ascii="Arial" w:cs="Arial" w:eastAsia="Arial" w:hAnsi="Arial"/>
          <w:sz w:val="18"/>
          <w:szCs w:val="18"/>
          <w:color w:val="auto"/>
        </w:rPr>
      </w:pPr>
    </w:p>
    <w:p>
      <w:pPr>
        <w:ind w:right="40" w:firstLine="644"/>
        <w:spacing w:after="0" w:line="286" w:lineRule="auto"/>
        <w:tabs>
          <w:tab w:leader="none" w:pos="1293"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Notwithstanding the above, the Executive further acknowledges that the Executive is not waiving and is not being required to waive any right that cannot be waived by private agreement under applicable law, including the right to file an administrative charge or participate in an administrative investigation or proceeding with the Equal Employment Opportunity Commission or similar state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Executive disclaims and waives any right to share or participate in any monetary award resulting from the prosecution of such discrimination charge or investigation or proceeding and represents and warrants that Executive is not aware of any matter that would give rise to such a charge, investigation or proceeding. Additionally, notwithstanding anything to the contrary in this Agreement, the Executive retains and is not waiving (i) any rights to which the Executive is entitled under Section 2 of this Agreement, (ii) any claim or right relating to or under the Company’s directors’ and officers’ liability insurance coverage or any right of indemnification under the Company’s organizational documents or otherwise, (iii) the Executive’s rights as an equity or security holder in the Company or its affiliates, (iv) the Executive’s rights under the Company’s deferred compensation plan and/or (v) the Executive’s rights to vested benefits, including the Executive’s benefits under the Company’s 401K Plan.</w:t>
      </w:r>
    </w:p>
    <w:p>
      <w:pPr>
        <w:spacing w:after="0" w:line="205" w:lineRule="exact"/>
        <w:rPr>
          <w:rFonts w:ascii="Arial" w:cs="Arial" w:eastAsia="Arial" w:hAnsi="Arial"/>
          <w:sz w:val="17"/>
          <w:szCs w:val="17"/>
          <w:color w:val="auto"/>
        </w:rPr>
      </w:pPr>
    </w:p>
    <w:p>
      <w:pPr>
        <w:ind w:right="20" w:firstLine="644"/>
        <w:spacing w:after="0" w:line="296" w:lineRule="auto"/>
        <w:tabs>
          <w:tab w:leader="none" w:pos="1287"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signing this Agreement, the Executive acknowledges and intends that it shall be effective as a bar to each and every one of the Claims hereinabove mentioned or implied. The Executive expressly consents that this Agreement shall be given full force and effect according to each and all of its express terms and provisions. The Executive acknowledges and agrees that this waiver is an essential and material term of this Agreement and that without such waiver the Company would not have agreed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80"/>
          </w:cols>
          <w:pgMar w:left="980" w:top="13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100" w:firstLine="644"/>
        <w:spacing w:after="0" w:line="319" w:lineRule="auto"/>
        <w:tabs>
          <w:tab w:leader="none" w:pos="19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Executive further agrees that in the event the Executive should bring a Claim seeking damages against the Company, or in the event the Executive should seek to recover against the Company in any Claim brought by a governmental agency on the Executive’s behalf, this Agreement shall serve as a complete defense to such Claims to the maximum extent permitted by law. The Executive further agrees that he is not aware of any pending claim of the type described in Section 5(b) above as of the execution of this Agreement.</w:t>
      </w:r>
    </w:p>
    <w:p>
      <w:pPr>
        <w:spacing w:after="0" w:line="182" w:lineRule="exact"/>
        <w:rPr>
          <w:rFonts w:ascii="Arial" w:cs="Arial" w:eastAsia="Arial" w:hAnsi="Arial"/>
          <w:sz w:val="16"/>
          <w:szCs w:val="16"/>
          <w:color w:val="auto"/>
        </w:rPr>
      </w:pPr>
    </w:p>
    <w:p>
      <w:pPr>
        <w:ind w:left="660" w:right="40" w:firstLine="644"/>
        <w:spacing w:after="0" w:line="359" w:lineRule="auto"/>
        <w:tabs>
          <w:tab w:leader="none" w:pos="19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Executive agrees that neither this Agreement, nor the furnishing of the consideration for this Agreement, shall be deemed or construed at any time to be an admission by the Company, any Released Party or the Executive of any improper or unlawful conduct.</w:t>
      </w:r>
    </w:p>
    <w:p>
      <w:pPr>
        <w:spacing w:after="0" w:line="151" w:lineRule="exact"/>
        <w:rPr>
          <w:rFonts w:ascii="Arial" w:cs="Arial" w:eastAsia="Arial" w:hAnsi="Arial"/>
          <w:sz w:val="16"/>
          <w:szCs w:val="16"/>
          <w:color w:val="auto"/>
        </w:rPr>
      </w:pPr>
    </w:p>
    <w:p>
      <w:pPr>
        <w:ind w:left="660" w:right="40" w:firstLine="644"/>
        <w:spacing w:after="0" w:line="268" w:lineRule="auto"/>
        <w:tabs>
          <w:tab w:leader="none" w:pos="19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Nothing in this Agreement or any other policies of the Company shall prohibit or restrict the Executive or his attorneys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or (iii) accepting any U.S. Securities and Exchange Commission awards. In addition, nothing in this Agreement prohibits or restricts the Executive from initiating communications with, or responding to any inquiry from, any regulatory or supervisory authority regarding any good faith concerns about possible violations of law or regulation. The parties acknowledge and agree that, in connection with the Executive’s separation from the Company, the Company has requested that he fully and truthfully disclose to the Company any violations of law or regulatory requirements, or material breaches of contract by the Company or any of the other Released Parties, about which he is aware or believes in good faith to have occurred. The Executive hereby confirms that he has disclosed all such instances (if any).</w:t>
      </w:r>
    </w:p>
    <w:p>
      <w:pPr>
        <w:spacing w:after="0" w:line="225" w:lineRule="exact"/>
        <w:rPr>
          <w:rFonts w:ascii="Arial" w:cs="Arial" w:eastAsia="Arial" w:hAnsi="Arial"/>
          <w:sz w:val="18"/>
          <w:szCs w:val="18"/>
          <w:color w:val="auto"/>
        </w:rPr>
      </w:pPr>
    </w:p>
    <w:p>
      <w:pPr>
        <w:ind w:left="660" w:right="220" w:firstLine="644"/>
        <w:spacing w:after="0" w:line="329" w:lineRule="auto"/>
        <w:tabs>
          <w:tab w:leader="none" w:pos="19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Executive acknowledges that he may hereafter discover claims or facts in addition to or different than those which the Executive now knows or believes to exist with respect to the subject matter of the release set forth in Section 5(b) above and which, if known or suspected at the time of entering into this Agreement, may have materially affected this Agreement and the Executive’s decision to enter into it.</w:t>
      </w:r>
    </w:p>
    <w:p>
      <w:pPr>
        <w:spacing w:after="0" w:line="174" w:lineRule="exact"/>
        <w:rPr>
          <w:rFonts w:ascii="Arial" w:cs="Arial" w:eastAsia="Arial" w:hAnsi="Arial"/>
          <w:sz w:val="16"/>
          <w:szCs w:val="16"/>
          <w:color w:val="auto"/>
        </w:rPr>
      </w:pPr>
    </w:p>
    <w:p>
      <w:pPr>
        <w:ind w:left="660" w:firstLine="644"/>
        <w:spacing w:after="0" w:line="279" w:lineRule="auto"/>
        <w:tabs>
          <w:tab w:leader="none" w:pos="19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shall not relinquish, diminish, or in any way affect any rights or claims arising out of any breach by the Company or by any Released Party of this Agreement after the date upon which the Executive signs this Agreement or re-executes this Agreement (as applicable).</w:t>
      </w:r>
    </w:p>
    <w:p>
      <w:pPr>
        <w:spacing w:after="0" w:line="209" w:lineRule="exact"/>
        <w:rPr>
          <w:rFonts w:ascii="Arial" w:cs="Arial" w:eastAsia="Arial" w:hAnsi="Arial"/>
          <w:sz w:val="18"/>
          <w:szCs w:val="18"/>
          <w:color w:val="auto"/>
        </w:rPr>
      </w:pPr>
    </w:p>
    <w:p>
      <w:pPr>
        <w:jc w:val="both"/>
        <w:ind w:right="40" w:firstLine="656"/>
        <w:spacing w:after="0" w:line="296" w:lineRule="auto"/>
        <w:tabs>
          <w:tab w:leader="none" w:pos="129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All information, correspondence, records, documents, software, promotional materials, and other Company property, including all copies, which came into the Executive’s possession by, through or in the course of Executive’s employment, regardless of the source and whether created by the Executive, are the sole and exclusive property of the Company, and immediately upon the Separation Date, or any time at the Company’s request, the Executive shall return to the Company all such property of the Company.</w:t>
      </w:r>
    </w:p>
    <w:p>
      <w:pPr>
        <w:spacing w:after="0" w:line="196" w:lineRule="exact"/>
        <w:rPr>
          <w:rFonts w:ascii="Arial" w:cs="Arial" w:eastAsia="Arial" w:hAnsi="Arial"/>
          <w:sz w:val="17"/>
          <w:szCs w:val="17"/>
          <w:color w:val="auto"/>
        </w:rPr>
      </w:pPr>
    </w:p>
    <w:p>
      <w:pPr>
        <w:ind w:right="120" w:firstLine="656"/>
        <w:spacing w:after="0" w:line="275" w:lineRule="auto"/>
        <w:tabs>
          <w:tab w:leader="none" w:pos="1296"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The Executive shall not issue, without consent of the Company, any press release or make any public announcement with respect to this Agreement or his separation of employment. Following the effective date of this Agreement and regardless of any dispute that may arise in the future, the Executive agrees that he will not disparage, criticize or make statements which are negative, detrimental or injurious to the Company to any individual, entity or client, including within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3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56"/>
        <w:spacing w:after="0" w:line="290" w:lineRule="auto"/>
        <w:tabs>
          <w:tab w:leader="none" w:pos="129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Assignments; Binding Effect</w:t>
      </w:r>
      <w:r>
        <w:rPr>
          <w:rFonts w:ascii="Arial" w:cs="Arial" w:eastAsia="Arial" w:hAnsi="Arial"/>
          <w:sz w:val="17"/>
          <w:szCs w:val="17"/>
          <w:color w:val="auto"/>
        </w:rPr>
        <w:t>. Except as provided in this Section 8, no party may assign or delegate any rights or obligations hereunder without first obtaining the written consent of the other party hereto. The Company shall assign this Agreement to any successor to all or substantially all of the operations and/or assets of the Company. As used in this Agreement, the term “</w:t>
      </w:r>
      <w:r>
        <w:rPr>
          <w:rFonts w:ascii="Arial" w:cs="Arial" w:eastAsia="Arial" w:hAnsi="Arial"/>
          <w:sz w:val="17"/>
          <w:szCs w:val="17"/>
          <w:u w:val="single" w:color="auto"/>
          <w:color w:val="auto"/>
        </w:rPr>
        <w:t>Company</w:t>
      </w:r>
      <w:r>
        <w:rPr>
          <w:rFonts w:ascii="Arial" w:cs="Arial" w:eastAsia="Arial" w:hAnsi="Arial"/>
          <w:sz w:val="17"/>
          <w:szCs w:val="17"/>
          <w:color w:val="auto"/>
        </w:rPr>
        <w:t>” shall mean the Company and any successor to its operating and/or assets, which assumes and agrees to perform the duties and obligations of the Company under this Agreement by operation of law or otherwise. This Agreement is binding upon, and shall inure to the benefit of, the parties and their respective heirs, executors and administrators (including the Executive’s estate, in the event of the Executive’s death), and their respective permitted successors and assigns.</w:t>
      </w:r>
    </w:p>
    <w:p>
      <w:pPr>
        <w:spacing w:after="0" w:line="202" w:lineRule="exact"/>
        <w:rPr>
          <w:rFonts w:ascii="Arial" w:cs="Arial" w:eastAsia="Arial" w:hAnsi="Arial"/>
          <w:sz w:val="17"/>
          <w:szCs w:val="17"/>
          <w:color w:val="auto"/>
        </w:rPr>
      </w:pPr>
    </w:p>
    <w:p>
      <w:pPr>
        <w:ind w:right="420" w:firstLine="656"/>
        <w:spacing w:after="0" w:line="293" w:lineRule="auto"/>
        <w:tabs>
          <w:tab w:leader="none" w:pos="129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Jersey, without giving effect to the principles of conflicts of law thereof.</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60" w:right="40" w:firstLine="626"/>
        <w:spacing w:after="0" w:line="308" w:lineRule="auto"/>
        <w:tabs>
          <w:tab w:leader="none" w:pos="1952" w:val="left"/>
        </w:tabs>
        <w:numPr>
          <w:ilvl w:val="2"/>
          <w:numId w:val="86"/>
        </w:numPr>
        <w:rPr>
          <w:rFonts w:ascii="Arial" w:cs="Arial" w:eastAsia="Arial" w:hAnsi="Arial"/>
          <w:sz w:val="16"/>
          <w:szCs w:val="16"/>
          <w:color w:val="auto"/>
        </w:rPr>
      </w:pPr>
      <w:r>
        <w:rPr>
          <w:rFonts w:ascii="Arial" w:cs="Arial" w:eastAsia="Arial" w:hAnsi="Arial"/>
          <w:sz w:val="16"/>
          <w:szCs w:val="16"/>
          <w:color w:val="auto"/>
        </w:rPr>
        <w:t>Any controversy, dispute or claim arising out of or relating to this Agreement or the breach hereof which cannot be settled by mutual agreement (other than with respect to the matters covered by Section 11(b) of this Agreement for which the Company may, but shall not be required to, seek injunctive relief) shall be finally settled by binding arbitration in accordance with the Federal Arbitration Act as follows: Any party who is aggrieved shall deliver a notice to the other party setting forth the specific points in dispute. Any points remaining in dispute twenty (20) days after the giving of such notice may be submitted to arbitration in New York, New York, to the American Arbitration Association, before a single arbitrator appointed in accordance with the arbitration rules of the American Arbitration Association, modified only as herein expressly provided. After the aforesaid twenty (20) days, either party, upon ten (10) days’ notice to the other, may so submit the points in dispute to arbitration. The arbitrator may enter a default decision against any party who fails to participate in the arbitration proceedings.</w:t>
      </w:r>
    </w:p>
    <w:p>
      <w:pPr>
        <w:spacing w:after="0" w:line="163" w:lineRule="exact"/>
        <w:rPr>
          <w:rFonts w:ascii="Arial" w:cs="Arial" w:eastAsia="Arial" w:hAnsi="Arial"/>
          <w:sz w:val="16"/>
          <w:szCs w:val="16"/>
          <w:color w:val="auto"/>
        </w:rPr>
      </w:pPr>
    </w:p>
    <w:p>
      <w:pPr>
        <w:ind w:left="660" w:right="160" w:firstLine="576"/>
        <w:spacing w:after="0" w:line="293" w:lineRule="auto"/>
        <w:tabs>
          <w:tab w:leader="none" w:pos="1952"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shall be final, unappealable and binding, and judgment on the award may be entered in any court having jurisdiction thereof.</w:t>
      </w:r>
    </w:p>
    <w:p>
      <w:pPr>
        <w:spacing w:after="0" w:line="169" w:lineRule="exact"/>
        <w:rPr>
          <w:rFonts w:ascii="Arial" w:cs="Arial" w:eastAsia="Arial" w:hAnsi="Arial"/>
          <w:sz w:val="18"/>
          <w:szCs w:val="18"/>
          <w:color w:val="auto"/>
        </w:rPr>
      </w:pPr>
    </w:p>
    <w:p>
      <w:pPr>
        <w:ind w:left="660" w:right="160" w:firstLine="527"/>
        <w:spacing w:after="0" w:line="329" w:lineRule="auto"/>
        <w:tabs>
          <w:tab w:leader="none" w:pos="1953" w:val="left"/>
        </w:tabs>
        <w:numPr>
          <w:ilvl w:val="2"/>
          <w:numId w:val="86"/>
        </w:numPr>
        <w:rPr>
          <w:rFonts w:ascii="Arial" w:cs="Arial" w:eastAsia="Arial" w:hAnsi="Arial"/>
          <w:sz w:val="16"/>
          <w:szCs w:val="16"/>
          <w:color w:val="auto"/>
        </w:rPr>
      </w:pPr>
      <w:r>
        <w:rPr>
          <w:rFonts w:ascii="Arial" w:cs="Arial" w:eastAsia="Arial" w:hAnsi="Arial"/>
          <w:sz w:val="16"/>
          <w:szCs w:val="16"/>
          <w:color w:val="auto"/>
        </w:rPr>
        <w:t>Except as otherwise provided in this Agreement, the arbitrator shall be authorized to apportion its fees and expenses and the reasonable attorneys’ fees and expenses of any such party as the arbitrator deems appropriate. In the absence of any such apportionment, the fees and expenses of the arbitrator shall be borne equally by each party, and each party shall bear the fees and expenses of its own attorney.</w:t>
      </w:r>
    </w:p>
    <w:p>
      <w:pPr>
        <w:spacing w:after="0" w:line="147" w:lineRule="exact"/>
        <w:rPr>
          <w:rFonts w:ascii="Arial" w:cs="Arial" w:eastAsia="Arial" w:hAnsi="Arial"/>
          <w:sz w:val="16"/>
          <w:szCs w:val="16"/>
          <w:color w:val="auto"/>
        </w:rPr>
      </w:pPr>
    </w:p>
    <w:p>
      <w:pPr>
        <w:ind w:left="660" w:right="260" w:firstLine="536"/>
        <w:spacing w:after="0" w:line="314" w:lineRule="auto"/>
        <w:tabs>
          <w:tab w:leader="none" w:pos="194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parties agree that this Section 10 has been included to rapidly and inexpensively resolve any disputes between them with respect to this Agreement, and that this Section 10 shall be grounds for dismissal of any court action commenced by either party with respect to this Agreement, other than post-arbitration actions seeking to enforce an arbitration award. In the event that any 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spacing w:after="0" w:line="159" w:lineRule="exact"/>
        <w:rPr>
          <w:rFonts w:ascii="Arial" w:cs="Arial" w:eastAsia="Arial" w:hAnsi="Arial"/>
          <w:sz w:val="16"/>
          <w:szCs w:val="16"/>
          <w:color w:val="auto"/>
        </w:rPr>
      </w:pPr>
    </w:p>
    <w:p>
      <w:pPr>
        <w:ind w:left="660" w:right="220" w:firstLine="586"/>
        <w:spacing w:after="0" w:line="329" w:lineRule="auto"/>
        <w:tabs>
          <w:tab w:leader="none" w:pos="19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parties shall keep confidential, and shall not disclose to any person, except to their respective counsel and as may be required by law or valid subpoena, the existence of any controversy hereunder, the referral of any such controversy to arbitration or the status or resolution thereof, provided, however, that the Executive may also disclose such information to his immediate family, and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that the Company may also disclose such information to the extent it is reasonably necessary in the course of its business.</w:t>
      </w:r>
    </w:p>
    <w:p>
      <w:pPr>
        <w:spacing w:after="0" w:line="239"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Entire Agreement; Restrictive and Other Covenants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660" w:firstLine="644"/>
        <w:spacing w:after="0" w:line="275" w:lineRule="auto"/>
        <w:tabs>
          <w:tab w:leader="none" w:pos="1808"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Executive understands that this Agreement and all relevant plans and policies referred to herein constitute the complete understanding between the Company and the Executive, and, except as specifically provided herein, supersedes any and all agreements, understandings, and discussions, whether written or oral, between the Executive and any of the Released Parties. No other promises or agreements shall be binding unless in writing and signed by both the Company and the Executive.</w:t>
      </w:r>
    </w:p>
    <w:p>
      <w:pPr>
        <w:spacing w:after="0" w:line="158" w:lineRule="exact"/>
        <w:rPr>
          <w:rFonts w:ascii="Arial" w:cs="Arial" w:eastAsia="Arial" w:hAnsi="Arial"/>
          <w:sz w:val="18"/>
          <w:szCs w:val="18"/>
          <w:color w:val="auto"/>
        </w:rPr>
      </w:pPr>
    </w:p>
    <w:p>
      <w:pPr>
        <w:jc w:val="both"/>
        <w:ind w:left="660" w:firstLine="644"/>
        <w:spacing w:after="0" w:line="279" w:lineRule="auto"/>
        <w:tabs>
          <w:tab w:leader="none" w:pos="17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Notwithstanding the foregoing, the Executive acknowledges and agrees that the confidentiality provisions of the Offer Letter (the “Restrictive Covenant Obligations”) shall survive the termination of Executive’s employment and agrees to comply with the Restrictive Covenant Obligations at all times through the Separation Date and thereafter following the Separation Date.</w:t>
      </w:r>
    </w:p>
    <w:p>
      <w:pPr>
        <w:spacing w:after="0" w:line="142" w:lineRule="exact"/>
        <w:rPr>
          <w:rFonts w:ascii="Arial" w:cs="Arial" w:eastAsia="Arial" w:hAnsi="Arial"/>
          <w:sz w:val="18"/>
          <w:szCs w:val="18"/>
          <w:color w:val="auto"/>
        </w:rPr>
      </w:pPr>
    </w:p>
    <w:p>
      <w:pPr>
        <w:jc w:val="both"/>
        <w:ind w:left="660" w:firstLine="644"/>
        <w:spacing w:after="0" w:line="296" w:lineRule="auto"/>
        <w:tabs>
          <w:tab w:leader="none" w:pos="1798" w:val="left"/>
        </w:tabs>
        <w:numPr>
          <w:ilvl w:val="1"/>
          <w:numId w:val="87"/>
        </w:numPr>
        <w:rPr>
          <w:rFonts w:ascii="Arial" w:cs="Arial" w:eastAsia="Arial" w:hAnsi="Arial"/>
          <w:sz w:val="17"/>
          <w:szCs w:val="17"/>
          <w:color w:val="auto"/>
        </w:rPr>
      </w:pPr>
      <w:r>
        <w:rPr>
          <w:rFonts w:ascii="Arial" w:cs="Arial" w:eastAsia="Arial" w:hAnsi="Arial"/>
          <w:sz w:val="17"/>
          <w:szCs w:val="17"/>
          <w:color w:val="auto"/>
        </w:rPr>
        <w:t>From the Separation Date until December 31, 2020, the Executive shall provide reasonable cooperation and assistance to the Company in connection with the transition to a new [Role] of the Company, including knowledge transfer; provided that such cooperation and assistance will only be required to the extent such cooperation and assistance would not result in an undue burden on the Executive or would unreasonably interfere with the Executive’s duties in connection with subsequent employment.</w:t>
      </w:r>
    </w:p>
    <w:p>
      <w:pPr>
        <w:spacing w:after="0" w:line="129" w:lineRule="exact"/>
        <w:rPr>
          <w:rFonts w:ascii="Arial" w:cs="Arial" w:eastAsia="Arial" w:hAnsi="Arial"/>
          <w:sz w:val="17"/>
          <w:szCs w:val="17"/>
          <w:color w:val="auto"/>
        </w:rPr>
      </w:pPr>
    </w:p>
    <w:p>
      <w:pPr>
        <w:ind w:right="20" w:firstLine="656"/>
        <w:spacing w:after="0" w:line="314" w:lineRule="auto"/>
        <w:tabs>
          <w:tab w:leader="none" w:pos="1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and other communications to be given or delivered under or by reason of the provisions of this Agreement shall be in writing and shall be deemed to have been given when personally delivered to the Company or received by electronic mail as provided below. Such notices, demands and other communications shall be addressed to the Executive at his last known address on the books of the Company or, in the case of the Company, to it at its principal place of business, attention Chief Human Resources Officer, ned.linnen@avisbudget.com, with a copy to the General Counsel, or to such other address as either party may specify by notice to the other actually received.</w:t>
      </w:r>
    </w:p>
    <w:p>
      <w:pPr>
        <w:spacing w:after="0" w:line="186" w:lineRule="exact"/>
        <w:rPr>
          <w:rFonts w:ascii="Arial" w:cs="Arial" w:eastAsia="Arial" w:hAnsi="Arial"/>
          <w:sz w:val="16"/>
          <w:szCs w:val="16"/>
          <w:color w:val="auto"/>
        </w:rPr>
      </w:pPr>
    </w:p>
    <w:p>
      <w:pPr>
        <w:ind w:firstLine="656"/>
        <w:spacing w:after="0" w:line="269" w:lineRule="auto"/>
        <w:tabs>
          <w:tab w:leader="none" w:pos="12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is not intended, and shall not be construed, as an admission that any of the Released Parties has violated any federal, state or local law (statutory or decisional), ordinance or regulation, breached any contract or committed any wrong whatsoever against the Executive. Should any provision of this Agreement require interpretation or construction, it is agreed by the parties that the entity interpreting or constructing this Agreement shall not apply a presumption against one party by reason of the rule of construction that a document is to be construed more strictly against the party who prepared the document.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Neither party shall be deemed to have made any admission of wrongdoing as a result of executing this Agreement.</w:t>
      </w:r>
    </w:p>
    <w:p>
      <w:pPr>
        <w:spacing w:after="0" w:line="223" w:lineRule="exact"/>
        <w:rPr>
          <w:rFonts w:ascii="Arial" w:cs="Arial" w:eastAsia="Arial" w:hAnsi="Arial"/>
          <w:sz w:val="18"/>
          <w:szCs w:val="18"/>
          <w:color w:val="auto"/>
        </w:rPr>
      </w:pPr>
    </w:p>
    <w:p>
      <w:pPr>
        <w:ind w:right="20" w:firstLine="656"/>
        <w:spacing w:after="0" w:line="272" w:lineRule="auto"/>
        <w:tabs>
          <w:tab w:leader="none" w:pos="12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Tax Matters; Authorized or Required Deductions</w:t>
      </w:r>
      <w:r>
        <w:rPr>
          <w:rFonts w:ascii="Arial" w:cs="Arial" w:eastAsia="Arial" w:hAnsi="Arial"/>
          <w:sz w:val="18"/>
          <w:szCs w:val="18"/>
          <w:color w:val="auto"/>
        </w:rPr>
        <w:t>. The Company may withhold from any and all amounts payable to the Executive under this Agreement such federal, state or local taxes as may be required to be withheld pursuant to any applicable law or regulation and any authorized or required reductions. The intent of the Parties is that payment and benefits under this Agreement comply with Section 409A of the Internal Revenue Code of 1986, as amended, and the regulations promulgated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and, accordingly, to the maximum extent permitted, this Agreement shall be interpreted and administered to be in compliance therewith.</w:t>
      </w:r>
    </w:p>
    <w:p>
      <w:pPr>
        <w:spacing w:after="0" w:line="217" w:lineRule="exact"/>
        <w:rPr>
          <w:rFonts w:ascii="Arial" w:cs="Arial" w:eastAsia="Arial" w:hAnsi="Arial"/>
          <w:sz w:val="18"/>
          <w:szCs w:val="18"/>
          <w:color w:val="auto"/>
        </w:rPr>
      </w:pPr>
    </w:p>
    <w:p>
      <w:pPr>
        <w:ind w:right="140" w:firstLine="656"/>
        <w:spacing w:after="0" w:line="293" w:lineRule="auto"/>
        <w:tabs>
          <w:tab w:leader="none" w:pos="129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Executive Acknowledgements</w:t>
      </w:r>
      <w:r>
        <w:rPr>
          <w:rFonts w:ascii="Arial" w:cs="Arial" w:eastAsia="Arial" w:hAnsi="Arial"/>
          <w:sz w:val="18"/>
          <w:szCs w:val="18"/>
          <w:color w:val="auto"/>
        </w:rPr>
        <w:t>. The Executive acknowledges that the Executive: (a) has carefully read this Agreement in its entirety; (b) has had an opportunity to consider this Agreement for twenty-one (21) days;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firstLine="8"/>
        <w:spacing w:after="0" w:line="303" w:lineRule="auto"/>
        <w:tabs>
          <w:tab w:leader="none" w:pos="2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fully understands the significance of all of the terms and conditions of this Agreement and has discussed them with the Executive’s independent legal counsel, or has had a reasonable opportunity to do so; and (d) is entering into this Agreement, knowingly, freely and voluntarily in exchange for good and valuable consideration to which the Executive would not be entitled in the absence of executing and not revoking this Agreement.</w:t>
      </w:r>
    </w:p>
    <w:p>
      <w:pPr>
        <w:spacing w:after="0" w:line="191" w:lineRule="exact"/>
        <w:rPr>
          <w:rFonts w:ascii="Arial" w:cs="Arial" w:eastAsia="Arial" w:hAnsi="Arial"/>
          <w:sz w:val="17"/>
          <w:szCs w:val="17"/>
          <w:color w:val="auto"/>
        </w:rPr>
      </w:pPr>
    </w:p>
    <w:p>
      <w:pPr>
        <w:ind w:right="20" w:firstLine="656"/>
        <w:spacing w:after="0" w:line="306" w:lineRule="auto"/>
        <w:tabs>
          <w:tab w:leader="none" w:pos="129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Initial Consideration and Revocation Period; Effectiveness</w:t>
      </w:r>
      <w:r>
        <w:rPr>
          <w:rFonts w:ascii="Arial" w:cs="Arial" w:eastAsia="Arial" w:hAnsi="Arial"/>
          <w:sz w:val="16"/>
          <w:szCs w:val="16"/>
          <w:color w:val="auto"/>
        </w:rPr>
        <w:t>. The Executive understands that the Executive will have twenty-one (21) days from the date of receipt of this Agreement to consider the terms and conditions of this Agreement. The Executive understands that the Executive may execute this Agreement less than twenty-one (21) days from its receipt from the Company, but agrees that such execution will represent the Executive’s knowing waiver of such consideration period. The Executive may accept this Agreement by signing it and returning it to the Human Resources department, attention Ned Linnen, within such twenty-one (21) day period. After executing this Agreement, the Executive shall have seven (7) days (the “</w:t>
      </w:r>
      <w:r>
        <w:rPr>
          <w:rFonts w:ascii="Arial" w:cs="Arial" w:eastAsia="Arial" w:hAnsi="Arial"/>
          <w:sz w:val="16"/>
          <w:szCs w:val="16"/>
          <w:u w:val="single" w:color="auto"/>
          <w:color w:val="auto"/>
        </w:rPr>
        <w:t>Revocation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to revoke this Agreement by indicating the Executive’s desire to do so in writing delivered to the Human Resources department by no later than the seventh (7th) day after the date that the Executive signs this Agreement. The effective date of this Agreement shall be the eighth (8th) day after the Executive signs this Agreement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 the event that the Executive does not accept this Agreement as set forth above, or in the event that the Executive revokes this Agreement during the Revocation Period, this Agreement shall be deemed automatically null and void.</w:t>
      </w:r>
    </w:p>
    <w:p>
      <w:pPr>
        <w:spacing w:after="0" w:line="197" w:lineRule="exact"/>
        <w:rPr>
          <w:rFonts w:ascii="Arial" w:cs="Arial" w:eastAsia="Arial" w:hAnsi="Arial"/>
          <w:sz w:val="16"/>
          <w:szCs w:val="16"/>
          <w:color w:val="auto"/>
        </w:rPr>
      </w:pPr>
    </w:p>
    <w:p>
      <w:pPr>
        <w:ind w:right="60" w:firstLine="656"/>
        <w:spacing w:after="0" w:line="277" w:lineRule="auto"/>
        <w:tabs>
          <w:tab w:leader="none" w:pos="1291"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Re-Execution of Agreement</w:t>
      </w:r>
      <w:r>
        <w:rPr>
          <w:rFonts w:ascii="Arial" w:cs="Arial" w:eastAsia="Arial" w:hAnsi="Arial"/>
          <w:sz w:val="17"/>
          <w:szCs w:val="17"/>
          <w:color w:val="auto"/>
        </w:rPr>
        <w:t>. The Company’s obligations under Section 2(b) and Section 3 of this Agreement are strictly contingent upon the Executive’s re-execution and non-revocation of this Agreement within twenty-one (21) days following the Separation Date. The date of the Executive’s re-execution of this Agreement is referred to herein as the “Re-Execution Date”. By re-executing this Agreement, the Executive advances to the Re-Execution Date Executive’s general waiver and release of all Claims against the Released Parties and the other covenants set forth in Section 5 of this Agreement. The Executive shall have seven (7) calendar days from the Re-Execution Date to revoke his re-execution of this Agreement by indicating the Executive’s desire to do so in writing delivered to the Human Resources department by no later than the seventh (7th) day after the Re-Execution Date. In the event of no revocation by the Executive, the date of the releases and covenants set forth in Section 5 of this Agreement shall be advanced through the Re-Execution Date on the eighth (8</w:t>
      </w:r>
      <w:r>
        <w:rPr>
          <w:rFonts w:ascii="Arial" w:cs="Arial" w:eastAsia="Arial" w:hAnsi="Arial"/>
          <w:sz w:val="22"/>
          <w:szCs w:val="22"/>
          <w:color w:val="auto"/>
          <w:vertAlign w:val="superscript"/>
        </w:rPr>
        <w:t>th</w:t>
      </w:r>
      <w:r>
        <w:rPr>
          <w:rFonts w:ascii="Arial" w:cs="Arial" w:eastAsia="Arial" w:hAnsi="Arial"/>
          <w:sz w:val="17"/>
          <w:szCs w:val="17"/>
          <w:color w:val="auto"/>
        </w:rPr>
        <w:t>) day after the Re-Execution Date (the “</w:t>
      </w:r>
      <w:r>
        <w:rPr>
          <w:rFonts w:ascii="Arial" w:cs="Arial" w:eastAsia="Arial" w:hAnsi="Arial"/>
          <w:sz w:val="17"/>
          <w:szCs w:val="17"/>
          <w:u w:val="single" w:color="auto"/>
          <w:color w:val="auto"/>
        </w:rPr>
        <w:t>Second Release Effective Date</w:t>
      </w:r>
      <w:r>
        <w:rPr>
          <w:rFonts w:ascii="Arial" w:cs="Arial" w:eastAsia="Arial" w:hAnsi="Arial"/>
          <w:sz w:val="17"/>
          <w:szCs w:val="17"/>
          <w:color w:val="auto"/>
        </w:rPr>
        <w:t>”). In the event of such revocation by the Executive, the date of the releases and covenants set forth in Section 5 of this Agreement shall not be advanced, but shall remain effective up to and including the date upon which Executive originally signs this Agreement and the Company shall not be obligated to provide the consideration in Section 2(b) and Section 3 of this Agreement.</w:t>
      </w:r>
    </w:p>
    <w:p>
      <w:pPr>
        <w:spacing w:after="0" w:line="219" w:lineRule="exact"/>
        <w:rPr>
          <w:rFonts w:ascii="Arial" w:cs="Arial" w:eastAsia="Arial" w:hAnsi="Arial"/>
          <w:sz w:val="17"/>
          <w:szCs w:val="17"/>
          <w:color w:val="auto"/>
        </w:rPr>
      </w:pPr>
    </w:p>
    <w:p>
      <w:pPr>
        <w:ind w:firstLine="656"/>
        <w:spacing w:after="0" w:line="306" w:lineRule="auto"/>
        <w:tabs>
          <w:tab w:leader="none" w:pos="1291"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The Released Parties are intended third-party beneficiaries of this Agreement, and this Agreement may be enforced by each of them in accordance with the terms hereof in respect of the rights granted to such Released Parties hereunder. Except and to the extent set forth in the preceding sentence and as otherwise set forth in this Agreement, this Agreement is not intended for the benefit of any person other than the parties hereto, and no such other person or entity shall be deemed to be a third party-beneficiary hereof. Without limiting the generality of the foregoing, it is not the intention of the Company to establish any policy, procedure, course of dealing, or plan of general application for the benefit of or otherwise in respect of any other employee, officer, director, or stockholder, irrespective of any similarity between any contract, agreement, commitment, or understanding between the Company and such other employee, officer, director, or stockholder, on the one hand, and any contract, agreement, commitment, or understanding between the Company and the Executive, on the other hand, and irrespective of any similarity in facts or circumstances involving such other employee, officer, director, or stockholder, on the one hand, and the Executive, on the other hand.</w:t>
      </w:r>
    </w:p>
    <w:p>
      <w:pPr>
        <w:spacing w:after="0" w:line="197" w:lineRule="exact"/>
        <w:rPr>
          <w:rFonts w:ascii="Arial" w:cs="Arial" w:eastAsia="Arial" w:hAnsi="Arial"/>
          <w:sz w:val="16"/>
          <w:szCs w:val="16"/>
          <w:color w:val="auto"/>
        </w:rPr>
      </w:pPr>
    </w:p>
    <w:p>
      <w:pPr>
        <w:ind w:right="120" w:firstLine="656"/>
        <w:spacing w:after="0" w:line="279" w:lineRule="auto"/>
        <w:tabs>
          <w:tab w:leader="none" w:pos="129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xml:space="preserve"> To the extent determined in good faith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in accordance with the terms of the Company’s recoupment policy as adopted on October 25, 2007, and as may be amended from time to time by the Board, the Executive agrees to reimburse the Company for 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3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10.2(a)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incentive income paid to Executive. For purposes of this Section, “incentive income” means income received by the Executive from any awards granted under the Company’s annual incentive program and long-term incentive program, including under the Avis Budget Group, Inc. Amended and Restated Equity and Incentive Plan, whether such awards were granted on or prior to, the date hereof.</w:t>
      </w:r>
    </w:p>
    <w:p>
      <w:pPr>
        <w:spacing w:after="0" w:line="210" w:lineRule="exact"/>
        <w:rPr>
          <w:sz w:val="20"/>
          <w:szCs w:val="20"/>
          <w:color w:val="auto"/>
        </w:rPr>
      </w:pPr>
    </w:p>
    <w:p>
      <w:pPr>
        <w:ind w:right="240" w:firstLine="656"/>
        <w:spacing w:after="0" w:line="293" w:lineRule="auto"/>
        <w:tabs>
          <w:tab w:leader="none" w:pos="1291"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Counterpart Agreements</w:t>
      </w:r>
      <w:r>
        <w:rPr>
          <w:rFonts w:ascii="Arial" w:cs="Arial" w:eastAsia="Arial" w:hAnsi="Arial"/>
          <w:sz w:val="18"/>
          <w:szCs w:val="18"/>
          <w:color w:val="auto"/>
        </w:rPr>
        <w:t>. This Agreement may be signed in counterparts, and by facsimile or e-mail transmission, all of which shall be considered as original documents and which together shall constitute one and the same agreement.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Separation Agreement as of the date set forth below.</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Edward P. Linnen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Edward P. Linnen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Human Resources Officer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K. Tucker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 Michael K. Tucker</w:t>
      </w:r>
    </w:p>
    <w:p>
      <w:pPr>
        <w:spacing w:after="0" w:line="283" w:lineRule="exact"/>
        <w:rPr>
          <w:sz w:val="20"/>
          <w:szCs w:val="20"/>
          <w:color w:val="auto"/>
        </w:rPr>
      </w:pPr>
    </w:p>
    <w:p>
      <w:pPr>
        <w:ind w:left="20" w:right="3020"/>
        <w:spacing w:after="0" w:line="267" w:lineRule="auto"/>
        <w:rPr>
          <w:sz w:val="20"/>
          <w:szCs w:val="20"/>
          <w:color w:val="auto"/>
        </w:rPr>
      </w:pPr>
      <w:r>
        <w:rPr>
          <w:rFonts w:ascii="Arial" w:cs="Arial" w:eastAsia="Arial" w:hAnsi="Arial"/>
          <w:sz w:val="20"/>
          <w:szCs w:val="20"/>
          <w:b w:val="1"/>
          <w:bCs w:val="1"/>
          <w:color w:val="auto"/>
        </w:rPr>
        <w:t>RE-EXECUTED (ON OR FOLLOWING THE SEPARATION DATE)</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Michael K. Tucker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Print Name: Michael K. Tucker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Dated: March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Dated: March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2020</w:t>
      </w:r>
    </w:p>
    <w:p>
      <w:pPr>
        <w:spacing w:after="0" w:line="1397" w:lineRule="exact"/>
        <w:rPr>
          <w:sz w:val="20"/>
          <w:szCs w:val="20"/>
          <w:color w:val="auto"/>
        </w:rPr>
      </w:pPr>
    </w:p>
    <w:p>
      <w:pPr>
        <w:sectPr>
          <w:pgSz w:w="11900" w:h="16838" w:orient="portrait"/>
          <w:cols w:equalWidth="0" w:num="2">
            <w:col w:w="7020" w:space="720"/>
            <w:col w:w="35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0" w:right="339" w:bottom="1440" w:gutter="0" w:footer="0" w:header="0"/>
          <w:type w:val="continuous"/>
        </w:sectPr>
      </w:pPr>
    </w:p>
    <w:bookmarkStart w:id="127" w:name="page128"/>
    <w:bookmarkEnd w:id="127"/>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30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0"/>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2233516 Ontario, Inc.</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AAA France Cars SAS</w:t>
            </w:r>
          </w:p>
        </w:tc>
        <w:tc>
          <w:tcPr>
            <w:tcW w:w="41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 Limited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II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Canada Holdings III Limited Partnership</w:t>
            </w:r>
          </w:p>
        </w:tc>
        <w:tc>
          <w:tcPr>
            <w:tcW w:w="4120" w:type="dxa"/>
            <w:vAlign w:val="bottom"/>
          </w:tcPr>
          <w:p>
            <w:pPr>
              <w:ind w:left="20"/>
              <w:spacing w:after="0"/>
              <w:rPr>
                <w:sz w:val="20"/>
                <w:szCs w:val="20"/>
                <w:color w:val="auto"/>
              </w:rPr>
            </w:pPr>
            <w:r>
              <w:rPr>
                <w:rFonts w:ascii="Arial" w:cs="Arial" w:eastAsia="Arial" w:hAnsi="Arial"/>
                <w:sz w:val="16"/>
                <w:szCs w:val="16"/>
                <w:color w:val="auto"/>
              </w:rPr>
              <w:t>Canada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Car Rental Services, Inc.</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FleetCo SAS</w:t>
            </w:r>
          </w:p>
        </w:tc>
        <w:tc>
          <w:tcPr>
            <w:tcW w:w="41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Funding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Group Financial Services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Luxembourg Holdings S.á r.l.</w:t>
            </w:r>
          </w:p>
        </w:tc>
        <w:tc>
          <w:tcPr>
            <w:tcW w:w="4120" w:type="dxa"/>
            <w:vAlign w:val="bottom"/>
          </w:tcPr>
          <w:p>
            <w:pPr>
              <w:ind w:left="20"/>
              <w:spacing w:after="0"/>
              <w:rPr>
                <w:sz w:val="20"/>
                <w:szCs w:val="20"/>
                <w:color w:val="auto"/>
              </w:rPr>
            </w:pPr>
            <w:r>
              <w:rPr>
                <w:rFonts w:ascii="Arial" w:cs="Arial" w:eastAsia="Arial" w:hAnsi="Arial"/>
                <w:sz w:val="16"/>
                <w:szCs w:val="16"/>
                <w:color w:val="auto"/>
              </w:rPr>
              <w:t>Luxembourg</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Scotland Finance I, LP</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 Scotland Finance II, LP</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Car Services Holdings, LLC</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Commerce Consultancy (Shanghai) Co., Ltd.</w:t>
            </w:r>
          </w:p>
        </w:tc>
        <w:tc>
          <w:tcPr>
            <w:tcW w:w="4120" w:type="dxa"/>
            <w:vAlign w:val="bottom"/>
          </w:tcPr>
          <w:p>
            <w:pPr>
              <w:ind w:left="20"/>
              <w:spacing w:after="0"/>
              <w:rPr>
                <w:sz w:val="20"/>
                <w:szCs w:val="20"/>
                <w:color w:val="auto"/>
              </w:rPr>
            </w:pPr>
            <w:r>
              <w:rPr>
                <w:rFonts w:ascii="Arial" w:cs="Arial" w:eastAsia="Arial" w:hAnsi="Arial"/>
                <w:sz w:val="16"/>
                <w:szCs w:val="16"/>
                <w:color w:val="auto"/>
              </w:rPr>
              <w:t>China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ABG Scandinavia Holdings AS</w:t>
            </w:r>
          </w:p>
        </w:tc>
        <w:tc>
          <w:tcPr>
            <w:tcW w:w="4120" w:type="dxa"/>
            <w:vAlign w:val="bottom"/>
          </w:tcPr>
          <w:p>
            <w:pPr>
              <w:ind w:left="20"/>
              <w:spacing w:after="0"/>
              <w:rPr>
                <w:sz w:val="20"/>
                <w:szCs w:val="20"/>
                <w:color w:val="auto"/>
              </w:rPr>
            </w:pPr>
            <w:r>
              <w:rPr>
                <w:rFonts w:ascii="Arial" w:cs="Arial" w:eastAsia="Arial" w:hAnsi="Arial"/>
                <w:sz w:val="16"/>
                <w:szCs w:val="16"/>
                <w:color w:val="auto"/>
              </w:rPr>
              <w:t>Norway</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ACL Hire Ltd.</w:t>
            </w:r>
          </w:p>
        </w:tc>
        <w:tc>
          <w:tcPr>
            <w:tcW w:w="4120" w:type="dxa"/>
            <w:vAlign w:val="bottom"/>
          </w:tcPr>
          <w:p>
            <w:pPr>
              <w:ind w:left="20"/>
              <w:spacing w:after="0"/>
              <w:rPr>
                <w:sz w:val="20"/>
                <w:szCs w:val="20"/>
                <w:color w:val="auto"/>
              </w:rPr>
            </w:pPr>
            <w:r>
              <w:rPr>
                <w:rFonts w:ascii="Arial" w:cs="Arial" w:eastAsia="Arial" w:hAnsi="Arial"/>
                <w:sz w:val="16"/>
                <w:szCs w:val="16"/>
                <w:color w:val="auto"/>
              </w:rPr>
              <w:t>Scotland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Corporation</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Intermediate Corporation</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Advance Ross Sub Company</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 Consolidation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 Holdco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Aegis Motor Insurance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Isle of Man</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Funding Corp.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Leasing Corp.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AESOP Leasing L.P.</w:t>
            </w:r>
          </w:p>
        </w:tc>
        <w:tc>
          <w:tcPr>
            <w:tcW w:w="41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Apex Car Rentals</w:t>
            </w:r>
          </w:p>
        </w:tc>
        <w:tc>
          <w:tcPr>
            <w:tcW w:w="412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Apex Car Rentals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Arbitra S.A.</w:t>
            </w:r>
          </w:p>
        </w:tc>
        <w:tc>
          <w:tcPr>
            <w:tcW w:w="4120" w:type="dxa"/>
            <w:vAlign w:val="bottom"/>
          </w:tcPr>
          <w:p>
            <w:pPr>
              <w:ind w:left="20"/>
              <w:spacing w:after="0"/>
              <w:rPr>
                <w:sz w:val="20"/>
                <w:szCs w:val="20"/>
                <w:color w:val="auto"/>
              </w:rPr>
            </w:pPr>
            <w:r>
              <w:rPr>
                <w:rFonts w:ascii="Arial" w:cs="Arial" w:eastAsia="Arial" w:hAnsi="Arial"/>
                <w:sz w:val="16"/>
                <w:szCs w:val="16"/>
                <w:color w:val="auto"/>
              </w:rPr>
              <w:t>Argentina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 Holdco Pty Ltd.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Auto Accident Consultants Pty.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Australia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Auto-Hall S.A.</w:t>
            </w:r>
          </w:p>
        </w:tc>
        <w:tc>
          <w:tcPr>
            <w:tcW w:w="4120" w:type="dxa"/>
            <w:vAlign w:val="bottom"/>
          </w:tcPr>
          <w:p>
            <w:pPr>
              <w:ind w:left="20"/>
              <w:spacing w:after="0"/>
              <w:rPr>
                <w:sz w:val="20"/>
                <w:szCs w:val="20"/>
                <w:color w:val="auto"/>
              </w:rPr>
            </w:pPr>
            <w:r>
              <w:rPr>
                <w:rFonts w:ascii="Arial" w:cs="Arial" w:eastAsia="Arial" w:hAnsi="Arial"/>
                <w:sz w:val="16"/>
                <w:szCs w:val="16"/>
                <w:color w:val="auto"/>
              </w:rPr>
              <w:t>Monaco</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(US) Holdings BV</w:t>
            </w:r>
          </w:p>
        </w:tc>
        <w:tc>
          <w:tcPr>
            <w:tcW w:w="412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Africa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Alquile un Coche S.A.</w:t>
            </w:r>
          </w:p>
        </w:tc>
        <w:tc>
          <w:tcPr>
            <w:tcW w:w="4120" w:type="dxa"/>
            <w:vAlign w:val="bottom"/>
          </w:tcPr>
          <w:p>
            <w:pPr>
              <w:ind w:left="20"/>
              <w:spacing w:after="0"/>
              <w:rPr>
                <w:sz w:val="20"/>
                <w:szCs w:val="20"/>
                <w:color w:val="auto"/>
              </w:rPr>
            </w:pPr>
            <w:r>
              <w:rPr>
                <w:rFonts w:ascii="Arial" w:cs="Arial" w:eastAsia="Arial" w:hAnsi="Arial"/>
                <w:sz w:val="16"/>
                <w:szCs w:val="16"/>
                <w:color w:val="auto"/>
              </w:rPr>
              <w:t>Spain</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Asia Limited</w:t>
            </w:r>
          </w:p>
        </w:tc>
        <w:tc>
          <w:tcPr>
            <w:tcW w:w="4120" w:type="dxa"/>
            <w:vAlign w:val="bottom"/>
          </w:tcPr>
          <w:p>
            <w:pPr>
              <w:ind w:left="20"/>
              <w:spacing w:after="0"/>
              <w:rPr>
                <w:sz w:val="20"/>
                <w:szCs w:val="20"/>
                <w:color w:val="auto"/>
              </w:rPr>
            </w:pPr>
            <w:r>
              <w:rPr>
                <w:rFonts w:ascii="Arial" w:cs="Arial" w:eastAsia="Arial" w:hAnsi="Arial"/>
                <w:sz w:val="16"/>
                <w:szCs w:val="16"/>
                <w:color w:val="auto"/>
              </w:rPr>
              <w:t>England and Wales</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Autovermietung Beteiligungsgesellschaft mbH</w:t>
            </w:r>
          </w:p>
        </w:tc>
        <w:tc>
          <w:tcPr>
            <w:tcW w:w="412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Autovermietung Gesellschaft m.b.H.</w:t>
            </w:r>
          </w:p>
        </w:tc>
        <w:tc>
          <w:tcPr>
            <w:tcW w:w="4120" w:type="dxa"/>
            <w:vAlign w:val="bottom"/>
          </w:tcPr>
          <w:p>
            <w:pPr>
              <w:ind w:left="20"/>
              <w:spacing w:after="0"/>
              <w:rPr>
                <w:sz w:val="20"/>
                <w:szCs w:val="20"/>
                <w:color w:val="auto"/>
              </w:rPr>
            </w:pPr>
            <w:r>
              <w:rPr>
                <w:rFonts w:ascii="Arial" w:cs="Arial" w:eastAsia="Arial" w:hAnsi="Arial"/>
                <w:sz w:val="16"/>
                <w:szCs w:val="16"/>
                <w:color w:val="auto"/>
              </w:rPr>
              <w:t>Austria</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Belgium SA</w:t>
            </w:r>
          </w:p>
        </w:tc>
        <w:tc>
          <w:tcPr>
            <w:tcW w:w="4120" w:type="dxa"/>
            <w:vAlign w:val="bottom"/>
          </w:tcPr>
          <w:p>
            <w:pPr>
              <w:ind w:left="20"/>
              <w:spacing w:after="0"/>
              <w:rPr>
                <w:sz w:val="20"/>
                <w:szCs w:val="20"/>
                <w:color w:val="auto"/>
              </w:rPr>
            </w:pPr>
            <w:r>
              <w:rPr>
                <w:rFonts w:ascii="Arial" w:cs="Arial" w:eastAsia="Arial" w:hAnsi="Arial"/>
                <w:sz w:val="16"/>
                <w:szCs w:val="16"/>
                <w:color w:val="auto"/>
              </w:rPr>
              <w:t>Belgium</w:t>
            </w:r>
          </w:p>
        </w:tc>
      </w:tr>
      <w:tr>
        <w:trPr>
          <w:trHeight w:val="216"/>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Avis Budget Auto Service GmbH</w:t>
            </w:r>
          </w:p>
        </w:tc>
        <w:tc>
          <w:tcPr>
            <w:tcW w:w="4120" w:type="dxa"/>
            <w:vAlign w:val="bottom"/>
          </w:tcPr>
          <w:p>
            <w:pPr>
              <w:ind w:left="20"/>
              <w:spacing w:after="0"/>
              <w:rPr>
                <w:sz w:val="20"/>
                <w:szCs w:val="20"/>
                <w:color w:val="auto"/>
              </w:rPr>
            </w:pPr>
            <w:r>
              <w:rPr>
                <w:rFonts w:ascii="Arial" w:cs="Arial" w:eastAsia="Arial" w:hAnsi="Arial"/>
                <w:sz w:val="16"/>
                <w:szCs w:val="16"/>
                <w:color w:val="auto"/>
              </w:rPr>
              <w:t>Germany</w:t>
            </w:r>
          </w:p>
        </w:tc>
      </w:tr>
    </w:tbl>
    <w:p>
      <w:pPr>
        <w:sectPr>
          <w:pgSz w:w="11900" w:h="16838" w:orient="portrait"/>
          <w:cols w:equalWidth="0" w:num="1">
            <w:col w:w="10800"/>
          </w:cols>
          <w:pgMar w:left="760" w:top="1440" w:right="339" w:bottom="1440" w:gutter="0" w:footer="0" w:header="0"/>
        </w:sectPr>
      </w:pPr>
    </w:p>
    <w:bookmarkStart w:id="128" w:name="page129"/>
    <w:bookmarkEnd w:id="128"/>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Autoverhuur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Autovermietung Verwaltungsgesellschaft 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Brasil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Canada ULC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Car Rental,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Contact Centers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de Puerto Rico,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Denmark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EMEA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Europe International Reinsurance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plc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Finance,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Business Support Centre Szolgaltato Kft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Contact Centre EMEA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Pty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Capital (Singapore)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International Financing S.á 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Italia SpA Fleet Co S.A.P.A.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Leasing Denmark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Rental Car Funding (AESOP)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Services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Budget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Car Rental Group,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Car Sales,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Car Sales UTD,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Caribbean,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Europe and Middle East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Europe Group Holdings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Europe Holdings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Europe Overseas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Europe Risk Management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2)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(No. 3)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Finance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Financement Vehicules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Group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India Investments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Avis International, Ltd.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Isle of 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Australia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Jersey Channel Islands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540" w:space="720"/>
            <w:col w:w="3419"/>
          </w:cols>
          <w:pgMar w:left="780" w:top="1440" w:right="1440" w:bottom="1440" w:gutter="0" w:footer="0" w:header="0"/>
        </w:sectPr>
      </w:pPr>
    </w:p>
    <w:bookmarkStart w:id="129" w:name="page130"/>
    <w:bookmarkEnd w:id="129"/>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20"/>
                <w:szCs w:val="20"/>
                <w:color w:val="auto"/>
              </w:rPr>
            </w:pPr>
            <w:r>
              <w:rPr>
                <w:rFonts w:ascii="Arial" w:cs="Arial" w:eastAsia="Arial" w:hAnsi="Arial"/>
                <w:sz w:val="16"/>
                <w:szCs w:val="16"/>
                <w:color w:val="auto"/>
              </w:rPr>
              <w:t>Avis Investment Services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England and Wales</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Leisure Services Limited</w:t>
            </w:r>
          </w:p>
        </w:tc>
        <w:tc>
          <w:tcPr>
            <w:tcW w:w="3220" w:type="dxa"/>
            <w:vAlign w:val="bottom"/>
          </w:tcPr>
          <w:p>
            <w:pPr>
              <w:ind w:left="1540"/>
              <w:spacing w:after="0"/>
              <w:rPr>
                <w:sz w:val="20"/>
                <w:szCs w:val="20"/>
                <w:color w:val="auto"/>
              </w:rPr>
            </w:pPr>
            <w:r>
              <w:rPr>
                <w:rFonts w:ascii="Arial" w:cs="Arial" w:eastAsia="Arial" w:hAnsi="Arial"/>
                <w:sz w:val="16"/>
                <w:szCs w:val="16"/>
                <w:color w:val="auto"/>
                <w:w w:val="99"/>
              </w:rPr>
              <w:t>Jersey Channel Islands</w:t>
            </w:r>
          </w:p>
        </w:tc>
      </w:tr>
      <w:tr>
        <w:trPr>
          <w:trHeight w:val="230"/>
        </w:trPr>
        <w:tc>
          <w:tcPr>
            <w:tcW w:w="4720" w:type="dxa"/>
            <w:vAlign w:val="bottom"/>
          </w:tcPr>
          <w:p>
            <w:pPr>
              <w:spacing w:after="0"/>
              <w:rPr>
                <w:sz w:val="20"/>
                <w:szCs w:val="20"/>
                <w:color w:val="auto"/>
              </w:rPr>
            </w:pPr>
            <w:r>
              <w:rPr>
                <w:rFonts w:ascii="Arial" w:cs="Arial" w:eastAsia="Arial" w:hAnsi="Arial"/>
                <w:sz w:val="16"/>
                <w:szCs w:val="16"/>
                <w:color w:val="auto"/>
              </w:rPr>
              <w:t>Avis Location de Voitures S.à r.l</w:t>
            </w:r>
          </w:p>
        </w:tc>
        <w:tc>
          <w:tcPr>
            <w:tcW w:w="3220" w:type="dxa"/>
            <w:vAlign w:val="bottom"/>
          </w:tcPr>
          <w:p>
            <w:pPr>
              <w:ind w:left="1540"/>
              <w:spacing w:after="0"/>
              <w:rPr>
                <w:sz w:val="20"/>
                <w:szCs w:val="20"/>
                <w:color w:val="auto"/>
              </w:rPr>
            </w:pPr>
            <w:r>
              <w:rPr>
                <w:rFonts w:ascii="Arial" w:cs="Arial" w:eastAsia="Arial" w:hAnsi="Arial"/>
                <w:sz w:val="16"/>
                <w:szCs w:val="16"/>
                <w:color w:val="auto"/>
              </w:rPr>
              <w:t>Luxembourg</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Location de Voitures SAS</w:t>
            </w:r>
          </w:p>
        </w:tc>
        <w:tc>
          <w:tcPr>
            <w:tcW w:w="3220" w:type="dxa"/>
            <w:vAlign w:val="bottom"/>
          </w:tcPr>
          <w:p>
            <w:pPr>
              <w:ind w:left="1540"/>
              <w:spacing w:after="0"/>
              <w:rPr>
                <w:sz w:val="20"/>
                <w:szCs w:val="20"/>
                <w:color w:val="auto"/>
              </w:rPr>
            </w:pPr>
            <w:r>
              <w:rPr>
                <w:rFonts w:ascii="Arial" w:cs="Arial" w:eastAsia="Arial" w:hAnsi="Arial"/>
                <w:sz w:val="16"/>
                <w:szCs w:val="16"/>
                <w:color w:val="auto"/>
              </w:rPr>
              <w:t>France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Management Pty.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Australia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New York General Partnership</w:t>
            </w:r>
          </w:p>
        </w:tc>
        <w:tc>
          <w:tcPr>
            <w:tcW w:w="3220" w:type="dxa"/>
            <w:vAlign w:val="bottom"/>
          </w:tcPr>
          <w:p>
            <w:pPr>
              <w:ind w:left="1540"/>
              <w:spacing w:after="0"/>
              <w:rPr>
                <w:sz w:val="20"/>
                <w:szCs w:val="20"/>
                <w:color w:val="auto"/>
              </w:rPr>
            </w:pPr>
            <w:r>
              <w:rPr>
                <w:rFonts w:ascii="Arial" w:cs="Arial" w:eastAsia="Arial" w:hAnsi="Arial"/>
                <w:sz w:val="16"/>
                <w:szCs w:val="16"/>
                <w:color w:val="auto"/>
              </w:rPr>
              <w:t>New York</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Pension Trustees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England and Wales</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Rent A Car (Isle Of Man)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Isle of Man</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Rent A Car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New Zealand</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Rent A Car Sdn. Bhd.</w:t>
            </w:r>
          </w:p>
        </w:tc>
        <w:tc>
          <w:tcPr>
            <w:tcW w:w="3220" w:type="dxa"/>
            <w:vAlign w:val="bottom"/>
          </w:tcPr>
          <w:p>
            <w:pPr>
              <w:ind w:left="1540"/>
              <w:spacing w:after="0"/>
              <w:rPr>
                <w:sz w:val="20"/>
                <w:szCs w:val="20"/>
                <w:color w:val="auto"/>
              </w:rPr>
            </w:pPr>
            <w:r>
              <w:rPr>
                <w:rFonts w:ascii="Arial" w:cs="Arial" w:eastAsia="Arial" w:hAnsi="Arial"/>
                <w:sz w:val="16"/>
                <w:szCs w:val="16"/>
                <w:color w:val="auto"/>
              </w:rPr>
              <w:t>Malaysia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 Rent A Car System, LLC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AvisBudget Group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New Zealand</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Aviscar Inc.</w:t>
            </w:r>
          </w:p>
        </w:tc>
        <w:tc>
          <w:tcPr>
            <w:tcW w:w="3220" w:type="dxa"/>
            <w:vAlign w:val="bottom"/>
          </w:tcPr>
          <w:p>
            <w:pPr>
              <w:ind w:left="1540"/>
              <w:spacing w:after="0"/>
              <w:rPr>
                <w:sz w:val="20"/>
                <w:szCs w:val="20"/>
                <w:color w:val="auto"/>
              </w:rPr>
            </w:pPr>
            <w:r>
              <w:rPr>
                <w:rFonts w:ascii="Arial" w:cs="Arial" w:eastAsia="Arial" w:hAnsi="Arial"/>
                <w:sz w:val="16"/>
                <w:szCs w:val="16"/>
                <w:color w:val="auto"/>
              </w:rPr>
              <w:t>Canada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Bell’Aria S.p.A</w:t>
            </w:r>
          </w:p>
        </w:tc>
        <w:tc>
          <w:tcPr>
            <w:tcW w:w="3220" w:type="dxa"/>
            <w:vAlign w:val="bottom"/>
          </w:tcPr>
          <w:p>
            <w:pPr>
              <w:ind w:left="1540"/>
              <w:spacing w:after="0"/>
              <w:rPr>
                <w:sz w:val="20"/>
                <w:szCs w:val="20"/>
                <w:color w:val="auto"/>
              </w:rPr>
            </w:pPr>
            <w:r>
              <w:rPr>
                <w:rFonts w:ascii="Arial" w:cs="Arial" w:eastAsia="Arial" w:hAnsi="Arial"/>
                <w:sz w:val="16"/>
                <w:szCs w:val="16"/>
                <w:color w:val="auto"/>
              </w:rPr>
              <w:t>Italy</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International, Inc.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Rent A Car Australia Pty. Ltd.</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Australia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Rent A Car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New Zealand</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Rent a Car Operations Pty. Ltd.</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Australia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Rent A Car System, Inc.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 Truck Rental LLC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Budgetcar Inc.</w:t>
            </w:r>
          </w:p>
        </w:tc>
        <w:tc>
          <w:tcPr>
            <w:tcW w:w="3220" w:type="dxa"/>
            <w:vAlign w:val="bottom"/>
          </w:tcPr>
          <w:p>
            <w:pPr>
              <w:ind w:left="1540"/>
              <w:spacing w:after="0"/>
              <w:rPr>
                <w:sz w:val="20"/>
                <w:szCs w:val="20"/>
                <w:color w:val="auto"/>
              </w:rPr>
            </w:pPr>
            <w:r>
              <w:rPr>
                <w:rFonts w:ascii="Arial" w:cs="Arial" w:eastAsia="Arial" w:hAnsi="Arial"/>
                <w:sz w:val="16"/>
                <w:szCs w:val="16"/>
                <w:color w:val="auto"/>
              </w:rPr>
              <w:t>Canada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Business Rent A Car GmbH</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Camfox Pty. Ltd.</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Australia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CCRG Servicios De Automoveis Ltda</w:t>
            </w:r>
          </w:p>
        </w:tc>
        <w:tc>
          <w:tcPr>
            <w:tcW w:w="3220" w:type="dxa"/>
            <w:vAlign w:val="bottom"/>
          </w:tcPr>
          <w:p>
            <w:pPr>
              <w:ind w:left="1540"/>
              <w:spacing w:after="0"/>
              <w:rPr>
                <w:sz w:val="20"/>
                <w:szCs w:val="20"/>
                <w:color w:val="auto"/>
              </w:rPr>
            </w:pPr>
            <w:r>
              <w:rPr>
                <w:rFonts w:ascii="Arial" w:cs="Arial" w:eastAsia="Arial" w:hAnsi="Arial"/>
                <w:sz w:val="16"/>
                <w:szCs w:val="16"/>
                <w:color w:val="auto"/>
              </w:rPr>
              <w:t>Brazil</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CD Intellectual Property Holdings, LLC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Cendant Finance Holding Company LLC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Centre Point Funding, LLC</w:t>
            </w:r>
          </w:p>
        </w:tc>
        <w:tc>
          <w:tcPr>
            <w:tcW w:w="3220" w:type="dxa"/>
            <w:vAlign w:val="bottom"/>
          </w:tcPr>
          <w:p>
            <w:pPr>
              <w:ind w:left="1540"/>
              <w:spacing w:after="0"/>
              <w:rPr>
                <w:sz w:val="20"/>
                <w:szCs w:val="20"/>
                <w:color w:val="auto"/>
              </w:rPr>
            </w:pPr>
            <w:r>
              <w:rPr>
                <w:rFonts w:ascii="Arial" w:cs="Arial" w:eastAsia="Arial" w:hAnsi="Arial"/>
                <w:sz w:val="16"/>
                <w:szCs w:val="16"/>
                <w:color w:val="auto"/>
              </w:rPr>
              <w:t>Delaware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Chaconne Pty.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Australia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Constellation Reinsurance Company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Barbados</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Dallas Rent A Car Ltda.</w:t>
            </w:r>
          </w:p>
        </w:tc>
        <w:tc>
          <w:tcPr>
            <w:tcW w:w="3220" w:type="dxa"/>
            <w:vAlign w:val="bottom"/>
          </w:tcPr>
          <w:p>
            <w:pPr>
              <w:ind w:left="1540"/>
              <w:spacing w:after="0"/>
              <w:rPr>
                <w:sz w:val="20"/>
                <w:szCs w:val="20"/>
                <w:color w:val="auto"/>
              </w:rPr>
            </w:pPr>
            <w:r>
              <w:rPr>
                <w:rFonts w:ascii="Arial" w:cs="Arial" w:eastAsia="Arial" w:hAnsi="Arial"/>
                <w:sz w:val="16"/>
                <w:szCs w:val="16"/>
                <w:color w:val="auto"/>
              </w:rPr>
              <w:t>Brazil</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Europe Leisure Holdings NV</w:t>
            </w:r>
          </w:p>
        </w:tc>
        <w:tc>
          <w:tcPr>
            <w:tcW w:w="3220" w:type="dxa"/>
            <w:vAlign w:val="bottom"/>
          </w:tcPr>
          <w:p>
            <w:pPr>
              <w:ind w:left="1540"/>
              <w:spacing w:after="0"/>
              <w:rPr>
                <w:sz w:val="20"/>
                <w:szCs w:val="20"/>
                <w:color w:val="auto"/>
              </w:rPr>
            </w:pPr>
            <w:r>
              <w:rPr>
                <w:rFonts w:ascii="Arial" w:cs="Arial" w:eastAsia="Arial" w:hAnsi="Arial"/>
                <w:sz w:val="16"/>
                <w:szCs w:val="16"/>
                <w:color w:val="auto"/>
              </w:rPr>
              <w:t>The Netherlands</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Garage St Martin sas</w:t>
            </w:r>
          </w:p>
        </w:tc>
        <w:tc>
          <w:tcPr>
            <w:tcW w:w="3220" w:type="dxa"/>
            <w:vAlign w:val="bottom"/>
          </w:tcPr>
          <w:p>
            <w:pPr>
              <w:ind w:left="1540"/>
              <w:spacing w:after="0"/>
              <w:rPr>
                <w:sz w:val="20"/>
                <w:szCs w:val="20"/>
                <w:color w:val="auto"/>
              </w:rPr>
            </w:pPr>
            <w:r>
              <w:rPr>
                <w:rFonts w:ascii="Arial" w:cs="Arial" w:eastAsia="Arial" w:hAnsi="Arial"/>
                <w:sz w:val="16"/>
                <w:szCs w:val="16"/>
                <w:color w:val="auto"/>
              </w:rPr>
              <w:t>France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Garep AG</w:t>
            </w:r>
          </w:p>
        </w:tc>
        <w:tc>
          <w:tcPr>
            <w:tcW w:w="3220" w:type="dxa"/>
            <w:vAlign w:val="bottom"/>
          </w:tcPr>
          <w:p>
            <w:pPr>
              <w:ind w:left="1540"/>
              <w:spacing w:after="0"/>
              <w:rPr>
                <w:sz w:val="20"/>
                <w:szCs w:val="20"/>
                <w:color w:val="auto"/>
              </w:rPr>
            </w:pPr>
            <w:r>
              <w:rPr>
                <w:rFonts w:ascii="Arial" w:cs="Arial" w:eastAsia="Arial" w:hAnsi="Arial"/>
                <w:sz w:val="16"/>
                <w:szCs w:val="16"/>
                <w:color w:val="auto"/>
              </w:rPr>
              <w:t>Switzerland</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Gestlas- Gestao Automovel, S.A.</w:t>
            </w:r>
          </w:p>
        </w:tc>
        <w:tc>
          <w:tcPr>
            <w:tcW w:w="3220" w:type="dxa"/>
            <w:vAlign w:val="bottom"/>
          </w:tcPr>
          <w:p>
            <w:pPr>
              <w:ind w:left="1540"/>
              <w:spacing w:after="0"/>
              <w:rPr>
                <w:sz w:val="20"/>
                <w:szCs w:val="20"/>
                <w:color w:val="auto"/>
              </w:rPr>
            </w:pPr>
            <w:r>
              <w:rPr>
                <w:rFonts w:ascii="Arial" w:cs="Arial" w:eastAsia="Arial" w:hAnsi="Arial"/>
                <w:sz w:val="16"/>
                <w:szCs w:val="16"/>
                <w:color w:val="auto"/>
              </w:rPr>
              <w:t>Portugal</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Jupol-Car Sp. z.o.o.</w:t>
            </w:r>
          </w:p>
        </w:tc>
        <w:tc>
          <w:tcPr>
            <w:tcW w:w="3220" w:type="dxa"/>
            <w:vAlign w:val="bottom"/>
          </w:tcPr>
          <w:p>
            <w:pPr>
              <w:ind w:left="1540"/>
              <w:spacing w:after="0"/>
              <w:rPr>
                <w:sz w:val="20"/>
                <w:szCs w:val="20"/>
                <w:color w:val="auto"/>
              </w:rPr>
            </w:pPr>
            <w:r>
              <w:rPr>
                <w:rFonts w:ascii="Arial" w:cs="Arial" w:eastAsia="Arial" w:hAnsi="Arial"/>
                <w:sz w:val="16"/>
                <w:szCs w:val="16"/>
                <w:color w:val="auto"/>
              </w:rPr>
              <w:t>Poland</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Maggiore Asset Management S.r.l.</w:t>
            </w:r>
          </w:p>
        </w:tc>
        <w:tc>
          <w:tcPr>
            <w:tcW w:w="3220" w:type="dxa"/>
            <w:vAlign w:val="bottom"/>
          </w:tcPr>
          <w:p>
            <w:pPr>
              <w:ind w:left="1540"/>
              <w:spacing w:after="0"/>
              <w:rPr>
                <w:sz w:val="20"/>
                <w:szCs w:val="20"/>
                <w:color w:val="auto"/>
              </w:rPr>
            </w:pPr>
            <w:r>
              <w:rPr>
                <w:rFonts w:ascii="Arial" w:cs="Arial" w:eastAsia="Arial" w:hAnsi="Arial"/>
                <w:sz w:val="16"/>
                <w:szCs w:val="16"/>
                <w:color w:val="auto"/>
              </w:rPr>
              <w:t>Italy</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Mercury Car Rentals Private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India</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Milton Location de Voitures SAS</w:t>
            </w:r>
          </w:p>
        </w:tc>
        <w:tc>
          <w:tcPr>
            <w:tcW w:w="3220" w:type="dxa"/>
            <w:vAlign w:val="bottom"/>
          </w:tcPr>
          <w:p>
            <w:pPr>
              <w:ind w:left="1540"/>
              <w:spacing w:after="0"/>
              <w:rPr>
                <w:sz w:val="20"/>
                <w:szCs w:val="20"/>
                <w:color w:val="auto"/>
              </w:rPr>
            </w:pPr>
            <w:r>
              <w:rPr>
                <w:rFonts w:ascii="Arial" w:cs="Arial" w:eastAsia="Arial" w:hAnsi="Arial"/>
                <w:sz w:val="16"/>
                <w:szCs w:val="16"/>
                <w:color w:val="auto"/>
              </w:rPr>
              <w:t>France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Mobility, Inc.</w:t>
            </w:r>
          </w:p>
        </w:tc>
        <w:tc>
          <w:tcPr>
            <w:tcW w:w="3220" w:type="dxa"/>
            <w:vAlign w:val="bottom"/>
          </w:tcPr>
          <w:p>
            <w:pPr>
              <w:ind w:left="1540"/>
              <w:spacing w:after="0"/>
              <w:rPr>
                <w:sz w:val="20"/>
                <w:szCs w:val="20"/>
                <w:color w:val="auto"/>
              </w:rPr>
            </w:pPr>
            <w:r>
              <w:rPr>
                <w:rFonts w:ascii="Arial" w:cs="Arial" w:eastAsia="Arial" w:hAnsi="Arial"/>
                <w:sz w:val="16"/>
                <w:szCs w:val="16"/>
                <w:color w:val="auto"/>
              </w:rPr>
              <w:t>Washington</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Morini SpA</w:t>
            </w:r>
          </w:p>
        </w:tc>
        <w:tc>
          <w:tcPr>
            <w:tcW w:w="3220" w:type="dxa"/>
            <w:vAlign w:val="bottom"/>
          </w:tcPr>
          <w:p>
            <w:pPr>
              <w:ind w:left="1540"/>
              <w:spacing w:after="0"/>
              <w:rPr>
                <w:sz w:val="20"/>
                <w:szCs w:val="20"/>
                <w:color w:val="auto"/>
              </w:rPr>
            </w:pPr>
            <w:r>
              <w:rPr>
                <w:rFonts w:ascii="Arial" w:cs="Arial" w:eastAsia="Arial" w:hAnsi="Arial"/>
                <w:sz w:val="16"/>
                <w:szCs w:val="16"/>
                <w:color w:val="auto"/>
              </w:rPr>
              <w:t>Italy</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Motorent, Inc.</w:t>
            </w:r>
          </w:p>
        </w:tc>
        <w:tc>
          <w:tcPr>
            <w:tcW w:w="3220" w:type="dxa"/>
            <w:vAlign w:val="bottom"/>
          </w:tcPr>
          <w:p>
            <w:pPr>
              <w:ind w:left="1540"/>
              <w:spacing w:after="0"/>
              <w:rPr>
                <w:sz w:val="20"/>
                <w:szCs w:val="20"/>
                <w:color w:val="auto"/>
              </w:rPr>
            </w:pPr>
            <w:r>
              <w:rPr>
                <w:rFonts w:ascii="Arial" w:cs="Arial" w:eastAsia="Arial" w:hAnsi="Arial"/>
                <w:sz w:val="16"/>
                <w:szCs w:val="16"/>
                <w:color w:val="auto"/>
              </w:rPr>
              <w:t>Tennessee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National Car Rentals (Private) Limited</w:t>
            </w:r>
          </w:p>
        </w:tc>
        <w:tc>
          <w:tcPr>
            <w:tcW w:w="3220" w:type="dxa"/>
            <w:vAlign w:val="bottom"/>
          </w:tcPr>
          <w:p>
            <w:pPr>
              <w:ind w:left="1540"/>
              <w:spacing w:after="0"/>
              <w:rPr>
                <w:sz w:val="20"/>
                <w:szCs w:val="20"/>
                <w:color w:val="auto"/>
              </w:rPr>
            </w:pPr>
            <w:r>
              <w:rPr>
                <w:rFonts w:ascii="Arial" w:cs="Arial" w:eastAsia="Arial" w:hAnsi="Arial"/>
                <w:sz w:val="16"/>
                <w:szCs w:val="16"/>
                <w:color w:val="auto"/>
              </w:rPr>
              <w:t>Singapore</w:t>
            </w:r>
          </w:p>
        </w:tc>
      </w:tr>
      <w:tr>
        <w:trPr>
          <w:trHeight w:val="216"/>
        </w:trPr>
        <w:tc>
          <w:tcPr>
            <w:tcW w:w="4720" w:type="dxa"/>
            <w:vAlign w:val="bottom"/>
          </w:tcPr>
          <w:p>
            <w:pPr>
              <w:spacing w:after="0"/>
              <w:rPr>
                <w:sz w:val="20"/>
                <w:szCs w:val="20"/>
                <w:color w:val="auto"/>
              </w:rPr>
            </w:pPr>
            <w:r>
              <w:rPr>
                <w:rFonts w:ascii="Arial" w:cs="Arial" w:eastAsia="Arial" w:hAnsi="Arial"/>
                <w:sz w:val="16"/>
                <w:szCs w:val="16"/>
                <w:color w:val="auto"/>
              </w:rPr>
              <w:t>Payless Car Rental Canada Inc.</w:t>
            </w:r>
          </w:p>
        </w:tc>
        <w:tc>
          <w:tcPr>
            <w:tcW w:w="3220" w:type="dxa"/>
            <w:vAlign w:val="bottom"/>
          </w:tcPr>
          <w:p>
            <w:pPr>
              <w:ind w:left="1540"/>
              <w:spacing w:after="0"/>
              <w:rPr>
                <w:sz w:val="20"/>
                <w:szCs w:val="20"/>
                <w:color w:val="auto"/>
              </w:rPr>
            </w:pPr>
            <w:r>
              <w:rPr>
                <w:rFonts w:ascii="Arial" w:cs="Arial" w:eastAsia="Arial" w:hAnsi="Arial"/>
                <w:sz w:val="16"/>
                <w:szCs w:val="16"/>
                <w:color w:val="auto"/>
              </w:rPr>
              <w:t>Canada</w:t>
            </w:r>
          </w:p>
        </w:tc>
      </w:tr>
    </w:tbl>
    <w:p>
      <w:pPr>
        <w:sectPr>
          <w:pgSz w:w="11900" w:h="16838" w:orient="portrait"/>
          <w:cols w:equalWidth="0" w:num="1">
            <w:col w:w="9679"/>
          </w:cols>
          <w:pgMar w:left="780" w:top="1440" w:right="1440" w:bottom="1440" w:gutter="0" w:footer="0" w:header="0"/>
        </w:sectPr>
      </w:pPr>
    </w:p>
    <w:bookmarkStart w:id="130" w:name="page131"/>
    <w:bookmarkEnd w:id="130"/>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20"/>
                <w:szCs w:val="20"/>
                <w:color w:val="auto"/>
              </w:rPr>
            </w:pPr>
            <w:r>
              <w:rPr>
                <w:rFonts w:ascii="Arial" w:cs="Arial" w:eastAsia="Arial" w:hAnsi="Arial"/>
                <w:sz w:val="16"/>
                <w:szCs w:val="16"/>
                <w:color w:val="auto"/>
              </w:rPr>
              <w:t>Payless Car Rental, Inc.</w:t>
            </w:r>
          </w:p>
        </w:tc>
        <w:tc>
          <w:tcPr>
            <w:tcW w:w="2340" w:type="dxa"/>
            <w:vAlign w:val="bottom"/>
          </w:tcPr>
          <w:p>
            <w:pPr>
              <w:ind w:left="940"/>
              <w:spacing w:after="0"/>
              <w:rPr>
                <w:sz w:val="20"/>
                <w:szCs w:val="20"/>
                <w:color w:val="auto"/>
              </w:rPr>
            </w:pPr>
            <w:r>
              <w:rPr>
                <w:rFonts w:ascii="Arial" w:cs="Arial" w:eastAsia="Arial" w:hAnsi="Arial"/>
                <w:sz w:val="16"/>
                <w:szCs w:val="16"/>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Payless Car Rental System, Inc.</w:t>
            </w:r>
          </w:p>
        </w:tc>
        <w:tc>
          <w:tcPr>
            <w:tcW w:w="2340" w:type="dxa"/>
            <w:vAlign w:val="bottom"/>
          </w:tcPr>
          <w:p>
            <w:pPr>
              <w:ind w:left="940"/>
              <w:spacing w:after="0"/>
              <w:rPr>
                <w:sz w:val="20"/>
                <w:szCs w:val="20"/>
                <w:color w:val="auto"/>
              </w:rPr>
            </w:pPr>
            <w:r>
              <w:rPr>
                <w:rFonts w:ascii="Arial" w:cs="Arial" w:eastAsia="Arial" w:hAnsi="Arial"/>
                <w:sz w:val="16"/>
                <w:szCs w:val="16"/>
                <w:color w:val="auto"/>
              </w:rPr>
              <w:t>Florida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Payless Car Sales, Inc.</w:t>
            </w:r>
          </w:p>
        </w:tc>
        <w:tc>
          <w:tcPr>
            <w:tcW w:w="2340" w:type="dxa"/>
            <w:vAlign w:val="bottom"/>
          </w:tcPr>
          <w:p>
            <w:pPr>
              <w:ind w:left="940"/>
              <w:spacing w:after="0"/>
              <w:rPr>
                <w:sz w:val="20"/>
                <w:szCs w:val="20"/>
                <w:color w:val="auto"/>
              </w:rPr>
            </w:pPr>
            <w:r>
              <w:rPr>
                <w:rFonts w:ascii="Arial" w:cs="Arial" w:eastAsia="Arial" w:hAnsi="Arial"/>
                <w:sz w:val="16"/>
                <w:szCs w:val="16"/>
                <w:color w:val="auto"/>
              </w:rPr>
              <w:t>Florida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Payless Parking, LLC</w:t>
            </w:r>
          </w:p>
        </w:tc>
        <w:tc>
          <w:tcPr>
            <w:tcW w:w="2340" w:type="dxa"/>
            <w:vAlign w:val="bottom"/>
          </w:tcPr>
          <w:p>
            <w:pPr>
              <w:ind w:left="940"/>
              <w:spacing w:after="0"/>
              <w:rPr>
                <w:sz w:val="20"/>
                <w:szCs w:val="20"/>
                <w:color w:val="auto"/>
              </w:rPr>
            </w:pPr>
            <w:r>
              <w:rPr>
                <w:rFonts w:ascii="Arial" w:cs="Arial" w:eastAsia="Arial" w:hAnsi="Arial"/>
                <w:sz w:val="16"/>
                <w:szCs w:val="16"/>
                <w:color w:val="auto"/>
              </w:rPr>
              <w:t>Florida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PR Holdco,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PV Holding Corp.</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PVI Kraftfahrzeug Leasing GmbH</w:t>
            </w:r>
          </w:p>
        </w:tc>
        <w:tc>
          <w:tcPr>
            <w:tcW w:w="2340" w:type="dxa"/>
            <w:vAlign w:val="bottom"/>
          </w:tcPr>
          <w:p>
            <w:pPr>
              <w:ind w:left="940"/>
              <w:spacing w:after="0"/>
              <w:rPr>
                <w:sz w:val="20"/>
                <w:szCs w:val="20"/>
                <w:color w:val="auto"/>
              </w:rPr>
            </w:pPr>
            <w:r>
              <w:rPr>
                <w:rFonts w:ascii="Arial" w:cs="Arial" w:eastAsia="Arial" w:hAnsi="Arial"/>
                <w:sz w:val="16"/>
                <w:szCs w:val="16"/>
                <w:color w:val="auto"/>
              </w:rPr>
              <w:t>Germany</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Quartx Fleet Management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RAC Norway AS</w:t>
            </w:r>
          </w:p>
        </w:tc>
        <w:tc>
          <w:tcPr>
            <w:tcW w:w="2340" w:type="dxa"/>
            <w:vAlign w:val="bottom"/>
          </w:tcPr>
          <w:p>
            <w:pPr>
              <w:ind w:left="940"/>
              <w:spacing w:after="0"/>
              <w:rPr>
                <w:sz w:val="20"/>
                <w:szCs w:val="20"/>
                <w:color w:val="auto"/>
              </w:rPr>
            </w:pPr>
            <w:r>
              <w:rPr>
                <w:rFonts w:ascii="Arial" w:cs="Arial" w:eastAsia="Arial" w:hAnsi="Arial"/>
                <w:sz w:val="16"/>
                <w:szCs w:val="16"/>
                <w:color w:val="auto"/>
              </w:rPr>
              <w:t>Norway</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SCA sas</w:t>
            </w:r>
          </w:p>
        </w:tc>
        <w:tc>
          <w:tcPr>
            <w:tcW w:w="2340" w:type="dxa"/>
            <w:vAlign w:val="bottom"/>
          </w:tcPr>
          <w:p>
            <w:pPr>
              <w:ind w:left="940"/>
              <w:spacing w:after="0"/>
              <w:rPr>
                <w:sz w:val="20"/>
                <w:szCs w:val="20"/>
                <w:color w:val="auto"/>
              </w:rPr>
            </w:pPr>
            <w:r>
              <w:rPr>
                <w:rFonts w:ascii="Arial" w:cs="Arial" w:eastAsia="Arial" w:hAnsi="Arial"/>
                <w:sz w:val="16"/>
                <w:szCs w:val="16"/>
                <w:color w:val="auto"/>
              </w:rPr>
              <w:t>France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Servicios Avis S.A.</w:t>
            </w:r>
          </w:p>
        </w:tc>
        <w:tc>
          <w:tcPr>
            <w:tcW w:w="2340" w:type="dxa"/>
            <w:vAlign w:val="bottom"/>
          </w:tcPr>
          <w:p>
            <w:pPr>
              <w:ind w:left="940"/>
              <w:spacing w:after="0"/>
              <w:rPr>
                <w:sz w:val="20"/>
                <w:szCs w:val="20"/>
                <w:color w:val="auto"/>
              </w:rPr>
            </w:pPr>
            <w:r>
              <w:rPr>
                <w:rFonts w:ascii="Arial" w:cs="Arial" w:eastAsia="Arial" w:hAnsi="Arial"/>
                <w:sz w:val="16"/>
                <w:szCs w:val="16"/>
                <w:color w:val="auto"/>
              </w:rPr>
              <w:t>Mexico</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Sovial Sociedade de Viaturas de Aluguer LDA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Sovialma Sociedade de Viaturas de Aluguer da Madeira LDA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Sweden Rent A Car AB</w:t>
            </w:r>
          </w:p>
        </w:tc>
        <w:tc>
          <w:tcPr>
            <w:tcW w:w="2340" w:type="dxa"/>
            <w:vAlign w:val="bottom"/>
          </w:tcPr>
          <w:p>
            <w:pPr>
              <w:ind w:left="940"/>
              <w:spacing w:after="0"/>
              <w:rPr>
                <w:sz w:val="20"/>
                <w:szCs w:val="20"/>
                <w:color w:val="auto"/>
              </w:rPr>
            </w:pPr>
            <w:r>
              <w:rPr>
                <w:rFonts w:ascii="Arial" w:cs="Arial" w:eastAsia="Arial" w:hAnsi="Arial"/>
                <w:sz w:val="16"/>
                <w:szCs w:val="16"/>
                <w:color w:val="auto"/>
              </w:rPr>
              <w:t>Sweden</w:t>
            </w:r>
          </w:p>
        </w:tc>
      </w:tr>
      <w:tr>
        <w:trPr>
          <w:trHeight w:val="230"/>
        </w:trPr>
        <w:tc>
          <w:tcPr>
            <w:tcW w:w="5320" w:type="dxa"/>
            <w:vAlign w:val="bottom"/>
          </w:tcPr>
          <w:p>
            <w:pPr>
              <w:spacing w:after="0"/>
              <w:rPr>
                <w:sz w:val="20"/>
                <w:szCs w:val="20"/>
                <w:color w:val="auto"/>
              </w:rPr>
            </w:pPr>
            <w:r>
              <w:rPr>
                <w:rFonts w:ascii="Arial" w:cs="Arial" w:eastAsia="Arial" w:hAnsi="Arial"/>
                <w:sz w:val="16"/>
                <w:szCs w:val="16"/>
                <w:color w:val="auto"/>
              </w:rPr>
              <w:t>Transfercar4U AS</w:t>
            </w:r>
          </w:p>
        </w:tc>
        <w:tc>
          <w:tcPr>
            <w:tcW w:w="2340" w:type="dxa"/>
            <w:vAlign w:val="bottom"/>
          </w:tcPr>
          <w:p>
            <w:pPr>
              <w:ind w:left="940"/>
              <w:spacing w:after="0"/>
              <w:rPr>
                <w:sz w:val="20"/>
                <w:szCs w:val="20"/>
                <w:color w:val="auto"/>
              </w:rPr>
            </w:pPr>
            <w:r>
              <w:rPr>
                <w:rFonts w:ascii="Arial" w:cs="Arial" w:eastAsia="Arial" w:hAnsi="Arial"/>
                <w:sz w:val="16"/>
                <w:szCs w:val="16"/>
                <w:color w:val="auto"/>
              </w:rPr>
              <w:t>Norway</w:t>
            </w:r>
          </w:p>
        </w:tc>
      </w:tr>
      <w:tr>
        <w:trPr>
          <w:trHeight w:val="229"/>
        </w:trPr>
        <w:tc>
          <w:tcPr>
            <w:tcW w:w="5320" w:type="dxa"/>
            <w:vAlign w:val="bottom"/>
          </w:tcPr>
          <w:p>
            <w:pPr>
              <w:spacing w:after="0"/>
              <w:rPr>
                <w:sz w:val="20"/>
                <w:szCs w:val="20"/>
                <w:color w:val="auto"/>
              </w:rPr>
            </w:pPr>
            <w:r>
              <w:rPr>
                <w:rFonts w:ascii="Arial" w:cs="Arial" w:eastAsia="Arial" w:hAnsi="Arial"/>
                <w:sz w:val="16"/>
                <w:szCs w:val="16"/>
                <w:color w:val="auto"/>
              </w:rPr>
              <w:t>Turiscar Rent A Car, S.A.</w:t>
            </w:r>
          </w:p>
        </w:tc>
        <w:tc>
          <w:tcPr>
            <w:tcW w:w="2340" w:type="dxa"/>
            <w:vAlign w:val="bottom"/>
          </w:tcPr>
          <w:p>
            <w:pPr>
              <w:ind w:left="940"/>
              <w:spacing w:after="0"/>
              <w:rPr>
                <w:sz w:val="20"/>
                <w:szCs w:val="20"/>
                <w:color w:val="auto"/>
              </w:rPr>
            </w:pPr>
            <w:r>
              <w:rPr>
                <w:rFonts w:ascii="Arial" w:cs="Arial" w:eastAsia="Arial" w:hAnsi="Arial"/>
                <w:sz w:val="16"/>
                <w:szCs w:val="16"/>
                <w:color w:val="auto"/>
              </w:rPr>
              <w:t>Portugal</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Virgin Islands Enterprises, Inc.</w:t>
            </w:r>
          </w:p>
        </w:tc>
        <w:tc>
          <w:tcPr>
            <w:tcW w:w="2340" w:type="dxa"/>
            <w:vAlign w:val="bottom"/>
          </w:tcPr>
          <w:p>
            <w:pPr>
              <w:ind w:left="940"/>
              <w:spacing w:after="0"/>
              <w:rPr>
                <w:sz w:val="20"/>
                <w:szCs w:val="20"/>
                <w:color w:val="auto"/>
              </w:rPr>
            </w:pPr>
            <w:r>
              <w:rPr>
                <w:rFonts w:ascii="Arial" w:cs="Arial" w:eastAsia="Arial" w:hAnsi="Arial"/>
                <w:sz w:val="16"/>
                <w:szCs w:val="16"/>
                <w:color w:val="auto"/>
              </w:rPr>
              <w:t>Virgin Islands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(Sub 1) Pty Ltd.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(Sub 2)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New Zealand</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Fleet Leasing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We Try Harder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Wizard Co.,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Wizard Services,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Canada, Inc.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Car Rental ULC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WTH Funding Limited Partnership</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Yourway Rent A Car Pty Limited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Australia Pty Ltd</w:t>
            </w:r>
          </w:p>
        </w:tc>
        <w:tc>
          <w:tcPr>
            <w:tcW w:w="2340" w:type="dxa"/>
            <w:vAlign w:val="bottom"/>
          </w:tcPr>
          <w:p>
            <w:pPr>
              <w:ind w:left="940"/>
              <w:spacing w:after="0"/>
              <w:rPr>
                <w:sz w:val="20"/>
                <w:szCs w:val="20"/>
                <w:color w:val="auto"/>
              </w:rPr>
            </w:pPr>
            <w:r>
              <w:rPr>
                <w:rFonts w:ascii="Arial" w:cs="Arial" w:eastAsia="Arial" w:hAnsi="Arial"/>
                <w:sz w:val="16"/>
                <w:szCs w:val="16"/>
                <w:color w:val="auto"/>
              </w:rPr>
              <w:t>Australia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Austria GmbH</w:t>
            </w:r>
          </w:p>
        </w:tc>
        <w:tc>
          <w:tcPr>
            <w:tcW w:w="2340" w:type="dxa"/>
            <w:vAlign w:val="bottom"/>
          </w:tcPr>
          <w:p>
            <w:pPr>
              <w:ind w:left="940"/>
              <w:spacing w:after="0"/>
              <w:rPr>
                <w:sz w:val="20"/>
                <w:szCs w:val="20"/>
                <w:color w:val="auto"/>
              </w:rPr>
            </w:pPr>
            <w:r>
              <w:rPr>
                <w:rFonts w:ascii="Arial" w:cs="Arial" w:eastAsia="Arial" w:hAnsi="Arial"/>
                <w:sz w:val="16"/>
                <w:szCs w:val="16"/>
                <w:color w:val="auto"/>
              </w:rPr>
              <w:t>Austria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Inc.</w:t>
            </w:r>
          </w:p>
        </w:tc>
        <w:tc>
          <w:tcPr>
            <w:tcW w:w="2340" w:type="dxa"/>
            <w:vAlign w:val="bottom"/>
          </w:tcPr>
          <w:p>
            <w:pPr>
              <w:ind w:left="940"/>
              <w:spacing w:after="0"/>
              <w:rPr>
                <w:sz w:val="20"/>
                <w:szCs w:val="20"/>
                <w:color w:val="auto"/>
              </w:rPr>
            </w:pPr>
            <w:r>
              <w:rPr>
                <w:rFonts w:ascii="Arial" w:cs="Arial" w:eastAsia="Arial" w:hAnsi="Arial"/>
                <w:sz w:val="16"/>
                <w:szCs w:val="16"/>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Canada Inc.</w:t>
            </w:r>
          </w:p>
        </w:tc>
        <w:tc>
          <w:tcPr>
            <w:tcW w:w="2340" w:type="dxa"/>
            <w:vAlign w:val="bottom"/>
          </w:tcPr>
          <w:p>
            <w:pPr>
              <w:ind w:left="940"/>
              <w:spacing w:after="0"/>
              <w:rPr>
                <w:sz w:val="20"/>
                <w:szCs w:val="20"/>
                <w:color w:val="auto"/>
              </w:rPr>
            </w:pPr>
            <w:r>
              <w:rPr>
                <w:rFonts w:ascii="Arial" w:cs="Arial" w:eastAsia="Arial" w:hAnsi="Arial"/>
                <w:sz w:val="16"/>
                <w:szCs w:val="16"/>
                <w:color w:val="auto"/>
              </w:rPr>
              <w:t>Canada</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Carsharing S.A.</w:t>
            </w:r>
          </w:p>
        </w:tc>
        <w:tc>
          <w:tcPr>
            <w:tcW w:w="2340" w:type="dxa"/>
            <w:vAlign w:val="bottom"/>
          </w:tcPr>
          <w:p>
            <w:pPr>
              <w:ind w:left="940"/>
              <w:spacing w:after="0"/>
              <w:rPr>
                <w:sz w:val="20"/>
                <w:szCs w:val="20"/>
                <w:color w:val="auto"/>
              </w:rPr>
            </w:pPr>
            <w:r>
              <w:rPr>
                <w:rFonts w:ascii="Arial" w:cs="Arial" w:eastAsia="Arial" w:hAnsi="Arial"/>
                <w:sz w:val="16"/>
                <w:szCs w:val="16"/>
                <w:color w:val="auto"/>
              </w:rPr>
              <w:t>France</w:t>
            </w:r>
          </w:p>
        </w:tc>
      </w:tr>
      <w:tr>
        <w:trPr>
          <w:trHeight w:val="229"/>
        </w:trPr>
        <w:tc>
          <w:tcPr>
            <w:tcW w:w="5320" w:type="dxa"/>
            <w:vAlign w:val="bottom"/>
          </w:tcPr>
          <w:p>
            <w:pPr>
              <w:spacing w:after="0"/>
              <w:rPr>
                <w:sz w:val="20"/>
                <w:szCs w:val="20"/>
                <w:color w:val="auto"/>
              </w:rPr>
            </w:pPr>
            <w:r>
              <w:rPr>
                <w:rFonts w:ascii="Arial" w:cs="Arial" w:eastAsia="Arial" w:hAnsi="Arial"/>
                <w:sz w:val="16"/>
                <w:szCs w:val="16"/>
                <w:color w:val="auto"/>
              </w:rPr>
              <w:t>Zipcar France S.A.S.</w:t>
            </w:r>
          </w:p>
        </w:tc>
        <w:tc>
          <w:tcPr>
            <w:tcW w:w="2340" w:type="dxa"/>
            <w:vAlign w:val="bottom"/>
          </w:tcPr>
          <w:p>
            <w:pPr>
              <w:ind w:left="940"/>
              <w:spacing w:after="0"/>
              <w:rPr>
                <w:sz w:val="20"/>
                <w:szCs w:val="20"/>
                <w:color w:val="auto"/>
              </w:rPr>
            </w:pPr>
            <w:r>
              <w:rPr>
                <w:rFonts w:ascii="Arial" w:cs="Arial" w:eastAsia="Arial" w:hAnsi="Arial"/>
                <w:sz w:val="16"/>
                <w:szCs w:val="16"/>
                <w:color w:val="auto"/>
              </w:rPr>
              <w:t>France</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International Finance Company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International Holdings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Securities Corporation</w:t>
            </w:r>
          </w:p>
        </w:tc>
        <w:tc>
          <w:tcPr>
            <w:tcW w:w="2340" w:type="dxa"/>
            <w:vAlign w:val="bottom"/>
          </w:tcPr>
          <w:p>
            <w:pPr>
              <w:ind w:left="940"/>
              <w:spacing w:after="0"/>
              <w:rPr>
                <w:sz w:val="20"/>
                <w:szCs w:val="20"/>
                <w:color w:val="auto"/>
              </w:rPr>
            </w:pPr>
            <w:r>
              <w:rPr>
                <w:rFonts w:ascii="Arial" w:cs="Arial" w:eastAsia="Arial" w:hAnsi="Arial"/>
                <w:sz w:val="16"/>
                <w:szCs w:val="16"/>
                <w:color w:val="auto"/>
              </w:rPr>
              <w:t>Massachusetts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Zipcar (UK)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Finance Company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Investments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Zodiac Europe Limited</w:t>
            </w:r>
          </w:p>
        </w:tc>
        <w:tc>
          <w:tcPr>
            <w:tcW w:w="2340" w:type="dxa"/>
            <w:vAlign w:val="bottom"/>
          </w:tcPr>
          <w:p>
            <w:pPr>
              <w:ind w:left="940"/>
              <w:spacing w:after="0"/>
              <w:rPr>
                <w:sz w:val="20"/>
                <w:szCs w:val="20"/>
                <w:color w:val="auto"/>
              </w:rPr>
            </w:pPr>
            <w:r>
              <w:rPr>
                <w:rFonts w:ascii="Arial" w:cs="Arial" w:eastAsia="Arial" w:hAnsi="Arial"/>
                <w:sz w:val="16"/>
                <w:szCs w:val="16"/>
                <w:color w:val="auto"/>
                <w:w w:val="99"/>
              </w:rPr>
              <w:t>England and Wales</w:t>
            </w:r>
          </w:p>
        </w:tc>
      </w:tr>
    </w:tbl>
    <w:p>
      <w:pPr>
        <w:sectPr>
          <w:pgSz w:w="11900" w:h="16838" w:orient="portrait"/>
          <w:cols w:equalWidth="0" w:num="1">
            <w:col w:w="9679"/>
          </w:cols>
          <w:pgMar w:left="780" w:top="1440"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Nos. 333-78475, 333-38638, 333-58670, 333-98933, 333-114744, 333-124925, 333-144143, 333-161418, 333-197770, 333-212706 and 333-233045 on Form S-8 of our reports dated February 17, 2021, relating to the consolidated financial statements and financial statement schedule of Avis Budget Group, Inc. and subsidiaries, and the effectiveness of Avis Budget Group, Inc. and subsidiaries’ internal control over financial reporting, appearing in this Annual Report on Form 10-K of Avis Budget Group, Inc. for the year ended December 31, 2020.</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2021</w:t>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9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2021</w:t>
      </w:r>
    </w:p>
    <w:p>
      <w:pPr>
        <w:spacing w:after="0" w:line="26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1534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color w:val="auto"/>
        </w:rPr>
        <w:t>President and Chief</w:t>
      </w:r>
    </w:p>
    <w:p>
      <w:pPr>
        <w:jc w:val="center"/>
        <w:ind w:right="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86"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right="540" w:hanging="320"/>
        <w:spacing w:after="0" w:line="278" w:lineRule="auto"/>
        <w:tabs>
          <w:tab w:leader="none" w:pos="1298"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00" w:hanging="320"/>
        <w:spacing w:after="0" w:line="256"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80" w:hanging="320"/>
        <w:spacing w:after="0" w:line="261" w:lineRule="auto"/>
        <w:tabs>
          <w:tab w:leader="none" w:pos="129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2021</w:t>
      </w:r>
    </w:p>
    <w:p>
      <w:pPr>
        <w:spacing w:after="0" w:line="2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6350</wp:posOffset>
            </wp:positionV>
            <wp:extent cx="24517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2020,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17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17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ind w:left="20"/>
        <w:spacing w:after="0" w:line="229" w:lineRule="auto"/>
        <w:rPr>
          <w:sz w:val="20"/>
          <w:szCs w:val="20"/>
          <w:color w:val="auto"/>
        </w:rPr>
      </w:pPr>
      <w:r>
        <w:rPr>
          <w:rFonts w:ascii="Arial" w:cs="Arial" w:eastAsia="Arial" w:hAnsi="Arial"/>
          <w:sz w:val="18"/>
          <w:szCs w:val="18"/>
          <w:color w:val="auto"/>
        </w:rPr>
        <w:t>Executive Vice President and Chief Financial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17,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2"/>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lvl w:ilvl="1">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lowerLetter"/>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lowerLetter"/>
      <w:start w:val="1"/>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lowerLetter"/>
      <w:start w:val="1"/>
    </w:lvl>
  </w:abstractNum>
  <w:abstractNum w:abstractNumId="31">
    <w:nsid w:val="61574095"/>
    <w:multiLevelType w:val="hybridMultilevel"/>
    <w:lvl w:ilvl="0">
      <w:lvlJc w:val="left"/>
      <w:lvlText w:val="•"/>
      <w:numFmt w:val="bullet"/>
      <w:start w:val="1"/>
    </w:lvl>
    <w:lvl w:ilvl="1">
      <w:lvlJc w:val="left"/>
      <w:lvlText w:val="\endash "/>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lvl w:ilvl="1">
      <w:lvlJc w:val="left"/>
      <w:lvlText w:val="\endash "/>
      <w:numFmt w:val="bullet"/>
      <w:start w:val="1"/>
    </w:lvl>
  </w:abstractNum>
  <w:abstractNum w:abstractNumId="34">
    <w:nsid w:val="579BE4F1"/>
    <w:multiLevelType w:val="hybridMultilevel"/>
    <w:lvl w:ilvl="0">
      <w:lvlJc w:val="left"/>
      <w:lvlText w:val="•"/>
      <w:numFmt w:val="bullet"/>
      <w:start w:val="1"/>
    </w:lvl>
    <w:lvl w:ilvl="1">
      <w:lvlJc w:val="left"/>
      <w:lvlText w:val="\endash "/>
      <w:numFmt w:val="bullet"/>
      <w:start w:val="1"/>
    </w:lvl>
  </w:abstractNum>
  <w:abstractNum w:abstractNumId="35">
    <w:nsid w:val="310C50B3"/>
    <w:multiLevelType w:val="hybridMultilevel"/>
    <w:lvl w:ilvl="0">
      <w:lvlJc w:val="left"/>
      <w:lvlText w:val="%1."/>
      <w:numFmt w:val="decimal"/>
      <w:start w:val="1"/>
    </w:lvl>
    <w:lvl w:ilvl="1">
      <w:lvlJc w:val="left"/>
      <w:lvlText w:val="•"/>
      <w:numFmt w:val="bullet"/>
      <w:start w:val="1"/>
    </w:lvl>
  </w:abstractNum>
  <w:abstractNum w:abstractNumId="36">
    <w:nsid w:val="5FF87E05"/>
    <w:multiLevelType w:val="hybridMultilevel"/>
    <w:lvl w:ilvl="0">
      <w:lvlJc w:val="left"/>
      <w:lvlText w:val="%1."/>
      <w:numFmt w:val="decimal"/>
      <w:start w:val="2"/>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decimal"/>
      <w:start w:val="3"/>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decimal"/>
      <w:start w:val="1"/>
    </w:lvl>
    <w:lvl w:ilvl="1">
      <w:lvlJc w:val="left"/>
      <w:lvlText w:val="(%2)"/>
      <w:numFmt w:val="lowerLetter"/>
      <w:start w:val="1"/>
    </w:lvl>
  </w:abstractNum>
  <w:abstractNum w:abstractNumId="43">
    <w:nsid w:val="5DB70AE5"/>
    <w:multiLevelType w:val="hybridMultilevel"/>
    <w:lvl w:ilvl="0">
      <w:lvlJc w:val="left"/>
      <w:lvlText w:val="%1."/>
      <w:numFmt w:val="decimal"/>
      <w:start w:val="5"/>
    </w:lvl>
    <w:lvl w:ilvl="1">
      <w:lvlJc w:val="left"/>
      <w:lvlText w:val="%2"/>
      <w:numFmt w:val="lowerLetter"/>
      <w:start w:val="1"/>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lowerLetter"/>
      <w:start w:val="1"/>
    </w:lvl>
  </w:abstractNum>
  <w:abstractNum w:abstractNumId="46">
    <w:nsid w:val="15014ACB"/>
    <w:multiLevelType w:val="hybridMultilevel"/>
    <w:lvl w:ilvl="0">
      <w:lvlJc w:val="left"/>
      <w:lvlText w:val="(%1)"/>
      <w:numFmt w:val="lowerLetter"/>
      <w:start w:val="1"/>
    </w:lvl>
  </w:abstractNum>
  <w:abstractNum w:abstractNumId="47">
    <w:nsid w:val="5F5E7FD0"/>
    <w:multiLevelType w:val="hybridMultilevel"/>
    <w:lvl w:ilvl="0">
      <w:lvlJc w:val="left"/>
      <w:lvlText w:val="%1"/>
      <w:numFmt w:val="decimal"/>
      <w:start w:val="1"/>
    </w:lvl>
    <w:lvl w:ilvl="1">
      <w:lvlJc w:val="left"/>
      <w:lvlText w:val="(%2)"/>
      <w:numFmt w:val="lowerLetter"/>
      <w:start w:val="1"/>
    </w:lvl>
  </w:abstractNum>
  <w:abstractNum w:abstractNumId="48">
    <w:nsid w:val="98A3148"/>
    <w:multiLevelType w:val="hybridMultilevel"/>
    <w:lvl w:ilvl="0">
      <w:lvlJc w:val="left"/>
      <w:lvlText w:val="%1."/>
      <w:numFmt w:val="decimal"/>
      <w:start w:val="10"/>
    </w:lvl>
    <w:lvl w:ilvl="1">
      <w:lvlJc w:val="left"/>
      <w:lvlText w:val="%2"/>
      <w:numFmt w:val="lowerLetter"/>
      <w:start w:val="1"/>
    </w:lvl>
  </w:abstractNum>
  <w:abstractNum w:abstractNumId="49">
    <w:nsid w:val="799D0247"/>
    <w:multiLevelType w:val="hybridMultilevel"/>
    <w:lvl w:ilvl="0">
      <w:lvlJc w:val="left"/>
      <w:lvlText w:val="%1."/>
      <w:numFmt w:val="decimal"/>
      <w:start w:val="13"/>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lowerLetter"/>
      <w:start w:val="1"/>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decimal"/>
      <w:start w:val="15"/>
    </w:lvl>
  </w:abstractNum>
  <w:abstractNum w:abstractNumId="56">
    <w:nsid w:val="540A471C"/>
    <w:multiLevelType w:val="hybridMultilevel"/>
    <w:lvl w:ilvl="0">
      <w:lvlJc w:val="left"/>
      <w:lvlText w:val="%1."/>
      <w:numFmt w:val="decimal"/>
      <w:start w:val="16"/>
    </w:lvl>
  </w:abstractNum>
  <w:abstractNum w:abstractNumId="57">
    <w:nsid w:val="7BD3EE7B"/>
    <w:multiLevelType w:val="hybridMultilevel"/>
    <w:lvl w:ilvl="0">
      <w:lvlJc w:val="left"/>
      <w:lvlText w:val="%1"/>
      <w:numFmt w:val="decimal"/>
      <w:start w:val="1"/>
    </w:lvl>
    <w:lvl w:ilvl="1">
      <w:lvlJc w:val="left"/>
      <w:lvlText w:val="(%2)"/>
      <w:numFmt w:val="lowerLetter"/>
      <w:start w:val="1"/>
    </w:lvl>
  </w:abstractNum>
  <w:abstractNum w:abstractNumId="58">
    <w:nsid w:val="51D9C564"/>
    <w:multiLevelType w:val="hybridMultilevel"/>
    <w:lvl w:ilvl="0">
      <w:lvlJc w:val="left"/>
      <w:lvlText w:val="%1."/>
      <w:numFmt w:val="decimal"/>
      <w:start w:val="17"/>
    </w:lvl>
    <w:lvl w:ilvl="1">
      <w:lvlJc w:val="left"/>
      <w:lvlText w:val="%2"/>
      <w:numFmt w:val="lowerLetter"/>
      <w:start w:val="1"/>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decimal"/>
      <w:start w:val="1"/>
    </w:lvl>
    <w:lvl w:ilvl="1">
      <w:lvlJc w:val="left"/>
      <w:lvlText w:val="(%2)"/>
      <w:numFmt w:val="lowerLetter"/>
      <w:start w:val="1"/>
    </w:lvl>
  </w:abstractNum>
  <w:abstractNum w:abstractNumId="65">
    <w:nsid w:val="1A32234B"/>
    <w:multiLevelType w:val="hybridMultilevel"/>
    <w:lvl w:ilvl="0">
      <w:lvlJc w:val="left"/>
      <w:lvlText w:val="%1."/>
      <w:numFmt w:val="decimal"/>
      <w:start w:val="20"/>
    </w:lvl>
    <w:lvl w:ilvl="1">
      <w:lvlJc w:val="left"/>
      <w:lvlText w:val="%2"/>
      <w:numFmt w:val="lowerLetter"/>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lvl w:ilvl="1">
      <w:lvlJc w:val="left"/>
      <w:lvlText w:val="(%2)"/>
      <w:numFmt w:val="lowerLetter"/>
      <w:start w:val="1"/>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2"/>
    </w:lvl>
  </w:abstractNum>
  <w:abstractNum w:abstractNumId="81">
    <w:nsid w:val="76272110"/>
    <w:multiLevelType w:val="hybridMultilevel"/>
    <w:lvl w:ilvl="0">
      <w:lvlJc w:val="left"/>
      <w:lvlText w:val="%1."/>
      <w:numFmt w:val="decimal"/>
      <w:start w:val="4"/>
    </w:lvl>
    <w:lvl w:ilvl="1">
      <w:lvlJc w:val="left"/>
      <w:lvlText w:val="(%2)"/>
      <w:numFmt w:val="lowerLetter"/>
      <w:start w:val="1"/>
    </w:lvl>
  </w:abstractNum>
  <w:abstractNum w:abstractNumId="82">
    <w:nsid w:val="4C04A8AF"/>
    <w:multiLevelType w:val="hybridMultilevel"/>
    <w:lvl w:ilvl="0">
      <w:lvlJc w:val="left"/>
      <w:lvlText w:val="(%1)"/>
      <w:numFmt w:val="lowerLetter"/>
      <w:start w:val="3"/>
    </w:lvl>
  </w:abstractNum>
  <w:abstractNum w:abstractNumId="83">
    <w:nsid w:val="1716703B"/>
    <w:multiLevelType w:val="hybridMultilevel"/>
    <w:lvl w:ilvl="0">
      <w:lvlJc w:val="left"/>
      <w:lvlText w:val="%1"/>
      <w:numFmt w:val="decimal"/>
      <w:start w:val="1"/>
    </w:lvl>
    <w:lvl w:ilvl="1">
      <w:lvlJc w:val="left"/>
      <w:lvlText w:val="(%2)"/>
      <w:numFmt w:val="lowerLetter"/>
      <w:start w:val="7"/>
    </w:lvl>
  </w:abstractNum>
  <w:abstractNum w:abstractNumId="84">
    <w:nsid w:val="14E17E33"/>
    <w:multiLevelType w:val="hybridMultilevel"/>
    <w:lvl w:ilvl="0">
      <w:lvlJc w:val="left"/>
      <w:lvlText w:val="%1."/>
      <w:numFmt w:val="decimal"/>
      <w:start w:val="6"/>
    </w:lvl>
    <w:lvl w:ilvl="1">
      <w:lvlJc w:val="left"/>
      <w:lvlText w:val="%2"/>
      <w:numFmt w:val="lowerLetter"/>
      <w:start w:val="1"/>
    </w:lvl>
  </w:abstractNum>
  <w:abstractNum w:abstractNumId="85">
    <w:nsid w:val="3222E7CD"/>
    <w:multiLevelType w:val="hybridMultilevel"/>
    <w:lvl w:ilvl="0">
      <w:lvlJc w:val="left"/>
      <w:lvlText w:val="%1."/>
      <w:numFmt w:val="decimal"/>
      <w:start w:val="8"/>
    </w:lvl>
    <w:lvl w:ilvl="1">
      <w:lvlJc w:val="left"/>
      <w:lvlText w:val="%2."/>
      <w:numFmt w:val="lowerRoman"/>
      <w:start w:val="3"/>
    </w:lvl>
    <w:lvl w:ilvl="2">
      <w:lvlJc w:val="left"/>
      <w:lvlText w:val="%3."/>
      <w:numFmt w:val="lowerRoman"/>
      <w:start w:val="1"/>
    </w:lvl>
  </w:abstractNum>
  <w:abstractNum w:abstractNumId="86">
    <w:nsid w:val="74DE0EE3"/>
    <w:multiLevelType w:val="hybridMultilevel"/>
    <w:lvl w:ilvl="0">
      <w:lvlJc w:val="left"/>
      <w:lvlText w:val="%1."/>
      <w:numFmt w:val="decimal"/>
      <w:start w:val="11"/>
    </w:lvl>
    <w:lvl w:ilvl="1">
      <w:lvlJc w:val="left"/>
      <w:lvlText w:val="(%2)"/>
      <w:numFmt w:val="lowerLetter"/>
      <w:start w:val="1"/>
    </w:lvl>
  </w:abstractNum>
  <w:abstractNum w:abstractNumId="87">
    <w:nsid w:val="68EBC550"/>
    <w:multiLevelType w:val="hybridMultilevel"/>
    <w:lvl w:ilvl="0">
      <w:lvlJc w:val="left"/>
      <w:lvlText w:val="(%1)"/>
      <w:numFmt w:val="lowerLetter"/>
      <w:start w:val="3"/>
    </w:lvl>
    <w:lvl w:ilvl="1">
      <w:lvlJc w:val="left"/>
      <w:lvlText w:val="%2."/>
      <w:numFmt w:val="decimal"/>
      <w:start w:val="16"/>
    </w:lvl>
  </w:abstractNum>
  <w:abstractNum w:abstractNumId="88">
    <w:nsid w:val="2DF6D648"/>
    <w:multiLevelType w:val="hybridMultilevel"/>
    <w:lvl w:ilvl="0">
      <w:lvlJc w:val="left"/>
      <w:lvlText w:val="%1."/>
      <w:numFmt w:val="decimal"/>
      <w:start w:val="20"/>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7" Type="http://schemas.openxmlformats.org/officeDocument/2006/relationships/image" Target="media/image163.png"/><Relationship Id="rId210" Type="http://schemas.openxmlformats.org/officeDocument/2006/relationships/image" Target="media/image164.png"/><Relationship Id="rId229" Type="http://schemas.openxmlformats.org/officeDocument/2006/relationships/image" Target="media/image165.png"/><Relationship Id="rId245" Type="http://schemas.openxmlformats.org/officeDocument/2006/relationships/image" Target="media/image166.png"/><Relationship Id="rId262" Type="http://schemas.openxmlformats.org/officeDocument/2006/relationships/image" Target="media/image167.png"/><Relationship Id="rId271" Type="http://schemas.openxmlformats.org/officeDocument/2006/relationships/image" Target="media/image168.png"/><Relationship Id="rId272" Type="http://schemas.openxmlformats.org/officeDocument/2006/relationships/image" Target="media/image169.png"/><Relationship Id="rId273" Type="http://schemas.openxmlformats.org/officeDocument/2006/relationships/image" Target="media/image170.png"/><Relationship Id="rId274" Type="http://schemas.openxmlformats.org/officeDocument/2006/relationships/image" Target="media/image171.png"/><Relationship Id="rId275" Type="http://schemas.openxmlformats.org/officeDocument/2006/relationships/image" Target="media/image172.png"/><Relationship Id="rId170" Type="http://schemas.openxmlformats.org/officeDocument/2006/relationships/hyperlink" Target="http://www.sec.gov/Archives/edgar/data/723612/000119312506158308/dex21.htm" TargetMode="External"/><Relationship Id="rId171" Type="http://schemas.openxmlformats.org/officeDocument/2006/relationships/hyperlink" Target="http://www.sec.gov/Archives/edgar/data/723612/000119312507175647/dex22.htm" TargetMode="External"/><Relationship Id="rId172" Type="http://schemas.openxmlformats.org/officeDocument/2006/relationships/hyperlink" Target="http://www.sec.gov/Archives/edgar/data/723612/000072361206000058/articles.htm" TargetMode="External"/><Relationship Id="rId173" Type="http://schemas.openxmlformats.org/officeDocument/2006/relationships/hyperlink" Target="http://www.sec.gov/Archives/edgar/data/723612/000119312520218349/d84038dex32.htm" TargetMode="External"/><Relationship Id="rId174" Type="http://schemas.openxmlformats.org/officeDocument/2006/relationships/hyperlink" Target="http://www.sec.gov/Archives/edgar/data/723612/000072361215000084/avisindenturemarch2015.htm" TargetMode="External"/><Relationship Id="rId175" Type="http://schemas.openxmlformats.org/officeDocument/2006/relationships/hyperlink" Target="http://www.sec.gov/Archives/edgar/data/723612/000072361215000084/formof525note.htm" TargetMode="External"/><Relationship Id="rId176" Type="http://schemas.openxmlformats.org/officeDocument/2006/relationships/hyperlink" Target="http://www.sec.gov/Archives/edgar/data/723612/000072361216000294/ex4_1xnoteindenture.htm" TargetMode="External"/><Relationship Id="rId177" Type="http://schemas.openxmlformats.org/officeDocument/2006/relationships/hyperlink" Target="http://www.sec.gov/Archives/edgar/data/723612/000072361216000350/exhibit41indenture.htm" TargetMode="External"/><Relationship Id="rId178" Type="http://schemas.openxmlformats.org/officeDocument/2006/relationships/hyperlink" Target="http://www.sec.gov/Archives/edgar/data/723612/000072361216000350/exhibit42formof4125note.htm" TargetMode="External"/><Relationship Id="rId179" Type="http://schemas.openxmlformats.org/officeDocument/2006/relationships/hyperlink" Target="http://www.sec.gov/Archives/edgar/data/723612/000072361217000076/exhibit42-indenture450seni.htm" TargetMode="External"/><Relationship Id="rId180" Type="http://schemas.openxmlformats.org/officeDocument/2006/relationships/hyperlink" Target="http://www.sec.gov/Archives/edgar/data/723612/000072361217000076/exhibit43-formofnote450sen.htm" TargetMode="External"/><Relationship Id="rId181" Type="http://schemas.openxmlformats.org/officeDocument/2006/relationships/hyperlink" Target="http://www.sec.gov/Archives/edgar/data/723612/000072361218000113/exhibit41avisbudgetfinance.htm" TargetMode="External"/><Relationship Id="rId182" Type="http://schemas.openxmlformats.org/officeDocument/2006/relationships/hyperlink" Target="http://www.sec.gov/Archives/edgar/data/723612/000072361218000113/exhibit42avisbudgetfinance.htm" TargetMode="External"/><Relationship Id="rId183" Type="http://schemas.openxmlformats.org/officeDocument/2006/relationships/hyperlink" Target="http://www.sec.gov/Archives/edgar/data/723612/000072361219000112/exhibit41-indenturex57.htm" TargetMode="External"/><Relationship Id="rId184" Type="http://schemas.openxmlformats.org/officeDocument/2006/relationships/hyperlink" Target="http://www.sec.gov/Archives/edgar/data/723612/000072361219000112/exhibit42-formof575sen.htm" TargetMode="External"/><Relationship Id="rId185" Type="http://schemas.openxmlformats.org/officeDocument/2006/relationships/hyperlink" Target="http://www.sec.gov/Archives/edgar/data/723612/000119312520140433/d926720dex41.htm" TargetMode="External"/><Relationship Id="rId186" Type="http://schemas.openxmlformats.org/officeDocument/2006/relationships/hyperlink" Target="http://www.sec.gov/Archives/edgar/data/723612/000119312520213522/d11524dex41.htm" TargetMode="External"/><Relationship Id="rId188" Type="http://schemas.openxmlformats.org/officeDocument/2006/relationships/hyperlink" Target="http://www.sec.gov/Archives/edgar/data/723612/000072361216000244/exhibit105-ferraroemployme.htm" TargetMode="External"/><Relationship Id="rId189" Type="http://schemas.openxmlformats.org/officeDocument/2006/relationships/hyperlink" Target="http://www.sec.gov/Archives/edgar/data/723612/000072361219000025/michaeltuckeragreement.htm" TargetMode="External"/><Relationship Id="rId190" Type="http://schemas.openxmlformats.org/officeDocument/2006/relationships/hyperlink" Target="http://www.sec.gov/Archives/edgar/data/723612/000072361219000016/offerletter.htm" TargetMode="External"/><Relationship Id="rId191" Type="http://schemas.openxmlformats.org/officeDocument/2006/relationships/hyperlink" Target="http://www.sec.gov/Archives/edgar/data/723612/000072361219000128/johnnorthseverancelett.htm" TargetMode="External"/><Relationship Id="rId192" Type="http://schemas.openxmlformats.org/officeDocument/2006/relationships/hyperlink" Target="http://www.sec.gov/Archives/edgar/data/723612/000119312520218349/d84038dex103.htm" TargetMode="External"/><Relationship Id="rId193" Type="http://schemas.openxmlformats.org/officeDocument/2006/relationships/hyperlink" Target="http://www.sec.gov/Archives/edgar/data/723612/000072361220000101/a105-northseparationag.htm" TargetMode="External"/><Relationship Id="rId194" Type="http://schemas.openxmlformats.org/officeDocument/2006/relationships/hyperlink" Target="http://www.sec.gov/Archives/edgar/data/723612/000072361220000011/exhibit108-abgexecutiv.htm" TargetMode="External"/><Relationship Id="rId195" Type="http://schemas.openxmlformats.org/officeDocument/2006/relationships/hyperlink" Target="http://www.sec.gov/Archives/edgar/data/723612/000072361220000011/exhibit109-krseverance.htm" TargetMode="External"/><Relationship Id="rId196" Type="http://schemas.openxmlformats.org/officeDocument/2006/relationships/hyperlink" Target="http://www.sec.gov/Archives/edgar/data/723612/000072361220000011/exhibit1010-employment.htm" TargetMode="External"/><Relationship Id="rId197" Type="http://schemas.openxmlformats.org/officeDocument/2006/relationships/hyperlink" Target="http://www.sec.gov/Archives/edgar/data/723612/000119312520218349/d84038dex102.htm" TargetMode="External"/><Relationship Id="rId198" Type="http://schemas.openxmlformats.org/officeDocument/2006/relationships/hyperlink" Target="http://www.sec.gov/Archives/edgar/data/723612/000119312520316997/d33545dex101.htm" TargetMode="External"/><Relationship Id="rId199" Type="http://schemas.openxmlformats.org/officeDocument/2006/relationships/hyperlink" Target="http://www.sec.gov/Archives/edgar/data/723612/000119312520046330/d802948dex101.htm" TargetMode="External"/><Relationship Id="rId200" Type="http://schemas.openxmlformats.org/officeDocument/2006/relationships/hyperlink" Target="http://www.sec.gov/Archives/edgar/data/723612/000119312520218349/d84038dex101.htm" TargetMode="External"/><Relationship Id="rId201" Type="http://schemas.openxmlformats.org/officeDocument/2006/relationships/hyperlink" Target="http://www.sec.gov/Archives/edgar/data/723612/000120677419001054/avis3494471-def14a.htm" TargetMode="External"/><Relationship Id="rId202" Type="http://schemas.openxmlformats.org/officeDocument/2006/relationships/hyperlink" Target="http://www.sec.gov/Archives/edgar/data/723612/0000950136-97-001205.txt" TargetMode="External"/><Relationship Id="rId203" Type="http://schemas.openxmlformats.org/officeDocument/2006/relationships/hyperlink" Target="http://www.sec.gov/Archives/edgar/data/723612/000091205701505442/a2033484zex-10_12b.txt" TargetMode="External"/><Relationship Id="rId204" Type="http://schemas.openxmlformats.org/officeDocument/2006/relationships/hyperlink" Target="http://www.sec.gov/Archives/edgar/data/723612/000091205701505442/a2033484zex-10_12c.txt" TargetMode="External"/><Relationship Id="rId205" Type="http://schemas.openxmlformats.org/officeDocument/2006/relationships/hyperlink" Target="http://www.sec.gov/Archives/edgar/data/723612/000091205701505442/a2033484zex-10_12d.txt" TargetMode="External"/><Relationship Id="rId206" Type="http://schemas.openxmlformats.org/officeDocument/2006/relationships/hyperlink" Target="http://www.sec.gov/Archives/edgar/data/723612/000095012306002437/y17817exv10w16.htm" TargetMode="External"/><Relationship Id="rId207" Type="http://schemas.openxmlformats.org/officeDocument/2006/relationships/hyperlink" Target="http://www.sec.gov/Archives/edgar/data/723612/000072361219000025/formofrsuaward.htm" TargetMode="External"/><Relationship Id="rId208" Type="http://schemas.openxmlformats.org/officeDocument/2006/relationships/hyperlink" Target="http://www.sec.gov/Archives/edgar/data/723612/000072361219000025/formofperformanceaward.htm" TargetMode="External"/><Relationship Id="rId209" Type="http://schemas.openxmlformats.org/officeDocument/2006/relationships/hyperlink" Target="http://www.sec.gov/Archives/edgar/data/723612/000072361219000025/formofdirectoraward.htm" TargetMode="External"/><Relationship Id="rId211" Type="http://schemas.openxmlformats.org/officeDocument/2006/relationships/hyperlink" Target="http://www.sec.gov/Archives/edgar/data/723612/000072361219000025/formofseveranceagmt.htm" TargetMode="External"/><Relationship Id="rId212" Type="http://schemas.openxmlformats.org/officeDocument/2006/relationships/hyperlink" Target="http://www.sec.gov/Archives/edgar/data/723612/000072361219000025/directorplan.htm" TargetMode="External"/><Relationship Id="rId213" Type="http://schemas.openxmlformats.org/officeDocument/2006/relationships/hyperlink" Target="http://www.sec.gov/Archives/edgar/data/723612/000119312509039260/dex1017.htm" TargetMode="External"/><Relationship Id="rId214" Type="http://schemas.openxmlformats.org/officeDocument/2006/relationships/hyperlink" Target="http://www.sec.gov/Archives/edgar/data/723612/000119312509039260/dex1018.htm" TargetMode="External"/><Relationship Id="rId215" Type="http://schemas.openxmlformats.org/officeDocument/2006/relationships/hyperlink" Target="http://www.sec.gov/Archives/edgar/data/723612/000119312508042121/dex1059.htm" TargetMode="External"/><Relationship Id="rId216" Type="http://schemas.openxmlformats.org/officeDocument/2006/relationships/hyperlink" Target="http://www.sec.gov/Archives/edgar/data/723612/000072361219000025/avisrentacarpension.htm" TargetMode="External"/><Relationship Id="rId217" Type="http://schemas.openxmlformats.org/officeDocument/2006/relationships/hyperlink" Target="http://www.sec.gov/Archives/edgar/data/723612/000072361205000004/financialservicespolicy.htm" TargetMode="External"/><Relationship Id="rId218" Type="http://schemas.openxmlformats.org/officeDocument/2006/relationships/hyperlink" Target="http://www.sec.gov/Archives/edgar/data/723612/000119312506158308/dex102.htm" TargetMode="External"/><Relationship Id="rId219" Type="http://schemas.openxmlformats.org/officeDocument/2006/relationships/hyperlink" Target="http://www.sec.gov/Archives/edgar/data/723612/000119312508170083/dex104.htm" TargetMode="External"/><Relationship Id="rId220" Type="http://schemas.openxmlformats.org/officeDocument/2006/relationships/hyperlink" Target="http://www.sec.gov/Archives/edgar/data/723612/000095012304009102/y99348exv10w7.htm" TargetMode="External"/><Relationship Id="rId221" Type="http://schemas.openxmlformats.org/officeDocument/2006/relationships/hyperlink" Target="http://www.sec.gov/Archives/edgar/data/723612/000072361206000002/exhibit-1.htm" TargetMode="External"/><Relationship Id="rId222" Type="http://schemas.openxmlformats.org/officeDocument/2006/relationships/hyperlink" Target="http://www.sec.gov/Archives/edgar/data/723612/000119312507175647/dex106.htm" TargetMode="External"/><Relationship Id="rId223" Type="http://schemas.openxmlformats.org/officeDocument/2006/relationships/hyperlink" Target="http://www.sec.gov/Archives/edgar/data/723612/000072361214000041/exhibit1035csupplementalin.htm" TargetMode="External"/><Relationship Id="rId224" Type="http://schemas.openxmlformats.org/officeDocument/2006/relationships/hyperlink" Target="http://www.sec.gov/Archives/edgar/data/723612/000095012304009102/y99348exv10w8.htm" TargetMode="External"/><Relationship Id="rId225" Type="http://schemas.openxmlformats.org/officeDocument/2006/relationships/hyperlink" Target="http://www.sec.gov/Archives/edgar/data/723612/000072361206000002/exhibit-2.htm" TargetMode="External"/><Relationship Id="rId226" Type="http://schemas.openxmlformats.org/officeDocument/2006/relationships/hyperlink" Target="http://www.sec.gov/Archives/edgar/data/723612/000119312507175647/dex108.htm" TargetMode="External"/><Relationship Id="rId227" Type="http://schemas.openxmlformats.org/officeDocument/2006/relationships/hyperlink" Target="http://www.sec.gov/Archives/edgar/data/723612/000072361214000041/exhibit1036cthirdamendment.htm" TargetMode="External"/><Relationship Id="rId228" Type="http://schemas.openxmlformats.org/officeDocument/2006/relationships/hyperlink" Target="http://www.sec.gov/Archives/edgar/data/723612/000119312507044472/dex1029a.htm" TargetMode="External"/><Relationship Id="rId230" Type="http://schemas.openxmlformats.org/officeDocument/2006/relationships/hyperlink" Target="http://www.sec.gov/Archives/edgar/data/723612/000119312507044472/dex1029b.htm" TargetMode="External"/><Relationship Id="rId231" Type="http://schemas.openxmlformats.org/officeDocument/2006/relationships/hyperlink" Target="http://www.sec.gov/Archives/edgar/data/723612/000119312507175647/dex107.htm" TargetMode="External"/><Relationship Id="rId232" Type="http://schemas.openxmlformats.org/officeDocument/2006/relationships/hyperlink" Target="http://www.sec.gov/Archives/edgar/data/723612/000072361214000041/exhibit1037cthirdamendment.htm" TargetMode="External"/><Relationship Id="rId233" Type="http://schemas.openxmlformats.org/officeDocument/2006/relationships/hyperlink" Target="http://www.sec.gov/Archives/edgar/data/723612/000095012304009102/y99348exv10w9.htm" TargetMode="External"/><Relationship Id="rId234" Type="http://schemas.openxmlformats.org/officeDocument/2006/relationships/hyperlink" Target="http://www.sec.gov/Archives/edgar/data/723612/000072361206000002/exhibit-3.htm" TargetMode="External"/><Relationship Id="rId235" Type="http://schemas.openxmlformats.org/officeDocument/2006/relationships/hyperlink" Target="http://www.sec.gov/Archives/edgar/data/723612/000119312507175647/dex109.htm" TargetMode="External"/><Relationship Id="rId236" Type="http://schemas.openxmlformats.org/officeDocument/2006/relationships/hyperlink" Target="http://www.sec.gov/Archives/edgar/data/723612/000072361214000041/exhibit1038cfourthamendmen.htm" TargetMode="External"/><Relationship Id="rId237" Type="http://schemas.openxmlformats.org/officeDocument/2006/relationships/hyperlink" Target="http://www.sec.gov/Archives/edgar/data/723612/000119312507044472/dex1030a.htm" TargetMode="External"/><Relationship Id="rId238" Type="http://schemas.openxmlformats.org/officeDocument/2006/relationships/hyperlink" Target="http://www.sec.gov/Archives/edgar/data/723612/000119312507044472/dex1030b.htm" TargetMode="External"/><Relationship Id="rId239" Type="http://schemas.openxmlformats.org/officeDocument/2006/relationships/hyperlink" Target="http://www.sec.gov/Archives/edgar/data/723612/000119312507175647/dex1011.htm" TargetMode="External"/><Relationship Id="rId240" Type="http://schemas.openxmlformats.org/officeDocument/2006/relationships/hyperlink" Target="http://www.sec.gov/Archives/edgar/data/723612/000072361214000041/exhibit1039cfourthamendmen.htm" TargetMode="External"/><Relationship Id="rId241" Type="http://schemas.openxmlformats.org/officeDocument/2006/relationships/hyperlink" Target="http://www.sec.gov/Archives/edgar/data/723612/000072361213000018/exhibit101aesopioperatingsu.htm" TargetMode="External"/><Relationship Id="rId242" Type="http://schemas.openxmlformats.org/officeDocument/2006/relationships/hyperlink" Target="http://www.sec.gov/Archives/edgar/data/723612/000095012306002437/y17817exv10w34.htm" TargetMode="External"/><Relationship Id="rId243" Type="http://schemas.openxmlformats.org/officeDocument/2006/relationships/hyperlink" Target="http://www.sec.gov/Archives/edgar/data/723612/000072361214000041/exhibit1041afirstamendment.htm" TargetMode="External"/><Relationship Id="rId244" Type="http://schemas.openxmlformats.org/officeDocument/2006/relationships/hyperlink" Target="http://www.sec.gov/Archives/edgar/data/723612/000072361219000025/aesop2015-3supplement.htm" TargetMode="External"/><Relationship Id="rId246" Type="http://schemas.openxmlformats.org/officeDocument/2006/relationships/hyperlink" Target="http://www.sec.gov/Archives/edgar/data/723612/000072361219000025/series2010-6supplement.htm" TargetMode="External"/><Relationship Id="rId247" Type="http://schemas.openxmlformats.org/officeDocument/2006/relationships/hyperlink" Target="http://www.sec.gov/Archives/edgar/data/723612/000072361216000282/indenturesupp.htm" TargetMode="External"/><Relationship Id="rId248" Type="http://schemas.openxmlformats.org/officeDocument/2006/relationships/hyperlink" Target="http://www.sec.gov/Archives/edgar/data/723612/000072361216000310/ex10_1.htm" TargetMode="External"/><Relationship Id="rId249" Type="http://schemas.openxmlformats.org/officeDocument/2006/relationships/hyperlink" Target="http://www.sec.gov/Archives/edgar/data/723612/000072361217000067/exhibit101to8-kforaesop201.htm" TargetMode="External"/><Relationship Id="rId250" Type="http://schemas.openxmlformats.org/officeDocument/2006/relationships/hyperlink" Target="http://www.sec.gov/Archives/edgar/data/723612/000072361217000165/ex101series2017-2indenture.htm" TargetMode="External"/><Relationship Id="rId251" Type="http://schemas.openxmlformats.org/officeDocument/2006/relationships/hyperlink" Target="http://www.sec.gov/Archives/edgar/data/723612/000072361218000057/series2018-1indenture.htm" TargetMode="External"/><Relationship Id="rId252" Type="http://schemas.openxmlformats.org/officeDocument/2006/relationships/hyperlink" Target="http://www.sec.gov/Archives/edgar/data/723612/000072361218000106/aesopseries2018-2xindentur.htm" TargetMode="External"/><Relationship Id="rId253" Type="http://schemas.openxmlformats.org/officeDocument/2006/relationships/hyperlink" Target="http://www.sec.gov/Archives/edgar/data/723612/000072361219000017/aesop2019i-1supplement.htm" TargetMode="External"/><Relationship Id="rId254" Type="http://schemas.openxmlformats.org/officeDocument/2006/relationships/hyperlink" Target="http://www.sec.gov/Archives/edgar/data/723612/000072361219000081/indenturesupplement.htm" TargetMode="External"/><Relationship Id="rId255" Type="http://schemas.openxmlformats.org/officeDocument/2006/relationships/hyperlink" Target="http://www.sec.gov/Archives/edgar/data/723612/000072361219000119/indenture.htm" TargetMode="External"/><Relationship Id="rId256" Type="http://schemas.openxmlformats.org/officeDocument/2006/relationships/hyperlink" Target="http://www.sec.gov/Archives/edgar/data/723612/000119312520018528/d880584dex101.htm" TargetMode="External"/><Relationship Id="rId257" Type="http://schemas.openxmlformats.org/officeDocument/2006/relationships/hyperlink" Target="http://www.sec.gov/Archives/edgar/data/723612/000119312520220383/d109512dex101.htm" TargetMode="External"/><Relationship Id="rId258" Type="http://schemas.openxmlformats.org/officeDocument/2006/relationships/hyperlink" Target="http://www.sec.gov/Archives/edgar/data/723612/000072361218000015/exhibit10_1.htm" TargetMode="External"/><Relationship Id="rId259" Type="http://schemas.openxmlformats.org/officeDocument/2006/relationships/hyperlink" Target="http://www.sec.gov/Archives/edgar/data/723612/000119312520028179/d858240dex101.htm" TargetMode="External"/><Relationship Id="rId260" Type="http://schemas.openxmlformats.org/officeDocument/2006/relationships/hyperlink" Target="http://www.sec.gov/Archives/edgar/data/723612/000119312520120963/d915390dex101.htm" TargetMode="External"/><Relationship Id="rId261" Type="http://schemas.openxmlformats.org/officeDocument/2006/relationships/hyperlink" Target="http://www.sec.gov/Archives/edgar/data/723612/000072361211000006/guaranteeandcollateral.htm" TargetMode="External"/><Relationship Id="rId263" Type="http://schemas.openxmlformats.org/officeDocument/2006/relationships/hyperlink" Target="http://www.sec.gov/Archives/edgar/data/723612/000072361213000006/ex102sixthamendment.htm" TargetMode="External"/><Relationship Id="rId264" Type="http://schemas.openxmlformats.org/officeDocument/2006/relationships/hyperlink" Target="http://www.sec.gov/Archives/edgar/data/723612/000072361214000174/gcaamendment.htm" TargetMode="External"/><Relationship Id="rId265" Type="http://schemas.openxmlformats.org/officeDocument/2006/relationships/hyperlink" Target="http://www.sec.gov/Archives/edgar/data/723612/000072361213000062/a104tripartiteagreement-av.htm" TargetMode="External"/><Relationship Id="rId266" Type="http://schemas.openxmlformats.org/officeDocument/2006/relationships/hyperlink" Target="http://www.sec.gov/Archives/edgar/data/723612/000072361214000219/fourthmasteramendment.htm" TargetMode="External"/><Relationship Id="rId267" Type="http://schemas.openxmlformats.org/officeDocument/2006/relationships/hyperlink" Target="http://www.sec.gov/Archives/edgar/data/723612/000072361216000287/ex10_6seventhmasteramdt.htm" TargetMode="External"/><Relationship Id="rId268" Type="http://schemas.openxmlformats.org/officeDocument/2006/relationships/hyperlink" Target="http://www.sec.gov/Archives/edgar/data/723612/000072361217000092/ninthmasteramendmentandres.htm" TargetMode="External"/><Relationship Id="rId269" Type="http://schemas.openxmlformats.org/officeDocument/2006/relationships/hyperlink" Target="http://www.sec.gov/Archives/edgar/data/723612/000072361218000074/tenthmasteramendedandresta.htm" TargetMode="External"/><Relationship Id="rId270" Type="http://schemas.openxmlformats.org/officeDocument/2006/relationships/hyperlink" Target="http://www.sec.gov/Archives/edgar/data/723612/000119312520289125/d6441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2021-02-17T07:36:58Z</dcterms:created>
  <dcterms:modified xsi:type="dcterms:W3CDTF">2021-02-17T07:36:58Z</dcterms:modified>
</cp:coreProperties>
</file>