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AVIS BUDGET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053774105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053774105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GOLDMAN SACHS GROUP,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1,520,838.12</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1,520,856.12</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1,520,856.12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053774105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GOLDMAN SACHS &amp; CO.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1,520,838.12</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1,520,856.12</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1,520,856.12</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BD, OO, 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AVIS BUDGET GROUP,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379 Interpace ParkwayY, PARSIPPANY, X1, 07054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400"/>
        <w:spacing w:after="0" w:line="286" w:lineRule="auto"/>
        <w:rPr>
          <w:sz w:val="20"/>
          <w:szCs w:val="20"/>
          <w:color w:val="auto"/>
        </w:rPr>
      </w:pPr>
      <w:r>
        <w:rPr>
          <w:rFonts w:ascii="Times New Roman" w:cs="Times New Roman" w:eastAsia="Times New Roman" w:hAnsi="Times New Roman"/>
          <w:sz w:val="22"/>
          <w:szCs w:val="22"/>
          <w:color w:val="auto"/>
        </w:rPr>
        <w:t>THE GOLDMAN SACHS GROUP, INC.| GOLDMAN SACHS &amp; CO. LLC Address or principal business office or, if none, residence:</w:t>
      </w:r>
    </w:p>
    <w:p>
      <w:pPr>
        <w:spacing w:after="0" w:line="156" w:lineRule="exact"/>
        <w:rPr>
          <w:sz w:val="20"/>
          <w:szCs w:val="20"/>
          <w:color w:val="auto"/>
        </w:rPr>
      </w:pPr>
    </w:p>
    <w:p>
      <w:pPr>
        <w:ind w:left="92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Goldman Sachs Group, Inc. 200 West Street New York, NY 10282| Goldman Sachs &amp; Co. LLC 200 West Street New York, NY 10282</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1340"/>
        <w:spacing w:after="0" w:line="256" w:lineRule="auto"/>
        <w:rPr>
          <w:sz w:val="20"/>
          <w:szCs w:val="20"/>
          <w:color w:val="auto"/>
        </w:rPr>
      </w:pPr>
      <w:r>
        <w:rPr>
          <w:rFonts w:ascii="Times New Roman" w:cs="Times New Roman" w:eastAsia="Times New Roman" w:hAnsi="Times New Roman"/>
          <w:sz w:val="22"/>
          <w:szCs w:val="22"/>
          <w:color w:val="auto"/>
        </w:rPr>
        <w:t>THE GOLDMAN SACHS GROUP, INC. - Delaware| GOLDMAN SACHS &amp; CO. LLC - New York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053774105</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4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the response(s)to Item 11 on the attached cover page(s).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000"/>
          </w:cols>
          <w:pgMar w:left="360" w:top="126" w:right="539" w:bottom="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5 on the attached cover page(s).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right="5080" w:firstLine="6"/>
        <w:spacing w:after="0" w:line="509" w:lineRule="auto"/>
        <w:tabs>
          <w:tab w:leader="none" w:pos="378"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pacing w:after="0" w:line="1" w:lineRule="exact"/>
        <w:rPr>
          <w:rFonts w:ascii="Times New Roman" w:cs="Times New Roman" w:eastAsia="Times New Roman" w:hAnsi="Times New Roman"/>
          <w:sz w:val="21"/>
          <w:szCs w:val="21"/>
          <w:color w:val="auto"/>
        </w:rPr>
      </w:pPr>
    </w:p>
    <w:p>
      <w:pPr>
        <w:jc w:val="both"/>
        <w:ind w:right="5080" w:firstLine="6"/>
        <w:spacing w:after="0" w:line="509" w:lineRule="auto"/>
        <w:tabs>
          <w:tab w:leader="none" w:pos="366"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See the response(s) to Item 8 on the attached cover page(s).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922" w:orient="portrait"/>
          <w:cols w:equalWidth="0" w:num="2">
            <w:col w:w="620" w:space="300"/>
            <w:col w:w="10220"/>
          </w:cols>
          <w:pgMar w:left="360" w:top="355"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(99.2)</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THE GOLDMAN SACHS GROUP, INC.</w:t>
      </w:r>
    </w:p>
    <w:p>
      <w:pPr>
        <w:spacing w:after="0" w:line="152" w:lineRule="exact"/>
        <w:rPr>
          <w:sz w:val="20"/>
          <w:szCs w:val="20"/>
          <w:color w:val="auto"/>
        </w:rPr>
      </w:pPr>
    </w:p>
    <w:p>
      <w:pPr>
        <w:ind w:left="358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Name: AMEEN SOETAN</w:t>
      </w:r>
    </w:p>
    <w:p>
      <w:pPr>
        <w:spacing w:after="0" w:line="4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3580"/>
        <w:spacing w:after="0"/>
        <w:tabs>
          <w:tab w:leader="none" w:pos="4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10/08/2025</w:t>
      </w:r>
    </w:p>
    <w:p>
      <w:pPr>
        <w:spacing w:after="0" w:line="15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GOLDMAN SACHS &amp; CO. LLC</w:t>
      </w:r>
    </w:p>
    <w:p>
      <w:pPr>
        <w:spacing w:after="0" w:line="152" w:lineRule="exact"/>
        <w:rPr>
          <w:sz w:val="20"/>
          <w:szCs w:val="20"/>
          <w:color w:val="auto"/>
        </w:rPr>
      </w:pPr>
    </w:p>
    <w:p>
      <w:pPr>
        <w:ind w:left="358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Name: AMEEN SOETAN</w:t>
      </w:r>
    </w:p>
    <w:p>
      <w:pPr>
        <w:spacing w:after="0" w:line="4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3580"/>
        <w:spacing w:after="0"/>
        <w:tabs>
          <w:tab w:leader="none" w:pos="4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10/08/2025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1"/>
          <w:szCs w:val="21"/>
          <w:color w:val="auto"/>
        </w:rPr>
        <w:t>EXHIBIT (99.1) JOINT FILING AGREEMENT In accordance with Rule 13d-1(k)(1) promulgated under the Securities Exchange Act of 1934, the undersigned agree to the joint filing of a Statement on Schedule 13G (including any and all amendments thereto) with respect to the Common Stock, par value $0.01 per share, of AVIS BUDGET GROUP, INC. and further agree to the filing of this agreement as an Exhibit thereto. In addition, each party to this Agreement expressly authorizes each other party to this Agreement to file on its behalf any and all amendments to such Statement on Schedule 13G. Date: 10/08/2025 THE GOLDMAN SACHS GROUP, INC. By:/s/ AMEEN SOETAN ---------------------------------------- Name:</w:t>
      </w:r>
    </w:p>
    <w:p>
      <w:pPr>
        <w:sectPr>
          <w:pgSz w:w="11900" w:h="16922" w:orient="portrait"/>
          <w:cols w:equalWidth="0" w:num="1">
            <w:col w:w="11140"/>
          </w:cols>
          <w:pgMar w:left="360" w:top="355" w:right="39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1"/>
          <w:szCs w:val="21"/>
          <w:color w:val="auto"/>
        </w:rPr>
        <w:t>AMEEN SOETAN Title: Attorney-in-fact GOLDMAN SACHS &amp; CO. LLC By:/s/ AMEEN SOETAN ------------------------------</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Name: AMEEN SOETAN Title: Attorney-in-fact EXHIBIT (99.2) ITEM 7 INFORMATION The securities being</w:t>
      </w:r>
    </w:p>
    <w:p>
      <w:pPr>
        <w:spacing w:after="0" w:line="234" w:lineRule="auto"/>
        <w:rPr>
          <w:sz w:val="20"/>
          <w:szCs w:val="20"/>
          <w:color w:val="auto"/>
        </w:rPr>
      </w:pPr>
      <w:r>
        <w:rPr>
          <w:rFonts w:ascii="Times New Roman" w:cs="Times New Roman" w:eastAsia="Times New Roman" w:hAnsi="Times New Roman"/>
          <w:sz w:val="22"/>
          <w:szCs w:val="22"/>
          <w:color w:val="auto"/>
        </w:rPr>
        <w:t>reported on by The Goldman Sachs Group, Inc. ("GS Group"), as a parent holding company, are owned, or may be deemed to be beneficially owned, by Goldman Sachs &amp; Co. LLC ("Goldman Sachs"), a broker or dealer registered under Section 15 of the Act and an investment adviser registered under Section 203 of the Investment Advisers Act of 1940. Goldman Sachs is a subsidiary of GS Group.</w:t>
      </w:r>
    </w:p>
    <w:p>
      <w:pPr>
        <w:sectPr>
          <w:pgSz w:w="11900" w:h="16838" w:orient="portrait"/>
          <w:cols w:equalWidth="0" w:num="1">
            <w:col w:w="11160"/>
          </w:cols>
          <w:pgMar w:left="36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1819"/>
        <w:spacing w:after="0" w:line="277" w:lineRule="auto"/>
        <w:rPr>
          <w:sz w:val="20"/>
          <w:szCs w:val="20"/>
          <w:color w:val="auto"/>
        </w:rPr>
      </w:pPr>
      <w:r>
        <w:rPr>
          <w:rFonts w:ascii="Courier New" w:cs="Courier New" w:eastAsia="Courier New" w:hAnsi="Courier New"/>
          <w:sz w:val="16"/>
          <w:szCs w:val="16"/>
          <w:color w:val="auto"/>
        </w:rPr>
        <w:t>KNOW ALL PERSONS BY THESE PRESENTS that THE GOLDMAN SACHS GROUP, INC. (the "Company") does hereby make, constitute and appoint Sadhiya Raffique, Santosh Vinayagamoorthy, D Guru Prasad, Tobi Amusan, Akash Keshari, Papa Lette, Andrzej Szyszka, Rahail Patel, Taiki Misu, Regina Chan, Mariana Audeves Martinez, Asheesh Bajaj, Abhilasha Bareja, Veronica Mupazviriwo, Sam Prashanth, Ameen Soetan, Abhishek Vishwanathan, Elizabeth Novak and Matthew Pomfret, acting individually, its true and lawful attorney, to execute and deliver in its name and on its behalf, whether the Company is acting individually or as representative of others, any and all filings required to be made by the Company pursuant to Rule 13f-1or Regulation 13D-G under the Securities Exchange Act of 1934, (as amended, the "Act"), which may be required of the Company with respect to securities which may be deemed to be beneficially owned by the Company under the Act, giving and granting unto each said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298" w:lineRule="exact"/>
        <w:rPr>
          <w:sz w:val="20"/>
          <w:szCs w:val="20"/>
          <w:color w:val="auto"/>
        </w:rPr>
      </w:pPr>
    </w:p>
    <w:p>
      <w:pPr>
        <w:ind w:right="1819"/>
        <w:spacing w:after="0" w:line="251" w:lineRule="auto"/>
        <w:rPr>
          <w:sz w:val="20"/>
          <w:szCs w:val="20"/>
          <w:color w:val="auto"/>
        </w:rPr>
      </w:pPr>
      <w:r>
        <w:rPr>
          <w:rFonts w:ascii="Courier New" w:cs="Courier New" w:eastAsia="Courier New" w:hAnsi="Courier New"/>
          <w:sz w:val="18"/>
          <w:szCs w:val="18"/>
          <w:color w:val="auto"/>
        </w:rPr>
        <w:t>THIS POWER OF ATTORNEY shall remain in full force and effect until July 16, 2026 unless earlier revoked by written instrument, or in the event an Attorney-in-fact ceases to be an employee of The Goldman Sachs Group, Inc. or one of its affiliates or ceases to perform the function in connection with which he or she was appointed Attorney-in-fact prior to July 16, 2026, this Power of Attorney shall cease to have effect in relation to such Attorney-in-fact upon such cessation but shall continue in full force and effect in relation to the remaining Attorneys-in-fact. The Company has the unrestricted right unilaterally to revoke the Power of Attorney.</w:t>
      </w:r>
    </w:p>
    <w:p>
      <w:pPr>
        <w:spacing w:after="0" w:line="106" w:lineRule="exact"/>
        <w:rPr>
          <w:sz w:val="20"/>
          <w:szCs w:val="20"/>
          <w:color w:val="auto"/>
        </w:rPr>
      </w:pPr>
    </w:p>
    <w:p>
      <w:pPr>
        <w:ind w:right="1819"/>
        <w:spacing w:after="0" w:line="402"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ind w:right="1919"/>
        <w:spacing w:after="0" w:line="265" w:lineRule="auto"/>
        <w:rPr>
          <w:sz w:val="20"/>
          <w:szCs w:val="20"/>
          <w:color w:val="auto"/>
        </w:rPr>
      </w:pPr>
      <w:r>
        <w:rPr>
          <w:rFonts w:ascii="Courier New" w:cs="Courier New" w:eastAsia="Courier New" w:hAnsi="Courier New"/>
          <w:sz w:val="18"/>
          <w:szCs w:val="18"/>
          <w:color w:val="auto"/>
        </w:rPr>
        <w:t>This Power of Attorney supersedes the Power of Attorney granted by the Company to Papa Lette, Akash Keshari, Regina Chan, Andrzej Szyszka, Ameen Soetan, Rahail Patel, Santosh Vinayagamoorthy, Sadhiya Raffique, Matthew Pomfret, Abhishek Vishwanathan, Mariana Audeves, Veronica Mupazviriwo, Elizabeth Novak and Sam Prashanth on July 29,2024.</w:t>
      </w:r>
    </w:p>
    <w:p>
      <w:pPr>
        <w:spacing w:after="0" w:line="89" w:lineRule="exact"/>
        <w:rPr>
          <w:sz w:val="20"/>
          <w:szCs w:val="20"/>
          <w:color w:val="auto"/>
        </w:rPr>
      </w:pPr>
    </w:p>
    <w:p>
      <w:pPr>
        <w:ind w:right="2119"/>
        <w:spacing w:after="0" w:line="346"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July 16, 2025.</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Carey Ziegler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Carey Ziegler</w:t>
      </w:r>
    </w:p>
    <w:p>
      <w:pPr>
        <w:spacing w:after="0"/>
        <w:rPr>
          <w:sz w:val="20"/>
          <w:szCs w:val="20"/>
          <w:color w:val="auto"/>
        </w:rPr>
      </w:pPr>
      <w:r>
        <w:rPr>
          <w:rFonts w:ascii="Courier New" w:cs="Courier New" w:eastAsia="Courier New" w:hAnsi="Courier New"/>
          <w:sz w:val="18"/>
          <w:szCs w:val="18"/>
          <w:color w:val="auto"/>
        </w:rPr>
        <w:t>Title: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1819"/>
        <w:spacing w:after="0" w:line="281" w:lineRule="auto"/>
        <w:rPr>
          <w:sz w:val="20"/>
          <w:szCs w:val="20"/>
          <w:color w:val="auto"/>
        </w:rPr>
      </w:pPr>
      <w:r>
        <w:rPr>
          <w:rFonts w:ascii="Courier New" w:cs="Courier New" w:eastAsia="Courier New" w:hAnsi="Courier New"/>
          <w:sz w:val="16"/>
          <w:szCs w:val="16"/>
          <w:color w:val="auto"/>
        </w:rPr>
        <w:t>KNOW ALL PERSONS BY THESE PRESENTS that GOLDMAN SACHS &amp; CO. LLC (the "Company") does hereby make, constitute and appoint each Sadhiya Raffique, Santosh Vinayagamoorthy, D Guru Prasad, Tobi Amusan, Akash Keshari, Papa Lette, Andrzej Szyszka, Rahail Patel, Taiki Misu, Regina Chan, Mariana Audeves Martinez, Asheesh Bajaj, Abhilasha Bareja, Veronica Mupazviriwo, Sam Prashanth, Ameen Soetan, Abhishek Vishwanathan, Elizabeth Novak and Matthew Pomfret, acting individually, its true and lawful attorney, to execute and deliver in its name and on its behalf, whether the Company is acting individually or as representative of others, any and all filings required to be made by the Company pursuant to Rule 13f-1or Regulation 13D-G under the Securities Exchange Act of 1934, (as amended, the "Act"), which may be required of the Company with respect to securities which may be deemed to be beneficially owned by the Company under the Act, giving and granting unto each said Attorney-in-fact</w:t>
      </w:r>
    </w:p>
    <w:p>
      <w:pPr>
        <w:sectPr>
          <w:pgSz w:w="11900" w:h="16838" w:orient="portrait"/>
          <w:cols w:equalWidth="0" w:num="1">
            <w:col w:w="10139"/>
          </w:cols>
          <w:pgMar w:left="320" w:top="110" w:right="1440" w:bottom="0" w:gutter="0" w:footer="0" w:header="0"/>
        </w:sectPr>
      </w:pPr>
    </w:p>
    <w:bookmarkStart w:id="6" w:name="page7"/>
    <w:bookmarkEnd w:id="6"/>
    <w:p>
      <w:pPr>
        <w:ind w:right="1819"/>
        <w:spacing w:after="0" w:line="274" w:lineRule="auto"/>
        <w:rPr>
          <w:sz w:val="20"/>
          <w:szCs w:val="20"/>
          <w:color w:val="auto"/>
        </w:rPr>
      </w:pPr>
      <w:r>
        <w:rPr>
          <w:rFonts w:ascii="Courier New" w:cs="Courier New" w:eastAsia="Courier New" w:hAnsi="Courier New"/>
          <w:sz w:val="18"/>
          <w:szCs w:val="18"/>
          <w:color w:val="auto"/>
        </w:rPr>
        <w:t>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81" w:lineRule="exact"/>
        <w:rPr>
          <w:sz w:val="20"/>
          <w:szCs w:val="20"/>
          <w:color w:val="auto"/>
        </w:rPr>
      </w:pPr>
    </w:p>
    <w:p>
      <w:pPr>
        <w:ind w:right="1819"/>
        <w:spacing w:after="0" w:line="251" w:lineRule="auto"/>
        <w:rPr>
          <w:sz w:val="20"/>
          <w:szCs w:val="20"/>
          <w:color w:val="auto"/>
        </w:rPr>
      </w:pPr>
      <w:r>
        <w:rPr>
          <w:rFonts w:ascii="Courier New" w:cs="Courier New" w:eastAsia="Courier New" w:hAnsi="Courier New"/>
          <w:sz w:val="18"/>
          <w:szCs w:val="18"/>
          <w:color w:val="auto"/>
        </w:rPr>
        <w:t>THIS POWER OF ATTORNEY shall remain in full force and effect until July 16, 2026 unless earlier revoked by written instrument, or in the event an Attorney-in-fact ceases to be an employee of The Goldman Sachs Group, Inc. or one of its affiliates or ceases to perform the function in connection with which he or she was appointed Attorney-in-fact prior to July 16, 2026, this Power of Attorney shall cease to have effect in relation to such Attorney-in-fact upon such cessation but shall continue in full force and effect in relation to the remaining Attorneys-in-fact. The Company has the unrestricted right unilaterally to revoke the Power of Attorney.</w:t>
      </w:r>
    </w:p>
    <w:p>
      <w:pPr>
        <w:spacing w:after="0" w:line="106" w:lineRule="exact"/>
        <w:rPr>
          <w:sz w:val="20"/>
          <w:szCs w:val="20"/>
          <w:color w:val="auto"/>
        </w:rPr>
      </w:pPr>
    </w:p>
    <w:p>
      <w:pPr>
        <w:ind w:right="1819"/>
        <w:spacing w:after="0" w:line="402"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ind w:right="1699"/>
        <w:spacing w:after="0" w:line="265" w:lineRule="auto"/>
        <w:rPr>
          <w:sz w:val="20"/>
          <w:szCs w:val="20"/>
          <w:color w:val="auto"/>
        </w:rPr>
      </w:pPr>
      <w:r>
        <w:rPr>
          <w:rFonts w:ascii="Courier New" w:cs="Courier New" w:eastAsia="Courier New" w:hAnsi="Courier New"/>
          <w:sz w:val="18"/>
          <w:szCs w:val="18"/>
          <w:color w:val="auto"/>
        </w:rPr>
        <w:t>This Power of Attorney supersedes the Power of Attorney granted by the Company to Papa Lette, Akash Keshari, Regina Chan, Andrzej Szyszka, Ameen Soetan, Rahail Patel, Santosh Vinayagamoorthy, Sadhiya Raffique, Matthew Pomfret, Abhishek Vishwanathan, Mariana Audeves Martinez, Veronica Mupazviriwo, Elizabeth Novak and Sam Prashanth on October 1, 2024.</w:t>
      </w:r>
    </w:p>
    <w:p>
      <w:pPr>
        <w:spacing w:after="0" w:line="89" w:lineRule="exact"/>
        <w:rPr>
          <w:sz w:val="20"/>
          <w:szCs w:val="20"/>
          <w:color w:val="auto"/>
        </w:rPr>
      </w:pPr>
    </w:p>
    <w:p>
      <w:pPr>
        <w:ind w:right="2119"/>
        <w:spacing w:after="0" w:line="346"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July 16, 2025.</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 LLC</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Carey Ziegler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Carey Ziegler</w:t>
      </w:r>
    </w:p>
    <w:p>
      <w:pPr>
        <w:spacing w:after="0"/>
        <w:rPr>
          <w:sz w:val="20"/>
          <w:szCs w:val="20"/>
          <w:color w:val="auto"/>
        </w:rPr>
      </w:pPr>
      <w:r>
        <w:rPr>
          <w:rFonts w:ascii="Courier New" w:cs="Courier New" w:eastAsia="Courier New" w:hAnsi="Courier New"/>
          <w:sz w:val="18"/>
          <w:szCs w:val="18"/>
          <w:color w:val="auto"/>
        </w:rPr>
        <w:t>Title: Managing Director</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2025-11-10T11:20:05Z</dcterms:created>
  <dcterms:modified xsi:type="dcterms:W3CDTF">2025-11-10T11:20:05Z</dcterms:modified>
</cp:coreProperties>
</file>